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908A" w14:textId="77777777" w:rsidR="00563E44" w:rsidRPr="00EC5F6F" w:rsidRDefault="00563E44" w:rsidP="00EC5F6F">
      <w:pPr>
        <w:autoSpaceDE w:val="0"/>
        <w:autoSpaceDN w:val="0"/>
        <w:adjustRightInd w:val="0"/>
        <w:spacing w:before="100" w:beforeAutospacing="1" w:after="200" w:line="276" w:lineRule="auto"/>
        <w:ind w:right="567" w:firstLine="708"/>
        <w:jc w:val="both"/>
        <w:rPr>
          <w:rFonts w:ascii="Calibri" w:hAnsi="Calibri" w:cs="Calibri"/>
          <w:kern w:val="0"/>
          <w:sz w:val="22"/>
          <w:szCs w:val="22"/>
        </w:rPr>
      </w:pPr>
      <w:r>
        <w:rPr>
          <w:rFonts w:ascii="Calibri" w:hAnsi="Calibri"/>
          <w:sz w:val="22"/>
        </w:rPr>
        <w:t>24MOC-92</w:t>
      </w:r>
    </w:p>
    <w:p w14:paraId="3CD9C6AA"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r>
        <w:rPr>
          <w:rFonts w:ascii="Calibri" w:hAnsi="Calibri"/>
          <w:sz w:val="22"/>
        </w:rPr>
        <w:t xml:space="preserve">Geroa Bai talde parlamentarioko Blanca </w:t>
      </w:r>
      <w:proofErr w:type="spellStart"/>
      <w:r>
        <w:rPr>
          <w:rFonts w:ascii="Calibri" w:hAnsi="Calibri"/>
          <w:sz w:val="22"/>
        </w:rPr>
        <w:t>Regúlez</w:t>
      </w:r>
      <w:proofErr w:type="spellEnd"/>
      <w:r>
        <w:rPr>
          <w:rFonts w:ascii="Calibri" w:hAnsi="Calibri"/>
          <w:sz w:val="22"/>
        </w:rPr>
        <w:t xml:space="preserve"> Álvarez andreak, Legebiltzarreko Erregelamenduan ezarritakoaren babesean, honako mozio hau aurkezten du Osoko Bilkuran eztabaidatu eta bozkatzeko.</w:t>
      </w:r>
    </w:p>
    <w:p w14:paraId="09A73B02" w14:textId="77777777" w:rsidR="00563E44" w:rsidRPr="00563E44" w:rsidRDefault="00563E44" w:rsidP="00EC5F6F">
      <w:pPr>
        <w:autoSpaceDE w:val="0"/>
        <w:autoSpaceDN w:val="0"/>
        <w:adjustRightInd w:val="0"/>
        <w:spacing w:before="100" w:beforeAutospacing="1" w:after="200" w:line="276" w:lineRule="auto"/>
        <w:ind w:right="567" w:firstLine="708"/>
        <w:jc w:val="both"/>
        <w:rPr>
          <w:rFonts w:ascii="Calibri" w:hAnsi="Calibri" w:cs="Calibri"/>
          <w:kern w:val="0"/>
          <w:sz w:val="22"/>
          <w:szCs w:val="22"/>
        </w:rPr>
      </w:pPr>
      <w:r>
        <w:rPr>
          <w:rFonts w:ascii="Calibri" w:hAnsi="Calibri"/>
          <w:sz w:val="22"/>
        </w:rPr>
        <w:t>Zioen azalpena</w:t>
      </w:r>
    </w:p>
    <w:p w14:paraId="6F8F67A2"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r>
        <w:rPr>
          <w:rFonts w:ascii="Calibri" w:hAnsi="Calibri"/>
          <w:sz w:val="22"/>
        </w:rPr>
        <w:t>Gizarte demokratiko aurreratu batek behar bezala funtzionatzeko funtsezko bikotea dira askatasuna eta segurtasuna; eskubideak eta askatasunak bermatzeko tresna da segurtasuna, ez, ordea, berezko helburua.</w:t>
      </w:r>
    </w:p>
    <w:p w14:paraId="6B879C9F"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r>
        <w:rPr>
          <w:rFonts w:ascii="Calibri" w:hAnsi="Calibri"/>
          <w:sz w:val="22"/>
        </w:rPr>
        <w:t>Bikote hori uztartzea erronka handia da demokratikotzat jotzen den edo bere burua demokratikotzat hartzen duen gizarte ororentzat; izan ere, herritarren segurtasunaren izenean ezin da eskubide konstituzional bat baliatzea oro har mugatu; aitzitik, herritarren segurtasunaren izenean nazioko nahiz nazioarteko legedia indardunetan jasotzen diren eskubideak eta askatasunak erraztu behar dira, eta erakunde publiko eskudunei dagokie, hain zuzen ere, horiek erraztea.</w:t>
      </w:r>
    </w:p>
    <w:p w14:paraId="4C9079D2"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r>
        <w:rPr>
          <w:rFonts w:ascii="Calibri" w:hAnsi="Calibri"/>
          <w:sz w:val="22"/>
        </w:rPr>
        <w:t>Erakunde publikoek segurtasunaren arloan egiten duten lanak helburu hau izan behar du: oinarrizko eskubideak eta askatasun publikoak baliatzea eragozten duen traba eta oztopo oro kentzea. Kaleetako lasaitasunaz ari gara, pertsonen eta haien eskubideen babesaz arduratzeaz, herritarren arteko bizikidetasuna zaintzeaz, espazio publikoak modu baketsuan erabiltzeaz, erakundeen funtzionamendua eta oinarrizko zerbitzuen prestazioa normaltasunez egiteko baldintzak bermatzeaz, arau-hauste penalak eta administratiboak prebenitzeaz.</w:t>
      </w:r>
    </w:p>
    <w:p w14:paraId="5D9E4315"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r>
        <w:rPr>
          <w:rFonts w:ascii="Calibri" w:hAnsi="Calibri"/>
          <w:sz w:val="22"/>
        </w:rPr>
        <w:t>Hortaz, herritarrek askatasunak baliatzeko orduan segurtasunagatik ezarritako intzidentzia edo muga guztiek legalitatearen eta proportzionaltasunaren printzipioak jarraitu behar dituzte, hiru dimentsio aintzat hartuta egin ere: mugatzea egokia izatea (proposatutako helburua lortzeko), beharrezkoa izatea (helburu bera lortzeko hain gogorra ez den beste neurririk ez egotea, alegia) eta mugatze hori zentzu hertsian proportzionala izatea (neurriak interes publikoari onura dakarkio eta horrek eskubidearen erabilera nolabait sakrifikatzea zuritzen du).</w:t>
      </w:r>
      <w:r>
        <w:rPr>
          <w:rFonts w:ascii="Calibri" w:hAnsi="Calibri"/>
          <w:sz w:val="22"/>
        </w:rPr>
        <w:cr/>
      </w:r>
    </w:p>
    <w:p w14:paraId="1B8055A5"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r>
        <w:rPr>
          <w:rFonts w:ascii="Calibri" w:hAnsi="Calibri"/>
          <w:sz w:val="22"/>
        </w:rPr>
        <w:t>Eta proportzionaltasunaren printzipioa hori da, hain zuzen ere, askatasunaren eta segurtasunaren bikotean lehenetsi behar dena. Lehenbizikoa bigarrenari gailentzen zaio eskubideak erabiltzearen aldeko interpretazioaren printzipioaren argitan, eta edozein zehapen-araubideri dagokionez  –zigortzeko ahalmen gisa hartuta–, ahal den gutxien baliatuko da.</w:t>
      </w:r>
    </w:p>
    <w:p w14:paraId="25626CB1"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r>
        <w:rPr>
          <w:rFonts w:ascii="Calibri" w:hAnsi="Calibri"/>
          <w:sz w:val="22"/>
        </w:rPr>
        <w:t xml:space="preserve">Hori guztia gorabehera, indarrean dago Herritarren Segurtasuna Babesteko Legea, </w:t>
      </w:r>
      <w:proofErr w:type="spellStart"/>
      <w:r>
        <w:rPr>
          <w:rFonts w:ascii="Calibri" w:hAnsi="Calibri"/>
          <w:i/>
          <w:iCs/>
          <w:sz w:val="22"/>
        </w:rPr>
        <w:t>mozal</w:t>
      </w:r>
      <w:proofErr w:type="spellEnd"/>
      <w:r>
        <w:rPr>
          <w:rFonts w:ascii="Calibri" w:hAnsi="Calibri"/>
          <w:i/>
          <w:iCs/>
          <w:sz w:val="22"/>
        </w:rPr>
        <w:t xml:space="preserve"> legea</w:t>
      </w:r>
      <w:r>
        <w:rPr>
          <w:rFonts w:ascii="Calibri" w:hAnsi="Calibri"/>
          <w:sz w:val="22"/>
        </w:rPr>
        <w:t xml:space="preserve"> izenez ezaguna dena eta gehiengo osoa zuen PPren Gobernu batek, </w:t>
      </w:r>
      <w:r>
        <w:rPr>
          <w:rFonts w:ascii="Calibri" w:hAnsi="Calibri"/>
          <w:sz w:val="22"/>
        </w:rPr>
        <w:lastRenderedPageBreak/>
        <w:t xml:space="preserve">Mariano </w:t>
      </w:r>
      <w:proofErr w:type="spellStart"/>
      <w:r>
        <w:rPr>
          <w:rFonts w:ascii="Calibri" w:hAnsi="Calibri"/>
          <w:sz w:val="22"/>
        </w:rPr>
        <w:t>Rajoy</w:t>
      </w:r>
      <w:proofErr w:type="spellEnd"/>
      <w:r>
        <w:rPr>
          <w:rFonts w:ascii="Calibri" w:hAnsi="Calibri"/>
          <w:sz w:val="22"/>
        </w:rPr>
        <w:t xml:space="preserve"> lehendakaria zela, onetsi zuena 2015ean maiatzaren 15eko mobilizazioen aitzinean.</w:t>
      </w:r>
    </w:p>
    <w:p w14:paraId="4BF07C4B"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proofErr w:type="spellStart"/>
      <w:r>
        <w:rPr>
          <w:rFonts w:ascii="Calibri" w:hAnsi="Calibri"/>
          <w:i/>
          <w:iCs/>
          <w:sz w:val="22"/>
        </w:rPr>
        <w:t>Mozal</w:t>
      </w:r>
      <w:proofErr w:type="spellEnd"/>
      <w:r>
        <w:rPr>
          <w:rFonts w:ascii="Calibri" w:hAnsi="Calibri"/>
          <w:i/>
          <w:iCs/>
          <w:sz w:val="22"/>
        </w:rPr>
        <w:t xml:space="preserve"> legea</w:t>
      </w:r>
      <w:r>
        <w:rPr>
          <w:rFonts w:ascii="Calibri" w:hAnsi="Calibri"/>
          <w:sz w:val="22"/>
        </w:rPr>
        <w:t xml:space="preserve"> eskubideak murrizten dituen lege gisa hartua da –esaterako, biltzeko eta manifestatzeko eskubidea–, bai eta askatasunak –esaterako, adierazpen eta informazio askatasuna, askatasun sindikala– eta greba-eskubidea ere. Legea orobat kritikatu izan da Poliziaren boterea handitu denez gero arau-hauste administratiboei ezarritako zehapenengatik; izan ere, ordura arte inolaz ere zehatuko ez liratekeen jokabideak zehatzen ahal dira orain, eta beste horrenbeste gertatzen da pertsona </w:t>
      </w:r>
      <w:proofErr w:type="spellStart"/>
      <w:r>
        <w:rPr>
          <w:rFonts w:ascii="Calibri" w:hAnsi="Calibri"/>
          <w:sz w:val="22"/>
        </w:rPr>
        <w:t>arrazializatuen</w:t>
      </w:r>
      <w:proofErr w:type="spellEnd"/>
      <w:r>
        <w:rPr>
          <w:rFonts w:ascii="Calibri" w:hAnsi="Calibri"/>
          <w:sz w:val="22"/>
        </w:rPr>
        <w:t xml:space="preserve"> identifikazio </w:t>
      </w:r>
      <w:proofErr w:type="spellStart"/>
      <w:r>
        <w:rPr>
          <w:rFonts w:ascii="Calibri" w:hAnsi="Calibri"/>
          <w:sz w:val="22"/>
        </w:rPr>
        <w:t>indiskriminatuen</w:t>
      </w:r>
      <w:proofErr w:type="spellEnd"/>
      <w:r>
        <w:rPr>
          <w:rFonts w:ascii="Calibri" w:hAnsi="Calibri"/>
          <w:sz w:val="22"/>
        </w:rPr>
        <w:t xml:space="preserve"> edo mugako itzulketen kasuan.</w:t>
      </w:r>
    </w:p>
    <w:p w14:paraId="63DD39B6"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proofErr w:type="spellStart"/>
      <w:r>
        <w:rPr>
          <w:rFonts w:ascii="Calibri" w:hAnsi="Calibri"/>
          <w:i/>
          <w:iCs/>
          <w:sz w:val="22"/>
        </w:rPr>
        <w:t>Mozal</w:t>
      </w:r>
      <w:proofErr w:type="spellEnd"/>
      <w:r>
        <w:rPr>
          <w:rFonts w:ascii="Calibri" w:hAnsi="Calibri"/>
          <w:i/>
          <w:iCs/>
          <w:sz w:val="22"/>
        </w:rPr>
        <w:t xml:space="preserve"> legea</w:t>
      </w:r>
      <w:r>
        <w:rPr>
          <w:rFonts w:ascii="Calibri" w:hAnsi="Calibri"/>
          <w:sz w:val="22"/>
        </w:rPr>
        <w:t xml:space="preserve"> ez da soilik politikaren esparrutik kritikatu izan, oinarrizko eskubideak aldezten dituzten nazioko nahiz nazioarteko organizazio eta entitateek ere kritikatu izan baitute; adibidez, Amnistia Internazionalak, Informazioaren Defentsarako Plataformak, CEAR-Errefuxiatuei Laguntzeko Espainiako Batzordeak edo Vienako Konbentzioak.</w:t>
      </w:r>
    </w:p>
    <w:p w14:paraId="38FBED9C"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proofErr w:type="spellStart"/>
      <w:r>
        <w:rPr>
          <w:rFonts w:ascii="Calibri" w:hAnsi="Calibri"/>
          <w:i/>
          <w:iCs/>
          <w:sz w:val="22"/>
        </w:rPr>
        <w:t>Mozal</w:t>
      </w:r>
      <w:proofErr w:type="spellEnd"/>
      <w:r>
        <w:rPr>
          <w:rFonts w:ascii="Calibri" w:hAnsi="Calibri"/>
          <w:i/>
          <w:iCs/>
          <w:sz w:val="22"/>
        </w:rPr>
        <w:t xml:space="preserve"> legea</w:t>
      </w:r>
      <w:r>
        <w:rPr>
          <w:rFonts w:ascii="Calibri" w:hAnsi="Calibri"/>
          <w:sz w:val="22"/>
        </w:rPr>
        <w:t xml:space="preserve"> mantentzeak gabezia demokratiko larria dakar gure gizartearentzat. Eraberritze demokratikoko garai honetan beharrezkoa da lege hori aldatzea. Aldaketa oso bat, legearen artikulu gehienen aldaketa, kalitate demokratikoa areagotzea ahalbidetuko diguna. Gizarte demokratikoa garenez gero, aurrera egin behar dugu, eta jokaera autoritario orotatik aldendu behar dugu, zeren eta gisa horretako politikak baliatzen direnean –Espainiako Estatuko eskuinaren eta eskuin muturraren eskutik heldu ohi dira–, beti ateratzen dira galtzaile herritarren eskubideak eta askatasunak.</w:t>
      </w:r>
    </w:p>
    <w:p w14:paraId="33D74221"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r>
        <w:rPr>
          <w:rFonts w:ascii="Calibri" w:hAnsi="Calibri"/>
          <w:sz w:val="22"/>
        </w:rPr>
        <w:t>Zoritxarrez, orain arte, Espainiako Gorteetan ezin izan da lortu</w:t>
      </w:r>
      <w:r>
        <w:rPr>
          <w:rFonts w:ascii="Calibri" w:hAnsi="Calibri"/>
          <w:i/>
          <w:iCs/>
          <w:sz w:val="22"/>
        </w:rPr>
        <w:t xml:space="preserve"> </w:t>
      </w:r>
      <w:proofErr w:type="spellStart"/>
      <w:r>
        <w:rPr>
          <w:rFonts w:ascii="Calibri" w:hAnsi="Calibri"/>
          <w:i/>
          <w:iCs/>
          <w:sz w:val="22"/>
        </w:rPr>
        <w:t>mozal</w:t>
      </w:r>
      <w:proofErr w:type="spellEnd"/>
      <w:r>
        <w:rPr>
          <w:rFonts w:ascii="Calibri" w:hAnsi="Calibri"/>
          <w:i/>
          <w:iCs/>
          <w:sz w:val="22"/>
        </w:rPr>
        <w:t xml:space="preserve"> legea</w:t>
      </w:r>
      <w:r>
        <w:rPr>
          <w:rFonts w:ascii="Calibri" w:hAnsi="Calibri"/>
          <w:sz w:val="22"/>
        </w:rPr>
        <w:t xml:space="preserve"> aldatzeko akordiorik, euskal taldearen saiakerak gorabehera (aldaketa hori egiten hasteko lege-proposamen bat aurkeztu zuen).  Aurreko legegintzaldiaren amaiera aldean, testu bat adostu zuten EAJk, PSOEk eta </w:t>
      </w:r>
      <w:proofErr w:type="spellStart"/>
      <w:r>
        <w:rPr>
          <w:rFonts w:ascii="Calibri" w:hAnsi="Calibri"/>
          <w:sz w:val="22"/>
        </w:rPr>
        <w:t>Sumar-ek</w:t>
      </w:r>
      <w:proofErr w:type="spellEnd"/>
      <w:r>
        <w:rPr>
          <w:rFonts w:ascii="Calibri" w:hAnsi="Calibri"/>
          <w:sz w:val="22"/>
        </w:rPr>
        <w:t xml:space="preserve">, baina ez ziren hura onesteko garaiz iritsi. Legegintzaldi honetan, </w:t>
      </w:r>
      <w:proofErr w:type="spellStart"/>
      <w:r>
        <w:rPr>
          <w:rFonts w:ascii="Calibri" w:hAnsi="Calibri"/>
          <w:sz w:val="22"/>
        </w:rPr>
        <w:t>Sumar-ek</w:t>
      </w:r>
      <w:proofErr w:type="spellEnd"/>
      <w:r>
        <w:rPr>
          <w:rFonts w:ascii="Calibri" w:hAnsi="Calibri"/>
          <w:sz w:val="22"/>
        </w:rPr>
        <w:t xml:space="preserve"> legea aldatzeko lege-proposamen bat aurkeztu du, adostutako testu hura oinarri, eta egia da, orobat, PSOEren eta </w:t>
      </w:r>
      <w:proofErr w:type="spellStart"/>
      <w:r>
        <w:rPr>
          <w:rFonts w:ascii="Calibri" w:hAnsi="Calibri"/>
          <w:sz w:val="22"/>
        </w:rPr>
        <w:t>Sumar-en</w:t>
      </w:r>
      <w:proofErr w:type="spellEnd"/>
      <w:r>
        <w:rPr>
          <w:rFonts w:ascii="Calibri" w:hAnsi="Calibri"/>
          <w:sz w:val="22"/>
        </w:rPr>
        <w:t xml:space="preserve"> arteko koalizio-gobernurako akordioan espresuki jasotzen dela aldatu eta indargabetu eginen dela biltzeko eskubidea eta adierazpen-askatasuna mugatzen duen araudia, </w:t>
      </w:r>
      <w:proofErr w:type="spellStart"/>
      <w:r>
        <w:rPr>
          <w:rFonts w:ascii="Calibri" w:hAnsi="Calibri"/>
          <w:i/>
          <w:iCs/>
          <w:sz w:val="22"/>
        </w:rPr>
        <w:t>mozal</w:t>
      </w:r>
      <w:proofErr w:type="spellEnd"/>
      <w:r>
        <w:rPr>
          <w:rFonts w:ascii="Calibri" w:hAnsi="Calibri"/>
          <w:i/>
          <w:iCs/>
          <w:sz w:val="22"/>
        </w:rPr>
        <w:t xml:space="preserve"> legea</w:t>
      </w:r>
      <w:r>
        <w:rPr>
          <w:rFonts w:ascii="Calibri" w:hAnsi="Calibri"/>
          <w:sz w:val="22"/>
        </w:rPr>
        <w:t xml:space="preserve"> kasu.</w:t>
      </w:r>
    </w:p>
    <w:p w14:paraId="6410B843" w14:textId="77777777" w:rsidR="00563E44" w:rsidRPr="00563E44" w:rsidRDefault="00563E44" w:rsidP="00EC5F6F">
      <w:pPr>
        <w:autoSpaceDE w:val="0"/>
        <w:autoSpaceDN w:val="0"/>
        <w:adjustRightInd w:val="0"/>
        <w:spacing w:before="100" w:beforeAutospacing="1" w:after="200" w:line="276" w:lineRule="auto"/>
        <w:ind w:left="708" w:right="567"/>
        <w:jc w:val="both"/>
        <w:rPr>
          <w:rFonts w:ascii="Calibri" w:hAnsi="Calibri" w:cs="Calibri"/>
          <w:kern w:val="0"/>
          <w:sz w:val="22"/>
          <w:szCs w:val="22"/>
        </w:rPr>
      </w:pPr>
      <w:r>
        <w:rPr>
          <w:rFonts w:ascii="Calibri" w:hAnsi="Calibri"/>
          <w:sz w:val="22"/>
        </w:rPr>
        <w:t xml:space="preserve">Geroa </w:t>
      </w:r>
      <w:proofErr w:type="spellStart"/>
      <w:r>
        <w:rPr>
          <w:rFonts w:ascii="Calibri" w:hAnsi="Calibri"/>
          <w:sz w:val="22"/>
        </w:rPr>
        <w:t>Bain</w:t>
      </w:r>
      <w:proofErr w:type="spellEnd"/>
      <w:r>
        <w:rPr>
          <w:rFonts w:ascii="Calibri" w:hAnsi="Calibri"/>
          <w:sz w:val="22"/>
        </w:rPr>
        <w:t xml:space="preserve"> uste dugu Nafarroako gizartea lege horren aurka agertu behar dela, herritarren eskubideak eta askatasunak murrizten dituelako. Hortaz, nor gizartearen ahotsa eta ordezkaritza duena baino, Nafarroako Parlamentua baino, lege horren erreformaren alde agertzeko.</w:t>
      </w:r>
    </w:p>
    <w:p w14:paraId="7079DF18" w14:textId="77777777" w:rsidR="00563E44" w:rsidRPr="00563E44" w:rsidRDefault="00563E44" w:rsidP="00EC5F6F">
      <w:pPr>
        <w:autoSpaceDE w:val="0"/>
        <w:autoSpaceDN w:val="0"/>
        <w:adjustRightInd w:val="0"/>
        <w:spacing w:before="100" w:beforeAutospacing="1" w:after="200" w:line="276" w:lineRule="auto"/>
        <w:ind w:right="567" w:firstLine="708"/>
        <w:jc w:val="both"/>
        <w:rPr>
          <w:rFonts w:ascii="Calibri" w:hAnsi="Calibri" w:cs="Calibri"/>
          <w:kern w:val="0"/>
          <w:sz w:val="22"/>
          <w:szCs w:val="22"/>
        </w:rPr>
      </w:pPr>
      <w:r>
        <w:rPr>
          <w:rFonts w:ascii="Calibri" w:hAnsi="Calibri"/>
          <w:sz w:val="22"/>
        </w:rPr>
        <w:t>Horregatik guztiagatik, Geroa Bai talde parlamentarioak honako erabaki proposamen hau aurkeztu du:</w:t>
      </w:r>
    </w:p>
    <w:p w14:paraId="0E70861F" w14:textId="77777777" w:rsidR="00EC5F6F" w:rsidRPr="006E7C7E" w:rsidRDefault="00563E44" w:rsidP="006E7C7E">
      <w:pPr>
        <w:autoSpaceDE w:val="0"/>
        <w:autoSpaceDN w:val="0"/>
        <w:adjustRightInd w:val="0"/>
        <w:spacing w:before="100" w:beforeAutospacing="1" w:after="200" w:line="276" w:lineRule="auto"/>
        <w:ind w:left="708" w:right="567"/>
        <w:jc w:val="both"/>
        <w:rPr>
          <w:rFonts w:ascii="Calibri" w:hAnsi="Calibri" w:cs="Calibri"/>
          <w:kern w:val="0"/>
          <w:sz w:val="22"/>
          <w:szCs w:val="22"/>
        </w:rPr>
      </w:pPr>
      <w:r>
        <w:rPr>
          <w:rFonts w:ascii="Calibri" w:hAnsi="Calibri"/>
          <w:sz w:val="22"/>
        </w:rPr>
        <w:lastRenderedPageBreak/>
        <w:t>Nafarroako Parlamentuak Espainiako Gobernua premiatzen du Herritarren Segurtasuna Babesteko Legea alda dezan, Espainiako Konstituzioan eta nazioarteko legedian jasotzen diren oinarrizko eskubideen eta askatasunen erabileraren babesarekin bat etor dadin, egungo koalizio-gobernua osatzeko hartu ziren konpromisoak betetzeko.</w:t>
      </w:r>
    </w:p>
    <w:p w14:paraId="0DD6040B" w14:textId="77777777" w:rsidR="00A2479A" w:rsidRPr="006E7C7E" w:rsidRDefault="00A2479A" w:rsidP="006E7C7E">
      <w:pPr>
        <w:autoSpaceDE w:val="0"/>
        <w:autoSpaceDN w:val="0"/>
        <w:adjustRightInd w:val="0"/>
        <w:spacing w:before="100" w:beforeAutospacing="1" w:after="200" w:line="276" w:lineRule="auto"/>
        <w:ind w:leftChars="299" w:left="718" w:right="567"/>
        <w:jc w:val="both"/>
        <w:rPr>
          <w:rFonts w:ascii="Calibri" w:hAnsi="Calibri" w:cs="Calibri"/>
          <w:kern w:val="0"/>
          <w:sz w:val="22"/>
          <w:szCs w:val="22"/>
        </w:rPr>
      </w:pPr>
      <w:r>
        <w:rPr>
          <w:rFonts w:ascii="Calibri" w:hAnsi="Calibri"/>
          <w:sz w:val="22"/>
        </w:rPr>
        <w:t>Iruñean, 2024ko ekainaren 20an</w:t>
      </w:r>
    </w:p>
    <w:p w14:paraId="6665D6FC" w14:textId="77777777" w:rsidR="00A2479A" w:rsidRPr="006E7C7E" w:rsidRDefault="00A2479A" w:rsidP="006E7C7E">
      <w:pPr>
        <w:autoSpaceDE w:val="0"/>
        <w:autoSpaceDN w:val="0"/>
        <w:adjustRightInd w:val="0"/>
        <w:spacing w:before="100" w:beforeAutospacing="1" w:after="200" w:line="276" w:lineRule="auto"/>
        <w:ind w:leftChars="299" w:left="718" w:right="567"/>
        <w:jc w:val="both"/>
        <w:rPr>
          <w:rFonts w:ascii="Calibri" w:hAnsi="Calibri" w:cs="Calibri"/>
          <w:kern w:val="0"/>
          <w:sz w:val="22"/>
          <w:szCs w:val="22"/>
        </w:rPr>
      </w:pPr>
      <w:r>
        <w:rPr>
          <w:rFonts w:ascii="Calibri" w:hAnsi="Calibri"/>
          <w:sz w:val="22"/>
        </w:rPr>
        <w:t xml:space="preserve">Foru parlamentaria: Blanca Isabel </w:t>
      </w:r>
      <w:proofErr w:type="spellStart"/>
      <w:r>
        <w:rPr>
          <w:rFonts w:ascii="Calibri" w:hAnsi="Calibri"/>
          <w:sz w:val="22"/>
        </w:rPr>
        <w:t>Regúlez</w:t>
      </w:r>
      <w:proofErr w:type="spellEnd"/>
      <w:r>
        <w:rPr>
          <w:rFonts w:ascii="Calibri" w:hAnsi="Calibri"/>
          <w:sz w:val="22"/>
        </w:rPr>
        <w:t xml:space="preserve"> Álvarez</w:t>
      </w:r>
    </w:p>
    <w:sectPr w:rsidR="00A2479A" w:rsidRPr="006E7C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83110"/>
    <w:multiLevelType w:val="hybridMultilevel"/>
    <w:tmpl w:val="DC68083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5085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44"/>
    <w:rsid w:val="000F6F2A"/>
    <w:rsid w:val="00106CC4"/>
    <w:rsid w:val="001C2F58"/>
    <w:rsid w:val="00530EC7"/>
    <w:rsid w:val="00563E44"/>
    <w:rsid w:val="005762CC"/>
    <w:rsid w:val="0060607E"/>
    <w:rsid w:val="006E7C7E"/>
    <w:rsid w:val="008D7F85"/>
    <w:rsid w:val="00A2479A"/>
    <w:rsid w:val="00A36075"/>
    <w:rsid w:val="00B10384"/>
    <w:rsid w:val="00C613DD"/>
    <w:rsid w:val="00C76C76"/>
    <w:rsid w:val="00D965A8"/>
    <w:rsid w:val="00E2340F"/>
    <w:rsid w:val="00EC5F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B25"/>
  <w15:chartTrackingRefBased/>
  <w15:docId w15:val="{BD22CA95-B741-4A5F-88FA-F2A82382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3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3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3E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3E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3E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3E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3E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3E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3E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3E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3E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3E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3E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3E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3E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3E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3E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3E44"/>
    <w:rPr>
      <w:rFonts w:eastAsiaTheme="majorEastAsia" w:cstheme="majorBidi"/>
      <w:color w:val="272727" w:themeColor="text1" w:themeTint="D8"/>
    </w:rPr>
  </w:style>
  <w:style w:type="paragraph" w:styleId="Ttulo">
    <w:name w:val="Title"/>
    <w:basedOn w:val="Normal"/>
    <w:next w:val="Normal"/>
    <w:link w:val="TtuloCar"/>
    <w:uiPriority w:val="10"/>
    <w:qFormat/>
    <w:rsid w:val="00563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3E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3E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3E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3E44"/>
    <w:pPr>
      <w:spacing w:before="160"/>
      <w:jc w:val="center"/>
    </w:pPr>
    <w:rPr>
      <w:i/>
      <w:iCs/>
      <w:color w:val="404040" w:themeColor="text1" w:themeTint="BF"/>
    </w:rPr>
  </w:style>
  <w:style w:type="character" w:customStyle="1" w:styleId="CitaCar">
    <w:name w:val="Cita Car"/>
    <w:basedOn w:val="Fuentedeprrafopredeter"/>
    <w:link w:val="Cita"/>
    <w:uiPriority w:val="29"/>
    <w:rsid w:val="00563E44"/>
    <w:rPr>
      <w:i/>
      <w:iCs/>
      <w:color w:val="404040" w:themeColor="text1" w:themeTint="BF"/>
    </w:rPr>
  </w:style>
  <w:style w:type="paragraph" w:styleId="Prrafodelista">
    <w:name w:val="List Paragraph"/>
    <w:basedOn w:val="Normal"/>
    <w:uiPriority w:val="34"/>
    <w:qFormat/>
    <w:rsid w:val="00563E44"/>
    <w:pPr>
      <w:ind w:left="720"/>
      <w:contextualSpacing/>
    </w:pPr>
  </w:style>
  <w:style w:type="character" w:styleId="nfasisintenso">
    <w:name w:val="Intense Emphasis"/>
    <w:basedOn w:val="Fuentedeprrafopredeter"/>
    <w:uiPriority w:val="21"/>
    <w:qFormat/>
    <w:rsid w:val="00563E44"/>
    <w:rPr>
      <w:i/>
      <w:iCs/>
      <w:color w:val="0F4761" w:themeColor="accent1" w:themeShade="BF"/>
    </w:rPr>
  </w:style>
  <w:style w:type="paragraph" w:styleId="Citadestacada">
    <w:name w:val="Intense Quote"/>
    <w:basedOn w:val="Normal"/>
    <w:next w:val="Normal"/>
    <w:link w:val="CitadestacadaCar"/>
    <w:uiPriority w:val="30"/>
    <w:qFormat/>
    <w:rsid w:val="00563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3E44"/>
    <w:rPr>
      <w:i/>
      <w:iCs/>
      <w:color w:val="0F4761" w:themeColor="accent1" w:themeShade="BF"/>
    </w:rPr>
  </w:style>
  <w:style w:type="character" w:styleId="Referenciaintensa">
    <w:name w:val="Intense Reference"/>
    <w:basedOn w:val="Fuentedeprrafopredeter"/>
    <w:uiPriority w:val="32"/>
    <w:qFormat/>
    <w:rsid w:val="00563E44"/>
    <w:rPr>
      <w:b/>
      <w:bCs/>
      <w:smallCaps/>
      <w:color w:val="0F4761" w:themeColor="accent1" w:themeShade="BF"/>
      <w:spacing w:val="5"/>
    </w:rPr>
  </w:style>
  <w:style w:type="paragraph" w:styleId="Textocomentario">
    <w:name w:val="annotation text"/>
    <w:basedOn w:val="Normal"/>
    <w:uiPriority w:val="99"/>
    <w:semiHidden/>
    <w:unhideWhenUsed/>
    <w:pPr>
      <w:spacing w:line="240" w:lineRule="auto"/>
    </w:pPr>
    <w:rPr>
      <w:sz w:val="20"/>
      <w:szCs w:val="20"/>
    </w:rPr>
  </w:style>
  <w:style w:type="character" w:styleId="Refdecomentario">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847</Words>
  <Characters>4663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5</cp:revision>
  <dcterms:created xsi:type="dcterms:W3CDTF">2024-06-21T05:24:00Z</dcterms:created>
  <dcterms:modified xsi:type="dcterms:W3CDTF">2024-06-24T12:02:00Z</dcterms:modified>
</cp:coreProperties>
</file>