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9BA87" w14:textId="77777777" w:rsidR="009E13D6" w:rsidRDefault="00965AAD" w:rsidP="00965A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 xml:space="preserve">La consejera de Derechos Sociales, Economía Social y Empleo del Gobierno de Navarra, en relación con la pregunta para su contestación por escrito formulada por </w:t>
      </w:r>
      <w:r>
        <w:rPr>
          <w:rFonts w:ascii="Arial" w:hAnsi="Arial" w:cs="Arial"/>
          <w:sz w:val="24"/>
          <w:szCs w:val="24"/>
        </w:rPr>
        <w:t xml:space="preserve">la Parlamentaria Foral Ilma. Sra. Dª Raquel Garbayo </w:t>
      </w:r>
      <w:proofErr w:type="spellStart"/>
      <w:r>
        <w:rPr>
          <w:rFonts w:ascii="Arial" w:hAnsi="Arial" w:cs="Arial"/>
          <w:sz w:val="24"/>
          <w:szCs w:val="24"/>
        </w:rPr>
        <w:t>Berdonces</w:t>
      </w:r>
      <w:proofErr w:type="spellEnd"/>
      <w:r>
        <w:rPr>
          <w:rFonts w:ascii="Arial" w:hAnsi="Arial" w:cs="Arial"/>
          <w:sz w:val="24"/>
          <w:szCs w:val="24"/>
        </w:rPr>
        <w:t>, adscrita al Grupo Parlamentario Unión del Pueblo Navarro, en la que solicita (11-24/PES-00245):</w:t>
      </w:r>
    </w:p>
    <w:p w14:paraId="17B83190" w14:textId="77777777" w:rsidR="009E13D6" w:rsidRDefault="00965AAD" w:rsidP="00965AA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los motivos por los que se han reducido el número de perceptores de Renta Garantizada en 2023?</w:t>
      </w:r>
    </w:p>
    <w:p w14:paraId="3A641EFE" w14:textId="77777777" w:rsidR="009E13D6" w:rsidRDefault="00965AAD" w:rsidP="00965A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Tiene el bien de informar lo siguiente:</w:t>
      </w:r>
    </w:p>
    <w:p w14:paraId="2E336F8C" w14:textId="77777777" w:rsidR="009E13D6" w:rsidRDefault="00965AAD" w:rsidP="00965A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primer lugar, porque ha habido un menor número de solicitudes. En 2002 fueron 19.834, mientras que, en 2023, fueron19.647. </w:t>
      </w:r>
    </w:p>
    <w:p w14:paraId="02484EC7" w14:textId="2E05C3C0" w:rsidR="00965AAD" w:rsidRDefault="00965AAD" w:rsidP="00965A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segundo lugar, porque el porcentaje de denegación se ha elevado respecto a 2022. Esto se puede observar en el siguiente cuadro.</w:t>
      </w:r>
    </w:p>
    <w:p w14:paraId="2B02D5A0" w14:textId="77777777" w:rsidR="00965AAD" w:rsidRDefault="00965AAD" w:rsidP="00965AA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965AAD" w:rsidRPr="009E13D6" w14:paraId="61404819" w14:textId="77777777" w:rsidTr="00965AAD">
        <w:tc>
          <w:tcPr>
            <w:tcW w:w="1698" w:type="dxa"/>
          </w:tcPr>
          <w:p w14:paraId="26CA30D9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D6">
              <w:rPr>
                <w:rFonts w:ascii="Arial" w:hAnsi="Arial" w:cs="Arial"/>
                <w:b/>
                <w:sz w:val="18"/>
                <w:szCs w:val="18"/>
              </w:rPr>
              <w:t>AÑO</w:t>
            </w:r>
          </w:p>
        </w:tc>
        <w:tc>
          <w:tcPr>
            <w:tcW w:w="1699" w:type="dxa"/>
          </w:tcPr>
          <w:p w14:paraId="35C0B785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D6">
              <w:rPr>
                <w:rFonts w:ascii="Arial" w:hAnsi="Arial" w:cs="Arial"/>
                <w:b/>
                <w:sz w:val="18"/>
                <w:szCs w:val="18"/>
              </w:rPr>
              <w:t>2022</w:t>
            </w:r>
          </w:p>
        </w:tc>
        <w:tc>
          <w:tcPr>
            <w:tcW w:w="1699" w:type="dxa"/>
          </w:tcPr>
          <w:p w14:paraId="3D4D361E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D6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699" w:type="dxa"/>
          </w:tcPr>
          <w:p w14:paraId="5621FDB4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D6">
              <w:rPr>
                <w:rFonts w:ascii="Arial" w:hAnsi="Arial" w:cs="Arial"/>
                <w:b/>
                <w:sz w:val="18"/>
                <w:szCs w:val="18"/>
              </w:rPr>
              <w:t>2023</w:t>
            </w:r>
          </w:p>
        </w:tc>
        <w:tc>
          <w:tcPr>
            <w:tcW w:w="1699" w:type="dxa"/>
          </w:tcPr>
          <w:p w14:paraId="710ED64D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D6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965AAD" w:rsidRPr="009E13D6" w14:paraId="4BB67498" w14:textId="77777777" w:rsidTr="00965AAD">
        <w:tc>
          <w:tcPr>
            <w:tcW w:w="1698" w:type="dxa"/>
          </w:tcPr>
          <w:p w14:paraId="7A1AD84C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D6">
              <w:rPr>
                <w:rFonts w:ascii="Arial" w:hAnsi="Arial" w:cs="Arial"/>
                <w:sz w:val="18"/>
                <w:szCs w:val="18"/>
              </w:rPr>
              <w:t>Aprobados</w:t>
            </w:r>
          </w:p>
        </w:tc>
        <w:tc>
          <w:tcPr>
            <w:tcW w:w="1699" w:type="dxa"/>
          </w:tcPr>
          <w:p w14:paraId="72E8C70E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D6">
              <w:rPr>
                <w:rFonts w:ascii="Arial" w:hAnsi="Arial" w:cs="Arial"/>
                <w:sz w:val="18"/>
                <w:szCs w:val="18"/>
              </w:rPr>
              <w:t>14.732</w:t>
            </w:r>
          </w:p>
        </w:tc>
        <w:tc>
          <w:tcPr>
            <w:tcW w:w="1699" w:type="dxa"/>
          </w:tcPr>
          <w:p w14:paraId="67295035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D6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699" w:type="dxa"/>
          </w:tcPr>
          <w:p w14:paraId="36F6DF4A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D6">
              <w:rPr>
                <w:rFonts w:ascii="Arial" w:hAnsi="Arial" w:cs="Arial"/>
                <w:sz w:val="18"/>
                <w:szCs w:val="18"/>
              </w:rPr>
              <w:t>14.448</w:t>
            </w:r>
          </w:p>
        </w:tc>
        <w:tc>
          <w:tcPr>
            <w:tcW w:w="1699" w:type="dxa"/>
          </w:tcPr>
          <w:p w14:paraId="37E0F226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D6">
              <w:rPr>
                <w:rFonts w:ascii="Arial" w:hAnsi="Arial" w:cs="Arial"/>
                <w:sz w:val="18"/>
                <w:szCs w:val="18"/>
              </w:rPr>
              <w:t>82</w:t>
            </w:r>
          </w:p>
        </w:tc>
      </w:tr>
      <w:tr w:rsidR="00965AAD" w:rsidRPr="009E13D6" w14:paraId="0C5DE722" w14:textId="77777777" w:rsidTr="00965AAD">
        <w:tc>
          <w:tcPr>
            <w:tcW w:w="1698" w:type="dxa"/>
          </w:tcPr>
          <w:p w14:paraId="31A3CE6D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D6">
              <w:rPr>
                <w:rFonts w:ascii="Arial" w:hAnsi="Arial" w:cs="Arial"/>
                <w:sz w:val="18"/>
                <w:szCs w:val="18"/>
              </w:rPr>
              <w:t>Denegados</w:t>
            </w:r>
          </w:p>
        </w:tc>
        <w:tc>
          <w:tcPr>
            <w:tcW w:w="1699" w:type="dxa"/>
          </w:tcPr>
          <w:p w14:paraId="7432F1F4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D6">
              <w:rPr>
                <w:rFonts w:ascii="Arial" w:hAnsi="Arial" w:cs="Arial"/>
                <w:sz w:val="18"/>
                <w:szCs w:val="18"/>
              </w:rPr>
              <w:t>3.079</w:t>
            </w:r>
          </w:p>
        </w:tc>
        <w:tc>
          <w:tcPr>
            <w:tcW w:w="1699" w:type="dxa"/>
          </w:tcPr>
          <w:p w14:paraId="61790CFB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D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699" w:type="dxa"/>
          </w:tcPr>
          <w:p w14:paraId="7BF3F663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D6">
              <w:rPr>
                <w:rFonts w:ascii="Arial" w:hAnsi="Arial" w:cs="Arial"/>
                <w:sz w:val="18"/>
                <w:szCs w:val="18"/>
              </w:rPr>
              <w:t>3.164</w:t>
            </w:r>
          </w:p>
        </w:tc>
        <w:tc>
          <w:tcPr>
            <w:tcW w:w="1699" w:type="dxa"/>
          </w:tcPr>
          <w:p w14:paraId="594021CF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D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65AAD" w:rsidRPr="009E13D6" w14:paraId="14F6BC16" w14:textId="77777777" w:rsidTr="00965AAD">
        <w:tc>
          <w:tcPr>
            <w:tcW w:w="1698" w:type="dxa"/>
          </w:tcPr>
          <w:p w14:paraId="0978AA2B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D6">
              <w:rPr>
                <w:rFonts w:ascii="Arial" w:hAnsi="Arial" w:cs="Arial"/>
                <w:sz w:val="18"/>
                <w:szCs w:val="18"/>
              </w:rPr>
              <w:t>Otros</w:t>
            </w:r>
          </w:p>
        </w:tc>
        <w:tc>
          <w:tcPr>
            <w:tcW w:w="1699" w:type="dxa"/>
          </w:tcPr>
          <w:p w14:paraId="7524EA8A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D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99" w:type="dxa"/>
          </w:tcPr>
          <w:p w14:paraId="2446B5CF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D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99" w:type="dxa"/>
          </w:tcPr>
          <w:p w14:paraId="47B97B79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D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699" w:type="dxa"/>
          </w:tcPr>
          <w:p w14:paraId="31C2B06B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D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965AAD" w:rsidRPr="009E13D6" w14:paraId="1134CD60" w14:textId="77777777" w:rsidTr="00965AAD">
        <w:tc>
          <w:tcPr>
            <w:tcW w:w="1698" w:type="dxa"/>
          </w:tcPr>
          <w:p w14:paraId="589A48D8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D6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699" w:type="dxa"/>
          </w:tcPr>
          <w:p w14:paraId="31E970CB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D6">
              <w:rPr>
                <w:rFonts w:ascii="Arial" w:hAnsi="Arial" w:cs="Arial"/>
                <w:sz w:val="18"/>
                <w:szCs w:val="18"/>
              </w:rPr>
              <w:t>17.812</w:t>
            </w:r>
          </w:p>
        </w:tc>
        <w:tc>
          <w:tcPr>
            <w:tcW w:w="1699" w:type="dxa"/>
          </w:tcPr>
          <w:p w14:paraId="6398EBEB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D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699" w:type="dxa"/>
          </w:tcPr>
          <w:p w14:paraId="7C9F7DD8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D6">
              <w:rPr>
                <w:rFonts w:ascii="Arial" w:hAnsi="Arial" w:cs="Arial"/>
                <w:sz w:val="18"/>
                <w:szCs w:val="18"/>
              </w:rPr>
              <w:t>17.624</w:t>
            </w:r>
          </w:p>
        </w:tc>
        <w:tc>
          <w:tcPr>
            <w:tcW w:w="1699" w:type="dxa"/>
          </w:tcPr>
          <w:p w14:paraId="0DABC1C1" w14:textId="77777777" w:rsidR="00965AAD" w:rsidRPr="009E13D6" w:rsidRDefault="00965AAD" w:rsidP="00965AA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D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14:paraId="31B7A18F" w14:textId="77777777" w:rsidR="00965AAD" w:rsidRPr="00764E30" w:rsidRDefault="00965AAD" w:rsidP="00965AA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D70548" w14:textId="77777777" w:rsidR="009E13D6" w:rsidRDefault="00965AAD" w:rsidP="00965A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>Es cuanto informo en cumplimiento de lo dispuesto en el artículo 215 del Reglamento del Parlamento de Navarra.</w:t>
      </w:r>
    </w:p>
    <w:p w14:paraId="3E08BE79" w14:textId="2053D31F" w:rsidR="009E13D6" w:rsidRDefault="00965AAD" w:rsidP="00965A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>Pamplona-</w:t>
      </w:r>
      <w:proofErr w:type="spellStart"/>
      <w:r w:rsidRPr="00764E30">
        <w:rPr>
          <w:rFonts w:ascii="Arial" w:hAnsi="Arial" w:cs="Arial"/>
          <w:sz w:val="24"/>
          <w:szCs w:val="24"/>
        </w:rPr>
        <w:t>Iruñea</w:t>
      </w:r>
      <w:proofErr w:type="spellEnd"/>
      <w:r w:rsidRPr="00764E30">
        <w:rPr>
          <w:rFonts w:ascii="Arial" w:hAnsi="Arial" w:cs="Arial"/>
          <w:sz w:val="24"/>
          <w:szCs w:val="24"/>
        </w:rPr>
        <w:t xml:space="preserve">, </w:t>
      </w:r>
      <w:r w:rsidR="00277F53">
        <w:rPr>
          <w:rFonts w:ascii="Arial" w:hAnsi="Arial" w:cs="Arial"/>
          <w:sz w:val="24"/>
          <w:szCs w:val="24"/>
        </w:rPr>
        <w:t>11</w:t>
      </w:r>
      <w:r w:rsidRPr="00965AAD">
        <w:rPr>
          <w:rFonts w:ascii="Arial" w:hAnsi="Arial" w:cs="Arial"/>
          <w:sz w:val="24"/>
          <w:szCs w:val="24"/>
        </w:rPr>
        <w:t xml:space="preserve"> de junio de 2024</w:t>
      </w:r>
    </w:p>
    <w:p w14:paraId="7141FA1A" w14:textId="118116C9" w:rsidR="009E13D6" w:rsidRDefault="009E13D6" w:rsidP="009E13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>La Consejera de Derechos Sociales,</w:t>
      </w:r>
      <w:r>
        <w:rPr>
          <w:rFonts w:ascii="Arial" w:hAnsi="Arial" w:cs="Arial"/>
          <w:sz w:val="24"/>
          <w:szCs w:val="24"/>
        </w:rPr>
        <w:t xml:space="preserve"> </w:t>
      </w:r>
      <w:r w:rsidRPr="00764E30">
        <w:rPr>
          <w:rFonts w:ascii="Arial" w:hAnsi="Arial" w:cs="Arial"/>
          <w:sz w:val="24"/>
          <w:szCs w:val="24"/>
        </w:rPr>
        <w:t>Economía Social y Empleo</w:t>
      </w:r>
      <w:r>
        <w:rPr>
          <w:rFonts w:ascii="Arial" w:hAnsi="Arial" w:cs="Arial"/>
          <w:sz w:val="24"/>
          <w:szCs w:val="24"/>
        </w:rPr>
        <w:t>:</w:t>
      </w:r>
      <w:r w:rsidRPr="00764E30">
        <w:rPr>
          <w:rFonts w:ascii="Arial" w:hAnsi="Arial" w:cs="Arial"/>
          <w:sz w:val="24"/>
          <w:szCs w:val="24"/>
        </w:rPr>
        <w:t xml:space="preserve"> María Carmen Maeztu Villafranca</w:t>
      </w:r>
    </w:p>
    <w:sectPr w:rsidR="009E13D6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4D6F2" w14:textId="77777777" w:rsidR="00965AAD" w:rsidRDefault="00965AAD" w:rsidP="00965AAD">
      <w:r>
        <w:separator/>
      </w:r>
    </w:p>
  </w:endnote>
  <w:endnote w:type="continuationSeparator" w:id="0">
    <w:p w14:paraId="539D2129" w14:textId="77777777" w:rsidR="00965AAD" w:rsidRDefault="00965AAD" w:rsidP="0096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3962C" w14:textId="77777777" w:rsidR="00965AAD" w:rsidRDefault="00965AAD" w:rsidP="00965AAD">
      <w:r>
        <w:separator/>
      </w:r>
    </w:p>
  </w:footnote>
  <w:footnote w:type="continuationSeparator" w:id="0">
    <w:p w14:paraId="6CC7750A" w14:textId="77777777" w:rsidR="00965AAD" w:rsidRDefault="00965AAD" w:rsidP="0096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1399D"/>
    <w:multiLevelType w:val="hybridMultilevel"/>
    <w:tmpl w:val="E07A3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73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36"/>
    <w:rsid w:val="00101206"/>
    <w:rsid w:val="00230B0E"/>
    <w:rsid w:val="00277F53"/>
    <w:rsid w:val="003126E7"/>
    <w:rsid w:val="00603D9B"/>
    <w:rsid w:val="00965AAD"/>
    <w:rsid w:val="009E13D6"/>
    <w:rsid w:val="00C2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24D4"/>
  <w15:chartTrackingRefBased/>
  <w15:docId w15:val="{A13D7BF6-13E1-4BB3-83B9-1AD606DA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5AA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65AAD"/>
  </w:style>
  <w:style w:type="paragraph" w:styleId="Piedepgina">
    <w:name w:val="footer"/>
    <w:basedOn w:val="Normal"/>
    <w:link w:val="PiedepginaCar"/>
    <w:unhideWhenUsed/>
    <w:rsid w:val="00965AA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965AAD"/>
  </w:style>
  <w:style w:type="paragraph" w:styleId="Textoindependiente">
    <w:name w:val="Body Text"/>
    <w:basedOn w:val="Normal"/>
    <w:link w:val="TextoindependienteCar"/>
    <w:rsid w:val="00965AAD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965AAD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965AAD"/>
  </w:style>
  <w:style w:type="paragraph" w:styleId="Prrafodelista">
    <w:name w:val="List Paragraph"/>
    <w:basedOn w:val="Normal"/>
    <w:uiPriority w:val="34"/>
    <w:qFormat/>
    <w:rsid w:val="00965AAD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5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71</Lines>
  <Paragraphs>60</Paragraphs>
  <ScaleCrop>false</ScaleCrop>
  <Company>Gobierno de Navarra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Aranaz, Carlota</cp:lastModifiedBy>
  <cp:revision>3</cp:revision>
  <dcterms:created xsi:type="dcterms:W3CDTF">2024-06-12T08:19:00Z</dcterms:created>
  <dcterms:modified xsi:type="dcterms:W3CDTF">2024-06-12T11:58:00Z</dcterms:modified>
</cp:coreProperties>
</file>