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3560" w14:textId="4D7826D6" w:rsidR="00301EBE" w:rsidRDefault="00301EBE" w:rsidP="00FE00DF">
      <w:pPr>
        <w:spacing w:line="360" w:lineRule="auto"/>
        <w:rPr>
          <w:rFonts w:ascii="Arial" w:hAnsi="Arial" w:cs="Arial"/>
          <w:lang w:val="es-ES"/>
        </w:rPr>
      </w:pPr>
      <w:r>
        <w:rPr>
          <w:rFonts w:ascii="Arial" w:hAnsi="Arial" w:cs="Arial"/>
          <w:lang w:val="es-ES"/>
        </w:rPr>
        <w:t>1</w:t>
      </w:r>
      <w:r w:rsidR="00946829">
        <w:rPr>
          <w:rFonts w:ascii="Arial" w:hAnsi="Arial" w:cs="Arial"/>
          <w:lang w:val="es-ES"/>
        </w:rPr>
        <w:t>2</w:t>
      </w:r>
      <w:r>
        <w:rPr>
          <w:rFonts w:ascii="Arial" w:hAnsi="Arial" w:cs="Arial"/>
          <w:lang w:val="es-ES"/>
        </w:rPr>
        <w:t xml:space="preserve"> de junio</w:t>
      </w:r>
    </w:p>
    <w:p w14:paraId="394AB40D" w14:textId="69B74A59" w:rsidR="00A96B8A" w:rsidRDefault="00A96B8A" w:rsidP="00946829">
      <w:pPr>
        <w:spacing w:line="360" w:lineRule="auto"/>
        <w:rPr>
          <w:rFonts w:ascii="Arial" w:hAnsi="Arial" w:cs="Arial"/>
          <w:lang w:val="es-ES"/>
        </w:rPr>
      </w:pPr>
      <w:r w:rsidRPr="00946829">
        <w:rPr>
          <w:rFonts w:ascii="Arial" w:hAnsi="Arial" w:cs="Arial"/>
          <w:lang w:val="es-ES"/>
        </w:rPr>
        <w:t>En relación con</w:t>
      </w:r>
      <w:r w:rsidR="00946829" w:rsidRPr="00946829">
        <w:rPr>
          <w:rFonts w:ascii="Arial" w:hAnsi="Arial" w:cs="Arial"/>
          <w:lang w:val="es-ES"/>
        </w:rPr>
        <w:t xml:space="preserve"> la pregunta escrita 11-24/PES-00246, presentada por el </w:t>
      </w:r>
      <w:r w:rsidRPr="00A96B8A">
        <w:rPr>
          <w:rFonts w:ascii="Arial" w:hAnsi="Arial" w:cs="Arial"/>
          <w:lang w:val="es-ES"/>
        </w:rPr>
        <w:t>Ilmo. Sr. D. Javier García Jiménez</w:t>
      </w:r>
      <w:r>
        <w:rPr>
          <w:rFonts w:ascii="Arial" w:hAnsi="Arial" w:cs="Arial"/>
          <w:lang w:val="es-ES"/>
        </w:rPr>
        <w:t xml:space="preserve">, del </w:t>
      </w:r>
      <w:r w:rsidR="00946829" w:rsidRPr="00946829">
        <w:rPr>
          <w:rFonts w:ascii="Arial" w:hAnsi="Arial" w:cs="Arial"/>
          <w:lang w:val="es-ES"/>
        </w:rPr>
        <w:t>Grupo Parlamentario Partido Popular de Navarra, el Consejero de Educación</w:t>
      </w:r>
      <w:r>
        <w:rPr>
          <w:rFonts w:ascii="Arial" w:hAnsi="Arial" w:cs="Arial"/>
          <w:lang w:val="es-ES"/>
        </w:rPr>
        <w:t xml:space="preserve"> </w:t>
      </w:r>
      <w:r w:rsidRPr="00946829">
        <w:rPr>
          <w:rFonts w:ascii="Arial" w:hAnsi="Arial" w:cs="Arial"/>
          <w:lang w:val="es-ES"/>
        </w:rPr>
        <w:t>informa</w:t>
      </w:r>
      <w:r w:rsidR="00946829" w:rsidRPr="00946829">
        <w:rPr>
          <w:rFonts w:ascii="Arial" w:hAnsi="Arial" w:cs="Arial"/>
          <w:lang w:val="es-ES"/>
        </w:rPr>
        <w:t>:</w:t>
      </w:r>
    </w:p>
    <w:p w14:paraId="05145597" w14:textId="3CCA55CF" w:rsidR="00946829" w:rsidRPr="00946829" w:rsidRDefault="00946829" w:rsidP="00946829">
      <w:pPr>
        <w:spacing w:line="360" w:lineRule="auto"/>
        <w:rPr>
          <w:rFonts w:ascii="Arial" w:hAnsi="Arial" w:cs="Arial"/>
          <w:lang w:val="es-ES"/>
        </w:rPr>
      </w:pPr>
      <w:r w:rsidRPr="00946829">
        <w:rPr>
          <w:rFonts w:ascii="Arial" w:hAnsi="Arial" w:cs="Arial"/>
          <w:lang w:val="es-ES"/>
        </w:rPr>
        <w:t>La Ley Orgánica 2/2006, de 3 de mayo, de Educación, establece que la formación permanente constituye un derecho y una obligación de todo el profesorado y una responsabilidad de las Administraciones educativas y de los propios centros. Asimismo, y en línea con las recomendaciones de la Unión Europea, plantea como objetivo mejorar la calidad y la eficacia del sistema educativo. La formación permanente del profesorado es una herramienta fundamental para el logro de dicho objetivo, ya que permite dar respuesta a las nuevas demandas educativas que se plantean en la sociedad del conocimiento.</w:t>
      </w:r>
    </w:p>
    <w:p w14:paraId="78243E78" w14:textId="77777777" w:rsidR="00946829" w:rsidRPr="00946829" w:rsidRDefault="00946829" w:rsidP="00946829">
      <w:pPr>
        <w:spacing w:line="360" w:lineRule="auto"/>
        <w:rPr>
          <w:rFonts w:ascii="Arial" w:hAnsi="Arial" w:cs="Arial"/>
          <w:lang w:val="es-ES"/>
        </w:rPr>
      </w:pPr>
      <w:r w:rsidRPr="00946829">
        <w:rPr>
          <w:rFonts w:ascii="Arial" w:hAnsi="Arial" w:cs="Arial"/>
          <w:lang w:val="es-ES"/>
        </w:rPr>
        <w:t xml:space="preserve">El Decreto Foral 247/1997, de 25 de junio, del Consejero de Educación y Cultura, por la que se adscriben unidades técnicas a la sección de `Perfeccionamiento del Profesorado, fijando sus funciones, y se crean los Centros de Apoyo al Profesorado (CAP) adscribiéndoles sus zonas de influencia recoge en su artículo quinto la creación de los centros de apoyo al profesorado de Estella, </w:t>
      </w:r>
      <w:proofErr w:type="spellStart"/>
      <w:r w:rsidRPr="00946829">
        <w:rPr>
          <w:rFonts w:ascii="Arial" w:hAnsi="Arial" w:cs="Arial"/>
          <w:lang w:val="es-ES"/>
        </w:rPr>
        <w:t>Lekarotz</w:t>
      </w:r>
      <w:proofErr w:type="spellEnd"/>
      <w:r w:rsidRPr="00946829">
        <w:rPr>
          <w:rFonts w:ascii="Arial" w:hAnsi="Arial" w:cs="Arial"/>
          <w:lang w:val="es-ES"/>
        </w:rPr>
        <w:t>, Pamplona, Tafalla y Tudela.</w:t>
      </w:r>
    </w:p>
    <w:p w14:paraId="3523741F" w14:textId="217D7FC6" w:rsidR="00946829" w:rsidRDefault="00946829" w:rsidP="00946829">
      <w:pPr>
        <w:spacing w:line="360" w:lineRule="auto"/>
        <w:rPr>
          <w:rFonts w:ascii="Arial" w:hAnsi="Arial" w:cs="Arial"/>
          <w:lang w:val="es-ES"/>
        </w:rPr>
      </w:pPr>
      <w:r w:rsidRPr="00946829">
        <w:rPr>
          <w:rFonts w:ascii="Arial" w:hAnsi="Arial" w:cs="Arial"/>
          <w:lang w:val="es-ES"/>
        </w:rPr>
        <w:t>La red de formación con las direcciones y asesorías de los Centros de Apoyo al Profesorado (CAP) está configurada por.</w:t>
      </w:r>
    </w:p>
    <w:tbl>
      <w:tblPr>
        <w:tblStyle w:val="TableNormal"/>
        <w:tblW w:w="0" w:type="auto"/>
        <w:tblInd w:w="1555" w:type="dxa"/>
        <w:tblLayout w:type="fixed"/>
        <w:tblLook w:val="01E0" w:firstRow="1" w:lastRow="1" w:firstColumn="1" w:lastColumn="1" w:noHBand="0" w:noVBand="0"/>
      </w:tblPr>
      <w:tblGrid>
        <w:gridCol w:w="1322"/>
        <w:gridCol w:w="2500"/>
      </w:tblGrid>
      <w:tr w:rsidR="00946829" w:rsidRPr="00946829" w14:paraId="24E88D40" w14:textId="77777777" w:rsidTr="00A96B8A">
        <w:trPr>
          <w:trHeight w:hRule="exact" w:val="445"/>
        </w:trPr>
        <w:tc>
          <w:tcPr>
            <w:tcW w:w="1322" w:type="dxa"/>
            <w:tcBorders>
              <w:top w:val="single" w:sz="4" w:space="0" w:color="000000"/>
              <w:left w:val="single" w:sz="4" w:space="0" w:color="000000"/>
              <w:bottom w:val="single" w:sz="4" w:space="0" w:color="000000"/>
              <w:right w:val="single" w:sz="4" w:space="0" w:color="000000"/>
            </w:tcBorders>
            <w:shd w:val="clear" w:color="auto" w:fill="D9D9D9"/>
          </w:tcPr>
          <w:p w14:paraId="489B578F" w14:textId="77777777" w:rsidR="00946829" w:rsidRPr="00946829" w:rsidRDefault="00946829" w:rsidP="00946829">
            <w:pPr>
              <w:spacing w:before="102"/>
              <w:jc w:val="center"/>
              <w:rPr>
                <w:rFonts w:ascii="Arial" w:eastAsia="Arial" w:hAnsi="Arial" w:cs="Arial"/>
                <w:sz w:val="18"/>
                <w:szCs w:val="18"/>
                <w:lang w:val="en-US" w:eastAsia="en-US"/>
              </w:rPr>
            </w:pPr>
            <w:r w:rsidRPr="00946829">
              <w:rPr>
                <w:rFonts w:ascii="Arial" w:eastAsia="Calibri" w:hAnsi="Calibri"/>
                <w:b/>
                <w:spacing w:val="-2"/>
                <w:sz w:val="18"/>
                <w:szCs w:val="18"/>
                <w:lang w:val="en-US" w:eastAsia="en-US"/>
              </w:rPr>
              <w:t>CAP</w:t>
            </w:r>
          </w:p>
        </w:tc>
        <w:tc>
          <w:tcPr>
            <w:tcW w:w="2500" w:type="dxa"/>
            <w:tcBorders>
              <w:top w:val="single" w:sz="4" w:space="0" w:color="000000"/>
              <w:left w:val="single" w:sz="4" w:space="0" w:color="000000"/>
              <w:bottom w:val="single" w:sz="4" w:space="0" w:color="000000"/>
              <w:right w:val="single" w:sz="4" w:space="0" w:color="000000"/>
            </w:tcBorders>
            <w:shd w:val="clear" w:color="auto" w:fill="D9D9D9"/>
          </w:tcPr>
          <w:p w14:paraId="0A7AD275" w14:textId="77777777" w:rsidR="00946829" w:rsidRPr="00946829" w:rsidRDefault="00946829" w:rsidP="00946829">
            <w:pPr>
              <w:spacing w:before="102"/>
              <w:ind w:left="564"/>
              <w:rPr>
                <w:rFonts w:ascii="Arial" w:eastAsia="Arial" w:hAnsi="Arial" w:cs="Arial"/>
                <w:sz w:val="18"/>
                <w:szCs w:val="18"/>
                <w:lang w:val="en-US" w:eastAsia="en-US"/>
              </w:rPr>
            </w:pPr>
            <w:r w:rsidRPr="00946829">
              <w:rPr>
                <w:rFonts w:ascii="Arial" w:eastAsia="Calibri" w:hAnsi="Calibri"/>
                <w:b/>
                <w:spacing w:val="-1"/>
                <w:sz w:val="18"/>
                <w:szCs w:val="18"/>
                <w:lang w:val="en-US" w:eastAsia="en-US"/>
              </w:rPr>
              <w:t>Personal</w:t>
            </w:r>
            <w:r w:rsidRPr="00946829">
              <w:rPr>
                <w:rFonts w:ascii="Arial" w:eastAsia="Calibri" w:hAnsi="Calibri"/>
                <w:b/>
                <w:spacing w:val="27"/>
                <w:sz w:val="18"/>
                <w:szCs w:val="18"/>
                <w:lang w:val="en-US" w:eastAsia="en-US"/>
              </w:rPr>
              <w:t xml:space="preserve"> </w:t>
            </w:r>
            <w:r w:rsidRPr="00946829">
              <w:rPr>
                <w:rFonts w:ascii="Arial" w:eastAsia="Calibri" w:hAnsi="Calibri"/>
                <w:b/>
                <w:spacing w:val="-2"/>
                <w:sz w:val="18"/>
                <w:szCs w:val="18"/>
                <w:lang w:val="en-US" w:eastAsia="en-US"/>
              </w:rPr>
              <w:t>CAP</w:t>
            </w:r>
          </w:p>
        </w:tc>
      </w:tr>
      <w:tr w:rsidR="00946829" w:rsidRPr="00946829" w14:paraId="292F552C" w14:textId="77777777" w:rsidTr="00A96B8A">
        <w:trPr>
          <w:trHeight w:hRule="exact" w:val="349"/>
        </w:trPr>
        <w:tc>
          <w:tcPr>
            <w:tcW w:w="1322" w:type="dxa"/>
            <w:tcBorders>
              <w:top w:val="single" w:sz="4" w:space="0" w:color="000000"/>
              <w:left w:val="single" w:sz="4" w:space="0" w:color="000000"/>
              <w:bottom w:val="single" w:sz="4" w:space="0" w:color="000000"/>
              <w:right w:val="single" w:sz="4" w:space="0" w:color="000000"/>
            </w:tcBorders>
          </w:tcPr>
          <w:p w14:paraId="087F9351" w14:textId="77777777" w:rsidR="00946829" w:rsidRPr="00946829" w:rsidRDefault="00946829" w:rsidP="00946829">
            <w:pPr>
              <w:spacing w:before="54"/>
              <w:ind w:left="87"/>
              <w:rPr>
                <w:rFonts w:ascii="Arial" w:eastAsia="Arial" w:hAnsi="Arial" w:cs="Arial"/>
                <w:sz w:val="18"/>
                <w:szCs w:val="18"/>
                <w:lang w:val="en-US" w:eastAsia="en-US"/>
              </w:rPr>
            </w:pPr>
            <w:r w:rsidRPr="00946829">
              <w:rPr>
                <w:rFonts w:ascii="Arial" w:eastAsia="Calibri" w:hAnsi="Calibri"/>
                <w:sz w:val="18"/>
                <w:szCs w:val="18"/>
                <w:lang w:val="en-US" w:eastAsia="en-US"/>
              </w:rPr>
              <w:t>Estella</w:t>
            </w:r>
          </w:p>
        </w:tc>
        <w:tc>
          <w:tcPr>
            <w:tcW w:w="2500" w:type="dxa"/>
            <w:tcBorders>
              <w:top w:val="single" w:sz="4" w:space="0" w:color="000000"/>
              <w:left w:val="single" w:sz="4" w:space="0" w:color="000000"/>
              <w:bottom w:val="single" w:sz="4" w:space="0" w:color="000000"/>
              <w:right w:val="single" w:sz="4" w:space="0" w:color="000000"/>
            </w:tcBorders>
          </w:tcPr>
          <w:p w14:paraId="21432D58" w14:textId="77777777" w:rsidR="00946829" w:rsidRPr="00946829" w:rsidRDefault="00946829" w:rsidP="00946829">
            <w:pPr>
              <w:spacing w:before="54"/>
              <w:jc w:val="center"/>
              <w:rPr>
                <w:rFonts w:ascii="Arial" w:eastAsia="Arial" w:hAnsi="Arial" w:cs="Arial"/>
                <w:sz w:val="18"/>
                <w:szCs w:val="18"/>
                <w:lang w:val="en-US" w:eastAsia="en-US"/>
              </w:rPr>
            </w:pPr>
            <w:r w:rsidRPr="00946829">
              <w:rPr>
                <w:rFonts w:ascii="Arial" w:eastAsia="Calibri" w:hAnsi="Calibri"/>
                <w:sz w:val="18"/>
                <w:szCs w:val="18"/>
                <w:lang w:val="en-US" w:eastAsia="en-US"/>
              </w:rPr>
              <w:t>3</w:t>
            </w:r>
          </w:p>
        </w:tc>
      </w:tr>
      <w:tr w:rsidR="00946829" w:rsidRPr="00946829" w14:paraId="75A7DCBD" w14:textId="77777777" w:rsidTr="00A96B8A">
        <w:trPr>
          <w:trHeight w:hRule="exact" w:val="348"/>
        </w:trPr>
        <w:tc>
          <w:tcPr>
            <w:tcW w:w="1322" w:type="dxa"/>
            <w:tcBorders>
              <w:top w:val="single" w:sz="4" w:space="0" w:color="000000"/>
              <w:left w:val="single" w:sz="4" w:space="0" w:color="000000"/>
              <w:bottom w:val="single" w:sz="4" w:space="0" w:color="000000"/>
              <w:right w:val="single" w:sz="4" w:space="0" w:color="000000"/>
            </w:tcBorders>
          </w:tcPr>
          <w:p w14:paraId="17E34869" w14:textId="77777777" w:rsidR="00946829" w:rsidRPr="00946829" w:rsidRDefault="00946829" w:rsidP="00946829">
            <w:pPr>
              <w:spacing w:before="54"/>
              <w:ind w:left="87"/>
              <w:rPr>
                <w:rFonts w:ascii="Arial" w:eastAsia="Arial" w:hAnsi="Arial" w:cs="Arial"/>
                <w:sz w:val="18"/>
                <w:szCs w:val="18"/>
                <w:lang w:val="en-US" w:eastAsia="en-US"/>
              </w:rPr>
            </w:pPr>
            <w:proofErr w:type="spellStart"/>
            <w:r w:rsidRPr="00946829">
              <w:rPr>
                <w:rFonts w:ascii="Arial" w:eastAsia="Calibri" w:hAnsi="Calibri"/>
                <w:sz w:val="18"/>
                <w:szCs w:val="18"/>
                <w:lang w:val="en-US" w:eastAsia="en-US"/>
              </w:rPr>
              <w:t>Lekaroz</w:t>
            </w:r>
            <w:proofErr w:type="spellEnd"/>
          </w:p>
        </w:tc>
        <w:tc>
          <w:tcPr>
            <w:tcW w:w="2500" w:type="dxa"/>
            <w:tcBorders>
              <w:top w:val="single" w:sz="4" w:space="0" w:color="000000"/>
              <w:left w:val="single" w:sz="4" w:space="0" w:color="000000"/>
              <w:bottom w:val="single" w:sz="4" w:space="0" w:color="000000"/>
              <w:right w:val="single" w:sz="4" w:space="0" w:color="000000"/>
            </w:tcBorders>
          </w:tcPr>
          <w:p w14:paraId="055DAC4E" w14:textId="77777777" w:rsidR="00946829" w:rsidRPr="00946829" w:rsidRDefault="00946829" w:rsidP="00946829">
            <w:pPr>
              <w:spacing w:before="54"/>
              <w:jc w:val="center"/>
              <w:rPr>
                <w:rFonts w:ascii="Arial" w:eastAsia="Arial" w:hAnsi="Arial" w:cs="Arial"/>
                <w:sz w:val="18"/>
                <w:szCs w:val="18"/>
                <w:lang w:val="en-US" w:eastAsia="en-US"/>
              </w:rPr>
            </w:pPr>
            <w:r w:rsidRPr="00946829">
              <w:rPr>
                <w:rFonts w:ascii="Arial" w:eastAsia="Calibri" w:hAnsi="Calibri"/>
                <w:sz w:val="18"/>
                <w:szCs w:val="18"/>
                <w:lang w:val="en-US" w:eastAsia="en-US"/>
              </w:rPr>
              <w:t>2</w:t>
            </w:r>
          </w:p>
        </w:tc>
      </w:tr>
      <w:tr w:rsidR="00946829" w:rsidRPr="00946829" w14:paraId="7A892237" w14:textId="77777777" w:rsidTr="00A96B8A">
        <w:trPr>
          <w:trHeight w:hRule="exact" w:val="349"/>
        </w:trPr>
        <w:tc>
          <w:tcPr>
            <w:tcW w:w="1322" w:type="dxa"/>
            <w:tcBorders>
              <w:top w:val="single" w:sz="4" w:space="0" w:color="000000"/>
              <w:left w:val="single" w:sz="4" w:space="0" w:color="000000"/>
              <w:bottom w:val="single" w:sz="4" w:space="0" w:color="000000"/>
              <w:right w:val="single" w:sz="4" w:space="0" w:color="000000"/>
            </w:tcBorders>
          </w:tcPr>
          <w:p w14:paraId="43CC2589" w14:textId="77777777" w:rsidR="00946829" w:rsidRPr="00946829" w:rsidRDefault="00946829" w:rsidP="00946829">
            <w:pPr>
              <w:spacing w:before="56"/>
              <w:ind w:left="87"/>
              <w:rPr>
                <w:rFonts w:ascii="Arial" w:eastAsia="Arial" w:hAnsi="Arial" w:cs="Arial"/>
                <w:sz w:val="18"/>
                <w:szCs w:val="18"/>
                <w:lang w:val="en-US" w:eastAsia="en-US"/>
              </w:rPr>
            </w:pPr>
            <w:r w:rsidRPr="00946829">
              <w:rPr>
                <w:rFonts w:ascii="Arial" w:eastAsia="Calibri" w:hAnsi="Calibri"/>
                <w:spacing w:val="-1"/>
                <w:sz w:val="18"/>
                <w:szCs w:val="18"/>
                <w:lang w:val="en-US" w:eastAsia="en-US"/>
              </w:rPr>
              <w:t>Pamplona</w:t>
            </w:r>
          </w:p>
        </w:tc>
        <w:tc>
          <w:tcPr>
            <w:tcW w:w="2500" w:type="dxa"/>
            <w:tcBorders>
              <w:top w:val="single" w:sz="4" w:space="0" w:color="000000"/>
              <w:left w:val="single" w:sz="4" w:space="0" w:color="000000"/>
              <w:bottom w:val="single" w:sz="4" w:space="0" w:color="000000"/>
              <w:right w:val="single" w:sz="4" w:space="0" w:color="000000"/>
            </w:tcBorders>
          </w:tcPr>
          <w:p w14:paraId="09C8E1BF" w14:textId="77777777" w:rsidR="00946829" w:rsidRPr="00946829" w:rsidRDefault="00946829" w:rsidP="00946829">
            <w:pPr>
              <w:spacing w:before="56"/>
              <w:jc w:val="center"/>
              <w:rPr>
                <w:rFonts w:ascii="Arial" w:eastAsia="Arial" w:hAnsi="Arial" w:cs="Arial"/>
                <w:sz w:val="18"/>
                <w:szCs w:val="18"/>
                <w:lang w:val="en-US" w:eastAsia="en-US"/>
              </w:rPr>
            </w:pPr>
            <w:r w:rsidRPr="00946829">
              <w:rPr>
                <w:rFonts w:ascii="Arial" w:eastAsia="Calibri" w:hAnsi="Calibri"/>
                <w:sz w:val="18"/>
                <w:szCs w:val="18"/>
                <w:lang w:val="en-US" w:eastAsia="en-US"/>
              </w:rPr>
              <w:t>16</w:t>
            </w:r>
          </w:p>
        </w:tc>
      </w:tr>
      <w:tr w:rsidR="00946829" w:rsidRPr="00946829" w14:paraId="6671D48A" w14:textId="77777777" w:rsidTr="00A96B8A">
        <w:trPr>
          <w:trHeight w:hRule="exact" w:val="347"/>
        </w:trPr>
        <w:tc>
          <w:tcPr>
            <w:tcW w:w="1322" w:type="dxa"/>
            <w:tcBorders>
              <w:top w:val="single" w:sz="4" w:space="0" w:color="000000"/>
              <w:left w:val="single" w:sz="4" w:space="0" w:color="000000"/>
              <w:bottom w:val="single" w:sz="4" w:space="0" w:color="000000"/>
              <w:right w:val="single" w:sz="4" w:space="0" w:color="000000"/>
            </w:tcBorders>
          </w:tcPr>
          <w:p w14:paraId="79F2A345" w14:textId="77777777" w:rsidR="00946829" w:rsidRPr="00946829" w:rsidRDefault="00946829" w:rsidP="00946829">
            <w:pPr>
              <w:spacing w:before="54"/>
              <w:ind w:left="87"/>
              <w:rPr>
                <w:rFonts w:ascii="Arial" w:eastAsia="Arial" w:hAnsi="Arial" w:cs="Arial"/>
                <w:sz w:val="18"/>
                <w:szCs w:val="18"/>
                <w:lang w:val="en-US" w:eastAsia="en-US"/>
              </w:rPr>
            </w:pPr>
            <w:r w:rsidRPr="00946829">
              <w:rPr>
                <w:rFonts w:ascii="Arial" w:eastAsia="Calibri" w:hAnsi="Calibri"/>
                <w:spacing w:val="-1"/>
                <w:sz w:val="18"/>
                <w:szCs w:val="18"/>
                <w:lang w:val="en-US" w:eastAsia="en-US"/>
              </w:rPr>
              <w:t>Tafalla</w:t>
            </w:r>
          </w:p>
        </w:tc>
        <w:tc>
          <w:tcPr>
            <w:tcW w:w="2500" w:type="dxa"/>
            <w:tcBorders>
              <w:top w:val="single" w:sz="4" w:space="0" w:color="000000"/>
              <w:left w:val="single" w:sz="4" w:space="0" w:color="000000"/>
              <w:bottom w:val="single" w:sz="4" w:space="0" w:color="000000"/>
              <w:right w:val="single" w:sz="4" w:space="0" w:color="000000"/>
            </w:tcBorders>
          </w:tcPr>
          <w:p w14:paraId="6C6E81AE" w14:textId="77777777" w:rsidR="00946829" w:rsidRPr="00946829" w:rsidRDefault="00946829" w:rsidP="00946829">
            <w:pPr>
              <w:spacing w:before="54"/>
              <w:jc w:val="center"/>
              <w:rPr>
                <w:rFonts w:ascii="Arial" w:eastAsia="Arial" w:hAnsi="Arial" w:cs="Arial"/>
                <w:sz w:val="18"/>
                <w:szCs w:val="18"/>
                <w:lang w:val="en-US" w:eastAsia="en-US"/>
              </w:rPr>
            </w:pPr>
            <w:r w:rsidRPr="00946829">
              <w:rPr>
                <w:rFonts w:ascii="Arial" w:eastAsia="Calibri" w:hAnsi="Calibri"/>
                <w:sz w:val="18"/>
                <w:szCs w:val="18"/>
                <w:lang w:val="en-US" w:eastAsia="en-US"/>
              </w:rPr>
              <w:t>3</w:t>
            </w:r>
          </w:p>
        </w:tc>
      </w:tr>
      <w:tr w:rsidR="00946829" w:rsidRPr="00946829" w14:paraId="1CF99C22" w14:textId="77777777" w:rsidTr="00A96B8A">
        <w:trPr>
          <w:trHeight w:hRule="exact" w:val="349"/>
        </w:trPr>
        <w:tc>
          <w:tcPr>
            <w:tcW w:w="1322" w:type="dxa"/>
            <w:tcBorders>
              <w:top w:val="single" w:sz="4" w:space="0" w:color="000000"/>
              <w:left w:val="single" w:sz="4" w:space="0" w:color="000000"/>
              <w:bottom w:val="single" w:sz="4" w:space="0" w:color="000000"/>
              <w:right w:val="single" w:sz="4" w:space="0" w:color="000000"/>
            </w:tcBorders>
          </w:tcPr>
          <w:p w14:paraId="37F3945D" w14:textId="77777777" w:rsidR="00946829" w:rsidRPr="00946829" w:rsidRDefault="00946829" w:rsidP="00946829">
            <w:pPr>
              <w:spacing w:before="56"/>
              <w:ind w:left="87"/>
              <w:rPr>
                <w:rFonts w:ascii="Arial" w:eastAsia="Arial" w:hAnsi="Arial" w:cs="Arial"/>
                <w:sz w:val="18"/>
                <w:szCs w:val="18"/>
                <w:lang w:val="en-US" w:eastAsia="en-US"/>
              </w:rPr>
            </w:pPr>
            <w:r w:rsidRPr="00946829">
              <w:rPr>
                <w:rFonts w:ascii="Arial" w:eastAsia="Calibri" w:hAnsi="Calibri"/>
                <w:spacing w:val="-1"/>
                <w:sz w:val="18"/>
                <w:szCs w:val="18"/>
                <w:lang w:val="en-US" w:eastAsia="en-US"/>
              </w:rPr>
              <w:t>Tudela</w:t>
            </w:r>
          </w:p>
        </w:tc>
        <w:tc>
          <w:tcPr>
            <w:tcW w:w="2500" w:type="dxa"/>
            <w:tcBorders>
              <w:top w:val="single" w:sz="4" w:space="0" w:color="000000"/>
              <w:left w:val="single" w:sz="4" w:space="0" w:color="000000"/>
              <w:bottom w:val="single" w:sz="4" w:space="0" w:color="000000"/>
              <w:right w:val="single" w:sz="4" w:space="0" w:color="000000"/>
            </w:tcBorders>
          </w:tcPr>
          <w:p w14:paraId="168F92A6" w14:textId="77777777" w:rsidR="00946829" w:rsidRPr="00946829" w:rsidRDefault="00946829" w:rsidP="00946829">
            <w:pPr>
              <w:spacing w:before="56"/>
              <w:jc w:val="center"/>
              <w:rPr>
                <w:rFonts w:ascii="Arial" w:eastAsia="Arial" w:hAnsi="Arial" w:cs="Arial"/>
                <w:sz w:val="18"/>
                <w:szCs w:val="18"/>
                <w:lang w:val="en-US" w:eastAsia="en-US"/>
              </w:rPr>
            </w:pPr>
            <w:r w:rsidRPr="00946829">
              <w:rPr>
                <w:rFonts w:ascii="Arial" w:eastAsia="Calibri" w:hAnsi="Calibri"/>
                <w:sz w:val="18"/>
                <w:szCs w:val="18"/>
                <w:lang w:val="en-US" w:eastAsia="en-US"/>
              </w:rPr>
              <w:t>4</w:t>
            </w:r>
          </w:p>
        </w:tc>
      </w:tr>
      <w:tr w:rsidR="00946829" w:rsidRPr="00946829" w14:paraId="0D9AAC0D" w14:textId="77777777" w:rsidTr="00A96B8A">
        <w:trPr>
          <w:trHeight w:hRule="exact" w:val="349"/>
        </w:trPr>
        <w:tc>
          <w:tcPr>
            <w:tcW w:w="1322" w:type="dxa"/>
            <w:tcBorders>
              <w:top w:val="single" w:sz="4" w:space="0" w:color="000000"/>
              <w:left w:val="single" w:sz="4" w:space="0" w:color="000000"/>
              <w:bottom w:val="single" w:sz="4" w:space="0" w:color="000000"/>
              <w:right w:val="single" w:sz="4" w:space="0" w:color="000000"/>
            </w:tcBorders>
          </w:tcPr>
          <w:p w14:paraId="2EE7962D" w14:textId="77777777" w:rsidR="00946829" w:rsidRPr="00946829" w:rsidRDefault="00946829" w:rsidP="00946829">
            <w:pPr>
              <w:spacing w:before="54"/>
              <w:ind w:left="87"/>
              <w:rPr>
                <w:rFonts w:ascii="Arial" w:eastAsia="Arial" w:hAnsi="Arial" w:cs="Arial"/>
                <w:sz w:val="18"/>
                <w:szCs w:val="18"/>
                <w:lang w:val="en-US" w:eastAsia="en-US"/>
              </w:rPr>
            </w:pPr>
            <w:r w:rsidRPr="00946829">
              <w:rPr>
                <w:rFonts w:ascii="Arial" w:eastAsia="Calibri" w:hAnsi="Calibri"/>
                <w:b/>
                <w:spacing w:val="-1"/>
                <w:sz w:val="18"/>
                <w:szCs w:val="18"/>
                <w:lang w:val="en-US" w:eastAsia="en-US"/>
              </w:rPr>
              <w:t>Total</w:t>
            </w:r>
          </w:p>
        </w:tc>
        <w:tc>
          <w:tcPr>
            <w:tcW w:w="2500" w:type="dxa"/>
            <w:tcBorders>
              <w:top w:val="single" w:sz="4" w:space="0" w:color="000000"/>
              <w:left w:val="single" w:sz="4" w:space="0" w:color="000000"/>
              <w:bottom w:val="single" w:sz="4" w:space="0" w:color="000000"/>
              <w:right w:val="single" w:sz="4" w:space="0" w:color="000000"/>
            </w:tcBorders>
          </w:tcPr>
          <w:p w14:paraId="0578FD50" w14:textId="77777777" w:rsidR="00946829" w:rsidRPr="00946829" w:rsidRDefault="00946829" w:rsidP="00946829">
            <w:pPr>
              <w:spacing w:before="54"/>
              <w:jc w:val="center"/>
              <w:rPr>
                <w:rFonts w:ascii="Arial" w:eastAsia="Arial" w:hAnsi="Arial" w:cs="Arial"/>
                <w:sz w:val="18"/>
                <w:szCs w:val="18"/>
                <w:lang w:val="en-US" w:eastAsia="en-US"/>
              </w:rPr>
            </w:pPr>
            <w:r w:rsidRPr="00946829">
              <w:rPr>
                <w:rFonts w:ascii="Arial" w:eastAsia="Calibri" w:hAnsi="Calibri"/>
                <w:sz w:val="18"/>
                <w:szCs w:val="18"/>
                <w:lang w:val="en-US" w:eastAsia="en-US"/>
              </w:rPr>
              <w:t>28</w:t>
            </w:r>
          </w:p>
        </w:tc>
      </w:tr>
    </w:tbl>
    <w:p w14:paraId="7BF9E6FF" w14:textId="77777777" w:rsidR="00946829" w:rsidRDefault="00946829" w:rsidP="00946829">
      <w:pPr>
        <w:spacing w:line="360" w:lineRule="auto"/>
        <w:rPr>
          <w:rFonts w:ascii="Arial" w:hAnsi="Arial" w:cs="Arial"/>
          <w:lang w:val="es-ES"/>
        </w:rPr>
      </w:pPr>
    </w:p>
    <w:p w14:paraId="7770B6AD" w14:textId="77777777" w:rsidR="00946829" w:rsidRPr="00946829" w:rsidRDefault="00946829" w:rsidP="00946829">
      <w:pPr>
        <w:spacing w:line="360" w:lineRule="auto"/>
        <w:rPr>
          <w:rFonts w:ascii="Arial" w:hAnsi="Arial" w:cs="Arial"/>
          <w:lang w:val="es-ES"/>
        </w:rPr>
      </w:pPr>
      <w:r w:rsidRPr="00946829">
        <w:rPr>
          <w:rFonts w:ascii="Arial" w:hAnsi="Arial" w:cs="Arial"/>
          <w:lang w:val="es-ES"/>
        </w:rPr>
        <w:t>Cada centro educativo está adscrito a un Centro de Apoyo al Profesorado (CAP) y tiene una persona asesora de referencia. Para llevar a cabo el proceso de detección de necesidades formativas, la persona asesora del centro tiene una entrevista con el equipo directivo y se envía un cuestionario para detectar las necesidades de formación del profesorado.</w:t>
      </w:r>
    </w:p>
    <w:p w14:paraId="3A1CF519" w14:textId="77777777" w:rsidR="00946829" w:rsidRPr="00946829" w:rsidRDefault="00946829" w:rsidP="00946829">
      <w:pPr>
        <w:spacing w:line="360" w:lineRule="auto"/>
        <w:rPr>
          <w:rFonts w:ascii="Arial" w:hAnsi="Arial" w:cs="Arial"/>
          <w:lang w:val="es-ES"/>
        </w:rPr>
      </w:pPr>
      <w:r w:rsidRPr="00946829">
        <w:rPr>
          <w:rFonts w:ascii="Arial" w:hAnsi="Arial" w:cs="Arial"/>
          <w:lang w:val="es-ES"/>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14:paraId="03F38971" w14:textId="0EF487B1" w:rsidR="00946829" w:rsidRPr="00946829" w:rsidRDefault="00946829" w:rsidP="00946829">
      <w:pPr>
        <w:spacing w:line="360" w:lineRule="auto"/>
        <w:rPr>
          <w:rFonts w:ascii="Arial" w:hAnsi="Arial" w:cs="Arial"/>
          <w:lang w:val="es-ES"/>
        </w:rPr>
      </w:pPr>
      <w:r w:rsidRPr="00946829">
        <w:rPr>
          <w:rFonts w:ascii="Arial" w:hAnsi="Arial" w:cs="Arial"/>
          <w:lang w:val="es-ES"/>
        </w:rPr>
        <w:t xml:space="preserve">Una vez recogidas las necesidades formativas de los planes y programas del Departamento de Educación, de los centros educativos y del profesorado, los Centros de Apoyo </w:t>
      </w:r>
      <w:r w:rsidR="00A96B8A" w:rsidRPr="00946829">
        <w:rPr>
          <w:rFonts w:ascii="Arial" w:hAnsi="Arial" w:cs="Arial"/>
          <w:lang w:val="es-ES"/>
        </w:rPr>
        <w:t>al Profesorado</w:t>
      </w:r>
      <w:r w:rsidRPr="00946829">
        <w:rPr>
          <w:rFonts w:ascii="Arial" w:hAnsi="Arial" w:cs="Arial"/>
          <w:lang w:val="es-ES"/>
        </w:rPr>
        <w:t xml:space="preserve"> (CAP)  en colaboración con la sección  de Formación y Calidad del Departamento de Educación elaboran el Plan Anual de Formación del Profesorado.</w:t>
      </w:r>
    </w:p>
    <w:p w14:paraId="30EC60DC" w14:textId="77777777" w:rsidR="00946829" w:rsidRPr="00946829" w:rsidRDefault="00946829" w:rsidP="00946829">
      <w:pPr>
        <w:spacing w:line="360" w:lineRule="auto"/>
        <w:rPr>
          <w:rFonts w:ascii="Arial" w:hAnsi="Arial" w:cs="Arial"/>
          <w:lang w:val="es-ES"/>
        </w:rPr>
      </w:pPr>
      <w:r w:rsidRPr="00946829">
        <w:rPr>
          <w:rFonts w:ascii="Arial" w:hAnsi="Arial" w:cs="Arial"/>
          <w:lang w:val="es-ES"/>
        </w:rPr>
        <w:lastRenderedPageBreak/>
        <w:t>El Plan de Formación del profesorado tiene como objetivos principales mejorar la calidad del sistema educativo navarro, respondiendo a las necesidades detectadas por los centros e impulsando el desarrollo de las competencias docentes. Todo ello se articula a través de las seis líneas de actuación que se detallan a continuación:</w:t>
      </w:r>
    </w:p>
    <w:p w14:paraId="774CA339" w14:textId="4D1B6ED7" w:rsidR="00946829" w:rsidRPr="00946829" w:rsidRDefault="00946829" w:rsidP="00946829">
      <w:pPr>
        <w:spacing w:line="360" w:lineRule="auto"/>
        <w:rPr>
          <w:rFonts w:ascii="Arial" w:hAnsi="Arial" w:cs="Arial"/>
          <w:lang w:val="es-ES"/>
        </w:rPr>
      </w:pPr>
      <w:r w:rsidRPr="00946829">
        <w:rPr>
          <w:rFonts w:ascii="Arial" w:hAnsi="Arial" w:cs="Arial"/>
          <w:lang w:val="es-ES"/>
        </w:rPr>
        <w:t>•</w:t>
      </w:r>
      <w:r w:rsidRPr="00946829">
        <w:rPr>
          <w:rFonts w:ascii="Arial" w:hAnsi="Arial" w:cs="Arial"/>
          <w:lang w:val="es-ES"/>
        </w:rPr>
        <w:tab/>
      </w:r>
      <w:proofErr w:type="spellStart"/>
      <w:r w:rsidRPr="00946829">
        <w:rPr>
          <w:rFonts w:ascii="Arial" w:hAnsi="Arial" w:cs="Arial"/>
          <w:lang w:val="es-ES"/>
        </w:rPr>
        <w:t>L1</w:t>
      </w:r>
      <w:proofErr w:type="spellEnd"/>
      <w:r w:rsidRPr="00946829">
        <w:rPr>
          <w:rFonts w:ascii="Arial" w:hAnsi="Arial" w:cs="Arial"/>
          <w:lang w:val="es-ES"/>
        </w:rPr>
        <w:t xml:space="preserve">. Implementación de metodologías que propicien </w:t>
      </w:r>
      <w:r w:rsidR="00A96B8A" w:rsidRPr="00946829">
        <w:rPr>
          <w:rFonts w:ascii="Arial" w:hAnsi="Arial" w:cs="Arial"/>
          <w:lang w:val="es-ES"/>
        </w:rPr>
        <w:t>el aprendizaje</w:t>
      </w:r>
      <w:r w:rsidRPr="00946829">
        <w:rPr>
          <w:rFonts w:ascii="Arial" w:hAnsi="Arial" w:cs="Arial"/>
          <w:lang w:val="es-ES"/>
        </w:rPr>
        <w:t xml:space="preserve"> activo y colaborativo del alumnado, y que atiendan a la diversidad de ritmos, estilos y necesidades educativas, desde un enfoque competencial e inclusivo.</w:t>
      </w:r>
    </w:p>
    <w:p w14:paraId="0EC08839" w14:textId="77777777" w:rsidR="00A96B8A" w:rsidRDefault="00946829" w:rsidP="00946829">
      <w:pPr>
        <w:spacing w:line="360" w:lineRule="auto"/>
        <w:rPr>
          <w:rFonts w:ascii="Arial" w:hAnsi="Arial" w:cs="Arial"/>
          <w:lang w:val="es-ES"/>
        </w:rPr>
      </w:pPr>
      <w:r w:rsidRPr="00946829">
        <w:rPr>
          <w:rFonts w:ascii="Arial" w:hAnsi="Arial" w:cs="Arial"/>
          <w:lang w:val="es-ES"/>
        </w:rPr>
        <w:t>•</w:t>
      </w:r>
      <w:r w:rsidRPr="00946829">
        <w:rPr>
          <w:rFonts w:ascii="Arial" w:hAnsi="Arial" w:cs="Arial"/>
          <w:lang w:val="es-ES"/>
        </w:rPr>
        <w:tab/>
      </w:r>
      <w:proofErr w:type="spellStart"/>
      <w:r w:rsidRPr="00946829">
        <w:rPr>
          <w:rFonts w:ascii="Arial" w:hAnsi="Arial" w:cs="Arial"/>
          <w:lang w:val="es-ES"/>
        </w:rPr>
        <w:t>L2</w:t>
      </w:r>
      <w:proofErr w:type="spellEnd"/>
      <w:r w:rsidRPr="00946829">
        <w:rPr>
          <w:rFonts w:ascii="Arial" w:hAnsi="Arial" w:cs="Arial"/>
          <w:lang w:val="es-ES"/>
        </w:rPr>
        <w:t>. Integración de las tecnologías educativas en el proceso de aprendizaje- enseñanza.</w:t>
      </w:r>
    </w:p>
    <w:p w14:paraId="029D11C0" w14:textId="01EA2600" w:rsidR="00946829" w:rsidRPr="00946829" w:rsidRDefault="00946829" w:rsidP="00946829">
      <w:pPr>
        <w:spacing w:line="360" w:lineRule="auto"/>
        <w:rPr>
          <w:rFonts w:ascii="Arial" w:hAnsi="Arial" w:cs="Arial"/>
          <w:lang w:val="es-ES"/>
        </w:rPr>
      </w:pPr>
      <w:r w:rsidRPr="00946829">
        <w:rPr>
          <w:rFonts w:ascii="Arial" w:hAnsi="Arial" w:cs="Arial"/>
          <w:lang w:val="es-ES"/>
        </w:rPr>
        <w:t>•</w:t>
      </w:r>
      <w:r w:rsidRPr="00946829">
        <w:rPr>
          <w:rFonts w:ascii="Arial" w:hAnsi="Arial" w:cs="Arial"/>
          <w:lang w:val="es-ES"/>
        </w:rPr>
        <w:tab/>
      </w:r>
      <w:proofErr w:type="spellStart"/>
      <w:r w:rsidRPr="00946829">
        <w:rPr>
          <w:rFonts w:ascii="Arial" w:hAnsi="Arial" w:cs="Arial"/>
          <w:lang w:val="es-ES"/>
        </w:rPr>
        <w:t>L3</w:t>
      </w:r>
      <w:proofErr w:type="spellEnd"/>
      <w:r w:rsidRPr="00946829">
        <w:rPr>
          <w:rFonts w:ascii="Arial" w:hAnsi="Arial" w:cs="Arial"/>
          <w:lang w:val="es-ES"/>
        </w:rPr>
        <w:t>. Fomento de la innovación, investigación, difusión e intercambio de experiencias educativas, así como de la organización y gestión escolar de éxito.</w:t>
      </w:r>
    </w:p>
    <w:p w14:paraId="5EBE92BE" w14:textId="77777777" w:rsidR="00946829" w:rsidRPr="00946829" w:rsidRDefault="00946829" w:rsidP="00946829">
      <w:pPr>
        <w:spacing w:line="360" w:lineRule="auto"/>
        <w:rPr>
          <w:rFonts w:ascii="Arial" w:hAnsi="Arial" w:cs="Arial"/>
          <w:lang w:val="es-ES"/>
        </w:rPr>
      </w:pPr>
      <w:r w:rsidRPr="00946829">
        <w:rPr>
          <w:rFonts w:ascii="Arial" w:hAnsi="Arial" w:cs="Arial"/>
          <w:lang w:val="es-ES"/>
        </w:rPr>
        <w:t>•</w:t>
      </w:r>
      <w:r w:rsidRPr="00946829">
        <w:rPr>
          <w:rFonts w:ascii="Arial" w:hAnsi="Arial" w:cs="Arial"/>
          <w:lang w:val="es-ES"/>
        </w:rPr>
        <w:tab/>
      </w:r>
      <w:proofErr w:type="spellStart"/>
      <w:r w:rsidRPr="00946829">
        <w:rPr>
          <w:rFonts w:ascii="Arial" w:hAnsi="Arial" w:cs="Arial"/>
          <w:lang w:val="es-ES"/>
        </w:rPr>
        <w:t>L4</w:t>
      </w:r>
      <w:proofErr w:type="spellEnd"/>
      <w:r w:rsidRPr="00946829">
        <w:rPr>
          <w:rFonts w:ascii="Arial" w:hAnsi="Arial" w:cs="Arial"/>
          <w:lang w:val="es-ES"/>
        </w:rPr>
        <w:t>. Compromiso con la coeducación y desarrollo de la conciencia crítica: igualdad de género, convivencia y buen trato, responsabilidad y justicia social, ciudadanía global, sostenibilidad y medio ambiente.</w:t>
      </w:r>
    </w:p>
    <w:p w14:paraId="5010725E" w14:textId="77777777" w:rsidR="00946829" w:rsidRPr="00946829" w:rsidRDefault="00946829" w:rsidP="00946829">
      <w:pPr>
        <w:spacing w:line="360" w:lineRule="auto"/>
        <w:rPr>
          <w:rFonts w:ascii="Arial" w:hAnsi="Arial" w:cs="Arial"/>
          <w:lang w:val="es-ES"/>
        </w:rPr>
      </w:pPr>
      <w:r w:rsidRPr="00946829">
        <w:rPr>
          <w:rFonts w:ascii="Arial" w:hAnsi="Arial" w:cs="Arial"/>
          <w:lang w:val="es-ES"/>
        </w:rPr>
        <w:t>•</w:t>
      </w:r>
      <w:r w:rsidRPr="00946829">
        <w:rPr>
          <w:rFonts w:ascii="Arial" w:hAnsi="Arial" w:cs="Arial"/>
          <w:lang w:val="es-ES"/>
        </w:rPr>
        <w:tab/>
      </w:r>
      <w:proofErr w:type="spellStart"/>
      <w:r w:rsidRPr="00946829">
        <w:rPr>
          <w:rFonts w:ascii="Arial" w:hAnsi="Arial" w:cs="Arial"/>
          <w:lang w:val="es-ES"/>
        </w:rPr>
        <w:t>L5</w:t>
      </w:r>
      <w:proofErr w:type="spellEnd"/>
      <w:r w:rsidRPr="00946829">
        <w:rPr>
          <w:rFonts w:ascii="Arial" w:hAnsi="Arial" w:cs="Arial"/>
          <w:lang w:val="es-ES"/>
        </w:rPr>
        <w:t>. Impulso del plurilingüismo partiendo de las lenguas propias de Navarra y atendiendo al tratamiento integrado de las lenguas.</w:t>
      </w:r>
    </w:p>
    <w:p w14:paraId="2C21447D" w14:textId="77777777" w:rsidR="00A96B8A" w:rsidRDefault="00946829" w:rsidP="00946829">
      <w:pPr>
        <w:spacing w:line="360" w:lineRule="auto"/>
        <w:rPr>
          <w:rFonts w:ascii="Arial" w:hAnsi="Arial" w:cs="Arial"/>
          <w:lang w:val="es-ES"/>
        </w:rPr>
      </w:pPr>
      <w:r w:rsidRPr="00946829">
        <w:rPr>
          <w:rFonts w:ascii="Arial" w:hAnsi="Arial" w:cs="Arial"/>
          <w:lang w:val="es-ES"/>
        </w:rPr>
        <w:t>•</w:t>
      </w:r>
      <w:r w:rsidRPr="00946829">
        <w:rPr>
          <w:rFonts w:ascii="Arial" w:hAnsi="Arial" w:cs="Arial"/>
          <w:lang w:val="es-ES"/>
        </w:rPr>
        <w:tab/>
      </w:r>
      <w:proofErr w:type="spellStart"/>
      <w:r w:rsidRPr="00946829">
        <w:rPr>
          <w:rFonts w:ascii="Arial" w:hAnsi="Arial" w:cs="Arial"/>
          <w:lang w:val="es-ES"/>
        </w:rPr>
        <w:t>L6</w:t>
      </w:r>
      <w:proofErr w:type="spellEnd"/>
      <w:r w:rsidRPr="00946829">
        <w:rPr>
          <w:rFonts w:ascii="Arial" w:hAnsi="Arial" w:cs="Arial"/>
          <w:lang w:val="es-ES"/>
        </w:rPr>
        <w:t>. Prevención de riesgos laborales y mejora de la salud integral.</w:t>
      </w:r>
    </w:p>
    <w:p w14:paraId="59718208" w14:textId="3A64125D" w:rsidR="00946829" w:rsidRPr="00946829" w:rsidRDefault="00946829" w:rsidP="00946829">
      <w:pPr>
        <w:spacing w:line="360" w:lineRule="auto"/>
        <w:rPr>
          <w:rFonts w:ascii="Arial" w:hAnsi="Arial" w:cs="Arial"/>
          <w:lang w:val="es-ES"/>
        </w:rPr>
      </w:pPr>
      <w:r w:rsidRPr="00946829">
        <w:rPr>
          <w:rFonts w:ascii="Arial" w:hAnsi="Arial" w:cs="Arial"/>
          <w:lang w:val="es-ES"/>
        </w:rPr>
        <w:t>La calidad de la formación viene avalada por la selección y contratación de profesionales de reconocido prestigio en su ámbito y de las valoraciones que se derivan de la evaluación que realiza el profesorado de cada actividad formativa en la que participa.</w:t>
      </w:r>
    </w:p>
    <w:p w14:paraId="480D1EC7" w14:textId="77777777" w:rsidR="00A96B8A" w:rsidRDefault="00946829" w:rsidP="00946829">
      <w:pPr>
        <w:spacing w:line="360" w:lineRule="auto"/>
        <w:rPr>
          <w:rFonts w:ascii="Arial" w:hAnsi="Arial" w:cs="Arial"/>
          <w:lang w:val="es-ES"/>
        </w:rPr>
      </w:pPr>
      <w:r w:rsidRPr="00946829">
        <w:rPr>
          <w:rFonts w:ascii="Arial" w:hAnsi="Arial" w:cs="Arial"/>
          <w:lang w:val="es-ES"/>
        </w:rPr>
        <w:t>Así las cosas, el personal de la sección de Formación y Calidad y las distintas asesorías de los Centros de Apoyo al Profesorado (CAP) se corresponsabilizan de la planificación, organización y desarrollo de las actividades previstas en el Plan Anual de Formación para la zona que tienen encomendada, tomando al centro educativo como eje vertebrador de los procesos formativos.</w:t>
      </w:r>
    </w:p>
    <w:p w14:paraId="19F8C66D" w14:textId="0ED2CCF2" w:rsidR="00946829" w:rsidRDefault="00946829" w:rsidP="00946829">
      <w:pPr>
        <w:spacing w:line="360" w:lineRule="auto"/>
        <w:rPr>
          <w:rFonts w:ascii="Arial" w:hAnsi="Arial" w:cs="Arial"/>
          <w:lang w:val="es-ES"/>
        </w:rPr>
      </w:pPr>
      <w:r w:rsidRPr="00946829">
        <w:rPr>
          <w:rFonts w:ascii="Arial" w:hAnsi="Arial" w:cs="Arial"/>
          <w:lang w:val="es-ES"/>
        </w:rPr>
        <w:t>En Pamplona, a 11 de junio de 2024</w:t>
      </w:r>
    </w:p>
    <w:p w14:paraId="194503CA" w14:textId="77777777" w:rsidR="00A96B8A" w:rsidRDefault="00FE00DF" w:rsidP="00FE00DF">
      <w:pPr>
        <w:spacing w:line="360" w:lineRule="auto"/>
        <w:rPr>
          <w:rFonts w:ascii="Arial" w:hAnsi="Arial" w:cs="Arial"/>
          <w:lang w:val="es-ES"/>
        </w:rPr>
      </w:pPr>
      <w:r w:rsidRPr="00FE00DF">
        <w:rPr>
          <w:rFonts w:ascii="Arial" w:hAnsi="Arial" w:cs="Arial"/>
          <w:lang w:val="es-ES"/>
        </w:rPr>
        <w:t>E</w:t>
      </w:r>
      <w:r w:rsidR="00301EBE">
        <w:rPr>
          <w:rFonts w:ascii="Arial" w:hAnsi="Arial" w:cs="Arial"/>
          <w:lang w:val="es-ES"/>
        </w:rPr>
        <w:t xml:space="preserve">l </w:t>
      </w:r>
      <w:r w:rsidR="00301EBE" w:rsidRPr="00FE00DF">
        <w:rPr>
          <w:rFonts w:ascii="Arial" w:hAnsi="Arial" w:cs="Arial"/>
          <w:lang w:val="es-ES"/>
        </w:rPr>
        <w:t>Consejero de Educación</w:t>
      </w:r>
      <w:r w:rsidR="00301EBE">
        <w:rPr>
          <w:rFonts w:ascii="Arial" w:hAnsi="Arial" w:cs="Arial"/>
          <w:lang w:val="es-ES"/>
        </w:rPr>
        <w:t xml:space="preserve">: </w:t>
      </w:r>
      <w:r w:rsidRPr="00FE00DF">
        <w:rPr>
          <w:rFonts w:ascii="Arial" w:hAnsi="Arial" w:cs="Arial"/>
          <w:lang w:val="es-ES"/>
        </w:rPr>
        <w:t>Carlos Gimeno Gurpegui</w:t>
      </w:r>
    </w:p>
    <w:p w14:paraId="087F7D9E" w14:textId="0ED194C5" w:rsidR="00FE00DF" w:rsidRPr="00726CF5" w:rsidRDefault="00FE00DF" w:rsidP="00FE00DF">
      <w:pPr>
        <w:spacing w:line="360" w:lineRule="auto"/>
        <w:rPr>
          <w:rFonts w:ascii="Arial" w:hAnsi="Arial" w:cs="Arial"/>
          <w:lang w:val="es-ES"/>
        </w:rPr>
      </w:pPr>
    </w:p>
    <w:sectPr w:rsidR="00FE00DF" w:rsidRPr="00726CF5"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44F3" w14:textId="77777777" w:rsidR="00FA19E2" w:rsidRDefault="00FA19E2" w:rsidP="00FA19E2">
      <w:r>
        <w:separator/>
      </w:r>
    </w:p>
  </w:endnote>
  <w:endnote w:type="continuationSeparator" w:id="0">
    <w:p w14:paraId="0F4E0325" w14:textId="77777777" w:rsidR="00FA19E2" w:rsidRDefault="00FA19E2" w:rsidP="00FA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4A1E" w14:textId="77777777" w:rsidR="008E2D4F" w:rsidRDefault="008E2D4F"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8F613" w14:textId="77777777" w:rsidR="00FA19E2" w:rsidRDefault="00FA19E2" w:rsidP="00FA19E2">
      <w:r>
        <w:separator/>
      </w:r>
    </w:p>
  </w:footnote>
  <w:footnote w:type="continuationSeparator" w:id="0">
    <w:p w14:paraId="09AA6B83" w14:textId="77777777" w:rsidR="00FA19E2" w:rsidRDefault="00FA19E2" w:rsidP="00FA1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8DD"/>
    <w:multiLevelType w:val="hybridMultilevel"/>
    <w:tmpl w:val="6F4414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573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82"/>
    <w:rsid w:val="001A7D30"/>
    <w:rsid w:val="00252F8D"/>
    <w:rsid w:val="00301EBE"/>
    <w:rsid w:val="00512E7C"/>
    <w:rsid w:val="0059543B"/>
    <w:rsid w:val="006E2EAF"/>
    <w:rsid w:val="00702F82"/>
    <w:rsid w:val="00726CF5"/>
    <w:rsid w:val="007651FC"/>
    <w:rsid w:val="00822C42"/>
    <w:rsid w:val="00881162"/>
    <w:rsid w:val="008E2D4F"/>
    <w:rsid w:val="008E4A36"/>
    <w:rsid w:val="00946829"/>
    <w:rsid w:val="00A371E4"/>
    <w:rsid w:val="00A458A6"/>
    <w:rsid w:val="00A96B8A"/>
    <w:rsid w:val="00AD2694"/>
    <w:rsid w:val="00D1730C"/>
    <w:rsid w:val="00FA19E2"/>
    <w:rsid w:val="00FC607E"/>
    <w:rsid w:val="00FE0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CFA"/>
  <w15:chartTrackingRefBased/>
  <w15:docId w15:val="{27F2ED4C-58B4-45B8-8605-DC9E8F78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A19E2"/>
  </w:style>
  <w:style w:type="paragraph" w:styleId="Piedepgina">
    <w:name w:val="footer"/>
    <w:basedOn w:val="Normal"/>
    <w:link w:val="PiedepginaCar"/>
    <w:unhideWhenUsed/>
    <w:rsid w:val="00FA19E2"/>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A19E2"/>
  </w:style>
  <w:style w:type="paragraph" w:styleId="Textoindependiente">
    <w:name w:val="Body Text"/>
    <w:basedOn w:val="Normal"/>
    <w:link w:val="TextoindependienteCar"/>
    <w:rsid w:val="00FA19E2"/>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A19E2"/>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A19E2"/>
  </w:style>
  <w:style w:type="paragraph" w:styleId="Prrafodelista">
    <w:name w:val="List Paragraph"/>
    <w:basedOn w:val="Normal"/>
    <w:uiPriority w:val="34"/>
    <w:qFormat/>
    <w:rsid w:val="00FA19E2"/>
    <w:pPr>
      <w:ind w:left="720"/>
      <w:contextualSpacing/>
    </w:pPr>
  </w:style>
  <w:style w:type="table" w:styleId="Tablaconcuadrcula">
    <w:name w:val="Table Grid"/>
    <w:basedOn w:val="Tablanormal"/>
    <w:uiPriority w:val="39"/>
    <w:rsid w:val="006E2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6CF5"/>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3874</Characters>
  <Application>Microsoft Office Word</Application>
  <DocSecurity>0</DocSecurity>
  <Lines>32</Lines>
  <Paragraphs>9</Paragraphs>
  <ScaleCrop>false</ScaleCrop>
  <Company>Gobierno de Navarra</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10</cp:revision>
  <dcterms:created xsi:type="dcterms:W3CDTF">2024-06-12T12:13:00Z</dcterms:created>
  <dcterms:modified xsi:type="dcterms:W3CDTF">2024-06-14T07:59:00Z</dcterms:modified>
</cp:coreProperties>
</file>