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17C8" w14:textId="168DC1FC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La Consejera de Vivienda, Juventud y Políticas Migratorias del Gobierno de Navarra, en relación con la pregunta para su contestación por escrito, (11-24/PES-00268), formulada por el Parlamentario Foral Ilmo. Sr. Don Juan Luis Sánchez de Muniáin Lacasia, adscrito al Grupo Parlamentario Unión del Pueblo Navarro (UPN)</w:t>
      </w:r>
      <w:r w:rsidR="004F142A">
        <w:rPr>
          <w:rFonts w:ascii="DejaVu Serif Condensed" w:hAnsi="DejaVu Serif Condensed"/>
          <w:sz w:val="22"/>
          <w:szCs w:val="22"/>
        </w:rPr>
        <w:t>, i</w:t>
      </w:r>
      <w:r>
        <w:rPr>
          <w:rFonts w:ascii="DejaVu Serif Condensed" w:hAnsi="DejaVu Serif Condensed"/>
          <w:sz w:val="22"/>
          <w:szCs w:val="22"/>
        </w:rPr>
        <w:t>nforma lo siguiente:</w:t>
      </w:r>
    </w:p>
    <w:p w14:paraId="4B604DD2" w14:textId="2D08C6EF" w:rsidR="005E19E2" w:rsidRPr="005E19E2" w:rsidRDefault="005E19E2" w:rsidP="005E19E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DejaVu Serif Condensed" w:hAnsi="DejaVu Serif Condensed"/>
          <w:bCs/>
          <w:iCs/>
        </w:rPr>
      </w:pPr>
      <w:r w:rsidRPr="005E19E2">
        <w:rPr>
          <w:rFonts w:ascii="DejaVu Serif Condensed" w:hAnsi="DejaVu Serif Condensed"/>
          <w:bCs/>
          <w:iCs/>
        </w:rPr>
        <w:t xml:space="preserve">Del total de rehabilitaciones de fachada y envolvente térmica ejecutadas con ayudas públicas en los años 2022 y 20223, ¿cuántas viviendas han obtenido la calificación energética A </w:t>
      </w:r>
      <w:r>
        <w:rPr>
          <w:rFonts w:ascii="DejaVu Serif Condensed" w:hAnsi="DejaVu Serif Condensed"/>
          <w:bCs/>
          <w:iCs/>
        </w:rPr>
        <w:t>o</w:t>
      </w:r>
      <w:r w:rsidRPr="005E19E2">
        <w:rPr>
          <w:rFonts w:ascii="DejaVu Serif Condensed" w:hAnsi="DejaVu Serif Condensed"/>
          <w:bCs/>
          <w:iCs/>
        </w:rPr>
        <w:t xml:space="preserve"> B una vez finalizada la rehabilitación y aprobadas las ayudas?</w:t>
      </w:r>
    </w:p>
    <w:p w14:paraId="0768FDD1" w14:textId="42BC42ED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En 2022 se concedió la calificación definitiva a 76 expedientes de rehabilitación protegida de mejora de la envolvente térmica, con un total de 1.495 viviendas, y una subvención a abonar de 9.695.494,69 euros.</w:t>
      </w:r>
    </w:p>
    <w:p w14:paraId="61DDE09D" w14:textId="77777777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En 2023 se concedió la calificación definitiva a 67 expedientes de rehabilitación protegida de mejora de la envolvente térmica, con un total de 1.233 viviendas, y una subvención a abonar de 7.920.009,10 euros.</w:t>
      </w:r>
    </w:p>
    <w:p w14:paraId="17FECEE3" w14:textId="77777777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Se desconoce la letra obtenida en los correspondientes certificados de eficiencia energética del edificio, dado que el mismo no se exige para cumplimentar el expediente, ni es requisito alcanzar una letra A o B para poder ser beneficiarios de la subvención.</w:t>
      </w:r>
    </w:p>
    <w:p w14:paraId="4A53F112" w14:textId="1B70E33F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No obstante lo anterior, cabe indicar que la mera rehabilitación de la fachada de un edificio mejorando su envolvente térmica no permite en la gran mayoría de los casos alcanzar </w:t>
      </w:r>
      <w:r>
        <w:rPr>
          <w:rFonts w:ascii="DejaVu Serif Condensed" w:hAnsi="DejaVu Serif Condensed"/>
          <w:i/>
          <w:sz w:val="22"/>
          <w:szCs w:val="22"/>
        </w:rPr>
        <w:t>per se</w:t>
      </w:r>
      <w:r>
        <w:rPr>
          <w:rFonts w:ascii="DejaVu Serif Condensed" w:hAnsi="DejaVu Serif Condensed"/>
          <w:sz w:val="22"/>
          <w:szCs w:val="22"/>
        </w:rPr>
        <w:t xml:space="preserve"> una letra A o B en su calificación energética.</w:t>
      </w:r>
    </w:p>
    <w:p w14:paraId="648C16D2" w14:textId="0D76C44B" w:rsidR="005E19E2" w:rsidRPr="005E19E2" w:rsidRDefault="005E19E2" w:rsidP="005E19E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DejaVu Serif Condensed" w:hAnsi="DejaVu Serif Condensed"/>
          <w:bCs/>
          <w:iCs/>
        </w:rPr>
      </w:pPr>
      <w:r w:rsidRPr="005E19E2">
        <w:rPr>
          <w:rFonts w:ascii="DejaVu Serif Condensed" w:hAnsi="DejaVu Serif Condensed"/>
          <w:bCs/>
          <w:iCs/>
        </w:rPr>
        <w:t>¿Cuál es el importe total de las ayudas para rehabilitación de fachada y envolvente térmica solicitadas a fecha uno de enero de 2024 y cuantía total de las ayudas disponibles para su ejecución?</w:t>
      </w:r>
    </w:p>
    <w:p w14:paraId="576D49D5" w14:textId="77777777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A 01/01/2024 el importe de ayudas solicitadas para mejora de la envolvente térmica ascendía a 19.714.533,06 euros. Su abono se producirá, de forma estimada, entre 2024, 2025 y 2026, contra la partida presupuestaria 320000-32100-7800-261400 “Subvenciones y subsidios para actuaciones en vivienda”, dotada en 2024 en 46.017.784 euros (incluye más conceptos).</w:t>
      </w:r>
    </w:p>
    <w:p w14:paraId="694D2365" w14:textId="2871D135" w:rsidR="005E19E2" w:rsidRPr="005E19E2" w:rsidRDefault="005E19E2" w:rsidP="005E19E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DejaVu Serif Condensed" w:hAnsi="DejaVu Serif Condensed"/>
          <w:bCs/>
          <w:iCs/>
        </w:rPr>
      </w:pPr>
      <w:r w:rsidRPr="005E19E2">
        <w:rPr>
          <w:rFonts w:ascii="DejaVu Serif Condensed" w:hAnsi="DejaVu Serif Condensed"/>
          <w:bCs/>
          <w:iCs/>
        </w:rPr>
        <w:t>¿Cómo piensa ejecutar a previsión legal establecida en el apartado 2 del artículo 38 de la Ley Foral 4/2022 de 22 de marzo de Cambio Climático y Transición Energética?</w:t>
      </w:r>
    </w:p>
    <w:p w14:paraId="5BA4DCD9" w14:textId="77777777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Se está en fase de estudio de las posibles medidas a implementar, si bien la iniciativa podría ostentarla la Dirección General de Energía.</w:t>
      </w:r>
    </w:p>
    <w:p w14:paraId="0988CB16" w14:textId="77777777" w:rsidR="005E19E2" w:rsidRDefault="005E19E2" w:rsidP="005E19E2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lastRenderedPageBreak/>
        <w:t xml:space="preserve">Es cuanto informo en cumplimiento de lo dispuesto en el </w:t>
      </w:r>
      <w:r w:rsidRPr="005E19E2">
        <w:rPr>
          <w:rFonts w:ascii="DejaVu Serif Condensed" w:hAnsi="DejaVu Serif Condensed"/>
          <w:bCs/>
          <w:sz w:val="22"/>
          <w:szCs w:val="22"/>
        </w:rPr>
        <w:t>artículo 215</w:t>
      </w:r>
      <w:r>
        <w:rPr>
          <w:rFonts w:ascii="DejaVu Serif Condensed" w:hAnsi="DejaVu Serif Condensed"/>
          <w:sz w:val="22"/>
          <w:szCs w:val="22"/>
        </w:rPr>
        <w:t xml:space="preserve"> del Reglamento del Parlamento de Navarra.</w:t>
      </w:r>
    </w:p>
    <w:p w14:paraId="5D122554" w14:textId="77777777" w:rsidR="00CC74B5" w:rsidRDefault="00CC74B5" w:rsidP="005E19E2">
      <w:pPr>
        <w:spacing w:line="360" w:lineRule="auto"/>
        <w:rPr>
          <w:rFonts w:ascii="DejaVu Serif Condensed" w:hAnsi="DejaVu Serif Condensed"/>
          <w:sz w:val="22"/>
          <w:szCs w:val="22"/>
        </w:rPr>
      </w:pPr>
    </w:p>
    <w:p w14:paraId="3E681AC4" w14:textId="01D17F6D" w:rsidR="005E19E2" w:rsidRDefault="005E19E2" w:rsidP="005E19E2">
      <w:pPr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En Pamplona, 17 de junio de 2024</w:t>
      </w:r>
    </w:p>
    <w:p w14:paraId="1035FA56" w14:textId="77777777" w:rsidR="00CC74B5" w:rsidRDefault="005E19E2" w:rsidP="005E19E2">
      <w:pPr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La Consejera de Vivienda, Juventud y Políticas Migratorias: Begoña Alfaro García</w:t>
      </w:r>
    </w:p>
    <w:p w14:paraId="5BF40359" w14:textId="21A69F32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768"/>
    <w:multiLevelType w:val="hybridMultilevel"/>
    <w:tmpl w:val="CDBC5F3E"/>
    <w:lvl w:ilvl="0" w:tplc="1C3A3D86">
      <w:numFmt w:val="bullet"/>
      <w:lvlText w:val="–"/>
      <w:lvlJc w:val="left"/>
      <w:pPr>
        <w:ind w:left="720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8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2"/>
    <w:rsid w:val="000370A0"/>
    <w:rsid w:val="001E34F2"/>
    <w:rsid w:val="00227BF7"/>
    <w:rsid w:val="00337EB8"/>
    <w:rsid w:val="00363EC9"/>
    <w:rsid w:val="00377125"/>
    <w:rsid w:val="003C1B1F"/>
    <w:rsid w:val="004F142A"/>
    <w:rsid w:val="005E19E2"/>
    <w:rsid w:val="006133AF"/>
    <w:rsid w:val="00845D68"/>
    <w:rsid w:val="008A3285"/>
    <w:rsid w:val="00956302"/>
    <w:rsid w:val="00A6590A"/>
    <w:rsid w:val="00AD383F"/>
    <w:rsid w:val="00B065BA"/>
    <w:rsid w:val="00B42A30"/>
    <w:rsid w:val="00CC74B5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4E83"/>
  <w15:chartTrackingRefBased/>
  <w15:docId w15:val="{49246CAA-409A-4997-8787-9CB5A309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19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19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19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19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19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19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19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19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19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1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1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1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19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19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19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19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19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19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1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E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19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19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19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19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19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1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19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1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2104</Characters>
  <Application>Microsoft Office Word</Application>
  <DocSecurity>0</DocSecurity>
  <Lines>67</Lines>
  <Paragraphs>40</Paragraphs>
  <ScaleCrop>false</ScaleCrop>
  <Company>HP Inc.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2024-06-26T08:35:00Z</dcterms:created>
  <dcterms:modified xsi:type="dcterms:W3CDTF">2024-07-19T11:06:00Z</dcterms:modified>
</cp:coreProperties>
</file>