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15ACE" w14:textId="45D43B67" w:rsidR="000E77A0" w:rsidRDefault="005806BA">
      <w:pPr>
        <w:spacing w:after="3" w:line="360" w:lineRule="auto"/>
        <w:ind w:left="-15" w:firstLine="606"/>
        <w:jc w:val="both"/>
      </w:pPr>
      <w:r>
        <w:rPr>
          <w:sz w:val="21"/>
          <w:rFonts w:ascii="Arial" w:hAnsi="Arial"/>
        </w:rPr>
        <w:t xml:space="preserve">Nafarroako Gorteetako kide den eta Alderdi Popularra talde parlamentarioari atxikita dagoen foru parlamentari Javier García Jiménez jaunak honako galdera idatzi hau egin du, Legebiltzarreko Erregelamenduan xedatzen denaren babesean: Inolako baloraziorik egin al du Nafarroako Gobernuak neurri horiek izan dezaketen eragina dela-eta? Hau da, neurri horiek enplegua zuzenean ala zeharka suntsitzen ahal duten eta ukitutako enpresetan lanaren antolamenduaren gaineko baldintzak aldatzen ote dituzten? (11-24/PES-00318). Hona Barneko, Funtzio Publikoko eta Justiziako kontseilariaren erantzuna: </w:t>
      </w:r>
      <w:r>
        <w:rPr>
          <w:sz w:val="21"/>
          <w:rFonts w:ascii="Arial" w:hAnsi="Arial"/>
        </w:rPr>
        <w:t xml:space="preserve"> </w:t>
      </w:r>
    </w:p>
    <w:p w14:paraId="43053853" w14:textId="77777777" w:rsidR="000E77A0" w:rsidRDefault="005806BA">
      <w:pPr>
        <w:spacing w:after="3" w:line="360" w:lineRule="auto"/>
        <w:ind w:left="-5" w:hanging="10"/>
        <w:jc w:val="both"/>
      </w:pPr>
      <w:r>
        <w:rPr>
          <w:sz w:val="21"/>
          <w:rFonts w:ascii="Arial" w:hAnsi="Arial"/>
        </w:rPr>
        <w:t xml:space="preserve"> </w:t>
      </w:r>
    </w:p>
    <w:p w14:paraId="3A4E976D" w14:textId="77777777" w:rsidR="000E77A0" w:rsidRDefault="005806BA">
      <w:pPr>
        <w:spacing w:after="3" w:line="360" w:lineRule="auto"/>
        <w:ind w:left="-15" w:firstLine="606"/>
        <w:jc w:val="both"/>
      </w:pPr>
      <w:r>
        <w:rPr>
          <w:sz w:val="21"/>
          <w:rFonts w:ascii="Arial" w:hAnsi="Arial"/>
        </w:rPr>
        <w:t xml:space="preserve"> </w:t>
      </w:r>
    </w:p>
    <w:p w14:paraId="0C459403" w14:textId="77777777" w:rsidR="005806BA" w:rsidRDefault="005806BA">
      <w:pPr>
        <w:spacing w:after="100"/>
        <w:ind w:left="616" w:hanging="10"/>
        <w:jc w:val="both"/>
      </w:pPr>
      <w:r>
        <w:rPr>
          <w:sz w:val="21"/>
          <w:rFonts w:ascii="Arial" w:hAnsi="Arial"/>
        </w:rPr>
        <w:t xml:space="preserve">  </w:t>
      </w:r>
    </w:p>
    <w:p w14:paraId="529D29E0" w14:textId="77777777" w:rsidR="005806BA" w:rsidRDefault="005806BA">
      <w:pPr>
        <w:spacing w:after="0" w:line="360" w:lineRule="auto"/>
        <w:ind w:firstLine="606"/>
      </w:pPr>
      <w:r>
        <w:rPr>
          <w:sz w:val="21"/>
          <w:rFonts w:ascii="Arial" w:hAnsi="Arial"/>
        </w:rPr>
        <w:t xml:space="preserve">Nafarroako Foru Komunitatean Joko eta Apustuen Erregelamendu Orokorra onesten duen Foru Dekretuaren proiektua egina da Jokoari buruzko abenduaren 14ko 16/2006 Foru Legea (zeina uztailaren 1eko 21/2022 Foru Legearen bidez aldatu baitzen) garatzeko.</w:t>
      </w:r>
      <w:r>
        <w:rPr>
          <w:sz w:val="21"/>
          <w:rFonts w:ascii="Arial" w:hAnsi="Arial"/>
        </w:rPr>
        <w:t xml:space="preserve"> </w:t>
      </w:r>
    </w:p>
    <w:p w14:paraId="5E7D719C" w14:textId="77777777" w:rsidR="005806BA" w:rsidRDefault="005806BA">
      <w:pPr>
        <w:spacing w:after="1" w:line="360" w:lineRule="auto"/>
        <w:ind w:left="-15" w:right="-10" w:firstLine="596"/>
        <w:jc w:val="both"/>
      </w:pPr>
      <w:r>
        <w:rPr>
          <w:sz w:val="21"/>
          <w:rFonts w:ascii="Arial" w:hAnsi="Arial"/>
        </w:rPr>
        <w:t xml:space="preserve">Azken foru lege horren zioen azalpenean adierazten den bezala</w:t>
      </w:r>
      <w:r>
        <w:rPr>
          <w:sz w:val="21"/>
          <w:i/>
          <w:rFonts w:ascii="Arial" w:hAnsi="Arial"/>
        </w:rPr>
        <w:t xml:space="preserve">, “Jokoari buruzko abenduaren 14ko 16/2006 Foru Legea aldatzen da, lege-aldaketak eginez lokal eta makinen araudian, irekitzeko eta ixteko ordutegietan, kontrolean, publizitatean eta babesletzan, helburu izanik adikzioaren arriskuak arintzea, irisgarritasuna gutxitzea, babes faktoreei eragitea hezkuntzaren bidez eta gizartea sentsibilizatuz, eta, azken batean, hezkuntza, familia, gizarte eta osasun esparruen arteko interakziorako mekanismoak ezartzea.</w:t>
      </w:r>
      <w:r>
        <w:rPr>
          <w:sz w:val="21"/>
          <w:i/>
          <w:rFonts w:ascii="Arial" w:hAnsi="Arial"/>
        </w:rPr>
        <w:t xml:space="preserve"> </w:t>
      </w:r>
    </w:p>
    <w:p w14:paraId="78200C99" w14:textId="77777777" w:rsidR="005806BA" w:rsidRDefault="005806BA">
      <w:pPr>
        <w:spacing w:after="1" w:line="360" w:lineRule="auto"/>
        <w:ind w:left="-15" w:right="-10" w:firstLine="596"/>
        <w:jc w:val="both"/>
      </w:pPr>
      <w:r>
        <w:rPr>
          <w:i/>
          <w:sz w:val="21"/>
          <w:rFonts w:ascii="Arial" w:hAnsi="Arial"/>
        </w:rPr>
        <w:t xml:space="preserve">Arauaren aldaketak tresna eraginkorra izan behar du jokoaren aurrean sektore kalteberenak babesteko, batez ere adingabeak, gazteak eta nerabeak, horiek zaintza edo babes berezia behar baitute.</w:t>
      </w:r>
      <w:r>
        <w:rPr>
          <w:i/>
          <w:sz w:val="21"/>
          <w:rFonts w:ascii="Arial" w:hAnsi="Arial"/>
        </w:rPr>
        <w:t xml:space="preserve"> </w:t>
      </w:r>
      <w:r>
        <w:rPr>
          <w:i/>
          <w:sz w:val="21"/>
          <w:rFonts w:ascii="Arial" w:hAnsi="Arial"/>
        </w:rPr>
        <w:t xml:space="preserve">Horregatik, Administrazioaren esku-hartzeak xede izan behar du arriskua duten kolektiboak defendatzea merkatu irekiko eta lehia libreko ekonomiaren testuinguruan, arreta berezia jarriz haur eta gazteei, josteta-jarduera batek ez ditzan joko patologikora eraman.”</w:t>
      </w:r>
      <w:r>
        <w:rPr>
          <w:i/>
          <w:sz w:val="21"/>
          <w:rFonts w:ascii="Arial" w:hAnsi="Arial"/>
        </w:rPr>
        <w:t xml:space="preserve"> </w:t>
      </w:r>
    </w:p>
    <w:p w14:paraId="38EA4719" w14:textId="77777777" w:rsidR="005806BA" w:rsidRDefault="005806BA">
      <w:pPr>
        <w:spacing w:after="3" w:line="360" w:lineRule="auto"/>
        <w:ind w:left="-15" w:firstLine="606"/>
        <w:jc w:val="both"/>
      </w:pPr>
      <w:r>
        <w:rPr>
          <w:sz w:val="21"/>
          <w:rFonts w:ascii="Arial" w:hAnsi="Arial"/>
        </w:rPr>
        <w:t xml:space="preserve">Jokoaren sektorearekin lotura duen jarduera ekonomikoa, bere modalitate desberdinetan, kontrolatu egiten dute administrazio publikoek, zeinek, merkaturatze-murrizketa batzuk ezarriz eta jokoarekin lotura duten jarduera ekonomikoen gauzatzea arautuz, osasun publikoa babestea bilatzen baitute, batik bat zaurgarritasun-egoeretan.</w:t>
      </w:r>
      <w:r>
        <w:rPr>
          <w:sz w:val="21"/>
          <w:rFonts w:ascii="Arial" w:hAnsi="Arial"/>
        </w:rPr>
        <w:t xml:space="preserve"> </w:t>
      </w:r>
      <w:r>
        <w:rPr>
          <w:sz w:val="21"/>
          <w:rFonts w:ascii="Arial" w:hAnsi="Arial"/>
        </w:rPr>
        <w:t xml:space="preserve">Ideia hori goiburu gisa harturik, araugintza-prozesuak ezartzen dituen eragin sektorial guztiak aztertu dira, eta oreka bilatu da administrazioaren esku-hartzearen eta enpresa-jardunarekiko begirunearen artean. Hain zuzen, enpresa-jardun hori da lanaren eta enpleguaren baldintzen antolaketari dagozkion neurriak hartu beharreko alorra, eraginaren eta aukeren enpresa-analisia egin ondoren.</w:t>
      </w:r>
      <w:r>
        <w:rPr>
          <w:sz w:val="21"/>
          <w:color w:val="2E75B6"/>
          <w:rFonts w:ascii="Times New Roman" w:hAnsi="Times New Roman"/>
        </w:rPr>
        <w:t xml:space="preserve"> </w:t>
      </w:r>
    </w:p>
    <w:p w14:paraId="03A32EB7" w14:textId="2A8C34C5" w:rsidR="005806BA" w:rsidRDefault="005806BA">
      <w:pPr>
        <w:spacing w:after="3" w:line="360" w:lineRule="auto"/>
        <w:ind w:left="-5" w:hanging="10"/>
        <w:jc w:val="both"/>
      </w:pPr>
      <w:r>
        <w:rPr>
          <w:sz w:val="21"/>
          <w:rFonts w:ascii="Arial" w:hAnsi="Arial"/>
        </w:rPr>
        <w:t xml:space="preserve">Hori guztia jakinarazten dut, Nafarroako Parlamentuko Erregelamenduaren 215. artikuluan xedatutakoa betez.</w:t>
      </w:r>
      <w:r>
        <w:rPr>
          <w:sz w:val="21"/>
          <w:rFonts w:ascii="Arial" w:hAnsi="Arial"/>
        </w:rPr>
        <w:t xml:space="preserve"> </w:t>
      </w:r>
    </w:p>
    <w:p w14:paraId="053C21CA" w14:textId="3F77B547" w:rsidR="000E77A0" w:rsidRDefault="005806BA">
      <w:pPr>
        <w:spacing w:after="99"/>
        <w:ind w:left="10" w:right="1" w:hanging="10"/>
        <w:jc w:val="center"/>
        <w:rPr>
          <w:sz w:val="21"/>
          <w:rFonts w:ascii="Arial" w:eastAsia="Arial" w:hAnsi="Arial" w:cs="Arial"/>
        </w:rPr>
      </w:pPr>
      <w:r>
        <w:rPr>
          <w:sz w:val="21"/>
          <w:rFonts w:ascii="Arial" w:hAnsi="Arial"/>
        </w:rPr>
        <w:t xml:space="preserve">Iruñean, 2024ko uztailaren 22an</w:t>
      </w:r>
    </w:p>
    <w:p w14:paraId="0D04ED59" w14:textId="77777777" w:rsidR="005806BA" w:rsidRPr="005806BA" w:rsidRDefault="005806BA" w:rsidP="005806BA">
      <w:pPr>
        <w:spacing w:after="99"/>
        <w:ind w:left="10" w:right="1" w:hanging="10"/>
        <w:jc w:val="center"/>
      </w:pPr>
      <w:r>
        <w:t xml:space="preserve">Lehen lehendakariorde eta Lehendakaritza eta Berdintasuneko kontseilaria:</w:t>
      </w:r>
      <w:r>
        <w:t xml:space="preserve"> </w:t>
      </w:r>
      <w:r>
        <w:t xml:space="preserve">Félix Taberna Monzón</w:t>
      </w:r>
      <w:r>
        <w:t xml:space="preserve"> </w:t>
      </w:r>
    </w:p>
    <w:p w14:paraId="1112261C" w14:textId="77777777" w:rsidR="005806BA" w:rsidRPr="005806BA" w:rsidRDefault="005806BA" w:rsidP="005806BA">
      <w:pPr>
        <w:spacing w:after="99"/>
        <w:ind w:left="10" w:right="1" w:hanging="10"/>
        <w:jc w:val="center"/>
      </w:pPr>
      <w:r>
        <w:t xml:space="preserve">Barneko, Funtzio Publikoko eta Justiziako kontseilariaren ordez (Nafarroako Foru Komunitateko lehendakariaren 17/2024 Foru Dekretua, uztailaren 3koa)</w:t>
      </w:r>
      <w:r>
        <w:t xml:space="preserve"> </w:t>
      </w:r>
    </w:p>
    <w:p w14:paraId="2C7E2532" w14:textId="77777777" w:rsidR="005806BA" w:rsidRDefault="005806BA">
      <w:pPr>
        <w:spacing w:after="99"/>
        <w:ind w:left="10" w:right="1" w:hanging="10"/>
        <w:jc w:val="center"/>
      </w:pPr>
    </w:p>
    <w:sectPr w:rsidR="005806BA" w:rsidSect="005806BA">
      <w:pgSz w:w="11900" w:h="16840"/>
      <w:pgMar w:top="1701" w:right="2064" w:bottom="993" w:left="2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A0"/>
    <w:rsid w:val="000434DB"/>
    <w:rsid w:val="000E77A0"/>
    <w:rsid w:val="002D0A2D"/>
    <w:rsid w:val="005806BA"/>
    <w:rsid w:val="005D78AD"/>
    <w:rsid w:val="00A32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9E99"/>
  <w15:docId w15:val="{77B2EFEA-57BE-4046-8622-1F7E0216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2276">
      <w:bodyDiv w:val="1"/>
      <w:marLeft w:val="0"/>
      <w:marRight w:val="0"/>
      <w:marTop w:val="0"/>
      <w:marBottom w:val="0"/>
      <w:divBdr>
        <w:top w:val="none" w:sz="0" w:space="0" w:color="auto"/>
        <w:left w:val="none" w:sz="0" w:space="0" w:color="auto"/>
        <w:bottom w:val="none" w:sz="0" w:space="0" w:color="auto"/>
        <w:right w:val="none" w:sz="0" w:space="0" w:color="auto"/>
      </w:divBdr>
    </w:div>
    <w:div w:id="131691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2967</Characters>
  <Application>Microsoft Office Word</Application>
  <DocSecurity>0</DocSecurity>
  <Lines>24</Lines>
  <Paragraphs>6</Paragraphs>
  <ScaleCrop>false</ScaleCrop>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2024-07-29T07:40:00Z</dcterms:created>
  <dcterms:modified xsi:type="dcterms:W3CDTF">2024-07-30T12:21:00Z</dcterms:modified>
</cp:coreProperties>
</file>