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A63151" w14:textId="0FC6BED5" w:rsidR="00C41FE9" w:rsidRPr="00EA1D6D" w:rsidRDefault="00C41FE9" w:rsidP="00EA1D6D">
      <w:pPr>
        <w:pStyle w:val="Style"/>
        <w:spacing w:before="100" w:beforeAutospacing="1" w:after="200" w:line="276" w:lineRule="auto"/>
        <w:ind w:leftChars="567" w:left="1247" w:rightChars="567" w:right="1247"/>
        <w:jc w:val="both"/>
        <w:textAlignment w:val="baseline"/>
        <w:rPr>
          <w:sz w:val="22"/>
          <w:szCs w:val="22"/>
          <w:rFonts w:ascii="Calibri" w:hAnsi="Calibri" w:cs="Calibri"/>
        </w:rPr>
      </w:pPr>
      <w:r>
        <w:rPr>
          <w:sz w:val="22"/>
          <w:rFonts w:ascii="Calibri" w:hAnsi="Calibri"/>
        </w:rPr>
        <w:t xml:space="preserve">24PES-282</w:t>
      </w:r>
    </w:p>
    <w:p w14:paraId="50C9B567" w14:textId="1C517F95" w:rsidR="00483328" w:rsidRPr="00EA1D6D" w:rsidRDefault="00B07052" w:rsidP="00EA1D6D">
      <w:pPr>
        <w:pStyle w:val="Style"/>
        <w:spacing w:before="100" w:beforeAutospacing="1" w:after="200" w:line="276" w:lineRule="auto"/>
        <w:ind w:leftChars="567" w:left="1247" w:rightChars="567" w:right="1247"/>
        <w:jc w:val="both"/>
        <w:textAlignment w:val="baseline"/>
        <w:rPr>
          <w:sz w:val="22"/>
          <w:szCs w:val="22"/>
          <w:rFonts w:ascii="Calibri" w:hAnsi="Calibri" w:cs="Calibri"/>
        </w:rPr>
      </w:pPr>
      <w:r>
        <w:rPr>
          <w:sz w:val="22"/>
          <w:rFonts w:ascii="Calibri" w:hAnsi="Calibri"/>
        </w:rPr>
        <w:t xml:space="preserve">Unión del Pueblo Navarro talde parlamentarioari atxikitako foru parlamentari Ana Maria Elizalde Urmeneta andreak eguzki-plakak instalatzeko dirulaguntzetarako eskaerei buruzko galdera idatzia egin zuen (11-24/PES-00282), eta gero Mahaiari errekeritu zion 11-24/PES-00282 galdera idatziaren erantzuna igor zekion.  Hona Industriako eta Enpresen Trantsizio Ekologiko eta Digitalerako kontseilariaren erantzuna:</w:t>
      </w:r>
      <w:r>
        <w:rPr>
          <w:sz w:val="22"/>
          <w:rFonts w:ascii="Calibri" w:hAnsi="Calibri"/>
        </w:rPr>
        <w:t xml:space="preserve"> </w:t>
      </w:r>
    </w:p>
    <w:p w14:paraId="65410E4D" w14:textId="3565ED05" w:rsidR="00483328" w:rsidRPr="00EA1D6D" w:rsidRDefault="00B07052" w:rsidP="00EA1D6D">
      <w:pPr>
        <w:pStyle w:val="Style"/>
        <w:spacing w:before="100" w:beforeAutospacing="1" w:after="200" w:line="276" w:lineRule="auto"/>
        <w:ind w:leftChars="567" w:left="1247" w:rightChars="567" w:right="1247"/>
        <w:jc w:val="both"/>
        <w:textAlignment w:val="baseline"/>
        <w:rPr>
          <w:sz w:val="22"/>
          <w:szCs w:val="22"/>
          <w:rFonts w:ascii="Calibri" w:hAnsi="Calibri" w:cs="Calibri"/>
        </w:rPr>
      </w:pPr>
      <w:r>
        <w:rPr>
          <w:sz w:val="22"/>
          <w:rFonts w:ascii="Calibri" w:hAnsi="Calibri"/>
        </w:rPr>
        <w:t xml:space="preserve">Industriaren, Energiaren eta S3 Proiektu Estrategikoen zuzendari nagusiaren urriaren 15eko 121E/2021 Ebazpenaren bidez onetsi zen deialdi hau: “Autokontsumorako eta energia-iturri berriztagarrien bidez biltegiratzeko laguntzak, baita bizitegi-sektorean sistema termiko berriztagarriak ezartzeko ere”.</w:t>
      </w:r>
      <w:r>
        <w:rPr>
          <w:sz w:val="22"/>
          <w:rFonts w:ascii="Calibri" w:hAnsi="Calibri"/>
        </w:rPr>
        <w:t xml:space="preserve"> </w:t>
      </w:r>
      <w:r>
        <w:rPr>
          <w:sz w:val="22"/>
          <w:rFonts w:ascii="Calibri" w:hAnsi="Calibri"/>
        </w:rPr>
        <w:t xml:space="preserve">Horren arabera, 10.338.724,09 euroko gastua egitea baimendu zen gastu-aurrekontuko  820001 82500 7701 425203 partidaren kargura [PEP: E-21-000384] eta [PEP: E-21- 000385], 2022an, 2023an eta 2024an deialditik heldu diren konpromisoak artatzeko behar adinako kreditua egotearen baldintzapean.  </w:t>
      </w:r>
      <w:r>
        <w:rPr>
          <w:sz w:val="22"/>
          <w:rFonts w:ascii="Calibri" w:hAnsi="Calibri"/>
        </w:rPr>
        <w:t xml:space="preserve"> </w:t>
      </w:r>
    </w:p>
    <w:p w14:paraId="0BCE90AB" w14:textId="77777777" w:rsidR="00483328" w:rsidRPr="00EA1D6D" w:rsidRDefault="00B07052" w:rsidP="00EA1D6D">
      <w:pPr>
        <w:pStyle w:val="Style"/>
        <w:spacing w:before="100" w:beforeAutospacing="1" w:after="200" w:line="276" w:lineRule="auto"/>
        <w:ind w:leftChars="567" w:left="1247" w:rightChars="567" w:right="1247"/>
        <w:jc w:val="both"/>
        <w:textAlignment w:val="baseline"/>
        <w:rPr>
          <w:sz w:val="22"/>
          <w:szCs w:val="22"/>
          <w:rFonts w:ascii="Calibri" w:hAnsi="Calibri" w:cs="Calibri"/>
        </w:rPr>
      </w:pPr>
      <w:r>
        <w:rPr>
          <w:sz w:val="22"/>
          <w:rFonts w:ascii="Calibri" w:hAnsi="Calibri"/>
        </w:rPr>
        <w:t xml:space="preserve">Deialdiko hirugarren oinarri arautzailearen arabera:</w:t>
      </w:r>
      <w:r>
        <w:rPr>
          <w:sz w:val="22"/>
          <w:rFonts w:ascii="Calibri" w:hAnsi="Calibri"/>
        </w:rPr>
        <w:t xml:space="preserve"> </w:t>
      </w:r>
      <w:r>
        <w:rPr>
          <w:sz w:val="22"/>
          <w:i/>
          <w:rFonts w:ascii="Calibri" w:hAnsi="Calibri"/>
        </w:rPr>
        <w:t xml:space="preserve">Eskaerak aurkezteko epea deialdi hau Nafarroako Aldizkari Ofizialean argitaratu eta biharamunean hasiko da eta 2023ko abenduaren 31n bukatuko.</w:t>
      </w:r>
      <w:r>
        <w:rPr>
          <w:sz w:val="22"/>
          <w:i/>
          <w:rFonts w:ascii="Calibri" w:hAnsi="Calibri"/>
        </w:rPr>
        <w:t xml:space="preserve"> </w:t>
      </w:r>
    </w:p>
    <w:p w14:paraId="73666449" w14:textId="08C50C0C" w:rsidR="008563DD" w:rsidRPr="00EA1D6D" w:rsidRDefault="00B07052" w:rsidP="00EA1D6D">
      <w:pPr>
        <w:pStyle w:val="Style"/>
        <w:spacing w:before="100" w:beforeAutospacing="1" w:after="200" w:line="276" w:lineRule="auto"/>
        <w:ind w:leftChars="567" w:left="1247" w:rightChars="567" w:right="1247"/>
        <w:jc w:val="both"/>
        <w:textAlignment w:val="baseline"/>
        <w:rPr>
          <w:b/>
          <w:w w:val="109"/>
          <w:sz w:val="22"/>
          <w:szCs w:val="22"/>
          <w:rFonts w:ascii="Calibri" w:hAnsi="Calibri" w:cs="Calibri"/>
        </w:rPr>
      </w:pPr>
      <w:r>
        <w:rPr>
          <w:sz w:val="22"/>
          <w:rFonts w:ascii="Calibri" w:hAnsi="Calibri"/>
        </w:rPr>
        <w:t xml:space="preserve">Deialdia 2021eko azaroaren 9ko Nafarroako Aldizkari Ofizialean argitaratu zenez, eskaerak aurkezteko epea 2021eko azaroaren 10ean hasi zen.</w:t>
      </w:r>
    </w:p>
    <w:p w14:paraId="74BBAA81" w14:textId="56DAD7F7" w:rsidR="00483328" w:rsidRPr="00EA1D6D" w:rsidRDefault="00B07052" w:rsidP="00EA1D6D">
      <w:pPr>
        <w:pStyle w:val="Style"/>
        <w:spacing w:before="100" w:beforeAutospacing="1" w:after="200" w:line="276" w:lineRule="auto"/>
        <w:ind w:leftChars="567" w:left="1247" w:rightChars="567" w:right="1247"/>
        <w:jc w:val="both"/>
        <w:textAlignment w:val="baseline"/>
        <w:rPr>
          <w:sz w:val="22"/>
          <w:szCs w:val="22"/>
          <w:rFonts w:ascii="Calibri" w:hAnsi="Calibri" w:cs="Calibri"/>
        </w:rPr>
      </w:pPr>
      <w:r>
        <w:rPr>
          <w:sz w:val="22"/>
          <w:rFonts w:ascii="Calibri" w:hAnsi="Calibri"/>
        </w:rPr>
        <w:t xml:space="preserve">2021ean, autokontsumoko 8,19 MW instalatu ziren,  48 espedienteri dagozkienak; 2021ean, 32,5 MW, 1.095 espedienteri dagozkienak; 2022an, 62,61 MW, 4.296 espedienteri dagozkienak, eta 2023an, 67,52 MW, 3.307 espedienteri dagozkienak.</w:t>
      </w:r>
      <w:r>
        <w:rPr>
          <w:sz w:val="22"/>
          <w:rFonts w:ascii="Calibri" w:hAnsi="Calibri"/>
        </w:rPr>
        <w:t xml:space="preserve"> </w:t>
      </w:r>
    </w:p>
    <w:p w14:paraId="5E89090D" w14:textId="4E83D496" w:rsidR="00483328" w:rsidRPr="00EA1D6D" w:rsidRDefault="00B07052" w:rsidP="00EA1D6D">
      <w:pPr>
        <w:pStyle w:val="Style"/>
        <w:spacing w:before="100" w:beforeAutospacing="1" w:after="200" w:line="276" w:lineRule="auto"/>
        <w:ind w:leftChars="567" w:left="1247" w:rightChars="567" w:right="1247"/>
        <w:jc w:val="both"/>
        <w:textAlignment w:val="baseline"/>
        <w:rPr>
          <w:sz w:val="22"/>
          <w:szCs w:val="22"/>
          <w:rFonts w:ascii="Calibri" w:hAnsi="Calibri" w:cs="Calibri"/>
        </w:rPr>
      </w:pPr>
      <w:r>
        <w:rPr>
          <w:sz w:val="22"/>
          <w:rFonts w:ascii="Calibri" w:hAnsi="Calibri"/>
        </w:rPr>
        <w:t xml:space="preserve">Halatan, 2021etik gaur arte 13z biderkatu dugu Nafarroan instalatutako autokontsumoaren potentzia.</w:t>
      </w:r>
      <w:r>
        <w:rPr>
          <w:sz w:val="22"/>
          <w:rFonts w:ascii="Calibri" w:hAnsi="Calibri"/>
        </w:rPr>
        <w:t xml:space="preserve"> </w:t>
      </w:r>
      <w:r>
        <w:rPr>
          <w:sz w:val="22"/>
          <w:rFonts w:ascii="Calibri" w:hAnsi="Calibri"/>
        </w:rPr>
        <w:t xml:space="preserve">2021an, instalatutako potentzia 8,19 MW-koa zen, eta gaur egun (2024ko abuztua) 201 MW-koa da.</w:t>
      </w:r>
      <w:r>
        <w:rPr>
          <w:sz w:val="22"/>
          <w:rFonts w:ascii="Calibri" w:hAnsi="Calibri"/>
        </w:rPr>
        <w:t xml:space="preserve"> </w:t>
      </w:r>
      <w:r>
        <w:rPr>
          <w:sz w:val="22"/>
          <w:rFonts w:ascii="Calibri" w:hAnsi="Calibri"/>
        </w:rPr>
        <w:t xml:space="preserve">2024an, autokontsumoa Nafarroan kontsumitutako energia elektrikoaren % 3 da.</w:t>
      </w:r>
      <w:r>
        <w:rPr>
          <w:sz w:val="22"/>
          <w:rFonts w:ascii="Calibri" w:hAnsi="Calibri"/>
        </w:rPr>
        <w:t xml:space="preserve"> </w:t>
      </w:r>
    </w:p>
    <w:p w14:paraId="2B67E6C5" w14:textId="77777777" w:rsidR="00985088" w:rsidRPr="00EA1D6D" w:rsidRDefault="00B07052" w:rsidP="00EA1D6D">
      <w:pPr>
        <w:pStyle w:val="Style"/>
        <w:spacing w:before="100" w:beforeAutospacing="1" w:after="200" w:line="276" w:lineRule="auto"/>
        <w:ind w:leftChars="567" w:left="1247" w:rightChars="567" w:right="1247"/>
        <w:jc w:val="both"/>
        <w:textAlignment w:val="baseline"/>
        <w:rPr>
          <w:sz w:val="22"/>
          <w:szCs w:val="22"/>
          <w:rFonts w:ascii="Calibri" w:hAnsi="Calibri" w:cs="Calibri"/>
        </w:rPr>
      </w:pPr>
      <w:r>
        <w:rPr>
          <w:sz w:val="22"/>
          <w:rFonts w:ascii="Calibri" w:hAnsi="Calibri"/>
        </w:rPr>
        <w:t xml:space="preserve">Nafarroak 2021etik aitzina kudeatu ditu autokontsumorako eta energia berriztagarriko iturriekiko biltegiratzerako MRR funtsetatik heldu diren laguntzak.</w:t>
      </w:r>
      <w:r>
        <w:rPr>
          <w:sz w:val="22"/>
          <w:rFonts w:ascii="Calibri" w:hAnsi="Calibri"/>
        </w:rPr>
        <w:t xml:space="preserve"> </w:t>
      </w:r>
      <w:r>
        <w:rPr>
          <w:sz w:val="22"/>
          <w:rFonts w:ascii="Calibri" w:hAnsi="Calibri"/>
        </w:rPr>
        <w:t xml:space="preserve">Gainera, % 30era bitarteko kenkari fiskalak aplikatu dira.</w:t>
      </w:r>
    </w:p>
    <w:p w14:paraId="282E3308" w14:textId="34D3A00F" w:rsidR="00B666E4" w:rsidRPr="00B666E4" w:rsidRDefault="00B07052" w:rsidP="00B666E4">
      <w:pPr>
        <w:pStyle w:val="Style"/>
        <w:spacing w:before="100" w:beforeAutospacing="1" w:after="200" w:line="276" w:lineRule="auto"/>
        <w:ind w:leftChars="567" w:left="1247" w:rightChars="567" w:right="1247"/>
        <w:jc w:val="both"/>
        <w:textAlignment w:val="baseline"/>
        <w:rPr>
          <w:sz w:val="22"/>
          <w:szCs w:val="22"/>
          <w:rFonts w:ascii="Calibri" w:hAnsi="Calibri" w:cs="Calibri"/>
        </w:rPr>
      </w:pPr>
      <w:r>
        <w:rPr>
          <w:sz w:val="22"/>
          <w:rFonts w:ascii="Calibri" w:hAnsi="Calibri"/>
        </w:rPr>
        <w:t xml:space="preserve">2022ko maiatzetik uztailera bitarte egindako lehenbiziko emakida-ebazpenekin eta eskaerak jaso ondoko sei hilabeteetan egindakoekin  eskabideak aurkezteko epeko lehenbiziko egunean jasotakoak soilik aintzat hartu ahal izan ziren; hau da, 2021eko azaroaren 10ekoak.</w:t>
      </w:r>
      <w:r>
        <w:rPr>
          <w:sz w:val="22"/>
          <w:rFonts w:ascii="Calibri" w:hAnsi="Calibri"/>
        </w:rPr>
        <w:t xml:space="preserve"> </w:t>
      </w:r>
    </w:p>
    <w:p w14:paraId="313FD544" w14:textId="56569C74" w:rsidR="00483328" w:rsidRPr="00EA1D6D" w:rsidRDefault="00B666E4" w:rsidP="00B666E4">
      <w:pPr>
        <w:pStyle w:val="Style"/>
        <w:spacing w:before="100" w:beforeAutospacing="1" w:after="200" w:line="276" w:lineRule="auto"/>
        <w:ind w:leftChars="567" w:left="1247" w:rightChars="567" w:right="1247"/>
        <w:rPr>
          <w:sz w:val="22"/>
          <w:szCs w:val="22"/>
          <w:rFonts w:ascii="Calibri" w:hAnsi="Calibri" w:cs="Calibri"/>
        </w:rPr>
      </w:pPr>
      <w:r>
        <w:rPr>
          <w:sz w:val="22"/>
          <w:rFonts w:ascii="Calibri" w:hAnsi="Calibri"/>
        </w:rPr>
        <w:drawing>
          <wp:inline distT="0" distB="0" distL="0" distR="0" wp14:anchorId="0E73AB88" wp14:editId="690C0A9E">
            <wp:extent cx="4323233" cy="1582310"/>
            <wp:effectExtent l="0" t="0" r="0" b="0"/>
            <wp:docPr id="11323808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80274" cy="1603187"/>
                    </a:xfrm>
                    <a:prstGeom prst="rect">
                      <a:avLst/>
                    </a:prstGeom>
                    <a:noFill/>
                    <a:ln>
                      <a:noFill/>
                    </a:ln>
                  </pic:spPr>
                </pic:pic>
              </a:graphicData>
            </a:graphic>
          </wp:inline>
        </w:drawing>
      </w:r>
    </w:p>
    <w:p w14:paraId="4D68D956" w14:textId="53BCEE1F" w:rsidR="008563DD" w:rsidRPr="00EA1D6D" w:rsidRDefault="00B07052" w:rsidP="00B666E4">
      <w:pPr>
        <w:pStyle w:val="Style"/>
        <w:spacing w:before="100" w:beforeAutospacing="1" w:after="200" w:line="276" w:lineRule="auto"/>
        <w:ind w:leftChars="567" w:left="1247" w:rightChars="567" w:right="1247"/>
        <w:jc w:val="both"/>
        <w:textAlignment w:val="baseline"/>
        <w:rPr>
          <w:sz w:val="22"/>
          <w:szCs w:val="22"/>
          <w:rFonts w:ascii="Calibri" w:hAnsi="Calibri" w:cs="Calibri"/>
        </w:rPr>
      </w:pPr>
      <w:r>
        <w:rPr>
          <w:sz w:val="22"/>
          <w:rFonts w:ascii="Calibri" w:hAnsi="Calibri"/>
        </w:rPr>
        <w:t xml:space="preserve">Deialdiak halako arrakasta izan zuenez gero (inoiz ez bezalakoa, zeren eta epea bukatu zenean 11.924 eskaera aurkeztu baitziren), eta ikusita eskaerak aurkezteko epeko bigarren egunetik jasotakoak ezin izanen zirela beharbada aintzat hartu, Nafarroak lehenbiziko kreditu-gehikuntza eskatu zion IDAE-Energia Dibertsifikatzeko eta Aurrezteko Institutuari.</w:t>
      </w:r>
      <w:r>
        <w:rPr>
          <w:sz w:val="22"/>
          <w:rFonts w:ascii="Calibri" w:hAnsi="Calibri"/>
        </w:rPr>
        <w:t xml:space="preserve"> </w:t>
      </w:r>
      <w:r>
        <w:rPr>
          <w:sz w:val="22"/>
          <w:rFonts w:ascii="Calibri" w:hAnsi="Calibri"/>
        </w:rPr>
        <w:t xml:space="preserve">Horretarako, aurrena, Trantsizio Energetikoaren Zerbitzuak jarraipen-txosten bat egin zuen 2022ko uztailean; txostenean, jasotako eskaerak eta eskuragarri zegoen kredituarekin aintzat hartu ahal izan zirenak zertan ziren azaltzen zen,  eta lehenbiziko gehikuntza bat eskatzen zen, 70 milioi eurokoa, eta justifikatu egiten ziren ordura arte aintzat hartu gabeko eskaerak eta epea bukatu bitarte jasotzen ahal zirenak.</w:t>
      </w:r>
      <w:r>
        <w:rPr>
          <w:sz w:val="22"/>
          <w:rFonts w:ascii="Calibri" w:hAnsi="Calibri"/>
        </w:rPr>
        <w:t xml:space="preserve"> </w:t>
      </w:r>
      <w:r>
        <w:rPr>
          <w:sz w:val="22"/>
          <w:rFonts w:ascii="Calibri" w:hAnsi="Calibri"/>
        </w:rPr>
        <w:t xml:space="preserve">Txosten horren ondotik, eta IDAEk horretarako taxututako plataforman txostena abalatzen zuten datuak bete ondorik, 2022ko irailaren 6an, autokontsumoari eta energia-iturri berriztagarrien bidez biltegiratzeari lotutako pizgarrien programako aurrekontua 12.235.798 euro handitzea eskatu zen.</w:t>
      </w:r>
      <w:r>
        <w:rPr>
          <w:sz w:val="22"/>
          <w:rFonts w:ascii="Calibri" w:hAnsi="Calibri"/>
        </w:rPr>
        <w:t xml:space="preserve"> </w:t>
      </w:r>
      <w:r>
        <w:rPr>
          <w:sz w:val="22"/>
          <w:rFonts w:ascii="Calibri" w:hAnsi="Calibri"/>
        </w:rPr>
        <w:t xml:space="preserve">Argi dago zergatik ez ziren 70 milioi horiek eman: IDAEk lehen aurrekontu-gerakin bat dauka, jasotako gehikuntza-eskaera guztien artean banatzen duena, baina ezin du inolaz ere autonomia-erkidegoek eskatutako zenbateko osoa eman, horien baturak baliagarri dagoen zenbatekoa gainditzen zuelako.</w:t>
      </w:r>
      <w:r>
        <w:rPr>
          <w:sz w:val="22"/>
          <w:rFonts w:ascii="Calibri" w:hAnsi="Calibri"/>
        </w:rPr>
        <w:t xml:space="preserve"> </w:t>
      </w:r>
      <w:r>
        <w:rPr>
          <w:sz w:val="22"/>
          <w:rFonts w:ascii="Calibri" w:hAnsi="Calibri"/>
        </w:rPr>
        <w:t xml:space="preserve">Azkenik, 2022ko urrian, 12.235.798 euroko gehikuntza onartu zuen IDAEk, eta Nafarroako Gobernuak berretsi.</w:t>
      </w:r>
      <w:r>
        <w:rPr>
          <w:sz w:val="22"/>
          <w:rFonts w:ascii="Calibri" w:hAnsi="Calibri"/>
        </w:rPr>
        <w:t xml:space="preserve"> </w:t>
      </w:r>
    </w:p>
    <w:p w14:paraId="1771AE33" w14:textId="3A223570" w:rsidR="00F021CC" w:rsidRPr="00EA1D6D" w:rsidRDefault="00B07052" w:rsidP="00EA1D6D">
      <w:pPr>
        <w:pStyle w:val="Style"/>
        <w:spacing w:before="100" w:beforeAutospacing="1" w:after="200" w:line="276" w:lineRule="auto"/>
        <w:ind w:leftChars="567" w:left="1247" w:rightChars="567" w:right="1247"/>
        <w:jc w:val="both"/>
        <w:textAlignment w:val="baseline"/>
        <w:rPr>
          <w:sz w:val="22"/>
          <w:szCs w:val="22"/>
          <w:rFonts w:ascii="Calibri" w:hAnsi="Calibri" w:cs="Calibri"/>
        </w:rPr>
      </w:pPr>
      <w:r>
        <w:rPr>
          <w:sz w:val="22"/>
          <w:rFonts w:ascii="Calibri" w:hAnsi="Calibri"/>
        </w:rPr>
        <w:t xml:space="preserve">Halere, eskatutako gehikuntza jaso arte, Foru Komunitateko Administrazioak 2.168.046,58 euro ematen jarraitu zuen hirugarren (2023ko otsaila) eta laugarren (2023ko apirila) emakida-ebazpenen bidez, honako data hauek bitarte jasotako eskaerak hartu zituztenak:</w:t>
      </w:r>
      <w:r>
        <w:rPr>
          <w:sz w:val="22"/>
          <w:rFonts w:ascii="Calibri" w:hAnsi="Calibri"/>
        </w:rPr>
        <w:t xml:space="preserve"> </w:t>
      </w:r>
    </w:p>
    <w:p w14:paraId="5AFA1413" w14:textId="7D5FE0F7" w:rsidR="00483328" w:rsidRPr="00EA1D6D" w:rsidRDefault="00B666E4" w:rsidP="00B666E4">
      <w:pPr>
        <w:pStyle w:val="Style"/>
        <w:spacing w:before="100" w:beforeAutospacing="1" w:after="200" w:line="276" w:lineRule="auto"/>
        <w:ind w:leftChars="567" w:left="1247" w:rightChars="567" w:right="1247"/>
        <w:rPr>
          <w:sz w:val="22"/>
          <w:szCs w:val="22"/>
          <w:rFonts w:ascii="Calibri" w:hAnsi="Calibri" w:cs="Calibri"/>
        </w:rPr>
      </w:pPr>
      <w:r>
        <w:rPr>
          <w:sz w:val="22"/>
          <w:rFonts w:ascii="Calibri" w:hAnsi="Calibri"/>
        </w:rPr>
        <w:drawing>
          <wp:inline distT="0" distB="0" distL="0" distR="0" wp14:anchorId="2348ABE0" wp14:editId="52F102E6">
            <wp:extent cx="4158532" cy="1478885"/>
            <wp:effectExtent l="0" t="0" r="0" b="0"/>
            <wp:docPr id="63052048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05963" cy="1495753"/>
                    </a:xfrm>
                    <a:prstGeom prst="rect">
                      <a:avLst/>
                    </a:prstGeom>
                    <a:noFill/>
                    <a:ln>
                      <a:noFill/>
                    </a:ln>
                  </pic:spPr>
                </pic:pic>
              </a:graphicData>
            </a:graphic>
          </wp:inline>
        </w:drawing>
      </w:r>
    </w:p>
    <w:p w14:paraId="46E0FEE9" w14:textId="55444367" w:rsidR="00483328" w:rsidRPr="00EA1D6D" w:rsidRDefault="00B07052" w:rsidP="00EA1D6D">
      <w:pPr>
        <w:pStyle w:val="Style"/>
        <w:spacing w:before="100" w:beforeAutospacing="1" w:after="200" w:line="276" w:lineRule="auto"/>
        <w:ind w:leftChars="567" w:left="1247" w:rightChars="567" w:right="1247"/>
        <w:jc w:val="both"/>
        <w:textAlignment w:val="baseline"/>
        <w:rPr>
          <w:sz w:val="22"/>
          <w:szCs w:val="22"/>
          <w:rFonts w:ascii="Calibri" w:hAnsi="Calibri" w:cs="Calibri"/>
        </w:rPr>
      </w:pPr>
      <w:r>
        <w:rPr>
          <w:sz w:val="22"/>
          <w:rFonts w:ascii="Calibri" w:hAnsi="Calibri"/>
        </w:rPr>
        <w:t xml:space="preserve">Jasotako lehenbiziko gehikuntza Industriaren, Energiaren eta S3 Proiektu Estrategikoen zuzendari nagusiaren maiatzaren 29ko 132E/2023 Ebazpenaren bidez ezarri zen gure Foru Komunitatean.</w:t>
      </w:r>
      <w:r>
        <w:rPr>
          <w:sz w:val="22"/>
          <w:rFonts w:ascii="Calibri" w:hAnsi="Calibri"/>
        </w:rPr>
        <w:t xml:space="preserve"> </w:t>
      </w:r>
      <w:r>
        <w:rPr>
          <w:sz w:val="22"/>
          <w:rFonts w:ascii="Calibri" w:hAnsi="Calibri"/>
        </w:rPr>
        <w:t xml:space="preserve">2022ko urritik 2023ko maiatzera bitarte, Foru Komunitateko Administrazioak egin behar ziren izapideak egin zituen jasotako aurrekontu-gehikuntza ezarri ahal izateko eta Nafarroako Aldizkari Ofizialean argitaratzeko; hartara, jaso baina aintzat hartu ezin ziren eskaerak  aintzat hartu eta dirulaguntzak emateko moduan egon zen.</w:t>
      </w:r>
      <w:r>
        <w:rPr>
          <w:sz w:val="22"/>
          <w:rFonts w:ascii="Calibri" w:hAnsi="Calibri"/>
        </w:rPr>
        <w:t xml:space="preserve"> </w:t>
      </w:r>
      <w:r>
        <w:rPr>
          <w:sz w:val="22"/>
          <w:rFonts w:ascii="Calibri" w:hAnsi="Calibri"/>
        </w:rPr>
        <w:t xml:space="preserve">Bitartean, eta kontuan hartuta eskatutako gehikuntza 2022ko urriaren 21etik egon zela formalki baliagarri, berriz abiarazi zen aurrekonturik ez zegoelako ordura arte aintzat hartu ezin izan ziren eskaerak ebaluatzeko prozesua; hau da, 2021eko azaroan jasotako eskaerak.</w:t>
      </w:r>
      <w:r>
        <w:rPr>
          <w:sz w:val="22"/>
          <w:rFonts w:ascii="Calibri" w:hAnsi="Calibri"/>
        </w:rPr>
        <w:t xml:space="preserve"> </w:t>
      </w:r>
    </w:p>
    <w:p w14:paraId="409FFA99" w14:textId="77777777" w:rsidR="00483328" w:rsidRPr="00EA1D6D" w:rsidRDefault="00B07052" w:rsidP="00EA1D6D">
      <w:pPr>
        <w:pStyle w:val="Style"/>
        <w:spacing w:before="100" w:beforeAutospacing="1" w:after="200" w:line="276" w:lineRule="auto"/>
        <w:ind w:leftChars="567" w:left="1247" w:rightChars="567" w:right="1247"/>
        <w:jc w:val="both"/>
        <w:textAlignment w:val="baseline"/>
        <w:rPr>
          <w:sz w:val="22"/>
          <w:szCs w:val="22"/>
          <w:rFonts w:ascii="Calibri" w:hAnsi="Calibri" w:cs="Calibri"/>
        </w:rPr>
      </w:pPr>
      <w:r>
        <w:rPr>
          <w:sz w:val="22"/>
          <w:rFonts w:ascii="Calibri" w:hAnsi="Calibri"/>
        </w:rPr>
        <w:t xml:space="preserve"> Industriaren, Energiaren eta S3 Proiektu Estrategikoen zuzendari nagusiaren ekainaren 19ko 181E/2023 Ebazpenaren bidez, eta aurrekonturik ez zegoelako aintzat hartu ez ziren eskaerak zazpi hilabetez ebaluatu eta gero, laguntzen bosgarren emakida ebatzi zen (9.151.080,32 euro), halako moldez non data hauek bitarteko eskaerak bete baitziren:</w:t>
      </w:r>
      <w:r>
        <w:rPr>
          <w:sz w:val="22"/>
          <w:rFonts w:ascii="Calibri" w:hAnsi="Calibri"/>
        </w:rPr>
        <w:t xml:space="preserve"> </w:t>
      </w:r>
    </w:p>
    <w:p w14:paraId="642F6190" w14:textId="35F6CBE3" w:rsidR="003C2B00" w:rsidRPr="00EA1D6D" w:rsidRDefault="00B666E4" w:rsidP="00B666E4">
      <w:pPr>
        <w:pStyle w:val="Style"/>
        <w:spacing w:before="100" w:beforeAutospacing="1" w:after="200" w:line="276" w:lineRule="auto"/>
        <w:ind w:leftChars="567" w:left="1247" w:rightChars="567" w:right="1247"/>
        <w:rPr>
          <w:sz w:val="22"/>
          <w:szCs w:val="22"/>
          <w:rFonts w:ascii="Calibri" w:hAnsi="Calibri" w:cs="Calibri"/>
        </w:rPr>
      </w:pPr>
      <w:r>
        <w:rPr>
          <w:sz w:val="22"/>
          <w:rFonts w:ascii="Calibri" w:hAnsi="Calibri"/>
        </w:rPr>
        <w:drawing>
          <wp:inline distT="0" distB="0" distL="0" distR="0" wp14:anchorId="2717B0AE" wp14:editId="02B42B80">
            <wp:extent cx="4476584" cy="1908122"/>
            <wp:effectExtent l="0" t="0" r="0" b="0"/>
            <wp:docPr id="104843493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05759" cy="1920558"/>
                    </a:xfrm>
                    <a:prstGeom prst="rect">
                      <a:avLst/>
                    </a:prstGeom>
                    <a:noFill/>
                    <a:ln>
                      <a:noFill/>
                    </a:ln>
                  </pic:spPr>
                </pic:pic>
              </a:graphicData>
            </a:graphic>
          </wp:inline>
        </w:drawing>
      </w:r>
    </w:p>
    <w:p w14:paraId="3EFF5413" w14:textId="27005323" w:rsidR="00483328" w:rsidRDefault="00B07052" w:rsidP="00EA1D6D">
      <w:pPr>
        <w:pStyle w:val="Style"/>
        <w:spacing w:before="100" w:beforeAutospacing="1" w:after="200" w:line="276" w:lineRule="auto"/>
        <w:ind w:leftChars="567" w:left="1247" w:rightChars="567" w:right="1247"/>
        <w:jc w:val="both"/>
        <w:textAlignment w:val="baseline"/>
        <w:rPr>
          <w:sz w:val="22"/>
          <w:szCs w:val="22"/>
          <w:rFonts w:ascii="Calibri" w:hAnsi="Calibri" w:cs="Calibri"/>
        </w:rPr>
      </w:pPr>
      <w:r>
        <w:rPr>
          <w:sz w:val="22"/>
          <w:rFonts w:ascii="Calibri" w:hAnsi="Calibri"/>
        </w:rPr>
        <w:t xml:space="preserve">Industriaren, Energiaren eta S3 Proiektu Estrategikoen zuzendari nagusiaren urriaren 30eko 344E/2023 Ebazpenaren bidez laguntzen seigarren emakida ebatzi zen (1.869.942,67 euro), halako moldez non data hauek bitarteko eskaerak bete baitziren:</w:t>
      </w:r>
      <w:r>
        <w:rPr>
          <w:sz w:val="22"/>
          <w:rFonts w:ascii="Calibri" w:hAnsi="Calibri"/>
        </w:rPr>
        <w:t xml:space="preserve"> </w:t>
      </w:r>
    </w:p>
    <w:p w14:paraId="3F66C72D" w14:textId="2EBBE6F9" w:rsidR="00B07052" w:rsidRPr="00EA1D6D" w:rsidRDefault="00B07052" w:rsidP="00B07052">
      <w:pPr>
        <w:pStyle w:val="Style"/>
        <w:spacing w:before="100" w:beforeAutospacing="1" w:after="200" w:line="276" w:lineRule="auto"/>
        <w:ind w:leftChars="567" w:left="1247" w:rightChars="567" w:right="1247"/>
        <w:jc w:val="both"/>
        <w:textAlignment w:val="baseline"/>
        <w:rPr>
          <w:sz w:val="22"/>
          <w:szCs w:val="22"/>
          <w:rFonts w:ascii="Calibri" w:hAnsi="Calibri" w:cs="Calibri"/>
        </w:rPr>
      </w:pPr>
      <w:r>
        <w:rPr>
          <w:sz w:val="22"/>
          <w:rFonts w:ascii="Calibri" w:hAnsi="Calibri"/>
        </w:rPr>
        <w:drawing>
          <wp:inline distT="0" distB="0" distL="0" distR="0" wp14:anchorId="4674BA36" wp14:editId="5B5D66F3">
            <wp:extent cx="4420925" cy="1709420"/>
            <wp:effectExtent l="0" t="0" r="0" b="0"/>
            <wp:docPr id="158730298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54511" cy="1722407"/>
                    </a:xfrm>
                    <a:prstGeom prst="rect">
                      <a:avLst/>
                    </a:prstGeom>
                    <a:noFill/>
                    <a:ln>
                      <a:noFill/>
                    </a:ln>
                  </pic:spPr>
                </pic:pic>
              </a:graphicData>
            </a:graphic>
          </wp:inline>
        </w:drawing>
      </w:r>
    </w:p>
    <w:p w14:paraId="20ED80F5" w14:textId="77777777" w:rsidR="00483328" w:rsidRPr="00EA1D6D" w:rsidRDefault="00B07052" w:rsidP="00EA1D6D">
      <w:pPr>
        <w:pStyle w:val="Style"/>
        <w:spacing w:before="100" w:beforeAutospacing="1" w:after="200" w:line="276" w:lineRule="auto"/>
        <w:ind w:leftChars="567" w:left="1247" w:rightChars="567" w:right="1247"/>
        <w:jc w:val="both"/>
        <w:textAlignment w:val="baseline"/>
        <w:rPr>
          <w:sz w:val="22"/>
          <w:szCs w:val="22"/>
          <w:rFonts w:ascii="Calibri" w:hAnsi="Calibri" w:cs="Calibri"/>
        </w:rPr>
      </w:pPr>
      <w:r>
        <w:rPr>
          <w:sz w:val="22"/>
          <w:rFonts w:ascii="Calibri" w:hAnsi="Calibri"/>
        </w:rPr>
        <w:t xml:space="preserve">2023ko urrian, arestiko puntuan azaldutako emakidaren ostean, berriz agortu zen laguntzak ematen jarraitu ahal izateko baliagarri zegoen kreditua, eta beste gehikuntza bat eskatu zen 2023ko azaroan.</w:t>
      </w:r>
      <w:r>
        <w:rPr>
          <w:sz w:val="22"/>
          <w:rFonts w:ascii="Calibri" w:hAnsi="Calibri"/>
        </w:rPr>
        <w:t xml:space="preserve"> </w:t>
      </w:r>
      <w:r>
        <w:rPr>
          <w:sz w:val="22"/>
          <w:rFonts w:ascii="Calibri" w:hAnsi="Calibri"/>
        </w:rPr>
        <w:t xml:space="preserve">IDAEk berriz adierazi zien erkidegoei eskatu beharreko zenbatekoa, programa guztietako eskaerak aintzat hartzeko beharrezkoa baino zenbateko txikiagoa.</w:t>
      </w:r>
      <w:r>
        <w:rPr>
          <w:sz w:val="22"/>
          <w:rFonts w:ascii="Calibri" w:hAnsi="Calibri"/>
        </w:rPr>
        <w:t xml:space="preserve"> </w:t>
      </w:r>
    </w:p>
    <w:p w14:paraId="5278EEF9" w14:textId="2B397501" w:rsidR="00483328" w:rsidRPr="00EA1D6D" w:rsidRDefault="00B07052" w:rsidP="00EA1D6D">
      <w:pPr>
        <w:pStyle w:val="Style"/>
        <w:spacing w:before="100" w:beforeAutospacing="1" w:after="200" w:line="276" w:lineRule="auto"/>
        <w:ind w:leftChars="567" w:left="1247" w:rightChars="567" w:right="1247"/>
        <w:jc w:val="both"/>
        <w:textAlignment w:val="baseline"/>
        <w:rPr>
          <w:sz w:val="22"/>
          <w:szCs w:val="22"/>
          <w:rFonts w:ascii="Calibri" w:hAnsi="Calibri" w:cs="Calibri"/>
        </w:rPr>
      </w:pPr>
      <w:r>
        <w:rPr>
          <w:sz w:val="22"/>
          <w:rFonts w:ascii="Calibri" w:hAnsi="Calibri"/>
        </w:rPr>
        <w:t xml:space="preserve">Kasu horretan, Foru Komunitateari beste gehikuntza bat eman zitzaion (11,3 milioi euro), 2024ko ekainean onetsi zena Industriaren, Energiaren eta S3 Proiektu Estrategikoen zuzendari nagusiaren 1804E/2024 Ebazpenaren bidez.</w:t>
      </w:r>
      <w:r>
        <w:rPr>
          <w:sz w:val="22"/>
          <w:rFonts w:ascii="Calibri" w:hAnsi="Calibri"/>
        </w:rPr>
        <w:t xml:space="preserve"> </w:t>
      </w:r>
    </w:p>
    <w:p w14:paraId="2B451FCD" w14:textId="7876CBEC" w:rsidR="00985088" w:rsidRDefault="00B07052" w:rsidP="00B07052">
      <w:pPr>
        <w:pStyle w:val="Style"/>
        <w:spacing w:before="100" w:beforeAutospacing="1" w:after="200" w:line="276" w:lineRule="auto"/>
        <w:ind w:leftChars="567" w:left="1247" w:rightChars="567" w:right="1247"/>
        <w:jc w:val="both"/>
        <w:textAlignment w:val="baseline"/>
        <w:rPr>
          <w:sz w:val="22"/>
          <w:szCs w:val="22"/>
          <w:rFonts w:ascii="Calibri" w:hAnsi="Calibri" w:cs="Calibri"/>
        </w:rPr>
      </w:pPr>
      <w:r>
        <w:rPr>
          <w:sz w:val="22"/>
          <w:rFonts w:ascii="Calibri" w:hAnsi="Calibri"/>
        </w:rPr>
        <w:t xml:space="preserve">Azkenik, eta gehikuntza-eskaerei dagokienez, kontuan hartuta jasotako gehikuntzak ez zirela aski izanen eskaerak aurkezteko epea bukatzen zen egunera arte jasotako eskaera guztiak aintzat hartzeko (2023-12-31), IDAEri beste aurrekontu-gehikuntza bat eskatu zitzaion, azkena, eta eskatutako 32 milioi baino gehiagotik 2,3 milioi eman zizkion Nafarroari IDAEk. </w:t>
      </w:r>
    </w:p>
    <w:p w14:paraId="717BBD72" w14:textId="2D9717F4" w:rsidR="00B07052" w:rsidRPr="00EA1D6D" w:rsidRDefault="00B07052" w:rsidP="00B07052">
      <w:pPr>
        <w:pStyle w:val="Style"/>
        <w:spacing w:before="100" w:beforeAutospacing="1" w:after="200" w:line="276" w:lineRule="auto"/>
        <w:ind w:leftChars="567" w:left="1247" w:rightChars="567" w:right="1247"/>
        <w:jc w:val="both"/>
        <w:textAlignment w:val="baseline"/>
        <w:rPr>
          <w:sz w:val="22"/>
          <w:szCs w:val="22"/>
          <w:rFonts w:ascii="Calibri" w:hAnsi="Calibri" w:cs="Calibri"/>
        </w:rPr>
      </w:pPr>
      <w:r>
        <w:rPr>
          <w:sz w:val="22"/>
          <w:rFonts w:ascii="Calibri" w:hAnsi="Calibri"/>
        </w:rPr>
        <w:drawing>
          <wp:inline distT="0" distB="0" distL="0" distR="0" wp14:anchorId="3E627227" wp14:editId="1B3278D2">
            <wp:extent cx="4993419" cy="2607787"/>
            <wp:effectExtent l="0" t="0" r="0" b="0"/>
            <wp:docPr id="27224060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1767" cy="2622592"/>
                    </a:xfrm>
                    <a:prstGeom prst="rect">
                      <a:avLst/>
                    </a:prstGeom>
                    <a:noFill/>
                    <a:ln>
                      <a:noFill/>
                    </a:ln>
                  </pic:spPr>
                </pic:pic>
              </a:graphicData>
            </a:graphic>
          </wp:inline>
        </w:drawing>
      </w:r>
    </w:p>
    <w:p w14:paraId="1D9A052A" w14:textId="77777777" w:rsidR="00483328" w:rsidRPr="00EA1D6D" w:rsidRDefault="00B07052" w:rsidP="00EA1D6D">
      <w:pPr>
        <w:pStyle w:val="Style"/>
        <w:spacing w:before="100" w:beforeAutospacing="1" w:after="200" w:line="276" w:lineRule="auto"/>
        <w:ind w:leftChars="567" w:left="1247" w:rightChars="567" w:right="1247"/>
        <w:jc w:val="both"/>
        <w:textAlignment w:val="baseline"/>
        <w:rPr>
          <w:sz w:val="22"/>
          <w:szCs w:val="22"/>
          <w:rFonts w:ascii="Calibri" w:hAnsi="Calibri" w:cs="Calibri"/>
        </w:rPr>
      </w:pPr>
      <w:r>
        <w:rPr>
          <w:sz w:val="22"/>
          <w:rFonts w:ascii="Calibri" w:hAnsi="Calibri"/>
        </w:rPr>
        <w:t xml:space="preserve">Bukatzeko adierazi beharra dago ezen jasotako eskaeren erantzuna baliagarri dagoen aurrekontuaren araberakoa dela, egin zen lehenbiziko galdera parlamentarioan adierazi bezala.</w:t>
      </w:r>
      <w:r>
        <w:rPr>
          <w:sz w:val="22"/>
          <w:rFonts w:ascii="Calibri" w:hAnsi="Calibri"/>
        </w:rPr>
        <w:t xml:space="preserve"> </w:t>
      </w:r>
    </w:p>
    <w:p w14:paraId="74EBA83A" w14:textId="501AF103" w:rsidR="00483328" w:rsidRPr="00EA1D6D" w:rsidRDefault="00B07052" w:rsidP="00EA1D6D">
      <w:pPr>
        <w:pStyle w:val="Style"/>
        <w:spacing w:before="100" w:beforeAutospacing="1" w:after="200" w:line="276" w:lineRule="auto"/>
        <w:ind w:leftChars="567" w:left="1247" w:rightChars="567" w:right="1247"/>
        <w:textAlignment w:val="baseline"/>
        <w:rPr>
          <w:sz w:val="22"/>
          <w:szCs w:val="22"/>
          <w:rFonts w:ascii="Calibri" w:hAnsi="Calibri" w:cs="Calibri"/>
        </w:rPr>
      </w:pPr>
      <w:r>
        <w:rPr>
          <w:sz w:val="22"/>
          <w:rFonts w:ascii="Calibri" w:hAnsi="Calibri"/>
        </w:rPr>
        <w:t xml:space="preserve">2024an zehar, emakida-ebazpenak ematen jarraituko dugu, baliagarri dagoen kreditu agortu arte.</w:t>
      </w:r>
      <w:r>
        <w:rPr>
          <w:sz w:val="22"/>
          <w:rFonts w:ascii="Calibri" w:hAnsi="Calibri"/>
        </w:rPr>
        <w:t xml:space="preserve"> </w:t>
      </w:r>
    </w:p>
    <w:p w14:paraId="1DA17A3A" w14:textId="77777777" w:rsidR="00985088" w:rsidRPr="00EA1D6D" w:rsidRDefault="00B07052" w:rsidP="00EA1D6D">
      <w:pPr>
        <w:pStyle w:val="Style"/>
        <w:spacing w:before="100" w:beforeAutospacing="1" w:after="200" w:line="276" w:lineRule="auto"/>
        <w:ind w:leftChars="567" w:left="1247" w:rightChars="567" w:right="1247"/>
        <w:textAlignment w:val="baseline"/>
        <w:rPr>
          <w:sz w:val="22"/>
          <w:szCs w:val="22"/>
          <w:rFonts w:ascii="Calibri" w:hAnsi="Calibri" w:cs="Calibri"/>
        </w:rPr>
      </w:pPr>
      <w:r>
        <w:rPr>
          <w:sz w:val="22"/>
          <w:rFonts w:ascii="Calibri" w:hAnsi="Calibri"/>
        </w:rPr>
        <w:t xml:space="preserve">Hori jakinarazten dut, Nafarroako Parlamentuko Erregelamenduaren 215. artikuluan xedatutakoa betez.</w:t>
      </w:r>
      <w:r>
        <w:rPr>
          <w:sz w:val="22"/>
          <w:rFonts w:ascii="Calibri" w:hAnsi="Calibri"/>
        </w:rPr>
        <w:t xml:space="preserve"> </w:t>
      </w:r>
    </w:p>
    <w:p w14:paraId="45FF8C6A" w14:textId="3EC16DE3" w:rsidR="00483328" w:rsidRPr="00EA1D6D" w:rsidRDefault="00B07052" w:rsidP="00EA1D6D">
      <w:pPr>
        <w:pStyle w:val="Style"/>
        <w:spacing w:before="100" w:beforeAutospacing="1" w:after="200" w:line="276" w:lineRule="auto"/>
        <w:ind w:leftChars="567" w:left="1247" w:rightChars="567" w:right="1247"/>
        <w:textAlignment w:val="baseline"/>
        <w:rPr>
          <w:sz w:val="22"/>
          <w:szCs w:val="22"/>
          <w:rFonts w:ascii="Calibri" w:hAnsi="Calibri" w:cs="Calibri"/>
        </w:rPr>
      </w:pPr>
      <w:r>
        <w:rPr>
          <w:sz w:val="22"/>
          <w:rFonts w:ascii="Calibri" w:hAnsi="Calibri"/>
        </w:rPr>
        <w:t xml:space="preserve">Iruñean, 2024ko irailaren  11n</w:t>
      </w:r>
      <w:r>
        <w:rPr>
          <w:sz w:val="22"/>
          <w:rFonts w:ascii="Calibri" w:hAnsi="Calibri"/>
        </w:rPr>
        <w:t xml:space="preserve"> </w:t>
      </w:r>
    </w:p>
    <w:p w14:paraId="7717FD39" w14:textId="74072009" w:rsidR="00483328" w:rsidRPr="00EA1D6D" w:rsidRDefault="00852B83" w:rsidP="00EA1D6D">
      <w:pPr>
        <w:pStyle w:val="Style"/>
        <w:spacing w:before="100" w:beforeAutospacing="1" w:after="200" w:line="276" w:lineRule="auto"/>
        <w:ind w:leftChars="567" w:left="1247" w:rightChars="567" w:right="1247"/>
        <w:textAlignment w:val="baseline"/>
        <w:rPr>
          <w:sz w:val="22"/>
          <w:szCs w:val="22"/>
          <w:rFonts w:ascii="Calibri" w:hAnsi="Calibri" w:cs="Calibri"/>
        </w:rPr>
      </w:pPr>
      <w:r>
        <w:rPr>
          <w:sz w:val="22"/>
          <w:rFonts w:ascii="Calibri" w:hAnsi="Calibri"/>
        </w:rPr>
        <w:t xml:space="preserve">Industriako eta Enpresen Trantsizio Ekologiko eta Digitalerako kontseilaria:</w:t>
      </w:r>
      <w:r>
        <w:rPr>
          <w:sz w:val="22"/>
          <w:rFonts w:ascii="Calibri" w:hAnsi="Calibri"/>
        </w:rPr>
        <w:t xml:space="preserve"> </w:t>
      </w:r>
      <w:r>
        <w:rPr>
          <w:sz w:val="22"/>
          <w:rFonts w:ascii="Calibri" w:hAnsi="Calibri"/>
        </w:rPr>
        <w:t xml:space="preserve">Mikel Irujo Amezaga</w:t>
      </w:r>
      <w:r>
        <w:rPr>
          <w:sz w:val="22"/>
          <w:rFonts w:ascii="Calibri" w:hAnsi="Calibri"/>
        </w:rPr>
        <w:t xml:space="preserve"> </w:t>
      </w:r>
    </w:p>
    <w:sectPr w:rsidR="00483328" w:rsidRPr="00EA1D6D" w:rsidSect="00EA1D6D">
      <w:type w:val="continuous"/>
      <w:pgSz w:w="12240" w:h="20160"/>
      <w:pgMar w:top="1440" w:right="1080" w:bottom="1440" w:left="1080" w:header="0" w:footer="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8F7D5B"/>
    <w:multiLevelType w:val="singleLevel"/>
    <w:tmpl w:val="C55AC940"/>
    <w:lvl w:ilvl="0">
      <w:numFmt w:val="bullet"/>
      <w:lvlText w:val="~"/>
      <w:legacy w:legacy="1" w:legacySpace="0" w:legacyIndent="0"/>
      <w:lvlJc w:val="left"/>
      <w:rPr>
        <w:rFonts w:ascii="Arial" w:hAnsi="Arial" w:cs="Arial" w:hint="default"/>
        <w:sz w:val="14"/>
        <w:szCs w:val="14"/>
      </w:rPr>
    </w:lvl>
  </w:abstractNum>
  <w:abstractNum w:abstractNumId="1" w15:restartNumberingAfterBreak="0">
    <w:nsid w:val="361322C8"/>
    <w:multiLevelType w:val="singleLevel"/>
    <w:tmpl w:val="F5BAAAF6"/>
    <w:lvl w:ilvl="0">
      <w:numFmt w:val="bullet"/>
      <w:lvlText w:val="~"/>
      <w:legacy w:legacy="1" w:legacySpace="0" w:legacyIndent="0"/>
      <w:lvlJc w:val="left"/>
      <w:rPr>
        <w:rFonts w:ascii="Arial" w:hAnsi="Arial" w:cs="Arial" w:hint="default"/>
        <w:sz w:val="14"/>
        <w:szCs w:val="14"/>
      </w:rPr>
    </w:lvl>
  </w:abstractNum>
  <w:abstractNum w:abstractNumId="2" w15:restartNumberingAfterBreak="0">
    <w:nsid w:val="46C36FED"/>
    <w:multiLevelType w:val="singleLevel"/>
    <w:tmpl w:val="44443598"/>
    <w:lvl w:ilvl="0">
      <w:numFmt w:val="bullet"/>
      <w:lvlText w:val="~"/>
      <w:legacy w:legacy="1" w:legacySpace="0" w:legacyIndent="0"/>
      <w:lvlJc w:val="left"/>
      <w:rPr>
        <w:rFonts w:ascii="Arial" w:hAnsi="Arial" w:cs="Arial" w:hint="default"/>
        <w:sz w:val="14"/>
        <w:szCs w:val="14"/>
      </w:rPr>
    </w:lvl>
  </w:abstractNum>
  <w:abstractNum w:abstractNumId="3" w15:restartNumberingAfterBreak="0">
    <w:nsid w:val="694B21FB"/>
    <w:multiLevelType w:val="singleLevel"/>
    <w:tmpl w:val="9CC833AC"/>
    <w:lvl w:ilvl="0">
      <w:numFmt w:val="bullet"/>
      <w:lvlText w:val="~"/>
      <w:legacy w:legacy="1" w:legacySpace="0" w:legacyIndent="0"/>
      <w:lvlJc w:val="left"/>
      <w:rPr>
        <w:rFonts w:ascii="Arial" w:hAnsi="Arial" w:cs="Arial" w:hint="default"/>
        <w:sz w:val="14"/>
        <w:szCs w:val="14"/>
      </w:rPr>
    </w:lvl>
  </w:abstractNum>
  <w:abstractNum w:abstractNumId="4" w15:restartNumberingAfterBreak="0">
    <w:nsid w:val="7F7D3D6B"/>
    <w:multiLevelType w:val="singleLevel"/>
    <w:tmpl w:val="D960C7A2"/>
    <w:lvl w:ilvl="0">
      <w:numFmt w:val="bullet"/>
      <w:lvlText w:val="~"/>
      <w:legacy w:legacy="1" w:legacySpace="0" w:legacyIndent="0"/>
      <w:lvlJc w:val="left"/>
      <w:rPr>
        <w:rFonts w:ascii="Arial" w:hAnsi="Arial" w:cs="Arial" w:hint="default"/>
        <w:sz w:val="14"/>
        <w:szCs w:val="14"/>
      </w:rPr>
    </w:lvl>
  </w:abstractNum>
  <w:num w:numId="1" w16cid:durableId="1847861956">
    <w:abstractNumId w:val="0"/>
  </w:num>
  <w:num w:numId="2" w16cid:durableId="1134761703">
    <w:abstractNumId w:val="1"/>
  </w:num>
  <w:num w:numId="3" w16cid:durableId="798574526">
    <w:abstractNumId w:val="4"/>
  </w:num>
  <w:num w:numId="4" w16cid:durableId="1372607711">
    <w:abstractNumId w:val="3"/>
  </w:num>
  <w:num w:numId="5" w16cid:durableId="10516853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dirty" w:grammar="dirty"/>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483328"/>
    <w:rsid w:val="00097EAD"/>
    <w:rsid w:val="000C589C"/>
    <w:rsid w:val="00175EE6"/>
    <w:rsid w:val="00245529"/>
    <w:rsid w:val="0036786B"/>
    <w:rsid w:val="00370C95"/>
    <w:rsid w:val="003A2DFD"/>
    <w:rsid w:val="003C2B00"/>
    <w:rsid w:val="003F63A0"/>
    <w:rsid w:val="004076C4"/>
    <w:rsid w:val="00421C0C"/>
    <w:rsid w:val="00483328"/>
    <w:rsid w:val="00641E76"/>
    <w:rsid w:val="007A6037"/>
    <w:rsid w:val="007B2FBC"/>
    <w:rsid w:val="007E29C3"/>
    <w:rsid w:val="007F3A1D"/>
    <w:rsid w:val="00801985"/>
    <w:rsid w:val="00847E79"/>
    <w:rsid w:val="00852B83"/>
    <w:rsid w:val="008563DD"/>
    <w:rsid w:val="00985088"/>
    <w:rsid w:val="009F5A0D"/>
    <w:rsid w:val="00A34153"/>
    <w:rsid w:val="00A713FB"/>
    <w:rsid w:val="00B07052"/>
    <w:rsid w:val="00B54AB8"/>
    <w:rsid w:val="00B551DE"/>
    <w:rsid w:val="00B666E4"/>
    <w:rsid w:val="00B971E9"/>
    <w:rsid w:val="00C41FE9"/>
    <w:rsid w:val="00D21787"/>
    <w:rsid w:val="00EA1D6D"/>
    <w:rsid w:val="00EC38ED"/>
    <w:rsid w:val="00F021C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CF498E"/>
  <w15:docId w15:val="{E2ED9283-71EE-4B02-B693-D724B6DC6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u-E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yle">
    <w:name w:val="Style"/>
    <w:pPr>
      <w:widowControl w:val="0"/>
      <w:autoSpaceDE w:val="0"/>
      <w:autoSpaceDN w:val="0"/>
      <w:adjustRightInd w:val="0"/>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Arab" typeface="Arial"/>
        <a:font script="Hebr" typeface="Arial"/>
      </a:majorFont>
      <a:minorFont>
        <a:latin typeface="Arial"/>
        <a:ea typeface=""/>
        <a:cs typeface=""/>
        <a:font script="Arab" typeface="Arial"/>
        <a:font script="Hebr"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4</Pages>
  <Words>1212</Words>
  <Characters>6670</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24PES-282</vt:lpstr>
    </vt:vector>
  </TitlesOfParts>
  <Company>HP Inc.</Company>
  <LinksUpToDate>false</LinksUpToDate>
  <CharactersWithSpaces>7867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24PES-282</dc:title>
  <dc:creator>informatica</dc:creator>
  <cp:keywords>CreatedByIRIS_Readiris_17.0</cp:keywords>
  <cp:lastModifiedBy>Mauleón, Fernando</cp:lastModifiedBy>
  <cp:revision>30</cp:revision>
  <dcterms:created xsi:type="dcterms:W3CDTF">2024-09-11T11:17:00Z</dcterms:created>
  <dcterms:modified xsi:type="dcterms:W3CDTF">2024-09-25T15:01:00Z</dcterms:modified>
</cp:coreProperties>
</file>