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668B" w14:textId="7D9F0E3E" w:rsidR="008D7F85" w:rsidRPr="005F13CF" w:rsidRDefault="005F13CF" w:rsidP="005F13CF">
      <w:pPr>
        <w:jc w:val="both"/>
        <w:rPr>
          <w:rFonts w:ascii="Calibri" w:hAnsi="Calibri" w:cs="Calibri"/>
          <w:sz w:val="22"/>
          <w:szCs w:val="22"/>
        </w:rPr>
      </w:pPr>
      <w:r>
        <w:rPr>
          <w:rFonts w:ascii="Calibri" w:hAnsi="Calibri"/>
          <w:sz w:val="22"/>
        </w:rPr>
        <w:t>25PRO-7</w:t>
      </w:r>
    </w:p>
    <w:p w14:paraId="54C36EE4" w14:textId="37B1B109" w:rsidR="005F13CF" w:rsidRPr="005F13CF" w:rsidRDefault="005F13CF" w:rsidP="005F13CF">
      <w:pPr>
        <w:jc w:val="both"/>
        <w:rPr>
          <w:rFonts w:ascii="Calibri" w:hAnsi="Calibri" w:cs="Calibri"/>
          <w:b/>
          <w:bCs/>
          <w:sz w:val="22"/>
          <w:szCs w:val="22"/>
        </w:rPr>
      </w:pPr>
      <w:r>
        <w:rPr>
          <w:rFonts w:ascii="Calibri" w:hAnsi="Calibri"/>
          <w:b/>
          <w:sz w:val="22"/>
        </w:rPr>
        <w:t xml:space="preserve">Foru-lege proposamena, </w:t>
      </w:r>
      <w:r w:rsidR="00346DD9" w:rsidRPr="00346DD9">
        <w:rPr>
          <w:rFonts w:ascii="Calibri" w:hAnsi="Calibri"/>
          <w:b/>
          <w:sz w:val="22"/>
        </w:rPr>
        <w:t>Pertsona Fisikoen Errentaren Gaineko Zergari buruzko testu bategina onesten duen ekainaren 2ko 4/2008 Legegintzako Foru Dekretua aldatzen duena</w:t>
      </w:r>
    </w:p>
    <w:p w14:paraId="68820D3F" w14:textId="0CD28177" w:rsidR="005F13CF" w:rsidRPr="005F13CF" w:rsidRDefault="005F13CF" w:rsidP="005F13CF">
      <w:pPr>
        <w:jc w:val="both"/>
        <w:rPr>
          <w:rFonts w:ascii="Calibri" w:hAnsi="Calibri" w:cs="Calibri"/>
          <w:b/>
          <w:bCs/>
          <w:sz w:val="22"/>
          <w:szCs w:val="22"/>
        </w:rPr>
      </w:pPr>
      <w:r>
        <w:rPr>
          <w:rFonts w:ascii="Calibri" w:hAnsi="Calibri"/>
          <w:b/>
          <w:sz w:val="22"/>
        </w:rPr>
        <w:t>Zioen azalpena</w:t>
      </w:r>
    </w:p>
    <w:p w14:paraId="78A4075C" w14:textId="1DE38A4B" w:rsidR="005F13CF" w:rsidRPr="005F13CF" w:rsidRDefault="005F13CF" w:rsidP="005F13CF">
      <w:pPr>
        <w:jc w:val="both"/>
        <w:rPr>
          <w:rFonts w:ascii="Calibri" w:hAnsi="Calibri" w:cs="Calibri"/>
          <w:sz w:val="22"/>
          <w:szCs w:val="22"/>
        </w:rPr>
      </w:pPr>
      <w:r>
        <w:rPr>
          <w:rFonts w:ascii="Calibri" w:hAnsi="Calibri"/>
          <w:sz w:val="22"/>
        </w:rPr>
        <w:t xml:space="preserve">Etxebizitza-eskaintza urria da etengabeko prezio-gorakadaren arrazoi nagusietako bat, halatan etxebizitza duin baterako eskubidea oztopatuta. </w:t>
      </w:r>
      <w:proofErr w:type="spellStart"/>
      <w:r>
        <w:rPr>
          <w:rFonts w:ascii="Calibri" w:hAnsi="Calibri"/>
          <w:sz w:val="22"/>
        </w:rPr>
        <w:t>PFEZari</w:t>
      </w:r>
      <w:proofErr w:type="spellEnd"/>
      <w:r>
        <w:rPr>
          <w:rFonts w:ascii="Calibri" w:hAnsi="Calibri"/>
          <w:sz w:val="22"/>
        </w:rPr>
        <w:t xml:space="preserve"> buruzko foru-araudian jasotako alokairu-pizgarri fiskalak mugapen gehiegiren eraginpean daude, halako moldez non haien aplikazioa baldintzatuta geratzen baita, eta beraz urri suertatzen baitira gure legeriak ezarrita dituen helburuak erdiesteko.</w:t>
      </w:r>
    </w:p>
    <w:p w14:paraId="04C05B12" w14:textId="259D2596" w:rsidR="005F13CF" w:rsidRPr="005F13CF" w:rsidRDefault="005F13CF" w:rsidP="005F13CF">
      <w:pPr>
        <w:jc w:val="both"/>
        <w:rPr>
          <w:rFonts w:ascii="Calibri" w:hAnsi="Calibri" w:cs="Calibri"/>
          <w:sz w:val="22"/>
          <w:szCs w:val="22"/>
        </w:rPr>
      </w:pPr>
      <w:r>
        <w:rPr>
          <w:rFonts w:ascii="Calibri" w:hAnsi="Calibri"/>
          <w:sz w:val="22"/>
        </w:rPr>
        <w:t>Gainera, berriki, Espainiako Gobernuaren lehendakaritzak iragarri du aurki izapidetuko dela aldaketa fiskal bat, honako lege-proposamen honen nondik norakoen ildo berekoa, Estatuaren eskumeneko araubide erkidearentzat.</w:t>
      </w:r>
    </w:p>
    <w:p w14:paraId="423C13E7" w14:textId="35F205E9" w:rsidR="005F13CF" w:rsidRPr="005F13CF" w:rsidRDefault="005F13CF" w:rsidP="005F13CF">
      <w:pPr>
        <w:jc w:val="both"/>
        <w:rPr>
          <w:rFonts w:ascii="Calibri" w:hAnsi="Calibri" w:cs="Calibri"/>
          <w:sz w:val="22"/>
          <w:szCs w:val="22"/>
        </w:rPr>
      </w:pPr>
      <w:r>
        <w:rPr>
          <w:rFonts w:ascii="Calibri" w:hAnsi="Calibri"/>
          <w:sz w:val="22"/>
        </w:rPr>
        <w:t>Horregatik, komenigarria da Pertsona Fisikoen Errentaren gaineko Zergari buruzko Foru Legearen testu bategina aldatzea, halako moldez non hiri-errentamenduen etekinen ehuneko ehunaren mugaraino igoko baita salbuespen fiskala, errentamenduaren xedea denean etxebizitza ohiko bizileku gisa erabiltzea, Nafarroako Etxebizitza Errentamenduko Kontratuen Erregistroan inskribatutako kontratuetarako (Erregistro hori araututa dago Nafarroan Etxebizitza Izateko Eskubideari buruzko maiatzaren 10eko 10/2010 Foru Legearen 90. artikuluan).</w:t>
      </w:r>
    </w:p>
    <w:p w14:paraId="194A8F08" w14:textId="7AD08748" w:rsidR="005F13CF" w:rsidRPr="005F13CF" w:rsidRDefault="005F13CF" w:rsidP="005F13CF">
      <w:pPr>
        <w:jc w:val="both"/>
        <w:rPr>
          <w:rFonts w:ascii="Calibri" w:hAnsi="Calibri" w:cs="Calibri"/>
          <w:sz w:val="22"/>
          <w:szCs w:val="22"/>
        </w:rPr>
      </w:pPr>
      <w:r>
        <w:rPr>
          <w:rFonts w:ascii="Calibri" w:hAnsi="Calibri"/>
          <w:sz w:val="22"/>
        </w:rPr>
        <w:t>Hori dela-eta, proposatzen da Pertsona Fisikoen Errentaren gaineko Zergari buruzko Foru Legearen testu bategina onesten duen ekainaren 2ko 4/2008 Legegintzako Foru Dekretua aldatzea, jarraian adierazten den moduan:</w:t>
      </w:r>
    </w:p>
    <w:p w14:paraId="5C5DF135" w14:textId="5AF4C1B8" w:rsidR="005F13CF" w:rsidRPr="005F13CF" w:rsidRDefault="005F13CF" w:rsidP="005F13CF">
      <w:pPr>
        <w:jc w:val="both"/>
        <w:rPr>
          <w:rFonts w:ascii="Calibri" w:hAnsi="Calibri" w:cs="Calibri"/>
          <w:b/>
          <w:bCs/>
          <w:sz w:val="22"/>
          <w:szCs w:val="22"/>
        </w:rPr>
      </w:pPr>
      <w:r>
        <w:rPr>
          <w:rFonts w:ascii="Calibri" w:hAnsi="Calibri"/>
          <w:b/>
          <w:sz w:val="22"/>
        </w:rPr>
        <w:t>Artikulu bakarra.</w:t>
      </w:r>
    </w:p>
    <w:p w14:paraId="5268AAFE" w14:textId="3AB725B5" w:rsidR="005F13CF" w:rsidRPr="005F13CF" w:rsidRDefault="005F13CF" w:rsidP="005F13CF">
      <w:pPr>
        <w:jc w:val="both"/>
        <w:rPr>
          <w:rFonts w:ascii="Calibri" w:hAnsi="Calibri" w:cs="Calibri"/>
          <w:sz w:val="22"/>
          <w:szCs w:val="22"/>
        </w:rPr>
      </w:pPr>
      <w:r>
        <w:rPr>
          <w:rFonts w:ascii="Calibri" w:hAnsi="Calibri"/>
          <w:sz w:val="22"/>
        </w:rPr>
        <w:t xml:space="preserve">Ekainaren 2ko 4/2008 Legegintzako Foru Dekretuaren bidez onetsi zen Pertsona Fisikoen Errentaren gaineko Zergari buruzko Foru Legearen testu </w:t>
      </w:r>
      <w:proofErr w:type="spellStart"/>
      <w:r>
        <w:rPr>
          <w:rFonts w:ascii="Calibri" w:hAnsi="Calibri"/>
          <w:sz w:val="22"/>
        </w:rPr>
        <w:t>bateginaren</w:t>
      </w:r>
      <w:proofErr w:type="spellEnd"/>
      <w:r>
        <w:rPr>
          <w:rFonts w:ascii="Calibri" w:hAnsi="Calibri"/>
          <w:sz w:val="22"/>
        </w:rPr>
        <w:t xml:space="preserve"> 25. artikuluko 2. apartatua aldatzea.</w:t>
      </w:r>
    </w:p>
    <w:p w14:paraId="5D8548FA" w14:textId="5220E1E0" w:rsidR="005F13CF" w:rsidRPr="005F13CF" w:rsidRDefault="005F13CF" w:rsidP="005F13CF">
      <w:pPr>
        <w:jc w:val="both"/>
        <w:rPr>
          <w:rFonts w:ascii="Calibri" w:hAnsi="Calibri" w:cs="Calibri"/>
          <w:sz w:val="22"/>
          <w:szCs w:val="22"/>
        </w:rPr>
      </w:pPr>
      <w:r>
        <w:rPr>
          <w:rFonts w:ascii="Calibri" w:hAnsi="Calibri"/>
          <w:sz w:val="22"/>
        </w:rPr>
        <w:t>2. Aurreko apartatuan xedatutakoaren arabera kalkulatutako etekin garbi positiboa honela murriztuko da:</w:t>
      </w:r>
    </w:p>
    <w:p w14:paraId="3EC1A8B5" w14:textId="789BC3EA" w:rsidR="005F13CF" w:rsidRPr="005F13CF" w:rsidRDefault="005F13CF" w:rsidP="005F13CF">
      <w:pPr>
        <w:jc w:val="both"/>
        <w:rPr>
          <w:rFonts w:ascii="Calibri" w:hAnsi="Calibri" w:cs="Calibri"/>
          <w:sz w:val="22"/>
          <w:szCs w:val="22"/>
        </w:rPr>
      </w:pPr>
      <w:r>
        <w:rPr>
          <w:rFonts w:ascii="Calibri" w:hAnsi="Calibri"/>
          <w:sz w:val="22"/>
        </w:rPr>
        <w:t xml:space="preserve">a) Ehuneko 100, baldin eta etekina badator etxebizitza iraunkorrerako higiezin-errentamendutik, zeina arautzen baita Hiri Errentamenduei buruzko azaroaren 24ko 29/1994 Legearen 2. artikuluan. Ondorio horietarako, kanpo uzten dira </w:t>
      </w:r>
      <w:proofErr w:type="spellStart"/>
      <w:r>
        <w:rPr>
          <w:rFonts w:ascii="Calibri" w:hAnsi="Calibri"/>
          <w:sz w:val="22"/>
        </w:rPr>
        <w:t>gelakako</w:t>
      </w:r>
      <w:proofErr w:type="spellEnd"/>
      <w:r>
        <w:rPr>
          <w:rFonts w:ascii="Calibri" w:hAnsi="Calibri"/>
          <w:sz w:val="22"/>
        </w:rPr>
        <w:t xml:space="preserve"> errentamenduak.</w:t>
      </w:r>
    </w:p>
    <w:p w14:paraId="17BB58FA" w14:textId="100AD670" w:rsidR="005F13CF" w:rsidRPr="005F13CF" w:rsidRDefault="005F13CF" w:rsidP="005F13CF">
      <w:pPr>
        <w:jc w:val="both"/>
        <w:rPr>
          <w:rFonts w:ascii="Calibri" w:hAnsi="Calibri" w:cs="Calibri"/>
          <w:sz w:val="22"/>
          <w:szCs w:val="22"/>
        </w:rPr>
      </w:pPr>
      <w:r>
        <w:rPr>
          <w:rFonts w:ascii="Calibri" w:hAnsi="Calibri"/>
          <w:sz w:val="22"/>
        </w:rPr>
        <w:t>Murrizketa aplikatuko da errentaren prezioa kokatzen denean etxebizitza-errentamenduko prezioen erreferentziarako estatu-sistemako balio-tartean.</w:t>
      </w:r>
    </w:p>
    <w:p w14:paraId="3144B5C8" w14:textId="65BA4E49" w:rsidR="005F13CF" w:rsidRPr="005F13CF" w:rsidRDefault="005F13CF" w:rsidP="005F13CF">
      <w:pPr>
        <w:jc w:val="both"/>
        <w:rPr>
          <w:rFonts w:ascii="Calibri" w:hAnsi="Calibri" w:cs="Calibri"/>
          <w:sz w:val="22"/>
          <w:szCs w:val="22"/>
        </w:rPr>
      </w:pPr>
      <w:r>
        <w:rPr>
          <w:rFonts w:ascii="Calibri" w:hAnsi="Calibri"/>
          <w:sz w:val="22"/>
        </w:rPr>
        <w:t>Bigarren apartatu honetan ezarritako murriztapenak aplikatu ahal izateko, beharrezkoa izanen da errentamendu-kontratua behar bezala erregistratuta egotea Nafarroako Etxebizitza-errentamenduko Kontratuen Erregistroan, zeina aurreikusita baitago Nafarroan Etxebizitza Izateko Eskubideari buruzko maiatzaren 10eko 10/2010 Foru Legearen 90. artikuluan.</w:t>
      </w:r>
    </w:p>
    <w:p w14:paraId="480E6513" w14:textId="1451057C" w:rsidR="005F13CF" w:rsidRPr="005F13CF" w:rsidRDefault="005F13CF" w:rsidP="005F13CF">
      <w:pPr>
        <w:jc w:val="both"/>
        <w:rPr>
          <w:rFonts w:ascii="Calibri" w:hAnsi="Calibri" w:cs="Calibri"/>
          <w:sz w:val="22"/>
          <w:szCs w:val="22"/>
        </w:rPr>
      </w:pPr>
      <w:r>
        <w:rPr>
          <w:rFonts w:ascii="Calibri" w:hAnsi="Calibri"/>
          <w:sz w:val="22"/>
        </w:rPr>
        <w:t>Murriztapenak aplikatzen ahalko dira subjektu pasiboak aitortu egin dituen etekinei dagokienez soilik.</w:t>
      </w:r>
    </w:p>
    <w:p w14:paraId="71D0FAB1" w14:textId="77777777" w:rsidR="005F13CF" w:rsidRPr="005F13CF" w:rsidRDefault="005F13CF" w:rsidP="005F13CF">
      <w:pPr>
        <w:jc w:val="both"/>
        <w:rPr>
          <w:rFonts w:ascii="Calibri" w:hAnsi="Calibri" w:cs="Calibri"/>
          <w:b/>
          <w:bCs/>
          <w:sz w:val="22"/>
          <w:szCs w:val="22"/>
        </w:rPr>
      </w:pPr>
      <w:r>
        <w:rPr>
          <w:rFonts w:ascii="Calibri" w:hAnsi="Calibri"/>
          <w:b/>
          <w:sz w:val="22"/>
        </w:rPr>
        <w:lastRenderedPageBreak/>
        <w:t>Azken xedapena.</w:t>
      </w:r>
    </w:p>
    <w:p w14:paraId="54E417C1" w14:textId="792E573A" w:rsidR="005F13CF" w:rsidRPr="005F13CF" w:rsidRDefault="005F13CF" w:rsidP="005F13CF">
      <w:pPr>
        <w:jc w:val="both"/>
        <w:rPr>
          <w:rFonts w:ascii="Calibri" w:hAnsi="Calibri" w:cs="Calibri"/>
          <w:sz w:val="22"/>
          <w:szCs w:val="22"/>
        </w:rPr>
      </w:pPr>
      <w:r>
        <w:rPr>
          <w:rFonts w:ascii="Calibri" w:hAnsi="Calibri"/>
          <w:sz w:val="22"/>
        </w:rPr>
        <w:t>Foru lege honek Nafarroako Aldizkari Ofizialean argitaratua izan eta biharamunean hartuko du indarra.</w:t>
      </w:r>
    </w:p>
    <w:sectPr w:rsidR="005F13CF" w:rsidRPr="005F13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F"/>
    <w:rsid w:val="00346DD9"/>
    <w:rsid w:val="003E3E22"/>
    <w:rsid w:val="005762CC"/>
    <w:rsid w:val="005F13CF"/>
    <w:rsid w:val="00600DE2"/>
    <w:rsid w:val="0066179D"/>
    <w:rsid w:val="0066283F"/>
    <w:rsid w:val="0067181B"/>
    <w:rsid w:val="008D7F85"/>
    <w:rsid w:val="00A36075"/>
    <w:rsid w:val="00A877BA"/>
    <w:rsid w:val="00B0049F"/>
    <w:rsid w:val="00B81112"/>
    <w:rsid w:val="00C01BD6"/>
    <w:rsid w:val="00E12729"/>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8542"/>
  <w15:chartTrackingRefBased/>
  <w15:docId w15:val="{D34FA5D6-A9BD-4CC1-ABA4-E114718D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3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3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3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3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3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3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3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3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3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3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3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3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3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3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3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3CF"/>
    <w:rPr>
      <w:rFonts w:eastAsiaTheme="majorEastAsia" w:cstheme="majorBidi"/>
      <w:color w:val="272727" w:themeColor="text1" w:themeTint="D8"/>
    </w:rPr>
  </w:style>
  <w:style w:type="paragraph" w:styleId="Ttulo">
    <w:name w:val="Title"/>
    <w:basedOn w:val="Normal"/>
    <w:next w:val="Normal"/>
    <w:link w:val="TtuloCar"/>
    <w:uiPriority w:val="10"/>
    <w:qFormat/>
    <w:rsid w:val="005F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3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3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3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3CF"/>
    <w:pPr>
      <w:spacing w:before="160"/>
      <w:jc w:val="center"/>
    </w:pPr>
    <w:rPr>
      <w:i/>
      <w:iCs/>
      <w:color w:val="404040" w:themeColor="text1" w:themeTint="BF"/>
    </w:rPr>
  </w:style>
  <w:style w:type="character" w:customStyle="1" w:styleId="CitaCar">
    <w:name w:val="Cita Car"/>
    <w:basedOn w:val="Fuentedeprrafopredeter"/>
    <w:link w:val="Cita"/>
    <w:uiPriority w:val="29"/>
    <w:rsid w:val="005F13CF"/>
    <w:rPr>
      <w:i/>
      <w:iCs/>
      <w:color w:val="404040" w:themeColor="text1" w:themeTint="BF"/>
    </w:rPr>
  </w:style>
  <w:style w:type="paragraph" w:styleId="Prrafodelista">
    <w:name w:val="List Paragraph"/>
    <w:basedOn w:val="Normal"/>
    <w:uiPriority w:val="34"/>
    <w:qFormat/>
    <w:rsid w:val="005F13CF"/>
    <w:pPr>
      <w:ind w:left="720"/>
      <w:contextualSpacing/>
    </w:pPr>
  </w:style>
  <w:style w:type="character" w:styleId="nfasisintenso">
    <w:name w:val="Intense Emphasis"/>
    <w:basedOn w:val="Fuentedeprrafopredeter"/>
    <w:uiPriority w:val="21"/>
    <w:qFormat/>
    <w:rsid w:val="005F13CF"/>
    <w:rPr>
      <w:i/>
      <w:iCs/>
      <w:color w:val="0F4761" w:themeColor="accent1" w:themeShade="BF"/>
    </w:rPr>
  </w:style>
  <w:style w:type="paragraph" w:styleId="Citadestacada">
    <w:name w:val="Intense Quote"/>
    <w:basedOn w:val="Normal"/>
    <w:next w:val="Normal"/>
    <w:link w:val="CitadestacadaCar"/>
    <w:uiPriority w:val="30"/>
    <w:qFormat/>
    <w:rsid w:val="005F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3CF"/>
    <w:rPr>
      <w:i/>
      <w:iCs/>
      <w:color w:val="0F4761" w:themeColor="accent1" w:themeShade="BF"/>
    </w:rPr>
  </w:style>
  <w:style w:type="character" w:styleId="Referenciaintensa">
    <w:name w:val="Intense Reference"/>
    <w:basedOn w:val="Fuentedeprrafopredeter"/>
    <w:uiPriority w:val="32"/>
    <w:qFormat/>
    <w:rsid w:val="005F1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2025-02-21T06:50:00Z</dcterms:created>
  <dcterms:modified xsi:type="dcterms:W3CDTF">2025-02-26T12:23:00Z</dcterms:modified>
</cp:coreProperties>
</file>