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A0493" w14:textId="77777777" w:rsidR="00D97EA4" w:rsidRDefault="00D97EA4" w:rsidP="009739BA">
      <w:pPr>
        <w:pStyle w:val="Style"/>
        <w:spacing w:line="520" w:lineRule="atLeast"/>
        <w:jc w:val="both"/>
        <w:rPr>
          <w:rFonts w:ascii="Calibri" w:hAnsi="Calibri" w:cs="Calibri"/>
          <w:sz w:val="22"/>
          <w:szCs w:val="22"/>
        </w:rPr>
      </w:pPr>
    </w:p>
    <w:p w14:paraId="3BCD5FEF" w14:textId="2A87012F" w:rsidR="004B1E07" w:rsidRDefault="004B1E07" w:rsidP="009739BA">
      <w:pPr>
        <w:pStyle w:val="Style"/>
        <w:spacing w:line="254" w:lineRule="exact"/>
        <w:ind w:left="2006" w:right="1992"/>
        <w:jc w:val="both"/>
        <w:textAlignment w:val="baseline"/>
        <w:rPr>
          <w:rFonts w:ascii="Calibri" w:eastAsia="Arial" w:hAnsi="Calibri" w:cs="Calibri"/>
          <w:sz w:val="22"/>
          <w:szCs w:val="22"/>
        </w:rPr>
      </w:pPr>
      <w:r>
        <w:rPr>
          <w:rFonts w:ascii="Calibri" w:eastAsia="Arial" w:hAnsi="Calibri" w:cs="Calibri"/>
          <w:sz w:val="22"/>
          <w:szCs w:val="22"/>
        </w:rPr>
        <w:t>25PRO-</w:t>
      </w:r>
      <w:r w:rsidR="00FA7E98">
        <w:rPr>
          <w:rFonts w:ascii="Calibri" w:eastAsia="Arial" w:hAnsi="Calibri" w:cs="Calibri"/>
          <w:sz w:val="22"/>
          <w:szCs w:val="22"/>
        </w:rPr>
        <w:t>3</w:t>
      </w:r>
    </w:p>
    <w:p w14:paraId="2B69ADCD" w14:textId="77777777" w:rsidR="004B1E07" w:rsidRDefault="004B1E07" w:rsidP="009739BA">
      <w:pPr>
        <w:pStyle w:val="Style"/>
        <w:spacing w:line="254" w:lineRule="exact"/>
        <w:ind w:left="2006" w:right="1992"/>
        <w:jc w:val="both"/>
        <w:textAlignment w:val="baseline"/>
        <w:rPr>
          <w:rFonts w:ascii="Calibri" w:eastAsia="Arial" w:hAnsi="Calibri" w:cs="Calibri"/>
          <w:sz w:val="22"/>
          <w:szCs w:val="22"/>
        </w:rPr>
      </w:pPr>
    </w:p>
    <w:p w14:paraId="111D9299" w14:textId="01306FE7" w:rsidR="00D97EA4" w:rsidRPr="00E22672" w:rsidRDefault="00FA7E98" w:rsidP="009739BA">
      <w:pPr>
        <w:pStyle w:val="Style"/>
        <w:spacing w:line="254" w:lineRule="exact"/>
        <w:ind w:left="2006" w:right="1992"/>
        <w:jc w:val="both"/>
        <w:textAlignment w:val="baseline"/>
        <w:rPr>
          <w:rFonts w:ascii="Calibri" w:eastAsia="Arial" w:hAnsi="Calibri" w:cs="Calibri"/>
          <w:b/>
          <w:bCs/>
          <w:sz w:val="22"/>
          <w:szCs w:val="22"/>
        </w:rPr>
      </w:pPr>
      <w:r w:rsidRPr="00E22672">
        <w:rPr>
          <w:rFonts w:ascii="Calibri" w:eastAsia="Arial" w:hAnsi="Calibri" w:cs="Calibri"/>
          <w:b/>
          <w:bCs/>
          <w:sz w:val="22"/>
          <w:szCs w:val="22"/>
        </w:rPr>
        <w:t>PROPOSICIÓN DE LEY FORAL PARA LA MODIFICACIÓN DE LA LEY FORAL 11/2005, DE 9 DE NOVIEMBRE, DE SUBVENCIONES</w:t>
      </w:r>
    </w:p>
    <w:p w14:paraId="1435C84A" w14:textId="77777777" w:rsidR="00D97EA4" w:rsidRDefault="00D97EA4" w:rsidP="009739BA">
      <w:pPr>
        <w:pStyle w:val="Style"/>
        <w:spacing w:line="254" w:lineRule="exact"/>
        <w:ind w:left="2006" w:right="1992"/>
        <w:jc w:val="both"/>
        <w:textAlignment w:val="baseline"/>
        <w:rPr>
          <w:rFonts w:ascii="Calibri" w:hAnsi="Calibri" w:cs="Calibri"/>
          <w:sz w:val="22"/>
          <w:szCs w:val="22"/>
        </w:rPr>
      </w:pPr>
    </w:p>
    <w:p w14:paraId="1B681D59" w14:textId="368E6DF8" w:rsidR="00795281" w:rsidRPr="00D97EA4" w:rsidRDefault="00FA7E98" w:rsidP="009739BA">
      <w:pPr>
        <w:pStyle w:val="Style"/>
        <w:spacing w:line="254" w:lineRule="exact"/>
        <w:ind w:left="1997" w:right="2006"/>
        <w:jc w:val="both"/>
        <w:textAlignment w:val="baseline"/>
        <w:rPr>
          <w:rFonts w:ascii="Calibri" w:hAnsi="Calibri" w:cs="Calibri"/>
          <w:sz w:val="22"/>
          <w:szCs w:val="22"/>
        </w:rPr>
      </w:pPr>
      <w:r w:rsidRPr="00D97EA4">
        <w:rPr>
          <w:rFonts w:ascii="Calibri" w:eastAsia="Arial" w:hAnsi="Calibri" w:cs="Calibri"/>
          <w:sz w:val="22"/>
          <w:szCs w:val="22"/>
        </w:rPr>
        <w:t xml:space="preserve">El terrorismo, que en España y Navarra hemos sufrido de forma especial por culpa de la banda terrorista ETA, deja efectos devastadores en las sociedades que lo sufren. Sus consecuencias, además de las más desgarradoras en sus víctimas directas dejando personas asesinadas, heridas, secuestradas o extorsionadas, afectan a la convivencia dejando huellas que cuesta muchísimo superar. </w:t>
      </w:r>
    </w:p>
    <w:p w14:paraId="043AAE4F" w14:textId="77777777" w:rsidR="00795281" w:rsidRPr="00D97EA4" w:rsidRDefault="00FA7E98" w:rsidP="009739BA">
      <w:pPr>
        <w:pStyle w:val="Style"/>
        <w:spacing w:before="133" w:line="254" w:lineRule="exact"/>
        <w:ind w:left="1997" w:right="2002"/>
        <w:jc w:val="both"/>
        <w:textAlignment w:val="baseline"/>
        <w:rPr>
          <w:rFonts w:ascii="Calibri" w:hAnsi="Calibri" w:cs="Calibri"/>
          <w:sz w:val="22"/>
          <w:szCs w:val="22"/>
        </w:rPr>
      </w:pPr>
      <w:r w:rsidRPr="00D97EA4">
        <w:rPr>
          <w:rFonts w:ascii="Calibri" w:eastAsia="Arial" w:hAnsi="Calibri" w:cs="Calibri"/>
          <w:sz w:val="22"/>
          <w:szCs w:val="22"/>
        </w:rPr>
        <w:t xml:space="preserve">Por ello, deslegitimar el terrorismo y la violencia que ETA ejerció durante décadas es un elemento esencial para promover la convivencia pacífica, la memoria y los derechos humanos en la sociedad navarra, y para reconocer y honrar a sus víctimas. </w:t>
      </w:r>
    </w:p>
    <w:p w14:paraId="5A3DD168" w14:textId="77777777" w:rsidR="00795281" w:rsidRPr="00D97EA4" w:rsidRDefault="00FA7E98" w:rsidP="009739BA">
      <w:pPr>
        <w:pStyle w:val="Style"/>
        <w:spacing w:before="133" w:line="254" w:lineRule="exact"/>
        <w:ind w:left="1997" w:right="2002"/>
        <w:jc w:val="both"/>
        <w:textAlignment w:val="baseline"/>
        <w:rPr>
          <w:rFonts w:ascii="Calibri" w:hAnsi="Calibri" w:cs="Calibri"/>
          <w:sz w:val="22"/>
          <w:szCs w:val="22"/>
        </w:rPr>
      </w:pPr>
      <w:r w:rsidRPr="00D97EA4">
        <w:rPr>
          <w:rFonts w:ascii="Calibri" w:eastAsia="Arial" w:hAnsi="Calibri" w:cs="Calibri"/>
          <w:sz w:val="22"/>
          <w:szCs w:val="22"/>
        </w:rPr>
        <w:t xml:space="preserve">La deslegitimación del terrorismo es especialmente importante con las generaciones actuales y futuras. Los niños y los jóvenes deben ser conscientes del sufrimiento que causa el terrorismo a las sociedades, y la escuela debe promover los valores de paz, democracia, respeto a los derechos humanos y rechazo de la violencia. </w:t>
      </w:r>
    </w:p>
    <w:p w14:paraId="10977247" w14:textId="77777777" w:rsidR="00795281" w:rsidRPr="00D97EA4" w:rsidRDefault="00FA7E98" w:rsidP="009739BA">
      <w:pPr>
        <w:pStyle w:val="Style"/>
        <w:spacing w:before="133" w:line="254" w:lineRule="exact"/>
        <w:ind w:left="1997" w:right="2002"/>
        <w:jc w:val="both"/>
        <w:textAlignment w:val="baseline"/>
        <w:rPr>
          <w:rFonts w:ascii="Calibri" w:hAnsi="Calibri" w:cs="Calibri"/>
          <w:sz w:val="22"/>
          <w:szCs w:val="22"/>
        </w:rPr>
      </w:pPr>
      <w:r w:rsidRPr="00D97EA4">
        <w:rPr>
          <w:rFonts w:ascii="Calibri" w:eastAsia="Arial" w:hAnsi="Calibri" w:cs="Calibri"/>
          <w:sz w:val="22"/>
          <w:szCs w:val="22"/>
        </w:rPr>
        <w:t xml:space="preserve">Este mandato se dirige a toda la sociedad, y de forma muy especial a los educadores y a todas aquellas personas que trabajan con menores, que deben ser transmisores de estos valores democráticos y modelos a seguir en esta materia. </w:t>
      </w:r>
    </w:p>
    <w:p w14:paraId="13F043D1" w14:textId="02CDBF9D" w:rsidR="00D97EA4" w:rsidRPr="00D97EA4" w:rsidRDefault="00FA7E98" w:rsidP="009739BA">
      <w:pPr>
        <w:pStyle w:val="Style"/>
        <w:spacing w:before="133" w:line="254" w:lineRule="exact"/>
        <w:ind w:left="1997" w:right="2002"/>
        <w:jc w:val="both"/>
        <w:textAlignment w:val="baseline"/>
        <w:rPr>
          <w:rFonts w:ascii="Calibri" w:hAnsi="Calibri" w:cs="Calibri"/>
          <w:sz w:val="22"/>
          <w:szCs w:val="22"/>
        </w:rPr>
        <w:sectPr w:rsidR="00D97EA4" w:rsidRPr="00D97EA4">
          <w:type w:val="continuous"/>
          <w:pgSz w:w="12240" w:h="20160"/>
          <w:pgMar w:top="360" w:right="475" w:bottom="360" w:left="489" w:header="0" w:footer="0" w:gutter="0"/>
          <w:cols w:space="720"/>
        </w:sectPr>
      </w:pPr>
      <w:r w:rsidRPr="00D97EA4">
        <w:rPr>
          <w:rFonts w:ascii="Calibri" w:eastAsia="Arial" w:hAnsi="Calibri" w:cs="Calibri"/>
          <w:sz w:val="22"/>
          <w:szCs w:val="22"/>
        </w:rPr>
        <w:t>Las Administraciones Públicas deben procurar por todos los medios a su alcance que este mandato se lleve a cabo, siendo la actividad subvenciona</w:t>
      </w:r>
      <w:r w:rsidR="00D97EA4">
        <w:rPr>
          <w:rFonts w:ascii="Calibri" w:eastAsia="Arial" w:hAnsi="Calibri" w:cs="Calibri"/>
          <w:sz w:val="22"/>
          <w:szCs w:val="22"/>
        </w:rPr>
        <w:t>l</w:t>
      </w:r>
      <w:r w:rsidRPr="00D97EA4">
        <w:rPr>
          <w:rFonts w:ascii="Calibri" w:eastAsia="Arial" w:hAnsi="Calibri" w:cs="Calibri"/>
          <w:sz w:val="22"/>
          <w:szCs w:val="22"/>
        </w:rPr>
        <w:t xml:space="preserve"> uno</w:t>
      </w:r>
    </w:p>
    <w:p w14:paraId="13EF242D" w14:textId="77777777" w:rsidR="00795281" w:rsidRPr="00D97EA4" w:rsidRDefault="00FA7E98" w:rsidP="009739BA">
      <w:pPr>
        <w:pStyle w:val="Style"/>
        <w:spacing w:line="254" w:lineRule="exact"/>
        <w:ind w:left="2002" w:right="2006"/>
        <w:jc w:val="both"/>
        <w:textAlignment w:val="baseline"/>
        <w:rPr>
          <w:rFonts w:ascii="Calibri" w:hAnsi="Calibri" w:cs="Calibri"/>
          <w:sz w:val="22"/>
          <w:szCs w:val="22"/>
        </w:rPr>
      </w:pPr>
      <w:r w:rsidRPr="00D97EA4">
        <w:rPr>
          <w:rFonts w:ascii="Calibri" w:eastAsia="Arial" w:hAnsi="Calibri" w:cs="Calibri"/>
          <w:sz w:val="22"/>
          <w:szCs w:val="22"/>
        </w:rPr>
        <w:t xml:space="preserve">de estos medios, ya que le permite fomentar proyectos y actividades dirigidos a satisfacer el interés general. </w:t>
      </w:r>
    </w:p>
    <w:p w14:paraId="584B7D21" w14:textId="77777777" w:rsidR="00795281" w:rsidRPr="00D97EA4" w:rsidRDefault="00FA7E98" w:rsidP="009739BA">
      <w:pPr>
        <w:pStyle w:val="Style"/>
        <w:spacing w:before="138" w:line="254" w:lineRule="exact"/>
        <w:ind w:left="1997" w:right="1997"/>
        <w:jc w:val="both"/>
        <w:textAlignment w:val="baseline"/>
        <w:rPr>
          <w:rFonts w:ascii="Calibri" w:hAnsi="Calibri" w:cs="Calibri"/>
          <w:sz w:val="22"/>
          <w:szCs w:val="22"/>
        </w:rPr>
      </w:pPr>
      <w:r w:rsidRPr="00D97EA4">
        <w:rPr>
          <w:rFonts w:ascii="Calibri" w:eastAsia="Arial" w:hAnsi="Calibri" w:cs="Calibri"/>
          <w:sz w:val="22"/>
          <w:szCs w:val="22"/>
        </w:rPr>
        <w:t xml:space="preserve">Si los educadores y las personas que trabajan con menores en el ámbito público deben tener la necesaria autoridad ética y moral, no resulta lógico ni conforme con los valores democráticos ayudar con fondos públicos a la realización de estas tareas por personas condenadas por delitos relacionados con el terrorismo. </w:t>
      </w:r>
    </w:p>
    <w:p w14:paraId="3902DF42" w14:textId="1EA39BBA" w:rsidR="00D97EA4" w:rsidRDefault="00FA7E98" w:rsidP="009739BA">
      <w:pPr>
        <w:pStyle w:val="Style"/>
        <w:spacing w:before="138" w:line="254" w:lineRule="exact"/>
        <w:ind w:left="1997" w:right="1997"/>
        <w:jc w:val="both"/>
        <w:textAlignment w:val="baseline"/>
        <w:rPr>
          <w:rFonts w:ascii="Calibri" w:eastAsia="Arial" w:hAnsi="Calibri" w:cs="Calibri"/>
          <w:sz w:val="22"/>
          <w:szCs w:val="22"/>
        </w:rPr>
      </w:pPr>
      <w:r w:rsidRPr="00D97EA4">
        <w:rPr>
          <w:rFonts w:ascii="Calibri" w:eastAsia="Arial" w:hAnsi="Calibri" w:cs="Calibri"/>
          <w:sz w:val="22"/>
          <w:szCs w:val="22"/>
        </w:rPr>
        <w:t>Navarra tiene competencia exclusiva, en virtud de su régimen foral, sobre las normas de procedimiento administrativo y, en su caso, económico</w:t>
      </w:r>
      <w:r w:rsidR="00D97EA4">
        <w:rPr>
          <w:rFonts w:ascii="Calibri" w:eastAsia="Arial" w:hAnsi="Calibri" w:cs="Calibri"/>
          <w:sz w:val="22"/>
          <w:szCs w:val="22"/>
        </w:rPr>
        <w:t>-</w:t>
      </w:r>
      <w:r w:rsidRPr="00D97EA4">
        <w:rPr>
          <w:rFonts w:ascii="Calibri" w:eastAsia="Arial" w:hAnsi="Calibri" w:cs="Calibri"/>
          <w:sz w:val="22"/>
          <w:szCs w:val="22"/>
        </w:rPr>
        <w:t>administrativo que se deriven de las especialidades del Derecho sustantivo o de la organización propios de Navarra, así como sobre el régimen jurídico de la Diputación Foral, de su Administración y de los entes públicos dependientes de la misma, conforme disponen las letras c) y e) del artículo 49.1 de la LORAFNA.</w:t>
      </w:r>
    </w:p>
    <w:p w14:paraId="7EE0113B" w14:textId="77777777" w:rsidR="00D97EA4" w:rsidRDefault="00D97EA4" w:rsidP="009739BA">
      <w:pPr>
        <w:pStyle w:val="Style"/>
        <w:spacing w:before="138" w:line="254" w:lineRule="exact"/>
        <w:ind w:left="1997" w:right="1997"/>
        <w:jc w:val="both"/>
        <w:textAlignment w:val="baseline"/>
        <w:rPr>
          <w:rFonts w:ascii="Calibri" w:hAnsi="Calibri" w:cs="Calibri"/>
          <w:sz w:val="22"/>
          <w:szCs w:val="22"/>
        </w:rPr>
      </w:pPr>
    </w:p>
    <w:p w14:paraId="42885933" w14:textId="0314335B" w:rsidR="00795281" w:rsidRPr="00D97EA4" w:rsidRDefault="00FA7E98" w:rsidP="009739BA">
      <w:pPr>
        <w:pStyle w:val="Style"/>
        <w:spacing w:line="254" w:lineRule="exact"/>
        <w:ind w:left="2006" w:right="2002"/>
        <w:jc w:val="both"/>
        <w:textAlignment w:val="baseline"/>
        <w:rPr>
          <w:rFonts w:ascii="Calibri" w:hAnsi="Calibri" w:cs="Calibri"/>
          <w:sz w:val="22"/>
          <w:szCs w:val="22"/>
        </w:rPr>
      </w:pPr>
      <w:r w:rsidRPr="00D97EA4">
        <w:rPr>
          <w:rFonts w:ascii="Calibri" w:eastAsia="Arial" w:hAnsi="Calibri" w:cs="Calibri"/>
          <w:b/>
          <w:sz w:val="22"/>
          <w:szCs w:val="22"/>
        </w:rPr>
        <w:t xml:space="preserve">Artículo primero. </w:t>
      </w:r>
      <w:r w:rsidRPr="00D97EA4">
        <w:rPr>
          <w:rFonts w:ascii="Calibri" w:eastAsia="Arial" w:hAnsi="Calibri" w:cs="Calibri"/>
          <w:sz w:val="22"/>
          <w:szCs w:val="22"/>
        </w:rPr>
        <w:t xml:space="preserve">Se añade un apartado 3 bis al artículo 13, requisitos para obtener la condición de beneficiario o de entidad colaboradora, de la Ley Foral 11/2005, de 9 de noviembre, de subvenciones. </w:t>
      </w:r>
    </w:p>
    <w:p w14:paraId="03D2DE29" w14:textId="25AAC0D4" w:rsidR="00795281" w:rsidRPr="00D97EA4" w:rsidRDefault="00D97EA4" w:rsidP="009739BA">
      <w:pPr>
        <w:pStyle w:val="Style"/>
        <w:spacing w:before="138" w:line="254" w:lineRule="exact"/>
        <w:ind w:left="1997" w:right="1997"/>
        <w:jc w:val="both"/>
        <w:textAlignment w:val="baseline"/>
        <w:rPr>
          <w:rFonts w:ascii="Calibri" w:hAnsi="Calibri" w:cs="Calibri"/>
          <w:sz w:val="22"/>
          <w:szCs w:val="22"/>
        </w:rPr>
      </w:pPr>
      <w:r>
        <w:rPr>
          <w:rFonts w:ascii="Calibri" w:eastAsia="Arial" w:hAnsi="Calibri" w:cs="Calibri"/>
          <w:sz w:val="22"/>
          <w:szCs w:val="22"/>
        </w:rPr>
        <w:t>“</w:t>
      </w:r>
      <w:r w:rsidR="00FA7E98" w:rsidRPr="00D97EA4">
        <w:rPr>
          <w:rFonts w:ascii="Calibri" w:eastAsia="Arial" w:hAnsi="Calibri" w:cs="Calibri"/>
          <w:sz w:val="22"/>
          <w:szCs w:val="22"/>
        </w:rPr>
        <w:t xml:space="preserve">3 bis. En ningún caso podrán obtener la condición de beneficiario o de entidad colaboradora de las subvenciones reguladas en esta ley foral las personas físicas que hayan sido condenadas por sentencia firme por cualquier delito tipificado en el Capítulo VII del Título XXII del Libro II de la Ley Orgánica 10/1995, de 23 de noviembre, del Código Penal, o las personas jurídicas que tengan como empleadas o subcontraten actividad con otras personas físicas o jurídicas que se encuentren en dicha circunstancia, cuando las subvenciones se dirijan a realizar proyectos o actividades dirigidos a personas menores de edad que conlleven un trato repetido, directo y regular y no meramente ocasional con niños, niñas o adolescentes, así como, en todo caso, todos aquellos que tengan como destinatarios principales a personas menores de edad. </w:t>
      </w:r>
    </w:p>
    <w:p w14:paraId="4BA17C32" w14:textId="77777777" w:rsidR="00795281" w:rsidRPr="00D97EA4" w:rsidRDefault="00FA7E98" w:rsidP="009739BA">
      <w:pPr>
        <w:pStyle w:val="Style"/>
        <w:spacing w:before="138" w:line="254" w:lineRule="exact"/>
        <w:ind w:left="1997" w:right="1997"/>
        <w:jc w:val="both"/>
        <w:textAlignment w:val="baseline"/>
        <w:rPr>
          <w:rFonts w:ascii="Calibri" w:hAnsi="Calibri" w:cs="Calibri"/>
          <w:sz w:val="22"/>
          <w:szCs w:val="22"/>
        </w:rPr>
      </w:pPr>
      <w:r w:rsidRPr="00D97EA4">
        <w:rPr>
          <w:rFonts w:ascii="Calibri" w:eastAsia="Arial" w:hAnsi="Calibri" w:cs="Calibri"/>
          <w:sz w:val="22"/>
          <w:szCs w:val="22"/>
        </w:rPr>
        <w:t xml:space="preserve">A estos efectos, tendrán la misma consideración las resoluciones judiciales penales de Estados miembros de la Unión Europea por delitos de terrorismo o promoción, constitución, organización o dirección de una organización o grupo terrorista o pertenencia a los mismos. </w:t>
      </w:r>
    </w:p>
    <w:p w14:paraId="0D2677F0" w14:textId="77777777" w:rsidR="00795281" w:rsidRPr="00D97EA4" w:rsidRDefault="00FA7E98" w:rsidP="009739BA">
      <w:pPr>
        <w:pStyle w:val="Style"/>
        <w:spacing w:before="138" w:line="254" w:lineRule="exact"/>
        <w:ind w:left="1997" w:right="1997"/>
        <w:jc w:val="both"/>
        <w:textAlignment w:val="baseline"/>
        <w:rPr>
          <w:rFonts w:ascii="Calibri" w:hAnsi="Calibri" w:cs="Calibri"/>
          <w:sz w:val="22"/>
          <w:szCs w:val="22"/>
        </w:rPr>
      </w:pPr>
      <w:r w:rsidRPr="00D97EA4">
        <w:rPr>
          <w:rFonts w:ascii="Calibri" w:eastAsia="Arial" w:hAnsi="Calibri" w:cs="Calibri"/>
          <w:sz w:val="22"/>
          <w:szCs w:val="22"/>
        </w:rPr>
        <w:t xml:space="preserve">La apreciación de esta circunstancia requerirá que las personas que hayan sido condenadas por alguno de estos delitos vayan a realizar directamente o participar en la realización de dichos proyectos o actividades. </w:t>
      </w:r>
    </w:p>
    <w:p w14:paraId="1E065BBC" w14:textId="309C73BF" w:rsidR="00D97EA4" w:rsidRDefault="00FA7E98" w:rsidP="009739BA">
      <w:pPr>
        <w:pStyle w:val="Style"/>
        <w:spacing w:before="138" w:line="254" w:lineRule="exact"/>
        <w:ind w:left="1997" w:right="1997"/>
        <w:jc w:val="both"/>
        <w:textAlignment w:val="baseline"/>
        <w:rPr>
          <w:rFonts w:ascii="Calibri" w:eastAsia="Arial" w:hAnsi="Calibri" w:cs="Calibri"/>
          <w:sz w:val="22"/>
          <w:szCs w:val="22"/>
        </w:rPr>
      </w:pPr>
      <w:r w:rsidRPr="00D97EA4">
        <w:rPr>
          <w:rFonts w:ascii="Calibri" w:eastAsia="Arial" w:hAnsi="Calibri" w:cs="Calibri"/>
          <w:sz w:val="22"/>
          <w:szCs w:val="22"/>
        </w:rPr>
        <w:t>Las bases reguladoras de las convocatorias de subvenciones con este objeto señalarán de forma expresa la citada prohibición para ser beneficiario o entidad colaboradora</w:t>
      </w:r>
      <w:r w:rsidR="00D97EA4">
        <w:rPr>
          <w:rFonts w:ascii="Calibri" w:eastAsia="Arial" w:hAnsi="Calibri" w:cs="Calibri"/>
          <w:sz w:val="22"/>
          <w:szCs w:val="22"/>
        </w:rPr>
        <w:t>”.</w:t>
      </w:r>
    </w:p>
    <w:p w14:paraId="777D84B8" w14:textId="77777777" w:rsidR="00D97EA4" w:rsidRDefault="00D97EA4" w:rsidP="009739BA">
      <w:pPr>
        <w:pStyle w:val="Style"/>
        <w:spacing w:before="138" w:line="254" w:lineRule="exact"/>
        <w:ind w:left="1997" w:right="1997"/>
        <w:jc w:val="both"/>
        <w:textAlignment w:val="baseline"/>
        <w:rPr>
          <w:rFonts w:ascii="Calibri" w:eastAsia="Arial" w:hAnsi="Calibri" w:cs="Calibri"/>
          <w:sz w:val="22"/>
          <w:szCs w:val="22"/>
        </w:rPr>
      </w:pPr>
    </w:p>
    <w:p w14:paraId="03D077A1" w14:textId="44D7989B" w:rsidR="00795281" w:rsidRPr="00D97EA4" w:rsidRDefault="00FA7E98" w:rsidP="009739BA">
      <w:pPr>
        <w:pStyle w:val="Style"/>
        <w:spacing w:line="254" w:lineRule="exact"/>
        <w:ind w:left="2002" w:right="1997"/>
        <w:jc w:val="both"/>
        <w:textAlignment w:val="baseline"/>
        <w:rPr>
          <w:rFonts w:ascii="Calibri" w:hAnsi="Calibri" w:cs="Calibri"/>
          <w:sz w:val="22"/>
          <w:szCs w:val="22"/>
        </w:rPr>
      </w:pPr>
      <w:r w:rsidRPr="00D97EA4">
        <w:rPr>
          <w:rFonts w:ascii="Calibri" w:eastAsia="Arial" w:hAnsi="Calibri" w:cs="Calibri"/>
          <w:b/>
          <w:sz w:val="22"/>
          <w:szCs w:val="22"/>
        </w:rPr>
        <w:t xml:space="preserve">Artículo segundo. </w:t>
      </w:r>
      <w:r w:rsidRPr="00D97EA4">
        <w:rPr>
          <w:rFonts w:ascii="Calibri" w:eastAsia="Arial" w:hAnsi="Calibri" w:cs="Calibri"/>
          <w:sz w:val="22"/>
          <w:szCs w:val="22"/>
        </w:rPr>
        <w:t xml:space="preserve">Se añade un apartado 6 bis al artículo 13, requisitos para obtener la condición de beneficiario o de entidad colaboradora, de la Ley Foral 11/2005, de 9 de noviembre, de subvenciones. </w:t>
      </w:r>
    </w:p>
    <w:p w14:paraId="5FD14D28" w14:textId="77777777" w:rsidR="00D97EA4" w:rsidRDefault="00D97EA4" w:rsidP="009739BA">
      <w:pPr>
        <w:pStyle w:val="Style"/>
        <w:spacing w:before="133" w:line="254" w:lineRule="exact"/>
        <w:ind w:left="1997" w:right="1997"/>
        <w:jc w:val="both"/>
        <w:textAlignment w:val="baseline"/>
        <w:rPr>
          <w:rFonts w:ascii="Calibri" w:eastAsia="Arial" w:hAnsi="Calibri" w:cs="Calibri"/>
          <w:sz w:val="22"/>
          <w:szCs w:val="22"/>
        </w:rPr>
      </w:pPr>
      <w:r>
        <w:rPr>
          <w:rFonts w:ascii="Calibri" w:eastAsia="Arial" w:hAnsi="Calibri" w:cs="Calibri"/>
          <w:sz w:val="22"/>
          <w:szCs w:val="22"/>
        </w:rPr>
        <w:lastRenderedPageBreak/>
        <w:t>“</w:t>
      </w:r>
      <w:r w:rsidR="00FA7E98" w:rsidRPr="00D97EA4">
        <w:rPr>
          <w:rFonts w:ascii="Calibri" w:eastAsia="Arial" w:hAnsi="Calibri" w:cs="Calibri"/>
          <w:sz w:val="22"/>
          <w:szCs w:val="22"/>
        </w:rPr>
        <w:t>6 bis. La apreciación de la prohibición contenida en el apartado 3 bis se apreciará de forma automática. Para la justificación por parte de las personas o entidades de no estar incursos en la citada prohibición, deberán acreditar esta circunstancia mediante la aportación de un certificado de antecedentes penales del Registro Central de Penados de todas las personas que vayan a realizar directamente o participar en la realización de los proyectos y actividades a subvencionar</w:t>
      </w:r>
      <w:r>
        <w:rPr>
          <w:rFonts w:ascii="Calibri" w:eastAsia="Arial" w:hAnsi="Calibri" w:cs="Calibri"/>
          <w:sz w:val="22"/>
          <w:szCs w:val="22"/>
        </w:rPr>
        <w:t>”.</w:t>
      </w:r>
    </w:p>
    <w:p w14:paraId="1057FA78" w14:textId="6817457A" w:rsidR="00795281" w:rsidRPr="00D97EA4" w:rsidRDefault="00FA7E98" w:rsidP="009739BA">
      <w:pPr>
        <w:pStyle w:val="Style"/>
        <w:spacing w:before="133" w:line="254" w:lineRule="exact"/>
        <w:ind w:left="1997" w:right="1997"/>
        <w:jc w:val="both"/>
        <w:textAlignment w:val="baseline"/>
        <w:rPr>
          <w:rFonts w:ascii="Calibri" w:eastAsia="Arial" w:hAnsi="Calibri" w:cs="Calibri"/>
          <w:sz w:val="22"/>
          <w:szCs w:val="22"/>
        </w:rPr>
      </w:pPr>
      <w:r w:rsidRPr="00D97EA4">
        <w:rPr>
          <w:rFonts w:ascii="Calibri" w:eastAsia="Arial" w:hAnsi="Calibri" w:cs="Calibri"/>
          <w:b/>
          <w:sz w:val="22"/>
          <w:szCs w:val="22"/>
        </w:rPr>
        <w:t xml:space="preserve">Disposición derogatoria única. </w:t>
      </w:r>
      <w:r w:rsidRPr="00D97EA4">
        <w:rPr>
          <w:rFonts w:ascii="Calibri" w:eastAsia="Arial" w:hAnsi="Calibri" w:cs="Calibri"/>
          <w:sz w:val="22"/>
          <w:szCs w:val="22"/>
        </w:rPr>
        <w:t xml:space="preserve">Derogación normativa. </w:t>
      </w:r>
    </w:p>
    <w:p w14:paraId="3476F9C3" w14:textId="21C42BB6" w:rsidR="00D97EA4" w:rsidRDefault="00FA7E98" w:rsidP="009739BA">
      <w:pPr>
        <w:pStyle w:val="Style"/>
        <w:spacing w:before="138" w:line="254" w:lineRule="exact"/>
        <w:ind w:left="2002" w:right="2030"/>
        <w:jc w:val="both"/>
        <w:textAlignment w:val="baseline"/>
        <w:rPr>
          <w:rFonts w:ascii="Calibri" w:hAnsi="Calibri" w:cs="Calibri"/>
          <w:sz w:val="22"/>
          <w:szCs w:val="22"/>
        </w:rPr>
      </w:pPr>
      <w:r w:rsidRPr="00D97EA4">
        <w:rPr>
          <w:rFonts w:ascii="Calibri" w:eastAsia="Arial" w:hAnsi="Calibri" w:cs="Calibri"/>
          <w:sz w:val="22"/>
          <w:szCs w:val="22"/>
        </w:rPr>
        <w:t xml:space="preserve">Quedan derogadas cuantas disposiciones, de igual o inferior rango, se opongan a lo dispuesto en esta </w:t>
      </w:r>
      <w:r w:rsidR="00D97EA4">
        <w:rPr>
          <w:rFonts w:ascii="Calibri" w:eastAsia="Arial" w:hAnsi="Calibri" w:cs="Calibri"/>
          <w:sz w:val="22"/>
          <w:szCs w:val="22"/>
        </w:rPr>
        <w:t>l</w:t>
      </w:r>
      <w:r w:rsidRPr="00D97EA4">
        <w:rPr>
          <w:rFonts w:ascii="Calibri" w:eastAsia="Arial" w:hAnsi="Calibri" w:cs="Calibri"/>
          <w:sz w:val="22"/>
          <w:szCs w:val="22"/>
        </w:rPr>
        <w:t xml:space="preserve">ey </w:t>
      </w:r>
      <w:r w:rsidR="00D97EA4">
        <w:rPr>
          <w:rFonts w:ascii="Calibri" w:eastAsia="Arial" w:hAnsi="Calibri" w:cs="Calibri"/>
          <w:sz w:val="22"/>
          <w:szCs w:val="22"/>
        </w:rPr>
        <w:t>f</w:t>
      </w:r>
      <w:r w:rsidRPr="00D97EA4">
        <w:rPr>
          <w:rFonts w:ascii="Calibri" w:eastAsia="Arial" w:hAnsi="Calibri" w:cs="Calibri"/>
          <w:sz w:val="22"/>
          <w:szCs w:val="22"/>
        </w:rPr>
        <w:t xml:space="preserve">oral. </w:t>
      </w:r>
    </w:p>
    <w:p w14:paraId="49AA5DAF" w14:textId="75E3851F" w:rsidR="00795281" w:rsidRPr="00D97EA4" w:rsidRDefault="00FA7E98" w:rsidP="009739BA">
      <w:pPr>
        <w:pStyle w:val="Style"/>
        <w:spacing w:before="138" w:line="254" w:lineRule="exact"/>
        <w:ind w:left="2002" w:right="2030"/>
        <w:jc w:val="both"/>
        <w:textAlignment w:val="baseline"/>
        <w:rPr>
          <w:rFonts w:ascii="Calibri" w:hAnsi="Calibri" w:cs="Calibri"/>
          <w:sz w:val="22"/>
          <w:szCs w:val="22"/>
        </w:rPr>
      </w:pPr>
      <w:r w:rsidRPr="00D97EA4">
        <w:rPr>
          <w:rFonts w:ascii="Calibri" w:eastAsia="Arial" w:hAnsi="Calibri" w:cs="Calibri"/>
          <w:b/>
          <w:sz w:val="22"/>
          <w:szCs w:val="22"/>
        </w:rPr>
        <w:t xml:space="preserve">Disposición final única. </w:t>
      </w:r>
      <w:r w:rsidRPr="00D97EA4">
        <w:rPr>
          <w:rFonts w:ascii="Calibri" w:eastAsia="Arial" w:hAnsi="Calibri" w:cs="Calibri"/>
          <w:sz w:val="22"/>
          <w:szCs w:val="22"/>
        </w:rPr>
        <w:t xml:space="preserve">Entrada en vigor. </w:t>
      </w:r>
    </w:p>
    <w:p w14:paraId="27D8DB84" w14:textId="0093DC6E" w:rsidR="00795281" w:rsidRPr="00D97EA4" w:rsidRDefault="00FA7E98" w:rsidP="009739BA">
      <w:pPr>
        <w:pStyle w:val="Style"/>
        <w:spacing w:before="138" w:line="254" w:lineRule="exact"/>
        <w:ind w:left="2002" w:right="2035"/>
        <w:jc w:val="both"/>
        <w:textAlignment w:val="baseline"/>
        <w:rPr>
          <w:rFonts w:ascii="Calibri" w:eastAsia="Arial" w:hAnsi="Calibri" w:cs="Calibri"/>
          <w:sz w:val="22"/>
          <w:szCs w:val="22"/>
        </w:rPr>
      </w:pPr>
      <w:r w:rsidRPr="00D97EA4">
        <w:rPr>
          <w:rFonts w:ascii="Calibri" w:eastAsia="Arial" w:hAnsi="Calibri" w:cs="Calibri"/>
          <w:sz w:val="22"/>
          <w:szCs w:val="22"/>
        </w:rPr>
        <w:t xml:space="preserve">Esta </w:t>
      </w:r>
      <w:r w:rsidR="00D97EA4">
        <w:rPr>
          <w:rFonts w:ascii="Calibri" w:eastAsia="Arial" w:hAnsi="Calibri" w:cs="Calibri"/>
          <w:sz w:val="22"/>
          <w:szCs w:val="22"/>
        </w:rPr>
        <w:t>l</w:t>
      </w:r>
      <w:r w:rsidRPr="00D97EA4">
        <w:rPr>
          <w:rFonts w:ascii="Calibri" w:eastAsia="Arial" w:hAnsi="Calibri" w:cs="Calibri"/>
          <w:sz w:val="22"/>
          <w:szCs w:val="22"/>
        </w:rPr>
        <w:t xml:space="preserve">ey </w:t>
      </w:r>
      <w:r w:rsidR="00D97EA4">
        <w:rPr>
          <w:rFonts w:ascii="Calibri" w:eastAsia="Arial" w:hAnsi="Calibri" w:cs="Calibri"/>
          <w:sz w:val="22"/>
          <w:szCs w:val="22"/>
        </w:rPr>
        <w:t>f</w:t>
      </w:r>
      <w:r w:rsidRPr="00D97EA4">
        <w:rPr>
          <w:rFonts w:ascii="Calibri" w:eastAsia="Arial" w:hAnsi="Calibri" w:cs="Calibri"/>
          <w:sz w:val="22"/>
          <w:szCs w:val="22"/>
        </w:rPr>
        <w:t xml:space="preserve">oral entrará en vigor el día siguiente al de su publicación en el Boletín Oficial de Navarra. </w:t>
      </w:r>
    </w:p>
    <w:sectPr w:rsidR="00795281" w:rsidRPr="00D97EA4">
      <w:type w:val="continuous"/>
      <w:pgSz w:w="12240" w:h="20160"/>
      <w:pgMar w:top="360" w:right="475" w:bottom="360" w:left="48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95281"/>
    <w:rsid w:val="00055AD9"/>
    <w:rsid w:val="00432E68"/>
    <w:rsid w:val="004B1E07"/>
    <w:rsid w:val="00795281"/>
    <w:rsid w:val="009739BA"/>
    <w:rsid w:val="00D97EA4"/>
    <w:rsid w:val="00E22672"/>
    <w:rsid w:val="00FA7E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AD34E"/>
  <w15:docId w15:val="{DC9CCD5A-5818-4589-BB95-15080966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775</Words>
  <Characters>4267</Characters>
  <Application>Microsoft Office Word</Application>
  <DocSecurity>0</DocSecurity>
  <Lines>35</Lines>
  <Paragraphs>10</Paragraphs>
  <ScaleCrop>false</ScaleCrop>
  <Company>HP Inc.</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25PRO-3</dc:title>
  <dc:creator>informatica</dc:creator>
  <cp:keywords>CreatedByIRIS_Readiris_17.0</cp:keywords>
  <cp:lastModifiedBy>Mauleón, Fernando</cp:lastModifiedBy>
  <cp:revision>6</cp:revision>
  <dcterms:created xsi:type="dcterms:W3CDTF">2025-01-29T14:47:00Z</dcterms:created>
  <dcterms:modified xsi:type="dcterms:W3CDTF">2025-01-29T16:03:00Z</dcterms:modified>
</cp:coreProperties>
</file>