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85C4" w14:textId="77777777" w:rsidR="002712F8" w:rsidRPr="002712F8" w:rsidRDefault="002712F8" w:rsidP="002712F8">
      <w:pPr>
        <w:jc w:val="both"/>
        <w:rPr>
          <w:rFonts w:ascii="Calibri" w:hAnsi="Calibri" w:cs="Calibri"/>
        </w:rPr>
      </w:pPr>
      <w:r w:rsidRPr="002712F8">
        <w:rPr>
          <w:rFonts w:ascii="Calibri" w:hAnsi="Calibri" w:cs="Calibri"/>
        </w:rPr>
        <w:t>Carlos Guzmán Pérez, miembro del Grupo Parlamentario Contigo Navarra–Zurekin Nafarroa, al amparo de lo establecido en el reglamento de la Cámara, presenta la siguiente moción para que sea debatida en el Pleno:</w:t>
      </w:r>
    </w:p>
    <w:p w14:paraId="47FA70AA" w14:textId="01FBFD48" w:rsidR="002712F8" w:rsidRPr="002712F8" w:rsidRDefault="002712F8" w:rsidP="002712F8">
      <w:pPr>
        <w:jc w:val="both"/>
        <w:rPr>
          <w:rFonts w:ascii="Calibri" w:hAnsi="Calibri" w:cs="Calibri"/>
        </w:rPr>
      </w:pPr>
      <w:r w:rsidRPr="002712F8">
        <w:rPr>
          <w:rFonts w:ascii="Calibri" w:hAnsi="Calibri" w:cs="Calibri"/>
        </w:rPr>
        <w:t xml:space="preserve">Solicitamos que el seguimiento del estado de cumplimiento de esta </w:t>
      </w:r>
      <w:r w:rsidR="001E2FAA">
        <w:rPr>
          <w:rFonts w:ascii="Calibri" w:hAnsi="Calibri" w:cs="Calibri"/>
        </w:rPr>
        <w:t>m</w:t>
      </w:r>
      <w:r w:rsidRPr="002712F8">
        <w:rPr>
          <w:rFonts w:ascii="Calibri" w:hAnsi="Calibri" w:cs="Calibri"/>
        </w:rPr>
        <w:t>oción se realice en la Comisión de Educación del Parlamento de Navarra.</w:t>
      </w:r>
    </w:p>
    <w:p w14:paraId="1E441252" w14:textId="274C3F28" w:rsidR="002712F8" w:rsidRPr="002712F8" w:rsidRDefault="002712F8" w:rsidP="002712F8">
      <w:pPr>
        <w:jc w:val="both"/>
        <w:rPr>
          <w:rFonts w:ascii="Calibri" w:hAnsi="Calibri" w:cs="Calibri"/>
        </w:rPr>
      </w:pPr>
      <w:r w:rsidRPr="002712F8">
        <w:rPr>
          <w:rFonts w:ascii="Calibri" w:hAnsi="Calibri" w:cs="Calibri"/>
        </w:rPr>
        <w:t>Exposición de motivos</w:t>
      </w:r>
    </w:p>
    <w:p w14:paraId="30924825" w14:textId="77777777" w:rsidR="002712F8" w:rsidRPr="002712F8" w:rsidRDefault="002712F8" w:rsidP="002712F8">
      <w:pPr>
        <w:jc w:val="both"/>
        <w:rPr>
          <w:rFonts w:ascii="Calibri" w:hAnsi="Calibri" w:cs="Calibri"/>
        </w:rPr>
      </w:pPr>
      <w:r w:rsidRPr="002712F8">
        <w:rPr>
          <w:rFonts w:ascii="Calibri" w:hAnsi="Calibri" w:cs="Calibri"/>
        </w:rPr>
        <w:t>El fortalecimiento de la red educativa pública es una obligación política de primer orden para las administraciones públicas, garantizando así, la igualdad de oportunidades y de objetivos a todos los niños y niñas de la sociedad navarra. Así lo está poniendo de manifiesto el Gobierno de Navarra en su Campaña de preinscripción para el curso 2025-26. “No busques más, elige la pública”.</w:t>
      </w:r>
    </w:p>
    <w:p w14:paraId="7D151755" w14:textId="6AFE15AC" w:rsidR="002712F8" w:rsidRPr="002712F8" w:rsidRDefault="002712F8" w:rsidP="002712F8">
      <w:pPr>
        <w:jc w:val="both"/>
        <w:rPr>
          <w:rFonts w:ascii="Calibri" w:hAnsi="Calibri" w:cs="Calibri"/>
        </w:rPr>
      </w:pPr>
      <w:r w:rsidRPr="002712F8">
        <w:rPr>
          <w:rFonts w:ascii="Calibri" w:hAnsi="Calibri" w:cs="Calibri"/>
        </w:rPr>
        <w:t>La existencia de un amplio abanico de colegios privados, que venían atendiendo la educación en los años 50, 60 y 70 del siglo pasado, motivó la aprobación de la LODE en 1985 por parte del parlamento español. Esto es, que se concertaron esas enseñanzas financiando con dinero público a esos colegios. Colegios pertenecientes a cooperativas y/o patronos de diversas ideologías, muchos religiosos católicos. El cambio social sobrevenido con la llegada del siglo XXI ha generado desequilibrios estructurales que impiden la vertebración del sistema educativo navarro sobre el de eje de la red educativa pública.</w:t>
      </w:r>
    </w:p>
    <w:p w14:paraId="4F45E46A" w14:textId="213EEB44" w:rsidR="002712F8" w:rsidRPr="002712F8" w:rsidRDefault="002712F8" w:rsidP="002712F8">
      <w:pPr>
        <w:jc w:val="both"/>
        <w:rPr>
          <w:rFonts w:ascii="Calibri" w:hAnsi="Calibri" w:cs="Calibri"/>
        </w:rPr>
      </w:pPr>
      <w:r w:rsidRPr="002712F8">
        <w:rPr>
          <w:rFonts w:ascii="Calibri" w:hAnsi="Calibri" w:cs="Calibri"/>
        </w:rPr>
        <w:t>El Acuerdo programático para un Gobierno de Navarra progresista y plural 2023–2027, en el apartado 5. Conocimiento, educación e igualdad de oportunidades, recoge las siguientes dos propuestas</w:t>
      </w:r>
      <w:r w:rsidR="001E2FAA">
        <w:rPr>
          <w:rFonts w:ascii="Calibri" w:hAnsi="Calibri" w:cs="Calibri"/>
        </w:rPr>
        <w:t>;</w:t>
      </w:r>
    </w:p>
    <w:p w14:paraId="66C8BA9C" w14:textId="77777777" w:rsidR="002712F8" w:rsidRPr="002712F8" w:rsidRDefault="002712F8" w:rsidP="002712F8">
      <w:pPr>
        <w:jc w:val="both"/>
        <w:rPr>
          <w:rFonts w:ascii="Calibri" w:hAnsi="Calibri" w:cs="Calibri"/>
        </w:rPr>
      </w:pPr>
      <w:r w:rsidRPr="002712F8">
        <w:rPr>
          <w:rFonts w:ascii="Calibri" w:hAnsi="Calibri" w:cs="Calibri"/>
        </w:rPr>
        <w:t>5. No aumentar las unidades concertadas y reducir las unidades concertadas cuando no haya demanda suficiente.</w:t>
      </w:r>
    </w:p>
    <w:p w14:paraId="0319F4F5" w14:textId="77777777" w:rsidR="002712F8" w:rsidRPr="002712F8" w:rsidRDefault="002712F8" w:rsidP="002712F8">
      <w:pPr>
        <w:jc w:val="both"/>
        <w:rPr>
          <w:rFonts w:ascii="Calibri" w:hAnsi="Calibri" w:cs="Calibri"/>
        </w:rPr>
      </w:pPr>
      <w:r w:rsidRPr="002712F8">
        <w:rPr>
          <w:rFonts w:ascii="Calibri" w:hAnsi="Calibri" w:cs="Calibri"/>
        </w:rPr>
        <w:t>6. Estudiar e impulsar la reducción de conciertos en la etapa postobligatoria conforme vayan cumpliéndose la vigencia de los mismos.</w:t>
      </w:r>
    </w:p>
    <w:p w14:paraId="05F78380" w14:textId="77777777" w:rsidR="002712F8" w:rsidRPr="002712F8" w:rsidRDefault="002712F8" w:rsidP="002712F8">
      <w:pPr>
        <w:jc w:val="both"/>
        <w:rPr>
          <w:rFonts w:ascii="Calibri" w:hAnsi="Calibri" w:cs="Calibri"/>
        </w:rPr>
      </w:pPr>
      <w:r w:rsidRPr="002712F8">
        <w:rPr>
          <w:rFonts w:ascii="Calibri" w:hAnsi="Calibri" w:cs="Calibri"/>
        </w:rPr>
        <w:t>Estas dos propuestas, aun siendo necesarias para responder a la eficiencia del gasto público, resultan insuficientes si se olvida o abandona el compromiso constitucional del Gobierno de Navarra con la gratuidad total de las etapas obligatorias, de 6 a 16 años. De hecho, el sistema viene manteniendo por inercia, unidades concertadas que no se necesitan en el corto y medio plazo, a la vista de los datos de los que dispone el Departamento de Educación.</w:t>
      </w:r>
    </w:p>
    <w:p w14:paraId="02B39D7B" w14:textId="77777777" w:rsidR="002712F8" w:rsidRPr="002712F8" w:rsidRDefault="002712F8" w:rsidP="002712F8">
      <w:pPr>
        <w:jc w:val="both"/>
        <w:rPr>
          <w:rFonts w:ascii="Calibri" w:hAnsi="Calibri" w:cs="Calibri"/>
        </w:rPr>
      </w:pPr>
      <w:r w:rsidRPr="002712F8">
        <w:rPr>
          <w:rFonts w:ascii="Calibri" w:hAnsi="Calibri" w:cs="Calibri"/>
        </w:rPr>
        <w:t>Constatado el índice demográfico actual, con una bajada de la natalidad sostenida y presumiblemente prolongada en el tiempo y visto por otra parte que la creciente población de origen migrante se inclina mayoritariamente por la escolarización en la red de colegios públicos, debemos atender curso a curso, la reordenación de la oferta educativa y la búsqueda de la eficiencia del gasto público. Esta cuestión debe ser una exigencia para las administraciones públicas.</w:t>
      </w:r>
    </w:p>
    <w:p w14:paraId="69213A96" w14:textId="77777777" w:rsidR="002712F8" w:rsidRPr="002712F8" w:rsidRDefault="002712F8" w:rsidP="002712F8">
      <w:pPr>
        <w:jc w:val="both"/>
        <w:rPr>
          <w:rFonts w:ascii="Calibri" w:hAnsi="Calibri" w:cs="Calibri"/>
        </w:rPr>
      </w:pPr>
      <w:r w:rsidRPr="002712F8">
        <w:rPr>
          <w:rFonts w:ascii="Calibri" w:hAnsi="Calibri" w:cs="Calibri"/>
        </w:rPr>
        <w:t>Todo ello determina la necesidad de una plena utilización de la red de centros públicos existente, y una apuesta por el mayor y mejor empleo digno del personal docente habilitado como funcionario o contratado interino y temporal, por la propia administración pública, tras participar en los diversos procesos de oposiciones, a tenor de las leyes vigentes.</w:t>
      </w:r>
    </w:p>
    <w:p w14:paraId="6F890B68" w14:textId="77777777" w:rsidR="002712F8" w:rsidRPr="002712F8" w:rsidRDefault="002712F8" w:rsidP="002712F8">
      <w:pPr>
        <w:jc w:val="both"/>
        <w:rPr>
          <w:rFonts w:ascii="Calibri" w:hAnsi="Calibri" w:cs="Calibri"/>
        </w:rPr>
      </w:pPr>
      <w:r w:rsidRPr="002712F8">
        <w:rPr>
          <w:rFonts w:ascii="Calibri" w:hAnsi="Calibri" w:cs="Calibri"/>
        </w:rPr>
        <w:lastRenderedPageBreak/>
        <w:t>Por tanto, tras el período de preinscripción para el curso 2025-2026, sin perjudicar la libre demanda manifestada por las familias y habida cuenta de lo encomendado a los poderes públicos en el artículo 27 de la Constitución española, el Departamento de Educación debe iniciar un riguroso trabajo de análisis y planificación.</w:t>
      </w:r>
    </w:p>
    <w:p w14:paraId="251E13E2" w14:textId="73A71597" w:rsidR="002712F8" w:rsidRPr="002712F8" w:rsidRDefault="002712F8" w:rsidP="002712F8">
      <w:pPr>
        <w:jc w:val="both"/>
        <w:rPr>
          <w:rFonts w:ascii="Calibri" w:hAnsi="Calibri" w:cs="Calibri"/>
        </w:rPr>
      </w:pPr>
      <w:r w:rsidRPr="002712F8">
        <w:rPr>
          <w:rFonts w:ascii="Calibri" w:hAnsi="Calibri" w:cs="Calibri"/>
        </w:rPr>
        <w:t>Propuesta de resolución:</w:t>
      </w:r>
    </w:p>
    <w:p w14:paraId="2FD99A8B" w14:textId="05D45D2F" w:rsidR="002712F8" w:rsidRPr="002712F8" w:rsidRDefault="002712F8" w:rsidP="002712F8">
      <w:pPr>
        <w:pStyle w:val="Prrafodelista"/>
        <w:numPr>
          <w:ilvl w:val="0"/>
          <w:numId w:val="1"/>
        </w:numPr>
        <w:jc w:val="both"/>
        <w:rPr>
          <w:rFonts w:ascii="Calibri" w:hAnsi="Calibri" w:cs="Calibri"/>
        </w:rPr>
      </w:pPr>
      <w:r w:rsidRPr="002712F8">
        <w:rPr>
          <w:rFonts w:ascii="Calibri" w:hAnsi="Calibri" w:cs="Calibri"/>
        </w:rPr>
        <w:t>El Parlamento de Navarra insta al Departamento de Educación del Gobierno de Navarra a llevar a cabo un riguroso estudio educativo–demográfico de todas y cada una de las etapas del sistema, el cual permita establecer un cronograma de retirada progresiva de aquellas unidades que no se necesita concertar, dada la capacidad de servicio educativo de sus propios cuerpos de docentes e instalaciones.</w:t>
      </w:r>
    </w:p>
    <w:p w14:paraId="111E3C39" w14:textId="45E17C5B" w:rsidR="002712F8" w:rsidRPr="002712F8" w:rsidRDefault="002712F8" w:rsidP="002712F8">
      <w:pPr>
        <w:pStyle w:val="Prrafodelista"/>
        <w:jc w:val="both"/>
        <w:rPr>
          <w:rFonts w:ascii="Calibri" w:hAnsi="Calibri" w:cs="Calibri"/>
        </w:rPr>
      </w:pPr>
      <w:r w:rsidRPr="002712F8">
        <w:rPr>
          <w:rFonts w:ascii="Calibri" w:hAnsi="Calibri" w:cs="Calibri"/>
        </w:rPr>
        <w:t>Pamplona-Iruñea, a 24 de marzo de 2025</w:t>
      </w:r>
    </w:p>
    <w:p w14:paraId="3F5C13BE" w14:textId="1C79F7FA" w:rsidR="002712F8" w:rsidRPr="002712F8" w:rsidRDefault="002712F8" w:rsidP="002712F8">
      <w:pPr>
        <w:pStyle w:val="Prrafodelista"/>
        <w:jc w:val="both"/>
        <w:rPr>
          <w:rFonts w:ascii="Calibri" w:hAnsi="Calibri" w:cs="Calibri"/>
        </w:rPr>
      </w:pPr>
      <w:r w:rsidRPr="002712F8">
        <w:rPr>
          <w:rFonts w:ascii="Calibri" w:hAnsi="Calibri" w:cs="Calibri"/>
        </w:rPr>
        <w:t>El Parlamentario Foral: Carlos Guzmán Pérez</w:t>
      </w:r>
    </w:p>
    <w:sectPr w:rsidR="002712F8" w:rsidRPr="002712F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B0951"/>
    <w:multiLevelType w:val="hybridMultilevel"/>
    <w:tmpl w:val="3EA488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4741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F8"/>
    <w:rsid w:val="000370A0"/>
    <w:rsid w:val="000820DB"/>
    <w:rsid w:val="000A3E45"/>
    <w:rsid w:val="000B399C"/>
    <w:rsid w:val="00102BA2"/>
    <w:rsid w:val="001E2FAA"/>
    <w:rsid w:val="001E34F2"/>
    <w:rsid w:val="00242C60"/>
    <w:rsid w:val="002712F8"/>
    <w:rsid w:val="002E551E"/>
    <w:rsid w:val="00337EB8"/>
    <w:rsid w:val="0035620E"/>
    <w:rsid w:val="003C1B1F"/>
    <w:rsid w:val="00423F35"/>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35FFF"/>
    <w:rsid w:val="00C77C21"/>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1C35"/>
  <w15:chartTrackingRefBased/>
  <w15:docId w15:val="{C117F854-1658-4B68-BBFD-8AECB6E5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71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1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12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12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12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12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12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12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12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12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12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12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12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12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12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12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12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12F8"/>
    <w:rPr>
      <w:rFonts w:eastAsiaTheme="majorEastAsia" w:cstheme="majorBidi"/>
      <w:color w:val="272727" w:themeColor="text1" w:themeTint="D8"/>
    </w:rPr>
  </w:style>
  <w:style w:type="paragraph" w:styleId="Ttulo">
    <w:name w:val="Title"/>
    <w:basedOn w:val="Normal"/>
    <w:next w:val="Normal"/>
    <w:link w:val="TtuloCar"/>
    <w:uiPriority w:val="10"/>
    <w:qFormat/>
    <w:rsid w:val="00271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12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12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12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12F8"/>
    <w:pPr>
      <w:spacing w:before="160"/>
      <w:jc w:val="center"/>
    </w:pPr>
    <w:rPr>
      <w:i/>
      <w:iCs/>
      <w:color w:val="404040" w:themeColor="text1" w:themeTint="BF"/>
    </w:rPr>
  </w:style>
  <w:style w:type="character" w:customStyle="1" w:styleId="CitaCar">
    <w:name w:val="Cita Car"/>
    <w:basedOn w:val="Fuentedeprrafopredeter"/>
    <w:link w:val="Cita"/>
    <w:uiPriority w:val="29"/>
    <w:rsid w:val="002712F8"/>
    <w:rPr>
      <w:i/>
      <w:iCs/>
      <w:color w:val="404040" w:themeColor="text1" w:themeTint="BF"/>
    </w:rPr>
  </w:style>
  <w:style w:type="paragraph" w:styleId="Prrafodelista">
    <w:name w:val="List Paragraph"/>
    <w:basedOn w:val="Normal"/>
    <w:uiPriority w:val="34"/>
    <w:qFormat/>
    <w:rsid w:val="002712F8"/>
    <w:pPr>
      <w:ind w:left="720"/>
      <w:contextualSpacing/>
    </w:pPr>
  </w:style>
  <w:style w:type="character" w:styleId="nfasisintenso">
    <w:name w:val="Intense Emphasis"/>
    <w:basedOn w:val="Fuentedeprrafopredeter"/>
    <w:uiPriority w:val="21"/>
    <w:qFormat/>
    <w:rsid w:val="002712F8"/>
    <w:rPr>
      <w:i/>
      <w:iCs/>
      <w:color w:val="0F4761" w:themeColor="accent1" w:themeShade="BF"/>
    </w:rPr>
  </w:style>
  <w:style w:type="paragraph" w:styleId="Citadestacada">
    <w:name w:val="Intense Quote"/>
    <w:basedOn w:val="Normal"/>
    <w:next w:val="Normal"/>
    <w:link w:val="CitadestacadaCar"/>
    <w:uiPriority w:val="30"/>
    <w:qFormat/>
    <w:rsid w:val="00271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12F8"/>
    <w:rPr>
      <w:i/>
      <w:iCs/>
      <w:color w:val="0F4761" w:themeColor="accent1" w:themeShade="BF"/>
    </w:rPr>
  </w:style>
  <w:style w:type="character" w:styleId="Referenciaintensa">
    <w:name w:val="Intense Reference"/>
    <w:basedOn w:val="Fuentedeprrafopredeter"/>
    <w:uiPriority w:val="32"/>
    <w:qFormat/>
    <w:rsid w:val="002712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3308</Characters>
  <Application>Microsoft Office Word</Application>
  <DocSecurity>0</DocSecurity>
  <Lines>27</Lines>
  <Paragraphs>7</Paragraphs>
  <ScaleCrop>false</ScaleCrop>
  <Company>HP Inc.</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2025-03-25T13:30:00Z</dcterms:created>
  <dcterms:modified xsi:type="dcterms:W3CDTF">2025-04-02T14:00:00Z</dcterms:modified>
</cp:coreProperties>
</file>