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F85" w:rsidRDefault="005C6F85" w:rsidP="001F5AE6">
      <w:pPr>
        <w:spacing w:line="360" w:lineRule="auto"/>
        <w:ind w:firstLine="360"/>
        <w:jc w:val="both"/>
        <w:rPr>
          <w:sz w:val="22"/>
          <w:szCs w:val="22"/>
          <w:rFonts w:ascii="Arial" w:hAnsi="Arial" w:cs="Arial"/>
        </w:rPr>
      </w:pPr>
      <w:r>
        <w:rPr>
          <w:sz w:val="22"/>
          <w:rFonts w:ascii="Arial" w:hAnsi="Arial"/>
        </w:rPr>
        <w:t xml:space="preserve">EH BILDU NAFARROA talde parlamentarioari atxikitako foru parlamentari Mikel Zabaleta Aramendia jaunak 11-25/PES-00171 galdera egin zuen, idatziz erantzun zekion. Bada, Nafarroako Gobernuko Etxebizitzako, Gazteriako eta Migrazio Politiketako kontseilaria naizen aldetik, honako hau jakinarazten dut egindako galdera-sortari erantzunez:</w:t>
      </w:r>
    </w:p>
    <w:p w:rsidR="000631E5" w:rsidRDefault="000631E5" w:rsidP="001F5AE6">
      <w:pPr>
        <w:spacing w:line="360" w:lineRule="auto"/>
        <w:ind w:firstLine="360"/>
        <w:jc w:val="both"/>
        <w:rPr>
          <w:rFonts w:ascii="Arial" w:hAnsi="Arial" w:cs="Arial"/>
          <w:sz w:val="22"/>
          <w:szCs w:val="22"/>
        </w:rPr>
      </w:pPr>
    </w:p>
    <w:p w:rsidR="005A7259" w:rsidRDefault="00D76DC5" w:rsidP="005A7259">
      <w:pPr>
        <w:spacing w:line="360" w:lineRule="auto"/>
        <w:ind w:firstLine="709"/>
        <w:jc w:val="both"/>
        <w:rPr>
          <w:i/>
          <w:sz w:val="22"/>
          <w:szCs w:val="22"/>
          <w:rFonts w:ascii="Arial" w:hAnsi="Arial" w:cs="Arial"/>
        </w:rPr>
      </w:pPr>
      <w:r>
        <w:rPr>
          <w:i/>
          <w:sz w:val="22"/>
          <w:rFonts w:ascii="Arial" w:hAnsi="Arial"/>
        </w:rPr>
        <w:t xml:space="preserve">GALDERA:</w:t>
      </w:r>
      <w:r>
        <w:rPr>
          <w:i/>
          <w:sz w:val="22"/>
          <w:rFonts w:ascii="Arial" w:hAnsi="Arial"/>
        </w:rPr>
        <w:t xml:space="preserve"> </w:t>
      </w:r>
      <w:r>
        <w:rPr>
          <w:i/>
          <w:sz w:val="22"/>
          <w:rFonts w:ascii="Arial" w:hAnsi="Arial"/>
        </w:rPr>
        <w:t xml:space="preserve">Nola aurreikusten du Nafarroako Gobernuak tentsiopeko etxebizitza-merkatuaren zonalde deklaratutako udalerrietan indarrean jarriko diren neurriak betetzen direla zaintzea eta nola detektatu nahi ditu gertatzen diren arau-hausteak edo ez-betetzeak?</w:t>
      </w:r>
    </w:p>
    <w:p w:rsidR="005A7259" w:rsidRPr="005A7259" w:rsidRDefault="005A7259" w:rsidP="005A7259">
      <w:pPr>
        <w:spacing w:line="360" w:lineRule="auto"/>
        <w:ind w:firstLine="709"/>
        <w:jc w:val="both"/>
        <w:rPr>
          <w:rFonts w:ascii="Arial" w:hAnsi="Arial" w:cs="Arial"/>
          <w:i/>
          <w:sz w:val="22"/>
          <w:szCs w:val="22"/>
        </w:rPr>
      </w:pPr>
    </w:p>
    <w:p w:rsidR="005A7259" w:rsidRDefault="005A7259" w:rsidP="005A7259">
      <w:pPr>
        <w:spacing w:line="360" w:lineRule="auto"/>
        <w:ind w:firstLine="708"/>
        <w:jc w:val="both"/>
        <w:rPr>
          <w:sz w:val="22"/>
          <w:szCs w:val="22"/>
          <w:rFonts w:ascii="Arial" w:hAnsi="Arial" w:cs="Arial"/>
        </w:rPr>
      </w:pPr>
      <w:r>
        <w:rPr>
          <w:sz w:val="22"/>
          <w:rFonts w:ascii="Arial" w:hAnsi="Arial"/>
        </w:rPr>
        <w:t xml:space="preserve">Nafarroako tentsiopeko etxebizitza merkatuaren zonaldeen deklarazioa onestearekin batera, zonalde horietarako neurrien plan bat prestatzen da, Foru Komunitateko etxebizitza sistema osoan tentsioa murrizteko.</w:t>
      </w:r>
      <w:r>
        <w:rPr>
          <w:sz w:val="22"/>
          <w:rFonts w:ascii="Arial" w:hAnsi="Arial"/>
        </w:rPr>
        <w:t xml:space="preserve"> </w:t>
      </w:r>
    </w:p>
    <w:p w:rsidR="005A7259" w:rsidRPr="005A7259" w:rsidRDefault="005A7259" w:rsidP="005A7259">
      <w:pPr>
        <w:spacing w:line="360" w:lineRule="auto"/>
        <w:ind w:firstLine="708"/>
        <w:jc w:val="both"/>
        <w:rPr>
          <w:rFonts w:ascii="Arial" w:hAnsi="Arial" w:cs="Arial"/>
          <w:sz w:val="22"/>
          <w:szCs w:val="22"/>
        </w:rPr>
      </w:pPr>
    </w:p>
    <w:p w:rsidR="005A7259" w:rsidRDefault="005A7259" w:rsidP="005A7259">
      <w:pPr>
        <w:spacing w:line="360" w:lineRule="auto"/>
        <w:ind w:firstLine="708"/>
        <w:jc w:val="both"/>
        <w:rPr>
          <w:sz w:val="22"/>
          <w:szCs w:val="22"/>
          <w:rFonts w:ascii="Arial" w:hAnsi="Arial" w:cs="Arial"/>
        </w:rPr>
      </w:pPr>
      <w:r>
        <w:rPr>
          <w:sz w:val="22"/>
          <w:rFonts w:ascii="Arial" w:hAnsi="Arial"/>
        </w:rPr>
        <w:t xml:space="preserve">Plan horren helburuen artean, ikuskapen eta kontrol sistemak egokitzeko eta hobetzeko aurreikuspena dago.</w:t>
      </w:r>
      <w:r>
        <w:rPr>
          <w:sz w:val="22"/>
          <w:rFonts w:ascii="Arial" w:hAnsi="Arial"/>
        </w:rPr>
        <w:t xml:space="preserve"> </w:t>
      </w:r>
      <w:r>
        <w:rPr>
          <w:sz w:val="22"/>
          <w:rFonts w:ascii="Arial" w:hAnsi="Arial"/>
        </w:rPr>
        <w:t xml:space="preserve">Gaur egun, Etxebizitza Zuzendaritza Nagusiak ditu abian sistema horiek, Etxebizitza Arloko VIII. Ikuskapen eta Kontrol Planaren bidez. Sei jarduketa ardatzetan biltzen ditu neurriak:</w:t>
      </w:r>
    </w:p>
    <w:p w:rsidR="00DD353F" w:rsidRPr="005A7259" w:rsidRDefault="00DD353F" w:rsidP="005A7259">
      <w:pPr>
        <w:spacing w:line="360" w:lineRule="auto"/>
        <w:ind w:firstLine="708"/>
        <w:jc w:val="both"/>
        <w:rPr>
          <w:rFonts w:ascii="Arial" w:hAnsi="Arial" w:cs="Arial"/>
          <w:sz w:val="22"/>
          <w:szCs w:val="22"/>
        </w:rPr>
      </w:pPr>
    </w:p>
    <w:p w:rsidR="005A7259" w:rsidRPr="005A7259" w:rsidRDefault="005A7259" w:rsidP="005A7259">
      <w:pPr>
        <w:pStyle w:val="Prrafodelista"/>
        <w:numPr>
          <w:ilvl w:val="0"/>
          <w:numId w:val="15"/>
        </w:numPr>
        <w:spacing w:line="360" w:lineRule="auto"/>
        <w:jc w:val="both"/>
        <w:rPr>
          <w:sz w:val="22"/>
          <w:szCs w:val="22"/>
          <w:rFonts w:ascii="Arial" w:hAnsi="Arial" w:cs="Arial"/>
        </w:rPr>
      </w:pPr>
      <w:r>
        <w:rPr>
          <w:sz w:val="22"/>
          <w:rFonts w:ascii="Arial" w:hAnsi="Arial"/>
        </w:rPr>
        <w:t xml:space="preserve">Etxebizitzak sustatu eta eraikitzea.</w:t>
      </w:r>
    </w:p>
    <w:p w:rsidR="005A7259" w:rsidRPr="005A7259" w:rsidRDefault="005A7259" w:rsidP="005A7259">
      <w:pPr>
        <w:pStyle w:val="Prrafodelista"/>
        <w:numPr>
          <w:ilvl w:val="0"/>
          <w:numId w:val="15"/>
        </w:numPr>
        <w:spacing w:line="360" w:lineRule="auto"/>
        <w:jc w:val="both"/>
        <w:rPr>
          <w:sz w:val="22"/>
          <w:szCs w:val="22"/>
          <w:rFonts w:ascii="Arial" w:hAnsi="Arial" w:cs="Arial"/>
        </w:rPr>
      </w:pPr>
      <w:r>
        <w:rPr>
          <w:sz w:val="22"/>
          <w:rFonts w:ascii="Arial" w:hAnsi="Arial"/>
        </w:rPr>
        <w:t xml:space="preserve">Etxebizitza esleitzea.</w:t>
      </w:r>
      <w:r>
        <w:rPr>
          <w:sz w:val="22"/>
          <w:rFonts w:ascii="Arial" w:hAnsi="Arial"/>
        </w:rPr>
        <w:t xml:space="preserve"> </w:t>
      </w:r>
    </w:p>
    <w:p w:rsidR="005A7259" w:rsidRPr="005A7259" w:rsidRDefault="005A7259" w:rsidP="005A7259">
      <w:pPr>
        <w:pStyle w:val="Prrafodelista"/>
        <w:numPr>
          <w:ilvl w:val="0"/>
          <w:numId w:val="15"/>
        </w:numPr>
        <w:spacing w:line="360" w:lineRule="auto"/>
        <w:jc w:val="both"/>
        <w:rPr>
          <w:sz w:val="22"/>
          <w:szCs w:val="22"/>
          <w:rFonts w:ascii="Arial" w:hAnsi="Arial" w:cs="Arial"/>
        </w:rPr>
      </w:pPr>
      <w:r>
        <w:rPr>
          <w:sz w:val="22"/>
          <w:rFonts w:ascii="Arial" w:hAnsi="Arial"/>
        </w:rPr>
        <w:t xml:space="preserve">Etxebizitza babestua eskualdatzea eta lagatzea.</w:t>
      </w:r>
    </w:p>
    <w:p w:rsidR="005A7259" w:rsidRPr="005A7259" w:rsidRDefault="005A7259" w:rsidP="005A7259">
      <w:pPr>
        <w:pStyle w:val="Prrafodelista"/>
        <w:numPr>
          <w:ilvl w:val="0"/>
          <w:numId w:val="15"/>
        </w:numPr>
        <w:spacing w:line="360" w:lineRule="auto"/>
        <w:jc w:val="both"/>
        <w:rPr>
          <w:sz w:val="22"/>
          <w:szCs w:val="22"/>
          <w:rFonts w:ascii="Arial" w:hAnsi="Arial" w:cs="Arial"/>
        </w:rPr>
      </w:pPr>
      <w:r>
        <w:rPr>
          <w:sz w:val="22"/>
          <w:rFonts w:ascii="Arial" w:hAnsi="Arial"/>
        </w:rPr>
        <w:t xml:space="preserve">Etxebizitza babestuen xedea eta erabilera.</w:t>
      </w:r>
    </w:p>
    <w:p w:rsidR="005A7259" w:rsidRPr="005A7259" w:rsidRDefault="005A7259" w:rsidP="005A7259">
      <w:pPr>
        <w:pStyle w:val="Prrafodelista"/>
        <w:numPr>
          <w:ilvl w:val="0"/>
          <w:numId w:val="15"/>
        </w:numPr>
        <w:spacing w:line="360" w:lineRule="auto"/>
        <w:jc w:val="both"/>
        <w:rPr>
          <w:sz w:val="22"/>
          <w:szCs w:val="22"/>
          <w:rFonts w:ascii="Arial" w:hAnsi="Arial" w:cs="Arial"/>
        </w:rPr>
      </w:pPr>
      <w:r>
        <w:rPr>
          <w:sz w:val="22"/>
          <w:rFonts w:ascii="Arial" w:hAnsi="Arial"/>
        </w:rPr>
        <w:t xml:space="preserve">Alokairuko errenta ordaintzeko laguntzak, gazteentzat eta diru sarrera txikiak dituzten familia unitateentzat.</w:t>
      </w:r>
    </w:p>
    <w:p w:rsidR="005A7259" w:rsidRDefault="005A7259" w:rsidP="005A7259">
      <w:pPr>
        <w:pStyle w:val="Prrafodelista"/>
        <w:numPr>
          <w:ilvl w:val="0"/>
          <w:numId w:val="15"/>
        </w:numPr>
        <w:spacing w:line="360" w:lineRule="auto"/>
        <w:jc w:val="both"/>
        <w:rPr>
          <w:sz w:val="22"/>
          <w:szCs w:val="22"/>
          <w:rFonts w:ascii="Arial" w:hAnsi="Arial" w:cs="Arial"/>
        </w:rPr>
      </w:pPr>
      <w:r>
        <w:rPr>
          <w:sz w:val="22"/>
          <w:rFonts w:ascii="Arial" w:hAnsi="Arial"/>
        </w:rPr>
        <w:t xml:space="preserve">Etxebizitza hutsak.</w:t>
      </w:r>
    </w:p>
    <w:p w:rsidR="005A7259" w:rsidRPr="005A7259" w:rsidRDefault="005A7259" w:rsidP="005A7259">
      <w:pPr>
        <w:pStyle w:val="Prrafodelista"/>
        <w:spacing w:line="360" w:lineRule="auto"/>
        <w:ind w:left="1068"/>
        <w:jc w:val="both"/>
        <w:rPr>
          <w:rFonts w:ascii="Arial" w:hAnsi="Arial" w:cs="Arial"/>
          <w:sz w:val="22"/>
          <w:szCs w:val="22"/>
        </w:rPr>
      </w:pPr>
    </w:p>
    <w:p w:rsidR="005A7259" w:rsidRDefault="005A7259" w:rsidP="005A7259">
      <w:pPr>
        <w:spacing w:line="360" w:lineRule="auto"/>
        <w:ind w:firstLine="708"/>
        <w:jc w:val="both"/>
        <w:rPr>
          <w:sz w:val="22"/>
          <w:szCs w:val="22"/>
          <w:rFonts w:ascii="Arial" w:hAnsi="Arial" w:cs="Arial"/>
        </w:rPr>
      </w:pPr>
      <w:r>
        <w:rPr>
          <w:sz w:val="22"/>
          <w:rFonts w:ascii="Arial" w:hAnsi="Arial"/>
        </w:rPr>
        <w:t xml:space="preserve">Halaber, ikuskapen eta kontrol plan hori osatzeko, zazpigarren ardatz bat ere sortuko da tentsiopeko etxebizitza merkatuaren zonaldeetarako neurrien planaren arabera, alokairu kontratu guztiak Etxebizitza Zuzendaritza Nagusiak abian jarri duen Nafarroako Errentamendu Kontratuen Erregistroan inskribatu beharrari buruzkoa.</w:t>
      </w:r>
      <w:r>
        <w:rPr>
          <w:sz w:val="22"/>
          <w:rFonts w:ascii="Arial" w:hAnsi="Arial"/>
        </w:rPr>
        <w:t xml:space="preserve"> </w:t>
      </w:r>
      <w:r>
        <w:rPr>
          <w:sz w:val="22"/>
          <w:rFonts w:ascii="Arial" w:hAnsi="Arial"/>
        </w:rPr>
        <w:t xml:space="preserve">Era berean, etorkizunean, nahitaez inskribatu beharko da Nafarroan etxebizitza duten pertsona fisiko eta juridiko handien erregistroan.</w:t>
      </w:r>
      <w:r>
        <w:rPr>
          <w:sz w:val="22"/>
          <w:rFonts w:ascii="Arial" w:hAnsi="Arial"/>
        </w:rPr>
        <w:t xml:space="preserve"> </w:t>
      </w:r>
      <w:r>
        <w:rPr>
          <w:sz w:val="22"/>
          <w:rFonts w:ascii="Arial" w:hAnsi="Arial"/>
        </w:rPr>
        <w:t xml:space="preserve">Bi tresna horiei esker kontrolatzen ahalko du Etxebizitza Zuzendaritza Nagusiak kontratu horiek guztiak indarreko araudira egokitzen direla, eta, gainera, etxebizitza politiketan erabakiak hartzeko behar den informazio guztia lortzen ahalko du.</w:t>
      </w:r>
    </w:p>
    <w:p w:rsidR="005A7259" w:rsidRPr="005A7259" w:rsidRDefault="005A7259" w:rsidP="005A7259">
      <w:pPr>
        <w:spacing w:line="360" w:lineRule="auto"/>
        <w:ind w:firstLine="708"/>
        <w:jc w:val="both"/>
        <w:rPr>
          <w:rFonts w:ascii="Arial" w:hAnsi="Arial" w:cs="Arial"/>
          <w:sz w:val="22"/>
          <w:szCs w:val="22"/>
        </w:rPr>
      </w:pPr>
    </w:p>
    <w:p w:rsidR="005A7259" w:rsidRDefault="005A7259" w:rsidP="005A7259">
      <w:pPr>
        <w:spacing w:line="360" w:lineRule="auto"/>
        <w:ind w:firstLine="708"/>
        <w:jc w:val="both"/>
        <w:rPr>
          <w:sz w:val="22"/>
          <w:szCs w:val="22"/>
          <w:rFonts w:ascii="Arial" w:hAnsi="Arial" w:cs="Arial"/>
        </w:rPr>
      </w:pPr>
      <w:r>
        <w:rPr>
          <w:sz w:val="22"/>
          <w:rFonts w:ascii="Arial" w:hAnsi="Arial"/>
        </w:rPr>
        <w:t xml:space="preserve">Horrez gain, 4. ardatzaren barruan (“Etxebizitza babestuen xedea eta erabilera”), parke publikoko ahalik eta etxebizitza gehien kontrolatuko dira.</w:t>
      </w:r>
      <w:r>
        <w:rPr>
          <w:sz w:val="22"/>
          <w:rFonts w:ascii="Arial" w:hAnsi="Arial"/>
        </w:rPr>
        <w:t xml:space="preserve"> </w:t>
      </w:r>
      <w:r>
        <w:rPr>
          <w:sz w:val="22"/>
          <w:rFonts w:ascii="Arial" w:hAnsi="Arial"/>
        </w:rPr>
        <w:t xml:space="preserve">Alde horretatik, higiezinen atarietan argitaratutako pisu turistikoen eta sasoiko alokairuen eskaintza ere aztertuko da, eremu horretan babes araubideari lotutako etxebizitzak detektatzeko, eta, modu berean, Turismo Zuzendaritza Nagusiarekin datuak koordinatzeko eta trukatzeko mekanismoak indartzeko.</w:t>
      </w:r>
    </w:p>
    <w:p w:rsidR="005A7259" w:rsidRPr="005A7259" w:rsidRDefault="005A7259" w:rsidP="005A7259">
      <w:pPr>
        <w:spacing w:line="360" w:lineRule="auto"/>
        <w:ind w:firstLine="708"/>
        <w:jc w:val="both"/>
        <w:rPr>
          <w:rFonts w:ascii="Arial" w:hAnsi="Arial" w:cs="Arial"/>
          <w:sz w:val="22"/>
          <w:szCs w:val="22"/>
        </w:rPr>
      </w:pPr>
    </w:p>
    <w:p w:rsidR="005A7259" w:rsidRDefault="005A7259" w:rsidP="005A7259">
      <w:pPr>
        <w:spacing w:line="360" w:lineRule="auto"/>
        <w:ind w:firstLine="708"/>
        <w:jc w:val="both"/>
        <w:rPr>
          <w:sz w:val="22"/>
          <w:szCs w:val="22"/>
          <w:rFonts w:ascii="Arial" w:hAnsi="Arial" w:cs="Arial"/>
        </w:rPr>
      </w:pPr>
      <w:r>
        <w:rPr>
          <w:sz w:val="22"/>
          <w:rFonts w:ascii="Arial" w:hAnsi="Arial"/>
        </w:rPr>
        <w:t xml:space="preserve">Tentsiopeko merkatuaren zonaldeetarako neurrien planak beste jarduketa espezifiko batzuk ere ezartzen ditu, dauden ikuskapen eta kontrol mekanismoak zabaltzeko.</w:t>
      </w:r>
      <w:r>
        <w:rPr>
          <w:sz w:val="22"/>
          <w:rFonts w:ascii="Arial" w:hAnsi="Arial"/>
        </w:rPr>
        <w:t xml:space="preserve"> </w:t>
      </w:r>
      <w:r>
        <w:rPr>
          <w:sz w:val="22"/>
          <w:rFonts w:ascii="Arial" w:hAnsi="Arial"/>
        </w:rPr>
        <w:t xml:space="preserve">Hala, aurreikusita dago herritarrek oro har aurkezten dituzten salaketak izapidetzea, ikuskapena eta kontrola egitean informazio fiskala erabiltzea, edo higiezinen atariek egiten dituzten eskaintzen jarraipena egitea, balizko ez-betetzeak antzemate aldera.</w:t>
      </w:r>
      <w:r>
        <w:rPr>
          <w:sz w:val="22"/>
          <w:rFonts w:ascii="Arial" w:hAnsi="Arial"/>
        </w:rPr>
        <w:t xml:space="preserve"> </w:t>
      </w:r>
    </w:p>
    <w:p w:rsidR="005A7259" w:rsidRPr="005A7259" w:rsidRDefault="005A7259" w:rsidP="005A7259">
      <w:pPr>
        <w:spacing w:line="360" w:lineRule="auto"/>
        <w:ind w:firstLine="708"/>
        <w:jc w:val="both"/>
        <w:rPr>
          <w:rFonts w:ascii="Arial" w:hAnsi="Arial" w:cs="Arial"/>
          <w:sz w:val="22"/>
          <w:szCs w:val="22"/>
        </w:rPr>
      </w:pPr>
    </w:p>
    <w:p w:rsidR="005A7259" w:rsidRPr="005A7259" w:rsidRDefault="005A7259" w:rsidP="005A7259">
      <w:pPr>
        <w:spacing w:line="360" w:lineRule="auto"/>
        <w:ind w:firstLine="708"/>
        <w:jc w:val="both"/>
        <w:rPr>
          <w:sz w:val="22"/>
          <w:szCs w:val="22"/>
          <w:rFonts w:ascii="Arial" w:hAnsi="Arial" w:cs="Arial"/>
        </w:rPr>
      </w:pPr>
      <w:r>
        <w:rPr>
          <w:sz w:val="22"/>
          <w:rFonts w:ascii="Arial" w:hAnsi="Arial"/>
        </w:rPr>
        <w:t xml:space="preserve">Azkenik —hau ere planean dago jasota—, garrantzi berezia du etxebizitza hutsak alokairuaren merkatura mugitzeak, tentsiopeko zonaldeetan arrazoizko prezioa duen eskaintza handitzeak horien egoera hobetzen lagun dezan.</w:t>
      </w:r>
      <w:r>
        <w:rPr>
          <w:sz w:val="22"/>
          <w:rFonts w:ascii="Arial" w:hAnsi="Arial"/>
        </w:rPr>
        <w:t xml:space="preserve"> </w:t>
      </w:r>
      <w:r>
        <w:rPr>
          <w:sz w:val="22"/>
          <w:rFonts w:ascii="Arial" w:hAnsi="Arial"/>
        </w:rPr>
        <w:t xml:space="preserve">Beraz, beharrezkoa izanen da etxebizitza hutsen jabeei laguntza, informazioa eta akonpainamendua ematea etxebizitza horiek merkatura ateratzea errazteko.</w:t>
      </w:r>
    </w:p>
    <w:p w:rsidR="00DB4349" w:rsidRDefault="00DB4349" w:rsidP="000631E5">
      <w:pPr>
        <w:spacing w:line="360" w:lineRule="auto"/>
        <w:ind w:firstLine="708"/>
        <w:jc w:val="both"/>
        <w:rPr>
          <w:rFonts w:ascii="Arial" w:hAnsi="Arial" w:cs="Arial"/>
          <w:sz w:val="22"/>
          <w:szCs w:val="22"/>
        </w:rPr>
      </w:pPr>
    </w:p>
    <w:p w:rsidR="005A7259" w:rsidRDefault="00D76DC5" w:rsidP="005A7259">
      <w:pPr>
        <w:spacing w:line="360" w:lineRule="auto"/>
        <w:rPr>
          <w:b/>
        </w:rPr>
      </w:pPr>
      <w:r>
        <w:rPr>
          <w:i/>
          <w:sz w:val="22"/>
          <w:rFonts w:ascii="Arial" w:hAnsi="Arial"/>
        </w:rPr>
        <w:t xml:space="preserve">GALDERA:</w:t>
      </w:r>
      <w:r>
        <w:rPr>
          <w:i/>
          <w:sz w:val="22"/>
          <w:rFonts w:ascii="Arial" w:hAnsi="Arial"/>
        </w:rPr>
        <w:t xml:space="preserve"> </w:t>
      </w:r>
      <w:r>
        <w:rPr>
          <w:i/>
          <w:sz w:val="22"/>
          <w:rFonts w:ascii="Arial" w:hAnsi="Arial"/>
        </w:rPr>
        <w:t xml:space="preserve">Zer zehapen araubide aplikatuko da tentsiopeko etxebizitza merkatuaren zonalde deklaratutako udalerrietan aplikatutako neurrien arau-hausteen kasuan?</w:t>
      </w:r>
      <w:r>
        <w:rPr>
          <w:b/>
        </w:rPr>
        <w:t xml:space="preserve"> </w:t>
      </w:r>
    </w:p>
    <w:p w:rsidR="00DB4349" w:rsidRPr="00DB4349" w:rsidRDefault="00DB4349" w:rsidP="00DB4349">
      <w:pPr>
        <w:spacing w:after="160" w:line="360" w:lineRule="auto"/>
        <w:ind w:firstLine="709"/>
        <w:jc w:val="both"/>
        <w:rPr>
          <w:rFonts w:ascii="Arial" w:hAnsi="Arial" w:cs="Arial"/>
          <w:i/>
          <w:sz w:val="22"/>
          <w:szCs w:val="22"/>
        </w:rPr>
      </w:pPr>
    </w:p>
    <w:p w:rsidR="005A7259" w:rsidRDefault="005A7259" w:rsidP="005A7259">
      <w:pPr>
        <w:spacing w:line="360" w:lineRule="auto"/>
        <w:ind w:firstLine="708"/>
        <w:jc w:val="both"/>
        <w:rPr>
          <w:sz w:val="22"/>
          <w:szCs w:val="22"/>
          <w:rFonts w:ascii="Arial" w:hAnsi="Arial" w:cs="Arial"/>
        </w:rPr>
      </w:pPr>
      <w:r>
        <w:rPr>
          <w:sz w:val="22"/>
          <w:rFonts w:ascii="Arial" w:hAnsi="Arial"/>
        </w:rPr>
        <w:t xml:space="preserve">Zehapen araubideari dagokionez, Nafarroan Etxebizitza Izateko Eskubideari buruzko maiatzaren 10eko 10/2010 Foru Legean xedatutakoa beteko da. Lege horren VI. tituluko (“Iruzurraren kontrola eta prebentzioa”) III. kapitulua, ikuskapenari, legezkotasunaren defentsari eta berrezarpenari eta zehapen araubideari buruzkoa da.</w:t>
      </w:r>
    </w:p>
    <w:p w:rsidR="005A7259" w:rsidRPr="005A7259" w:rsidRDefault="005A7259" w:rsidP="005A7259">
      <w:pPr>
        <w:spacing w:line="360" w:lineRule="auto"/>
        <w:ind w:firstLine="708"/>
        <w:jc w:val="both"/>
        <w:rPr>
          <w:rFonts w:ascii="Arial" w:hAnsi="Arial" w:cs="Arial"/>
          <w:sz w:val="22"/>
          <w:szCs w:val="22"/>
        </w:rPr>
      </w:pPr>
    </w:p>
    <w:p w:rsidR="005A7259" w:rsidRPr="005A7259" w:rsidRDefault="005A7259" w:rsidP="005A7259">
      <w:pPr>
        <w:spacing w:line="360" w:lineRule="auto"/>
        <w:ind w:firstLine="708"/>
        <w:jc w:val="both"/>
        <w:rPr>
          <w:sz w:val="22"/>
          <w:szCs w:val="22"/>
          <w:rFonts w:ascii="Arial" w:hAnsi="Arial" w:cs="Arial"/>
        </w:rPr>
      </w:pPr>
      <w:r>
        <w:rPr>
          <w:sz w:val="22"/>
          <w:rFonts w:ascii="Arial" w:hAnsi="Arial"/>
        </w:rPr>
        <w:t xml:space="preserve">Ikuskatzeko funtzioa duen administrazio unitatea Berrikuntza, Parte-Hartze, Ikuskapen eta Hedapen Zerbitzua da, eta horixe bera arduratzen da, halaber, Ikuskapen eta Kontrol Plana egiteaz eta exekutatzeaz.</w:t>
      </w:r>
    </w:p>
    <w:p w:rsidR="00DB4349" w:rsidRDefault="00DB4349" w:rsidP="000631E5">
      <w:pPr>
        <w:spacing w:line="360" w:lineRule="auto"/>
        <w:ind w:firstLine="708"/>
        <w:jc w:val="both"/>
        <w:rPr>
          <w:rFonts w:ascii="Arial" w:hAnsi="Arial" w:cs="Arial"/>
          <w:sz w:val="22"/>
          <w:szCs w:val="22"/>
        </w:rPr>
      </w:pPr>
    </w:p>
    <w:p w:rsidR="005A7259" w:rsidRPr="00A20ED7" w:rsidRDefault="00D76DC5" w:rsidP="005A7259">
      <w:pPr>
        <w:rPr>
          <w:b/>
        </w:rPr>
      </w:pPr>
      <w:r>
        <w:rPr>
          <w:i/>
          <w:sz w:val="22"/>
          <w:rFonts w:ascii="Arial" w:hAnsi="Arial"/>
        </w:rPr>
        <w:t xml:space="preserve">GALDERA:</w:t>
      </w:r>
      <w:r>
        <w:rPr>
          <w:i/>
          <w:sz w:val="22"/>
          <w:rFonts w:ascii="Arial" w:hAnsi="Arial"/>
        </w:rPr>
        <w:t xml:space="preserve"> </w:t>
      </w:r>
      <w:r>
        <w:rPr>
          <w:i/>
          <w:sz w:val="22"/>
          <w:rFonts w:ascii="Arial" w:hAnsi="Arial"/>
        </w:rPr>
        <w:t xml:space="preserve">Zein izanen da arau-hauste horien kasuan jarraitu beharreko prozedura?</w:t>
      </w:r>
    </w:p>
    <w:p w:rsidR="00DB4349" w:rsidRPr="00E04602" w:rsidRDefault="00DB4349" w:rsidP="00E04602">
      <w:pPr>
        <w:spacing w:after="160" w:line="360" w:lineRule="auto"/>
        <w:ind w:firstLine="709"/>
        <w:jc w:val="both"/>
        <w:rPr>
          <w:rFonts w:ascii="Arial" w:hAnsi="Arial" w:cs="Arial"/>
          <w:i/>
          <w:sz w:val="22"/>
          <w:szCs w:val="22"/>
        </w:rPr>
      </w:pPr>
    </w:p>
    <w:p w:rsidR="005A7259" w:rsidRPr="005A7259" w:rsidRDefault="005A7259" w:rsidP="005A7259">
      <w:pPr>
        <w:spacing w:line="360" w:lineRule="auto"/>
        <w:ind w:firstLine="708"/>
        <w:jc w:val="both"/>
        <w:rPr>
          <w:sz w:val="22"/>
          <w:szCs w:val="22"/>
          <w:rFonts w:ascii="Arial" w:hAnsi="Arial" w:cs="Arial"/>
        </w:rPr>
      </w:pPr>
      <w:r>
        <w:rPr>
          <w:sz w:val="22"/>
          <w:rFonts w:ascii="Arial" w:hAnsi="Arial"/>
        </w:rPr>
        <w:t xml:space="preserve">Nafarroan Etxebizitza Izateko Eskubideari buruzko maiatzaren 10eko 10/2010 Foru Legearen VI. titulua iruzurraren kontrolari eta prebentzioari buruzkoa da, eta 56. artikulutik 74.era bitartean hainbat xedapen biltzen ditu ikuskapenari, legezkotasunaren babesari eta berrezarpenari eta zehapen araubidearen inguruan.</w:t>
      </w:r>
      <w:r>
        <w:rPr>
          <w:sz w:val="22"/>
          <w:rFonts w:ascii="Arial" w:hAnsi="Arial"/>
        </w:rPr>
        <w:t xml:space="preserve"> </w:t>
      </w:r>
      <w:r>
        <w:rPr>
          <w:sz w:val="22"/>
          <w:rFonts w:ascii="Arial" w:hAnsi="Arial"/>
        </w:rPr>
        <w:t xml:space="preserve">Arau horretan berariaz jasota ez dagoen guztian, Nafarroako Foru Komunitateko Administrazioari eta foru-sektore publiko instituzionalari buruzko martxoaren 11ko 11/2019 Foru Legean eta Administrazio Publikoen Administrazio Prozedura Erkideari buruzko urriaren 1eko 39/2015 Legean ezarritakoa aplikatuko da.</w:t>
      </w:r>
    </w:p>
    <w:p w:rsidR="00D76DC5" w:rsidRDefault="00D76DC5" w:rsidP="000631E5">
      <w:pPr>
        <w:spacing w:line="360" w:lineRule="auto"/>
        <w:ind w:firstLine="708"/>
        <w:jc w:val="both"/>
        <w:rPr>
          <w:rFonts w:ascii="Arial" w:hAnsi="Arial" w:cs="Arial"/>
          <w:sz w:val="22"/>
          <w:szCs w:val="22"/>
        </w:rPr>
      </w:pPr>
    </w:p>
    <w:p w:rsidR="00840386" w:rsidRDefault="00D76DC5" w:rsidP="00901674">
      <w:pPr>
        <w:spacing w:line="360" w:lineRule="auto"/>
        <w:rPr>
          <w:b/>
        </w:rPr>
      </w:pPr>
      <w:r>
        <w:rPr>
          <w:i/>
          <w:sz w:val="22"/>
          <w:rFonts w:ascii="Arial" w:hAnsi="Arial"/>
        </w:rPr>
        <w:t xml:space="preserve">GALDERA:</w:t>
      </w:r>
      <w:r>
        <w:rPr>
          <w:i/>
          <w:sz w:val="22"/>
          <w:rFonts w:ascii="Arial" w:hAnsi="Arial"/>
        </w:rPr>
        <w:t xml:space="preserve"> </w:t>
      </w:r>
      <w:r>
        <w:rPr>
          <w:i/>
          <w:sz w:val="22"/>
          <w:rFonts w:ascii="Arial" w:hAnsi="Arial"/>
        </w:rPr>
        <w:t xml:space="preserve">Zer zehapen aurreikusten dira arau-hauste horietarako, bereziki ezarritako alokairu errentaren prezioaren muga errespetatzen ez den kasuetarako?</w:t>
      </w:r>
      <w:r>
        <w:rPr>
          <w:b/>
        </w:rPr>
        <w:t xml:space="preserve"> </w:t>
      </w:r>
    </w:p>
    <w:p w:rsidR="00901674" w:rsidRPr="00E04602" w:rsidRDefault="00901674" w:rsidP="00901674">
      <w:pPr>
        <w:spacing w:line="360" w:lineRule="auto"/>
        <w:rPr>
          <w:rFonts w:ascii="Arial" w:hAnsi="Arial" w:cs="Arial"/>
          <w:i/>
          <w:sz w:val="22"/>
          <w:szCs w:val="22"/>
        </w:rPr>
      </w:pPr>
    </w:p>
    <w:p w:rsidR="005A7259" w:rsidRDefault="005A7259" w:rsidP="005A7259">
      <w:pPr>
        <w:spacing w:line="360" w:lineRule="auto"/>
        <w:ind w:firstLine="708"/>
        <w:jc w:val="both"/>
        <w:rPr>
          <w:sz w:val="22"/>
          <w:szCs w:val="22"/>
          <w:rFonts w:ascii="Arial" w:hAnsi="Arial" w:cs="Arial"/>
        </w:rPr>
      </w:pPr>
      <w:r>
        <w:rPr>
          <w:sz w:val="22"/>
          <w:rFonts w:ascii="Arial" w:hAnsi="Arial"/>
        </w:rPr>
        <w:t xml:space="preserve">Nafarroan Etxebizitza Izateko Eskubideari buruzko maiatzaren 10eko 10/2010 Foru Legeak 67. artikuluan xehatzen ditu arau-haustearen mailaren arabera aplika daitezkeen zehapenak: arinak, larriak edo oso larriak.</w:t>
      </w:r>
      <w:r>
        <w:rPr>
          <w:sz w:val="22"/>
          <w:rFonts w:ascii="Arial" w:hAnsi="Arial"/>
        </w:rPr>
        <w:t xml:space="preserve"> </w:t>
      </w:r>
      <w:r>
        <w:rPr>
          <w:sz w:val="22"/>
          <w:rFonts w:ascii="Arial" w:hAnsi="Arial"/>
        </w:rPr>
        <w:t xml:space="preserve">Orobat, erantzukizunaren hainbat astungarri eta aringarri ageri dira.</w:t>
      </w:r>
    </w:p>
    <w:p w:rsidR="009B26CE" w:rsidRDefault="009B26CE" w:rsidP="005A7259">
      <w:pPr>
        <w:spacing w:line="360" w:lineRule="auto"/>
        <w:ind w:firstLine="708"/>
        <w:jc w:val="both"/>
        <w:rPr>
          <w:rFonts w:ascii="Arial" w:hAnsi="Arial" w:cs="Arial"/>
          <w:sz w:val="22"/>
          <w:szCs w:val="22"/>
        </w:rPr>
      </w:pPr>
    </w:p>
    <w:p w:rsidR="009B26CE" w:rsidRPr="005A7259" w:rsidRDefault="009B26CE" w:rsidP="005A7259">
      <w:pPr>
        <w:spacing w:line="360" w:lineRule="auto"/>
        <w:ind w:firstLine="708"/>
        <w:jc w:val="both"/>
        <w:rPr>
          <w:sz w:val="22"/>
          <w:szCs w:val="22"/>
          <w:rFonts w:ascii="Arial" w:hAnsi="Arial" w:cs="Arial"/>
        </w:rPr>
      </w:pPr>
      <w:r>
        <w:rPr>
          <w:sz w:val="22"/>
          <w:rFonts w:ascii="Arial" w:hAnsi="Arial"/>
        </w:rPr>
        <w:t xml:space="preserve">Gainera, kontuan izan behar da gaur egun arau horren aldaketa bat izapidetzen ari direla parlamentuan, dauden arau-hausteak sendotzeko eta, hala, etxebizitzen errentamendu kontratuetan informazioa emateko betebeharren ikuskapen eta zehapen araubidea errazteko. Horri esker, prezioak kontrolatzen ahalko dira, bereziki tentsiopeko etxebizitza merkatuaren zonaldeetan.</w:t>
      </w:r>
    </w:p>
    <w:p w:rsidR="007C68F3" w:rsidRDefault="007C68F3" w:rsidP="005C6F85">
      <w:pPr>
        <w:spacing w:line="360" w:lineRule="auto"/>
        <w:jc w:val="both"/>
        <w:rPr>
          <w:rFonts w:ascii="Arial" w:hAnsi="Arial" w:cs="Arial"/>
          <w:sz w:val="22"/>
          <w:szCs w:val="22"/>
        </w:rPr>
      </w:pPr>
    </w:p>
    <w:p w:rsidR="00873A03" w:rsidRDefault="00873A03">
      <w:pPr>
        <w:rPr>
          <w:i/>
          <w:sz w:val="22"/>
          <w:szCs w:val="22"/>
          <w:rFonts w:ascii="Arial" w:hAnsi="Arial" w:cs="Arial"/>
        </w:rPr>
      </w:pPr>
      <w:r>
        <w:br w:type="page"/>
      </w:r>
    </w:p>
    <w:p w:rsidR="005A7259" w:rsidRDefault="005A7259" w:rsidP="005A7259">
      <w:pPr>
        <w:rPr>
          <w:i/>
          <w:sz w:val="22"/>
          <w:szCs w:val="22"/>
          <w:rFonts w:ascii="Arial" w:hAnsi="Arial" w:cs="Arial"/>
        </w:rPr>
      </w:pPr>
      <w:r>
        <w:rPr>
          <w:i/>
          <w:sz w:val="22"/>
          <w:rFonts w:ascii="Arial" w:hAnsi="Arial"/>
        </w:rPr>
        <w:t xml:space="preserve">GALDERA:</w:t>
      </w:r>
      <w:r>
        <w:rPr>
          <w:i/>
          <w:sz w:val="22"/>
          <w:rFonts w:ascii="Arial" w:hAnsi="Arial"/>
        </w:rPr>
        <w:t xml:space="preserve"> </w:t>
      </w:r>
      <w:r>
        <w:rPr>
          <w:i/>
          <w:sz w:val="22"/>
          <w:rFonts w:ascii="Arial" w:hAnsi="Arial"/>
        </w:rPr>
        <w:t xml:space="preserve">Zein izanen da zehapen organoa prozedura horietan?</w:t>
      </w:r>
    </w:p>
    <w:p w:rsidR="005A7259" w:rsidRDefault="005A7259" w:rsidP="005A7259">
      <w:pPr>
        <w:rPr>
          <w:rFonts w:ascii="Arial" w:hAnsi="Arial" w:cs="Arial"/>
          <w:i/>
          <w:sz w:val="22"/>
          <w:szCs w:val="22"/>
        </w:rPr>
      </w:pPr>
    </w:p>
    <w:p w:rsidR="002A4583" w:rsidRDefault="002A4583" w:rsidP="005A7259">
      <w:pPr>
        <w:spacing w:line="360" w:lineRule="auto"/>
        <w:ind w:firstLine="708"/>
        <w:jc w:val="both"/>
        <w:rPr>
          <w:sz w:val="22"/>
          <w:szCs w:val="22"/>
          <w:rFonts w:ascii="Arial" w:hAnsi="Arial" w:cs="Arial"/>
        </w:rPr>
      </w:pPr>
      <w:r>
        <w:rPr>
          <w:sz w:val="22"/>
          <w:rFonts w:ascii="Arial" w:hAnsi="Arial"/>
        </w:rPr>
        <w:t xml:space="preserve">Etxebizitzako, Gazteriako eta Migrazio Politiketako Departamentuaren egitura organikoa ezartzen duen azaroaren 15eko 241/2023 Foru Dekretuaren bigarren xedapen gehigarriarekin bat, etxebizitzaren arloko zehapenak ezartzeko eskumena Etxebizitza Zuzendaritza Nagusiaren titularrari dagokio.</w:t>
      </w:r>
      <w:r>
        <w:rPr>
          <w:sz w:val="22"/>
          <w:rFonts w:ascii="Arial" w:hAnsi="Arial"/>
        </w:rPr>
        <w:t xml:space="preserve"> </w:t>
      </w:r>
    </w:p>
    <w:p w:rsidR="002A4583" w:rsidRDefault="002A4583" w:rsidP="005A7259">
      <w:pPr>
        <w:spacing w:line="360" w:lineRule="auto"/>
        <w:ind w:firstLine="708"/>
        <w:jc w:val="both"/>
        <w:rPr>
          <w:rFonts w:ascii="Arial" w:hAnsi="Arial" w:cs="Arial"/>
          <w:sz w:val="22"/>
          <w:szCs w:val="22"/>
        </w:rPr>
      </w:pPr>
    </w:p>
    <w:p w:rsidR="005C6F85" w:rsidRPr="00890456" w:rsidRDefault="005C6F85" w:rsidP="0090494F">
      <w:pPr>
        <w:spacing w:line="360" w:lineRule="auto"/>
        <w:ind w:firstLine="708"/>
        <w:jc w:val="both"/>
        <w:rPr>
          <w:sz w:val="22"/>
          <w:szCs w:val="22"/>
          <w:rFonts w:ascii="Arial" w:hAnsi="Arial" w:cs="Arial"/>
        </w:rPr>
      </w:pPr>
      <w:r>
        <w:rPr>
          <w:sz w:val="22"/>
          <w:rFonts w:ascii="Arial" w:hAnsi="Arial"/>
        </w:rPr>
        <w:t xml:space="preserve">Hori jakinarazten dut, Nafarroako Parlamentuko Erregelamenduaren 215. artikuluan xedatutakoa betez.</w:t>
      </w:r>
    </w:p>
    <w:p w:rsidR="003A51EA" w:rsidRPr="00890456" w:rsidRDefault="003A51EA" w:rsidP="003A51EA">
      <w:pPr>
        <w:ind w:firstLine="709"/>
        <w:rPr>
          <w:rFonts w:ascii="Arial" w:hAnsi="Arial" w:cs="Arial"/>
          <w:sz w:val="22"/>
          <w:szCs w:val="22"/>
        </w:rPr>
      </w:pPr>
    </w:p>
    <w:p w:rsidR="003A51EA" w:rsidRPr="00890456" w:rsidRDefault="003A51EA" w:rsidP="003A51EA">
      <w:pPr>
        <w:ind w:firstLine="709"/>
        <w:rPr>
          <w:rFonts w:ascii="Arial" w:hAnsi="Arial" w:cs="Arial"/>
          <w:color w:val="000000"/>
          <w:sz w:val="22"/>
          <w:szCs w:val="22"/>
        </w:rPr>
      </w:pPr>
    </w:p>
    <w:p w:rsidR="003A51EA" w:rsidRPr="00890456" w:rsidRDefault="003A51EA" w:rsidP="003A51EA">
      <w:pPr>
        <w:jc w:val="center"/>
        <w:rPr>
          <w:color w:val="000000"/>
          <w:sz w:val="22"/>
          <w:szCs w:val="22"/>
          <w:rFonts w:ascii="Arial" w:hAnsi="Arial" w:cs="Arial"/>
        </w:rPr>
      </w:pPr>
      <w:r>
        <w:rPr>
          <w:color w:val="000000"/>
          <w:sz w:val="22"/>
          <w:rFonts w:ascii="Arial" w:hAnsi="Arial"/>
        </w:rPr>
        <w:t xml:space="preserve">Iruñean, 2025eko maiatzaren 23an.</w:t>
      </w:r>
    </w:p>
    <w:p w:rsidR="003A51EA" w:rsidRPr="00890456" w:rsidRDefault="003A51EA" w:rsidP="003A51EA">
      <w:pPr>
        <w:spacing w:line="312" w:lineRule="auto"/>
        <w:ind w:firstLine="709"/>
        <w:jc w:val="center"/>
        <w:rPr>
          <w:rFonts w:ascii="Arial" w:hAnsi="Arial" w:cs="Arial"/>
          <w:sz w:val="22"/>
          <w:szCs w:val="22"/>
        </w:rPr>
      </w:pPr>
    </w:p>
    <w:p w:rsidR="003A51EA" w:rsidRPr="00890456" w:rsidRDefault="003A51EA" w:rsidP="003A51EA">
      <w:pPr>
        <w:rPr>
          <w:rFonts w:ascii="Arial" w:hAnsi="Arial" w:cs="Arial"/>
          <w:sz w:val="22"/>
          <w:szCs w:val="22"/>
        </w:rPr>
      </w:pPr>
    </w:p>
    <w:p w:rsidR="00873A03" w:rsidRDefault="003A51EA" w:rsidP="003A51EA">
      <w:pPr>
        <w:jc w:val="center"/>
        <w:rPr>
          <w:sz w:val="22"/>
          <w:szCs w:val="22"/>
          <w:rFonts w:ascii="Arial" w:hAnsi="Arial" w:cs="Arial"/>
        </w:rPr>
      </w:pPr>
      <w:r>
        <w:rPr>
          <w:sz w:val="22"/>
          <w:rFonts w:ascii="Arial" w:hAnsi="Arial"/>
        </w:rPr>
        <w:t xml:space="preserve">Hirugarren lehendakariordea eta Etxebizitzako, Gazteriako eta Migrazio Politiketako kontseilaria</w:t>
      </w:r>
      <w:r>
        <w:rPr>
          <w:sz w:val="22"/>
          <w:rFonts w:ascii="Arial" w:hAnsi="Arial"/>
        </w:rPr>
        <w:t xml:space="preserve"> </w:t>
      </w:r>
    </w:p>
    <w:p w:rsidR="003A51EA" w:rsidRPr="00890456" w:rsidRDefault="003A51EA" w:rsidP="003A51EA">
      <w:pPr>
        <w:jc w:val="center"/>
        <w:rPr>
          <w:sz w:val="22"/>
          <w:szCs w:val="22"/>
          <w:rFonts w:ascii="Arial" w:hAnsi="Arial" w:cs="Arial"/>
        </w:rPr>
      </w:pPr>
    </w:p>
    <w:p w:rsidR="003A51EA" w:rsidRPr="00890456" w:rsidRDefault="003A51EA" w:rsidP="003A51EA">
      <w:pPr>
        <w:ind w:firstLine="540"/>
        <w:jc w:val="center"/>
        <w:rPr>
          <w:rFonts w:ascii="Arial" w:hAnsi="Arial" w:cs="Arial"/>
          <w:color w:val="000000"/>
          <w:sz w:val="22"/>
          <w:szCs w:val="22"/>
        </w:rPr>
      </w:pPr>
    </w:p>
    <w:p w:rsidR="003A51EA" w:rsidRDefault="00873A03" w:rsidP="003A51EA">
      <w:pPr>
        <w:ind w:firstLine="540"/>
        <w:jc w:val="center"/>
        <w:rPr>
          <w:color w:val="000000"/>
          <w:sz w:val="22"/>
          <w:szCs w:val="22"/>
          <w:rFonts w:ascii="Arial" w:hAnsi="Arial" w:cs="Arial"/>
        </w:rPr>
      </w:pPr>
      <w:r>
        <w:rPr>
          <w:color w:val="000000"/>
          <w:sz w:val="22"/>
          <w:rFonts w:ascii="Arial" w:hAnsi="Arial"/>
        </w:rPr>
        <w:drawing>
          <wp:inline distT="0" distB="0" distL="0" distR="0" wp14:anchorId="35721371">
            <wp:extent cx="1494845" cy="8402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646" cy="851375"/>
                    </a:xfrm>
                    <a:prstGeom prst="rect">
                      <a:avLst/>
                    </a:prstGeom>
                    <a:noFill/>
                  </pic:spPr>
                </pic:pic>
              </a:graphicData>
            </a:graphic>
          </wp:inline>
        </w:drawing>
      </w:r>
    </w:p>
    <w:p w:rsidR="003A51EA" w:rsidRPr="00890456" w:rsidRDefault="003A51EA" w:rsidP="003A51EA">
      <w:pPr>
        <w:ind w:firstLine="540"/>
        <w:jc w:val="center"/>
        <w:rPr>
          <w:rFonts w:ascii="Arial" w:hAnsi="Arial" w:cs="Arial"/>
          <w:color w:val="000000"/>
          <w:sz w:val="22"/>
          <w:szCs w:val="22"/>
        </w:rPr>
      </w:pPr>
    </w:p>
    <w:p w:rsidR="003A51EA" w:rsidRPr="00890456" w:rsidRDefault="003A51EA" w:rsidP="003A51EA">
      <w:pPr>
        <w:ind w:firstLine="540"/>
        <w:jc w:val="center"/>
        <w:rPr>
          <w:color w:val="000000"/>
          <w:sz w:val="22"/>
          <w:szCs w:val="22"/>
          <w:rFonts w:ascii="Arial" w:hAnsi="Arial" w:cs="Arial"/>
        </w:rPr>
      </w:pPr>
      <w:r>
        <w:rPr>
          <w:color w:val="000000"/>
          <w:sz w:val="22"/>
          <w:rFonts w:ascii="Arial" w:hAnsi="Arial"/>
        </w:rPr>
        <w:t xml:space="preserve">Begoña Alfaro García</w:t>
      </w:r>
    </w:p>
    <w:p w:rsidR="009E22FA" w:rsidRPr="00890456" w:rsidRDefault="009E22FA" w:rsidP="00F037C2">
      <w:pPr>
        <w:rPr>
          <w:rFonts w:ascii="Arial" w:hAnsi="Arial" w:cs="Arial"/>
          <w:sz w:val="22"/>
          <w:szCs w:val="22"/>
        </w:rPr>
      </w:pPr>
    </w:p>
    <w:p w:rsidR="009E22FA" w:rsidRPr="00890456" w:rsidRDefault="009E22FA" w:rsidP="00F037C2">
      <w:pPr>
        <w:rPr>
          <w:rFonts w:ascii="Arial" w:hAnsi="Arial" w:cs="Arial"/>
          <w:sz w:val="22"/>
          <w:szCs w:val="22"/>
          <w:lang w:val="es-ES_tradnl"/>
        </w:rPr>
      </w:pPr>
    </w:p>
    <w:sectPr w:rsidR="009E22FA" w:rsidRPr="00890456" w:rsidSect="00873A03">
      <w:headerReference w:type="default" r:id="rId8"/>
      <w:footerReference w:type="default" r:id="rId9"/>
      <w:headerReference w:type="first" r:id="rId10"/>
      <w:footerReference w:type="first" r:id="rId11"/>
      <w:pgSz w:w="11901" w:h="16817" w:code="9"/>
      <w:pgMar w:top="2835" w:right="1418" w:bottom="1418" w:left="1418" w:header="851" w:footer="8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F53" w:rsidRDefault="006A7F53">
      <w:r>
        <w:separator/>
      </w:r>
    </w:p>
  </w:endnote>
  <w:endnote w:type="continuationSeparator" w:id="0">
    <w:p w:rsidR="006A7F53" w:rsidRDefault="006A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DejaVu Serif Condensed">
    <w:panose1 w:val="02060606050605020204"/>
    <w:charset w:val="00"/>
    <w:family w:val="roman"/>
    <w:pitch w:val="variable"/>
    <w:sig w:usb0="E5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F53" w:rsidRPr="004729A5" w:rsidRDefault="006A7F53" w:rsidP="00247EB5">
    <w:pPr>
      <w:rPr>
        <w:szCs w:val="24"/>
        <w:rFonts w:ascii="DejaVu Serif Condensed" w:hAnsi="DejaVu Serif Condensed"/>
      </w:rPr>
    </w:pPr>
    <w:r>
      <w:rPr>
        <w:rFonts w:ascii="DejaVu Serif Condensed" w:hAnsi="DejaVu Serif Condensed"/>
      </w:rPr>
      <w:t xml:space="preserve">UNAI HUALDE IGLESIAS JAUNA</w:t>
    </w:r>
  </w:p>
  <w:p w:rsidR="006A7F53" w:rsidRPr="00A56CCF" w:rsidRDefault="006A7F53" w:rsidP="00247EB5">
    <w:pPr>
      <w:pBdr>
        <w:bottom w:val="single" w:sz="12" w:space="1" w:color="auto"/>
      </w:pBdr>
      <w:rPr>
        <w:color w:val="000000"/>
        <w:szCs w:val="24"/>
        <w:rFonts w:cs="Arial"/>
      </w:rPr>
    </w:pPr>
    <w:r>
      <w:rPr>
        <w:rFonts w:ascii="DejaVu Serif Condensed" w:hAnsi="DejaVu Serif Condensed"/>
      </w:rPr>
      <w:t xml:space="preserve">NAFARROAKO PARLAMENTUKO LEHENDAKARIA</w:t>
    </w:r>
  </w:p>
  <w:p w:rsidR="006A7F53" w:rsidRDefault="006A7F53">
    <w:pPr>
      <w:pStyle w:val="Piedepgina"/>
    </w:pPr>
    <w:r>
      <w:rPr>
        <w:rStyle w:val="Nmerodepgina"/>
      </w:rPr>
      <w:t xml:space="preserve">11-25/PES-00171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F53" w:rsidRDefault="006A7F53">
      <w:r>
        <w:separator/>
      </w:r>
    </w:p>
  </w:footnote>
  <w:footnote w:type="continuationSeparator" w:id="0">
    <w:p w:rsidR="006A7F53" w:rsidRDefault="006A7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F53" w:rsidRPr="00843157" w:rsidRDefault="006A7F53" w:rsidP="00843157">
    <w:pPr>
      <w:pStyle w:val="Encabezado"/>
    </w:pPr>
    <w:r>
      <w:drawing>
        <wp:anchor distT="0" distB="0" distL="114300" distR="114300" simplePos="0" relativeHeight="251663360" behindDoc="1" locked="0" layoutInCell="1" allowOverlap="1" wp14:anchorId="15BC2C67" wp14:editId="6F0034D8">
          <wp:simplePos x="0" y="0"/>
          <wp:positionH relativeFrom="page">
            <wp:align>left</wp:align>
          </wp:positionH>
          <wp:positionV relativeFrom="page">
            <wp:align>top</wp:align>
          </wp:positionV>
          <wp:extent cx="7535017" cy="1792605"/>
          <wp:effectExtent l="0" t="0" r="889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rEjecucionPenal_Ser Ejecución Penal.jpg"/>
                  <pic:cNvPicPr/>
                </pic:nvPicPr>
                <pic:blipFill>
                  <a:blip r:embed="rId1">
                    <a:extLst>
                      <a:ext uri="{28A0092B-C50C-407E-A947-70E740481C1C}">
                        <a14:useLocalDpi xmlns:a14="http://schemas.microsoft.com/office/drawing/2010/main" val="0"/>
                      </a:ext>
                    </a:extLst>
                  </a:blip>
                  <a:stretch>
                    <a:fillRect/>
                  </a:stretch>
                </pic:blipFill>
                <pic:spPr>
                  <a:xfrm>
                    <a:off x="0" y="0"/>
                    <a:ext cx="7540094" cy="17938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F53" w:rsidRDefault="006A7F53" w:rsidP="00696F6F">
    <w:pPr>
      <w:pStyle w:val="Encabezado"/>
      <w:ind w:left="-765"/>
    </w:pPr>
    <w:r>
      <w:drawing>
        <wp:anchor distT="0" distB="0" distL="114300" distR="114300" simplePos="0" relativeHeight="251661312" behindDoc="1" locked="0" layoutInCell="1" allowOverlap="1">
          <wp:simplePos x="419100" y="542925"/>
          <wp:positionH relativeFrom="page">
            <wp:align>left</wp:align>
          </wp:positionH>
          <wp:positionV relativeFrom="page">
            <wp:align>top</wp:align>
          </wp:positionV>
          <wp:extent cx="7560000" cy="1796400"/>
          <wp:effectExtent l="0" t="0" r="317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62C2"/>
    <w:multiLevelType w:val="hybridMultilevel"/>
    <w:tmpl w:val="3DBA7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EB80EA0"/>
    <w:multiLevelType w:val="hybridMultilevel"/>
    <w:tmpl w:val="C4BCDDAE"/>
    <w:lvl w:ilvl="0" w:tplc="50D0B0B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11"/>
  </w:num>
  <w:num w:numId="3">
    <w:abstractNumId w:val="3"/>
  </w:num>
  <w:num w:numId="4">
    <w:abstractNumId w:val="5"/>
  </w:num>
  <w:num w:numId="5">
    <w:abstractNumId w:val="13"/>
  </w:num>
  <w:num w:numId="6">
    <w:abstractNumId w:val="8"/>
  </w:num>
  <w:num w:numId="7">
    <w:abstractNumId w:val="2"/>
  </w:num>
  <w:num w:numId="8">
    <w:abstractNumId w:val="9"/>
  </w:num>
  <w:num w:numId="9">
    <w:abstractNumId w:val="12"/>
  </w:num>
  <w:num w:numId="10">
    <w:abstractNumId w:val="6"/>
  </w:num>
  <w:num w:numId="11">
    <w:abstractNumId w:val="4"/>
  </w:num>
  <w:num w:numId="12">
    <w:abstractNumId w:val="14"/>
  </w:num>
  <w:num w:numId="13">
    <w:abstractNumId w:val="7"/>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dirty" w:grammar="dirty"/>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4"/>
    <w:rsid w:val="000334B4"/>
    <w:rsid w:val="000631E5"/>
    <w:rsid w:val="000729E0"/>
    <w:rsid w:val="00083C0A"/>
    <w:rsid w:val="0009463A"/>
    <w:rsid w:val="000B64A1"/>
    <w:rsid w:val="000D79CF"/>
    <w:rsid w:val="00116AF7"/>
    <w:rsid w:val="0014013D"/>
    <w:rsid w:val="00165095"/>
    <w:rsid w:val="001671B2"/>
    <w:rsid w:val="00170AFF"/>
    <w:rsid w:val="001B1ACE"/>
    <w:rsid w:val="001C35E2"/>
    <w:rsid w:val="001F5AE6"/>
    <w:rsid w:val="00247EB5"/>
    <w:rsid w:val="00253366"/>
    <w:rsid w:val="00277C9A"/>
    <w:rsid w:val="00280F08"/>
    <w:rsid w:val="002A4583"/>
    <w:rsid w:val="002F09C8"/>
    <w:rsid w:val="00304004"/>
    <w:rsid w:val="00374714"/>
    <w:rsid w:val="00384363"/>
    <w:rsid w:val="003A51EA"/>
    <w:rsid w:val="003F1206"/>
    <w:rsid w:val="00443A44"/>
    <w:rsid w:val="004B47C0"/>
    <w:rsid w:val="00524CFD"/>
    <w:rsid w:val="005367EB"/>
    <w:rsid w:val="005A7259"/>
    <w:rsid w:val="005B095B"/>
    <w:rsid w:val="005C6849"/>
    <w:rsid w:val="005C6F85"/>
    <w:rsid w:val="005F55EF"/>
    <w:rsid w:val="005F5C77"/>
    <w:rsid w:val="005F6D5D"/>
    <w:rsid w:val="006557F1"/>
    <w:rsid w:val="00663B51"/>
    <w:rsid w:val="00683497"/>
    <w:rsid w:val="00696F6F"/>
    <w:rsid w:val="006A249B"/>
    <w:rsid w:val="006A5952"/>
    <w:rsid w:val="006A7F53"/>
    <w:rsid w:val="007018B0"/>
    <w:rsid w:val="0071169E"/>
    <w:rsid w:val="0072285D"/>
    <w:rsid w:val="00767509"/>
    <w:rsid w:val="0078057E"/>
    <w:rsid w:val="00793F61"/>
    <w:rsid w:val="007C55BD"/>
    <w:rsid w:val="007C68F3"/>
    <w:rsid w:val="007F2C1A"/>
    <w:rsid w:val="007F433A"/>
    <w:rsid w:val="00834D40"/>
    <w:rsid w:val="008354B9"/>
    <w:rsid w:val="00840386"/>
    <w:rsid w:val="00843157"/>
    <w:rsid w:val="008642B3"/>
    <w:rsid w:val="00873A03"/>
    <w:rsid w:val="00890456"/>
    <w:rsid w:val="008A6304"/>
    <w:rsid w:val="00901674"/>
    <w:rsid w:val="009022B4"/>
    <w:rsid w:val="0090494F"/>
    <w:rsid w:val="00954697"/>
    <w:rsid w:val="00994342"/>
    <w:rsid w:val="009B26CE"/>
    <w:rsid w:val="009C2ED9"/>
    <w:rsid w:val="009C74F8"/>
    <w:rsid w:val="009E202F"/>
    <w:rsid w:val="009E22FA"/>
    <w:rsid w:val="009E381E"/>
    <w:rsid w:val="00A077F0"/>
    <w:rsid w:val="00A117E7"/>
    <w:rsid w:val="00A2145B"/>
    <w:rsid w:val="00A52259"/>
    <w:rsid w:val="00A56883"/>
    <w:rsid w:val="00A85153"/>
    <w:rsid w:val="00A95321"/>
    <w:rsid w:val="00B13A40"/>
    <w:rsid w:val="00B46857"/>
    <w:rsid w:val="00B662C6"/>
    <w:rsid w:val="00B67FDD"/>
    <w:rsid w:val="00B96F7E"/>
    <w:rsid w:val="00BB36D2"/>
    <w:rsid w:val="00BD6A02"/>
    <w:rsid w:val="00BE2BD3"/>
    <w:rsid w:val="00C45E0E"/>
    <w:rsid w:val="00C8247B"/>
    <w:rsid w:val="00C83D33"/>
    <w:rsid w:val="00CA2943"/>
    <w:rsid w:val="00CC1284"/>
    <w:rsid w:val="00CE65F5"/>
    <w:rsid w:val="00D304C8"/>
    <w:rsid w:val="00D37FFB"/>
    <w:rsid w:val="00D76DC5"/>
    <w:rsid w:val="00D9466D"/>
    <w:rsid w:val="00DA599A"/>
    <w:rsid w:val="00DB4349"/>
    <w:rsid w:val="00DD353F"/>
    <w:rsid w:val="00DF6784"/>
    <w:rsid w:val="00E04602"/>
    <w:rsid w:val="00E45FC9"/>
    <w:rsid w:val="00E54191"/>
    <w:rsid w:val="00E8181E"/>
    <w:rsid w:val="00E96713"/>
    <w:rsid w:val="00EB05BE"/>
    <w:rsid w:val="00F037C2"/>
    <w:rsid w:val="00F344C7"/>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AF2E29"/>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69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1014</Words>
  <Characters>5577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Etxetxikia Pérez, Begoña (Gabinete de la Consejera de Vivienda, Juventud y Políticas Migratorias)</cp:lastModifiedBy>
  <cp:revision>2</cp:revision>
  <cp:lastPrinted>2024-10-22T07:46:00Z</cp:lastPrinted>
  <dcterms:created xsi:type="dcterms:W3CDTF">2025-05-21T10:35:00Z</dcterms:created>
  <dcterms:modified xsi:type="dcterms:W3CDTF">2025-05-21T10:35:00Z</dcterms:modified>
</cp:coreProperties>
</file>