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48CF" w14:textId="77777777" w:rsidR="00520FD6" w:rsidRDefault="005C5D95" w:rsidP="0003170E">
      <w:pPr>
        <w:autoSpaceDE w:val="0"/>
        <w:autoSpaceDN w:val="0"/>
        <w:adjustRightInd w:val="0"/>
        <w:spacing w:line="360" w:lineRule="auto"/>
        <w:jc w:val="both"/>
        <w:rPr>
          <w:rFonts w:ascii="DejaVu Serif" w:hAnsi="DejaVu Serif" w:cs="Arial"/>
          <w:sz w:val="22"/>
          <w:szCs w:val="22"/>
        </w:rPr>
      </w:pPr>
      <w:r>
        <w:rPr>
          <w:rFonts w:ascii="DejaVu Serif" w:hAnsi="DejaVu Serif"/>
          <w:sz w:val="22"/>
        </w:rPr>
        <w:t xml:space="preserve">Geroa Bai talde parlamentarioari atxikitako foru parlamentari Itxaso Soto </w:t>
      </w:r>
      <w:proofErr w:type="spellStart"/>
      <w:r>
        <w:rPr>
          <w:rFonts w:ascii="DejaVu Serif" w:hAnsi="DejaVu Serif"/>
          <w:sz w:val="22"/>
        </w:rPr>
        <w:t>Díaz</w:t>
      </w:r>
      <w:proofErr w:type="spellEnd"/>
      <w:r>
        <w:rPr>
          <w:rFonts w:ascii="DejaVu Serif" w:hAnsi="DejaVu Serif"/>
          <w:sz w:val="22"/>
        </w:rPr>
        <w:t xml:space="preserve"> de </w:t>
      </w:r>
      <w:proofErr w:type="spellStart"/>
      <w:r>
        <w:rPr>
          <w:rFonts w:ascii="DejaVu Serif" w:hAnsi="DejaVu Serif"/>
          <w:sz w:val="22"/>
        </w:rPr>
        <w:t>Cerio</w:t>
      </w:r>
      <w:proofErr w:type="spellEnd"/>
      <w:r>
        <w:rPr>
          <w:rFonts w:ascii="DejaVu Serif" w:hAnsi="DejaVu Serif"/>
          <w:sz w:val="22"/>
        </w:rPr>
        <w:t xml:space="preserve"> andreak 11-25/PES-00239 idatzizko galdera egin du, turismo-bulegoak zerbitzu-bulego bihurtzeko prozesuaren egoera zein den eta prozesuan zer aurrerapen eta mugarri lortu diren jakite aldera. Bada, Nafarroako Gobernuko Kultura, Kirol eta Turismoko kontseilaria naizen aldetik, honako hau jakinarazten dut eginiko galderari erantzunez:</w:t>
      </w:r>
    </w:p>
    <w:p w14:paraId="4DA611FA" w14:textId="77777777" w:rsidR="009824EB" w:rsidRDefault="009824EB" w:rsidP="0003170E">
      <w:pPr>
        <w:autoSpaceDE w:val="0"/>
        <w:autoSpaceDN w:val="0"/>
        <w:adjustRightInd w:val="0"/>
        <w:spacing w:line="360" w:lineRule="auto"/>
        <w:jc w:val="both"/>
        <w:rPr>
          <w:rFonts w:ascii="DejaVu Serif" w:hAnsi="DejaVu Serif" w:cs="Arial"/>
          <w:sz w:val="22"/>
          <w:szCs w:val="22"/>
        </w:rPr>
      </w:pPr>
    </w:p>
    <w:p w14:paraId="770C897F" w14:textId="77777777" w:rsidR="009824EB" w:rsidRDefault="009824EB" w:rsidP="009824EB">
      <w:pPr>
        <w:spacing w:line="360" w:lineRule="auto"/>
        <w:jc w:val="both"/>
        <w:rPr>
          <w:rFonts w:ascii="DejaVu Serif" w:hAnsi="DejaVu Serif"/>
          <w:sz w:val="22"/>
          <w:szCs w:val="22"/>
        </w:rPr>
      </w:pPr>
      <w:r>
        <w:rPr>
          <w:rFonts w:ascii="DejaVu Serif" w:hAnsi="DejaVu Serif"/>
          <w:sz w:val="22"/>
        </w:rPr>
        <w:t>Nafarroako Gobernuaren Kultura, Kirol eta Turismo Departamentua eskuduna da plangintzaren, antolamenduaren, sustapenaren eta turismo informazioaren arloan, eta bulegoen sare propioa du hartarako; behar diren zereginak egiten dituzte bulegoek.</w:t>
      </w:r>
    </w:p>
    <w:p w14:paraId="3703B9A2" w14:textId="77777777" w:rsidR="00B815D6" w:rsidRPr="009824EB" w:rsidRDefault="00B815D6" w:rsidP="009824EB">
      <w:pPr>
        <w:spacing w:line="360" w:lineRule="auto"/>
        <w:jc w:val="both"/>
        <w:rPr>
          <w:rFonts w:ascii="DejaVu Serif" w:hAnsi="DejaVu Serif"/>
          <w:sz w:val="22"/>
          <w:szCs w:val="22"/>
          <w:lang w:val="es-ES_tradnl"/>
        </w:rPr>
      </w:pPr>
    </w:p>
    <w:p w14:paraId="24F5564B" w14:textId="77777777" w:rsidR="009824EB" w:rsidRDefault="00B815D6" w:rsidP="009824EB">
      <w:pPr>
        <w:spacing w:line="360" w:lineRule="auto"/>
        <w:jc w:val="both"/>
        <w:rPr>
          <w:rFonts w:ascii="DejaVu Serif" w:hAnsi="DejaVu Serif"/>
          <w:sz w:val="22"/>
          <w:szCs w:val="22"/>
        </w:rPr>
      </w:pPr>
      <w:r>
        <w:rPr>
          <w:rFonts w:ascii="DejaVu Serif" w:hAnsi="DejaVu Serif"/>
          <w:sz w:val="22"/>
        </w:rPr>
        <w:t>Turismo Zuzendaritza Nagusia Turismo Bulegoaren eredu berria ezartzeko lanean ari da, turismo-merkatuaren errealitate berrira egokitzeko. Bisitariaren informaziorako eredu tradizionala eboluzionatzea da apustua, turismoari eta tokiko ekonomiari laguntzeko zerbitzuen sistema osoa izan dadin, lurraldearen garapen integralean barne harturik, era berean, herritarrak, tokiko enpresak, administrazioak eta ikastetxeak nahiz prestakuntza-zentroak. Halaber, funtsezko piezak dira, eta lagundu egiten diete Espazio Turistikoaren Kudeaketa Unitateei (ETKU), Nafarroako turismo agenteak lurraldean koordinatzeko era berria.</w:t>
      </w:r>
    </w:p>
    <w:p w14:paraId="72FC37EF" w14:textId="77777777" w:rsidR="00B815D6" w:rsidRPr="009824EB" w:rsidRDefault="00B815D6" w:rsidP="009824EB">
      <w:pPr>
        <w:spacing w:line="360" w:lineRule="auto"/>
        <w:jc w:val="both"/>
        <w:rPr>
          <w:rFonts w:ascii="DejaVu Serif" w:hAnsi="DejaVu Serif"/>
          <w:sz w:val="22"/>
          <w:szCs w:val="22"/>
          <w:lang w:val="es-ES_tradnl"/>
        </w:rPr>
      </w:pPr>
    </w:p>
    <w:p w14:paraId="50FAD0F9" w14:textId="77777777" w:rsidR="009824EB" w:rsidRDefault="009824EB" w:rsidP="009824EB">
      <w:pPr>
        <w:spacing w:line="360" w:lineRule="auto"/>
        <w:jc w:val="both"/>
        <w:rPr>
          <w:rFonts w:ascii="DejaVu Serif" w:hAnsi="DejaVu Serif"/>
          <w:sz w:val="22"/>
          <w:szCs w:val="22"/>
        </w:rPr>
      </w:pPr>
      <w:r>
        <w:rPr>
          <w:rFonts w:ascii="DejaVu Serif" w:hAnsi="DejaVu Serif"/>
          <w:sz w:val="22"/>
        </w:rPr>
        <w:t>Eredua finkatutakoan, esparru estrategikoak turismo bulego inklusiboak eta digitalizatuak lortu nahi ditu, dauden lurraldearen DNA helarazten badakitenak, Nafarroa turismo-markaren aterkipean eta errefortzuarekin. Bulegoek bertako jarduerak eta produktuak bultzatzea lortu behar dute, baita lanbide-sektorearen lehiakortasuna hobetzea ere. Xede horretan, berariazko zenbait partida jaso ziren «Landa Nafarroa» HKJ eta «5 Donejakue bide, mila bide Nafarroan» HKJ helmugen arteko kohesio-jarduketetan. 2026ko apirilean aurreikusten da haiek exekutatzea.</w:t>
      </w:r>
    </w:p>
    <w:p w14:paraId="412FB1C1" w14:textId="77777777" w:rsidR="00B815D6" w:rsidRPr="009824EB" w:rsidRDefault="00B815D6" w:rsidP="009824EB">
      <w:pPr>
        <w:spacing w:line="360" w:lineRule="auto"/>
        <w:jc w:val="both"/>
        <w:rPr>
          <w:rFonts w:ascii="DejaVu Serif" w:hAnsi="DejaVu Serif"/>
          <w:sz w:val="22"/>
          <w:szCs w:val="22"/>
          <w:lang w:val="es-ES_tradnl"/>
        </w:rPr>
      </w:pPr>
    </w:p>
    <w:p w14:paraId="5DC31606" w14:textId="77777777" w:rsidR="009824EB" w:rsidRPr="009824EB" w:rsidRDefault="009824EB" w:rsidP="009824EB">
      <w:pPr>
        <w:spacing w:line="360" w:lineRule="auto"/>
        <w:jc w:val="both"/>
        <w:rPr>
          <w:rFonts w:ascii="DejaVu Serif" w:hAnsi="DejaVu Serif"/>
          <w:sz w:val="22"/>
          <w:szCs w:val="22"/>
        </w:rPr>
      </w:pPr>
      <w:r>
        <w:rPr>
          <w:rFonts w:ascii="DejaVu Serif" w:hAnsi="DejaVu Serif"/>
          <w:sz w:val="22"/>
        </w:rPr>
        <w:t>Bihurtze-prozesuak zenbait neurri ezartzea hartzen du barne, eta haietatik hauek nabarmentzen dira:</w:t>
      </w:r>
    </w:p>
    <w:p w14:paraId="2030C703"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t>Turismo eta herritarrentzako arreta-bulego irisgarri eta inklusiboak sortzeko eta kudeatzeko gida egitea. (% 100 exekutaturik)</w:t>
      </w:r>
    </w:p>
    <w:p w14:paraId="0A4F87F9"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lastRenderedPageBreak/>
        <w:t xml:space="preserve">Tokiko erakundeei turismo bulegoak eta guneak eraldatzeko dirulaguntzaren deialdia (% 100). </w:t>
      </w:r>
    </w:p>
    <w:p w14:paraId="282012AE"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t>Aldaketa adierazgarriak turismo bulegoak kudeatzeko zerbitzua kontratatzeko agirietan (2024an adjudikaturik), Espazio Turistikoaren Kudeaketa Unitateetarako kudeaketa- eta laguntza-behar berriekin bat etorrarazteko. (% 100)</w:t>
      </w:r>
    </w:p>
    <w:p w14:paraId="71797207"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t>Langileen prestakuntzarako urteko planak, publiko eta zerbitzu berriei egokituak. (% 100)</w:t>
      </w:r>
    </w:p>
    <w:p w14:paraId="5B18680F"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t xml:space="preserve">Bertizko landa turismoko zentroa (Baztan-Bidasoa LANEren egoitza) egokitzea, bizikletazko turismora bereziki egokituriko turismo aktiboko zentro gisa. Obrak bukatu dira; altzariak erostea lizitatu da (% 80). </w:t>
      </w:r>
    </w:p>
    <w:p w14:paraId="525CE87B"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t>Prozesuak digitalizatzea bisitariaren datuak eta bulegoen sareko lana biltzeko (% 100).</w:t>
      </w:r>
    </w:p>
    <w:p w14:paraId="514F9923" w14:textId="77777777" w:rsidR="009824EB" w:rsidRPr="009824EB" w:rsidRDefault="009824EB" w:rsidP="009824EB">
      <w:pPr>
        <w:pStyle w:val="Prrafodelista"/>
        <w:numPr>
          <w:ilvl w:val="0"/>
          <w:numId w:val="10"/>
        </w:numPr>
        <w:spacing w:after="200" w:line="360" w:lineRule="auto"/>
        <w:ind w:left="714" w:hanging="357"/>
        <w:jc w:val="both"/>
        <w:rPr>
          <w:rFonts w:ascii="DejaVu Serif" w:hAnsi="DejaVu Serif"/>
          <w:sz w:val="22"/>
          <w:szCs w:val="22"/>
        </w:rPr>
      </w:pPr>
      <w:r>
        <w:rPr>
          <w:rFonts w:ascii="DejaVu Serif" w:hAnsi="DejaVu Serif"/>
          <w:sz w:val="22"/>
        </w:rPr>
        <w:t>Arreta bitarteko digitalez (totema, sarbide iraunkorreko pantailak, tabletak eta abar) ematea paper-murrizketa laguntzeko, eta eguneko 24 orduetan eta asteko 7 egunetan arreta ziurtatzeko. Gehitu beharreko osagaiak zehaztu dira, eta lizitazio-prozesua prestatu da (% 40).</w:t>
      </w:r>
    </w:p>
    <w:p w14:paraId="75B2C77A" w14:textId="77777777" w:rsidR="006B22A0" w:rsidRPr="009824EB" w:rsidRDefault="009824EB" w:rsidP="00903A99">
      <w:pPr>
        <w:pStyle w:val="Prrafodelista"/>
        <w:numPr>
          <w:ilvl w:val="0"/>
          <w:numId w:val="10"/>
        </w:numPr>
        <w:autoSpaceDE w:val="0"/>
        <w:autoSpaceDN w:val="0"/>
        <w:adjustRightInd w:val="0"/>
        <w:spacing w:after="200" w:line="360" w:lineRule="auto"/>
        <w:ind w:left="714" w:hanging="357"/>
        <w:jc w:val="both"/>
        <w:rPr>
          <w:rFonts w:ascii="DejaVu Serif" w:hAnsi="DejaVu Serif" w:cs="Arial"/>
          <w:sz w:val="22"/>
          <w:szCs w:val="22"/>
        </w:rPr>
      </w:pPr>
      <w:r>
        <w:rPr>
          <w:rFonts w:ascii="DejaVu Serif" w:hAnsi="DejaVu Serif"/>
          <w:sz w:val="22"/>
        </w:rPr>
        <w:t xml:space="preserve">Bulegoen </w:t>
      </w:r>
      <w:proofErr w:type="spellStart"/>
      <w:r>
        <w:rPr>
          <w:rFonts w:ascii="DejaVu Serif" w:hAnsi="DejaVu Serif"/>
          <w:sz w:val="22"/>
        </w:rPr>
        <w:t>tematizazio</w:t>
      </w:r>
      <w:proofErr w:type="spellEnd"/>
      <w:r>
        <w:rPr>
          <w:rFonts w:ascii="DejaVu Serif" w:hAnsi="DejaVu Serif"/>
          <w:sz w:val="22"/>
        </w:rPr>
        <w:t xml:space="preserve"> fisikoa, oraingo azpiegitura eta estetika hobetuz, eta falta diren irisgarritasun-neurriak hartuz. Bulego bakoitzaren diseinua landu da, eta hautatu egin dira gehitu beharreko altzariak eta identifikatzeko elementuak. Lizitazio-prozesua prestatzen. (% 50)</w:t>
      </w:r>
    </w:p>
    <w:p w14:paraId="669B8582" w14:textId="77777777" w:rsidR="00BB13D7" w:rsidRDefault="00BB13D7" w:rsidP="006B22A0">
      <w:pPr>
        <w:pStyle w:val="Default"/>
        <w:spacing w:line="360" w:lineRule="auto"/>
        <w:rPr>
          <w:rFonts w:ascii="DejaVu Serif" w:hAnsi="DejaVu Serif" w:cs="Arial"/>
          <w:b/>
          <w:bCs/>
          <w:color w:val="auto"/>
          <w:sz w:val="22"/>
          <w:szCs w:val="22"/>
        </w:rPr>
      </w:pPr>
    </w:p>
    <w:p w14:paraId="775DC588" w14:textId="77777777" w:rsidR="00520FD6" w:rsidRPr="006B22A0" w:rsidRDefault="00BB13D7" w:rsidP="009824EB">
      <w:pPr>
        <w:autoSpaceDE w:val="0"/>
        <w:autoSpaceDN w:val="0"/>
        <w:adjustRightInd w:val="0"/>
        <w:spacing w:line="360" w:lineRule="auto"/>
        <w:rPr>
          <w:rFonts w:ascii="DejaVu Serif" w:hAnsi="DejaVu Serif" w:cs="Arial"/>
          <w:sz w:val="22"/>
          <w:szCs w:val="22"/>
        </w:rPr>
      </w:pPr>
      <w:r>
        <w:rPr>
          <w:rFonts w:ascii="DejaVu Serif" w:hAnsi="DejaVu Serif"/>
          <w:color w:val="000000"/>
          <w:sz w:val="22"/>
        </w:rPr>
        <w:t>Hori guztia jakinarazten dizut, Nafarroako Parlamentuko Erregelamenduaren 215. artikuluan xedatzen dena betez.</w:t>
      </w:r>
    </w:p>
    <w:p w14:paraId="636FF587" w14:textId="77777777" w:rsidR="005C5D95" w:rsidRPr="006B22A0" w:rsidRDefault="00044E27" w:rsidP="006B22A0">
      <w:pPr>
        <w:spacing w:line="360" w:lineRule="auto"/>
        <w:jc w:val="center"/>
        <w:rPr>
          <w:rFonts w:ascii="DejaVu Serif" w:hAnsi="DejaVu Serif" w:cs="Arial"/>
          <w:sz w:val="22"/>
          <w:szCs w:val="22"/>
        </w:rPr>
      </w:pPr>
      <w:r>
        <w:rPr>
          <w:rFonts w:ascii="DejaVu Serif" w:hAnsi="DejaVu Serif"/>
          <w:sz w:val="22"/>
        </w:rPr>
        <w:t>Iruñean, 2025eko uztailaren 1ean</w:t>
      </w:r>
    </w:p>
    <w:p w14:paraId="592B3773" w14:textId="77777777" w:rsidR="00FA171C" w:rsidRPr="006B22A0" w:rsidRDefault="005C5D95" w:rsidP="006B22A0">
      <w:pPr>
        <w:spacing w:line="360" w:lineRule="auto"/>
        <w:jc w:val="center"/>
        <w:rPr>
          <w:rFonts w:ascii="DejaVu Serif" w:hAnsi="DejaVu Serif" w:cs="Arial"/>
          <w:sz w:val="22"/>
          <w:szCs w:val="22"/>
        </w:rPr>
      </w:pPr>
      <w:r>
        <w:rPr>
          <w:rFonts w:ascii="DejaVu Serif" w:hAnsi="DejaVu Serif"/>
          <w:sz w:val="22"/>
        </w:rPr>
        <w:t>Kultura, Kirol eta Turismoko kontseilaria</w:t>
      </w:r>
    </w:p>
    <w:p w14:paraId="69FB16D5" w14:textId="77777777" w:rsidR="00D74EC4" w:rsidRPr="006B22A0" w:rsidRDefault="005C5D95" w:rsidP="006B22A0">
      <w:pPr>
        <w:spacing w:line="360" w:lineRule="auto"/>
        <w:jc w:val="center"/>
        <w:rPr>
          <w:rFonts w:ascii="DejaVu Serif" w:hAnsi="DejaVu Serif"/>
          <w:sz w:val="22"/>
          <w:szCs w:val="22"/>
        </w:rPr>
      </w:pPr>
      <w:proofErr w:type="spellStart"/>
      <w:r>
        <w:rPr>
          <w:rFonts w:ascii="DejaVu Serif" w:hAnsi="DejaVu Serif"/>
          <w:sz w:val="22"/>
        </w:rPr>
        <w:t>Rebeca</w:t>
      </w:r>
      <w:proofErr w:type="spellEnd"/>
      <w:r>
        <w:rPr>
          <w:rFonts w:ascii="DejaVu Serif" w:hAnsi="DejaVu Serif"/>
          <w:sz w:val="22"/>
        </w:rPr>
        <w:t xml:space="preserve"> Esnaola Bermejo</w:t>
      </w:r>
    </w:p>
    <w:sectPr w:rsidR="00D74EC4" w:rsidRPr="006B22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BF40F81"/>
    <w:multiLevelType w:val="hybridMultilevel"/>
    <w:tmpl w:val="EBCA5B26"/>
    <w:lvl w:ilvl="0" w:tplc="B5AAC1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68619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394753">
    <w:abstractNumId w:val="3"/>
  </w:num>
  <w:num w:numId="3" w16cid:durableId="735514097">
    <w:abstractNumId w:val="0"/>
  </w:num>
  <w:num w:numId="4" w16cid:durableId="963273424">
    <w:abstractNumId w:val="2"/>
  </w:num>
  <w:num w:numId="5" w16cid:durableId="1284847265">
    <w:abstractNumId w:val="6"/>
  </w:num>
  <w:num w:numId="6" w16cid:durableId="440800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517674">
    <w:abstractNumId w:val="8"/>
  </w:num>
  <w:num w:numId="8" w16cid:durableId="1863589533">
    <w:abstractNumId w:val="5"/>
  </w:num>
  <w:num w:numId="9" w16cid:durableId="84689900">
    <w:abstractNumId w:val="1"/>
  </w:num>
  <w:num w:numId="10" w16cid:durableId="853879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F3F"/>
    <w:rsid w:val="0000591C"/>
    <w:rsid w:val="0003170E"/>
    <w:rsid w:val="00044E27"/>
    <w:rsid w:val="0008521E"/>
    <w:rsid w:val="000E24D0"/>
    <w:rsid w:val="00145C38"/>
    <w:rsid w:val="00165C78"/>
    <w:rsid w:val="00216707"/>
    <w:rsid w:val="00257D7A"/>
    <w:rsid w:val="002601DD"/>
    <w:rsid w:val="002B3F6C"/>
    <w:rsid w:val="002E62D5"/>
    <w:rsid w:val="003E48EE"/>
    <w:rsid w:val="00436602"/>
    <w:rsid w:val="00444730"/>
    <w:rsid w:val="00461F32"/>
    <w:rsid w:val="00484F26"/>
    <w:rsid w:val="004F146C"/>
    <w:rsid w:val="00512C90"/>
    <w:rsid w:val="00520FD6"/>
    <w:rsid w:val="005234C5"/>
    <w:rsid w:val="005322EF"/>
    <w:rsid w:val="00583BDA"/>
    <w:rsid w:val="00587A69"/>
    <w:rsid w:val="005C33C7"/>
    <w:rsid w:val="005C5D95"/>
    <w:rsid w:val="005F221C"/>
    <w:rsid w:val="006239DA"/>
    <w:rsid w:val="00662FAB"/>
    <w:rsid w:val="00694A90"/>
    <w:rsid w:val="006B22A0"/>
    <w:rsid w:val="00720B2A"/>
    <w:rsid w:val="00733746"/>
    <w:rsid w:val="0073496C"/>
    <w:rsid w:val="0075427A"/>
    <w:rsid w:val="007E509F"/>
    <w:rsid w:val="007F3173"/>
    <w:rsid w:val="0081139A"/>
    <w:rsid w:val="00842895"/>
    <w:rsid w:val="008432FA"/>
    <w:rsid w:val="008E03B3"/>
    <w:rsid w:val="009824EB"/>
    <w:rsid w:val="00996D1B"/>
    <w:rsid w:val="00A02DDE"/>
    <w:rsid w:val="00A1031D"/>
    <w:rsid w:val="00A37707"/>
    <w:rsid w:val="00A454EF"/>
    <w:rsid w:val="00A579F8"/>
    <w:rsid w:val="00B21AE8"/>
    <w:rsid w:val="00B700A2"/>
    <w:rsid w:val="00B77EAC"/>
    <w:rsid w:val="00B815D6"/>
    <w:rsid w:val="00BA1AD4"/>
    <w:rsid w:val="00BA5050"/>
    <w:rsid w:val="00BA5D83"/>
    <w:rsid w:val="00BB13D7"/>
    <w:rsid w:val="00BB4A96"/>
    <w:rsid w:val="00C04996"/>
    <w:rsid w:val="00C117C2"/>
    <w:rsid w:val="00C87D03"/>
    <w:rsid w:val="00CC68D2"/>
    <w:rsid w:val="00D1626C"/>
    <w:rsid w:val="00D20825"/>
    <w:rsid w:val="00D74EC4"/>
    <w:rsid w:val="00DA340A"/>
    <w:rsid w:val="00DE3F08"/>
    <w:rsid w:val="00E57209"/>
    <w:rsid w:val="00E67A01"/>
    <w:rsid w:val="00E76858"/>
    <w:rsid w:val="00E94BB4"/>
    <w:rsid w:val="00EA3076"/>
    <w:rsid w:val="00EA542E"/>
    <w:rsid w:val="00EC3B62"/>
    <w:rsid w:val="00ED67B6"/>
    <w:rsid w:val="00F16AC7"/>
    <w:rsid w:val="00F31D35"/>
    <w:rsid w:val="00FA171C"/>
    <w:rsid w:val="00FA6A1E"/>
    <w:rsid w:val="00FC3ED9"/>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547F"/>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A16A-67E1-4AC8-9AF7-C9030560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36</cp:revision>
  <cp:lastPrinted>2023-11-27T10:19:00Z</cp:lastPrinted>
  <dcterms:created xsi:type="dcterms:W3CDTF">2025-01-16T11:58:00Z</dcterms:created>
  <dcterms:modified xsi:type="dcterms:W3CDTF">2025-09-05T09:40:00Z</dcterms:modified>
</cp:coreProperties>
</file>