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talde parlamentarioko Ángel Ansa Echegaray jaunak eskatu du Nafarroako Gobernuari eska</w:t>
        <w:softHyphen/>
        <w:t xml:space="preserve">tzeko ida</w:t>
        <w:softHyphen/>
        <w:t xml:space="preserve">tziz eran</w:t>
        <w:softHyphen/>
        <w:t xml:space="preserve">tzun beharreko galderari eran</w:t>
        <w:softHyphen/>
        <w:t xml:space="preserve">tzun diezaion, hura eran</w:t>
        <w:softHyphen/>
        <w:t xml:space="preserve">tzuteko epea igaro ondoren, Nafarroako Parlamentuko Erregelamenduaren 215.2 artikuluan xedatutakoari jarraikiz.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foru parlamentariek eginiko galderei eran</w:t>
        <w:softHyphen/>
        <w:t xml:space="preserve">tzuteko duen epea ig€aro ondoren, Erregelamenduko 215.1 artikuluaren arabera, ERABAKI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  <w:rFonts w:ascii="Helvetica LT Std" w:cs="Helvetica LT Std" w:eastAsia="Helvetica LT Std" w:hAnsi="Helvetica LT Std"/>
        </w:rPr>
        <w:t xml:space="preserve">1.</w:t>
      </w:r>
      <w:r>
        <w:rPr>
          <w:rStyle w:val="1"/>
        </w:rPr>
        <w:t xml:space="preserve"> Nafarroako Gobernua premia</w:t>
        <w:softHyphen/>
        <w:t xml:space="preserve">tzea 15 eguneko epean eran</w:t>
        <w:softHyphen/>
        <w:t xml:space="preserve">tzun dezan Legebil</w:t>
        <w:softHyphen/>
        <w:t xml:space="preserve">tzar honen Mahaiak izapidetutako galdera, datu-tratamenduko zentroak para</w:t>
        <w:softHyphen/>
        <w:t xml:space="preserve">tzeari buruzkoa (11-25/PES-00031).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  <w:rFonts w:ascii="Helvetica LT Std" w:cs="Helvetica LT Std" w:eastAsia="Helvetica LT Std" w:hAnsi="Helvetica LT Std"/>
        </w:rPr>
        <w:t xml:space="preserve">2.</w:t>
      </w:r>
      <w:r>
        <w:rPr>
          <w:rStyle w:val="1"/>
        </w:rPr>
        <w:t xml:space="preserve"> Erabaki hau Unión del Pueblo Navarro talde parlamentarioko Ángel Ansa Echegaray jaunari jakinaraztea eta Nafarroako Parlamentuko Aldizkari Ofizialean argitara dadin agin</w:t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2025eko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