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D533" w14:textId="2870554D" w:rsidR="00E62269" w:rsidRPr="00E62269" w:rsidRDefault="006A7CF5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62269">
        <w:rPr>
          <w:rFonts w:cstheme="minorHAnsi"/>
        </w:rPr>
        <w:t>25PES-37</w:t>
      </w:r>
      <w:r w:rsidR="00E62269" w:rsidRPr="00E62269">
        <w:rPr>
          <w:rFonts w:cstheme="minorHAnsi"/>
        </w:rPr>
        <w:t>6</w:t>
      </w:r>
    </w:p>
    <w:p w14:paraId="76D5B609" w14:textId="547D1955" w:rsidR="00E6226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62269">
        <w:rPr>
          <w:rFonts w:cstheme="minorHAnsi"/>
        </w:rPr>
        <w:t>Don Javier García Jiménez, miembro de las Cortes de Navarra, y</w:t>
      </w:r>
      <w:r w:rsidRPr="00E62269">
        <w:rPr>
          <w:rFonts w:cstheme="minorHAnsi"/>
        </w:rPr>
        <w:t xml:space="preserve"> </w:t>
      </w:r>
      <w:r w:rsidRPr="00E62269">
        <w:rPr>
          <w:rFonts w:cstheme="minorHAnsi"/>
        </w:rPr>
        <w:t>portavoz del Grupo Parlamentario Partido Popular de Navarra (PPN) y</w:t>
      </w:r>
      <w:r w:rsidRPr="00E62269">
        <w:rPr>
          <w:rFonts w:cstheme="minorHAnsi"/>
        </w:rPr>
        <w:t xml:space="preserve"> </w:t>
      </w:r>
      <w:r w:rsidRPr="00E62269">
        <w:rPr>
          <w:rFonts w:cstheme="minorHAnsi"/>
        </w:rPr>
        <w:t>al amparo de lo dispuesto en el Reglamento de la Cámara, presenta</w:t>
      </w:r>
      <w:r w:rsidRPr="00E62269">
        <w:rPr>
          <w:rFonts w:cstheme="minorHAnsi"/>
        </w:rPr>
        <w:t xml:space="preserve"> </w:t>
      </w:r>
      <w:r w:rsidRPr="00E62269">
        <w:rPr>
          <w:rFonts w:cstheme="minorHAnsi"/>
        </w:rPr>
        <w:t>la siguiente pregunta escrita dirigida al Gobierno de Navarra:</w:t>
      </w:r>
    </w:p>
    <w:p w14:paraId="1ECC7893" w14:textId="10152E26" w:rsidR="00E6226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62269">
        <w:rPr>
          <w:rFonts w:cstheme="minorHAnsi"/>
        </w:rPr>
        <w:t>¿Cuál es el motivo por el que la agenda pública de la presidenta no se</w:t>
      </w:r>
      <w:r w:rsidRPr="00E62269">
        <w:rPr>
          <w:rFonts w:cstheme="minorHAnsi"/>
        </w:rPr>
        <w:t xml:space="preserve"> </w:t>
      </w:r>
      <w:r w:rsidRPr="00E62269">
        <w:rPr>
          <w:rFonts w:cstheme="minorHAnsi"/>
        </w:rPr>
        <w:t xml:space="preserve">actualiza día a día, </w:t>
      </w:r>
      <w:r w:rsidRPr="00E62269">
        <w:rPr>
          <w:rFonts w:cstheme="minorHAnsi"/>
        </w:rPr>
        <w:t>sino</w:t>
      </w:r>
      <w:r w:rsidRPr="00E62269">
        <w:rPr>
          <w:rFonts w:cstheme="minorHAnsi"/>
        </w:rPr>
        <w:t xml:space="preserve"> que se van incorporando actos y eventos con</w:t>
      </w:r>
      <w:r w:rsidRPr="00E62269">
        <w:rPr>
          <w:rFonts w:cstheme="minorHAnsi"/>
        </w:rPr>
        <w:t xml:space="preserve"> </w:t>
      </w:r>
      <w:r w:rsidRPr="00E62269">
        <w:rPr>
          <w:rFonts w:cstheme="minorHAnsi"/>
        </w:rPr>
        <w:t>un desfase de 2-3 días?</w:t>
      </w:r>
    </w:p>
    <w:p w14:paraId="253A5295" w14:textId="77777777" w:rsidR="00E6226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62269">
        <w:rPr>
          <w:rFonts w:cstheme="minorHAnsi"/>
        </w:rPr>
        <w:t>Pamplona, a 15 de octubre de 2025</w:t>
      </w:r>
    </w:p>
    <w:p w14:paraId="173BFDEA" w14:textId="48837CF4" w:rsidR="00F7194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62269">
        <w:rPr>
          <w:rFonts w:cstheme="minorHAnsi"/>
        </w:rPr>
        <w:t>Javier García Jiménez</w:t>
      </w:r>
    </w:p>
    <w:sectPr w:rsidR="00F71949" w:rsidRPr="00E62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F5"/>
    <w:rsid w:val="0008189D"/>
    <w:rsid w:val="006A7CF5"/>
    <w:rsid w:val="009450A7"/>
    <w:rsid w:val="00E62269"/>
    <w:rsid w:val="00F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833"/>
  <w15:chartTrackingRefBased/>
  <w15:docId w15:val="{B91B715D-0AAB-47F2-8EDF-A7D5F56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2025-10-16T06:49:00Z</dcterms:created>
  <dcterms:modified xsi:type="dcterms:W3CDTF">2025-10-16T06:51:00Z</dcterms:modified>
</cp:coreProperties>
</file>