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1F94" w14:textId="2BC565B1" w:rsidR="00FA15EB" w:rsidRPr="00E154CA" w:rsidRDefault="00E154CA" w:rsidP="00E154CA">
      <w:pPr>
        <w:spacing w:after="120" w:line="276" w:lineRule="auto"/>
        <w:jc w:val="both"/>
        <w:rPr>
          <w:rFonts w:cstheme="minorHAnsi"/>
        </w:rPr>
      </w:pPr>
      <w:r>
        <w:t>2025eko urriaren 13a</w:t>
      </w:r>
    </w:p>
    <w:p w14:paraId="58D595E8" w14:textId="3B8F8228" w:rsidR="00E154CA" w:rsidRPr="00E154CA" w:rsidRDefault="00E154CA" w:rsidP="00E154CA">
      <w:pPr>
        <w:autoSpaceDE w:val="0"/>
        <w:autoSpaceDN w:val="0"/>
        <w:adjustRightInd w:val="0"/>
        <w:spacing w:after="120" w:line="276" w:lineRule="auto"/>
        <w:jc w:val="both"/>
        <w:rPr>
          <w:rFonts w:cstheme="minorHAnsi"/>
        </w:rPr>
      </w:pPr>
      <w:r>
        <w:t>EH Bildu Nafarroa talde parlamentarioari atxikitako foru parlamentari Txomin González Martínez jaunak idatziz erantzuteko galdera egin du Gizarte Segurantzarekin elkarlanean aritzen diren mutualitateekiko harremanari buruz (11-25/PES-00327). Hona hemen Nafarroako Gobernuko Osasuneko kontseilariak horri buruz ematen duen informazioa:</w:t>
      </w:r>
    </w:p>
    <w:p w14:paraId="20D721FC" w14:textId="425F763A" w:rsidR="00E154CA" w:rsidRPr="00E154CA" w:rsidRDefault="00E154CA" w:rsidP="00E154CA">
      <w:pPr>
        <w:autoSpaceDE w:val="0"/>
        <w:autoSpaceDN w:val="0"/>
        <w:adjustRightInd w:val="0"/>
        <w:spacing w:after="120" w:line="276" w:lineRule="auto"/>
        <w:jc w:val="both"/>
        <w:rPr>
          <w:rFonts w:cstheme="minorHAnsi"/>
        </w:rPr>
      </w:pPr>
      <w:r>
        <w:t>Ba al dago Gizarte Segurantzarekin elkarlanean diharduten mutualitateetatik O-NOZera bideratutako pazienteen erregistrorik, edo haien gaixotasunak edo lesioak lanekoak ez direla argudiatuta mutualitate horiek artatu ez dituzten pertsonena?</w:t>
      </w:r>
    </w:p>
    <w:p w14:paraId="5C7CC2A1" w14:textId="0D0062C4" w:rsidR="00E154CA" w:rsidRPr="00E154CA" w:rsidRDefault="00E154CA" w:rsidP="00E154CA">
      <w:pPr>
        <w:autoSpaceDE w:val="0"/>
        <w:autoSpaceDN w:val="0"/>
        <w:adjustRightInd w:val="0"/>
        <w:spacing w:after="120" w:line="276" w:lineRule="auto"/>
        <w:jc w:val="both"/>
        <w:rPr>
          <w:rFonts w:cstheme="minorHAnsi"/>
        </w:rPr>
      </w:pPr>
      <w:r>
        <w:t>Gaur egun, laneko istripu baten edo lan-esposizio baten ondoriozko osasun arazoak izanik dagokion Gizarte Segurantzarekin elkarlanean aritzen diren mutualitateak artatu gabeko langile guztiak biltzen dituen erregistrorik ez dago Nafarroan.</w:t>
      </w:r>
    </w:p>
    <w:p w14:paraId="6CAD025B" w14:textId="54E793B1" w:rsidR="00E154CA" w:rsidRPr="00E154CA" w:rsidRDefault="00E154CA" w:rsidP="00E154CA">
      <w:pPr>
        <w:autoSpaceDE w:val="0"/>
        <w:autoSpaceDN w:val="0"/>
        <w:adjustRightInd w:val="0"/>
        <w:spacing w:after="120" w:line="276" w:lineRule="auto"/>
        <w:jc w:val="both"/>
        <w:rPr>
          <w:rFonts w:cstheme="minorHAnsi"/>
        </w:rPr>
      </w:pPr>
      <w:r>
        <w:t>Mutualitateek jatorri laboraleko osasun arazoei arreta ez emateak hiru kausa posible ditu:</w:t>
      </w:r>
    </w:p>
    <w:p w14:paraId="1076E332" w14:textId="20B3428D" w:rsidR="00E154CA" w:rsidRPr="00E154CA" w:rsidRDefault="00E154CA" w:rsidP="00E154CA">
      <w:pPr>
        <w:autoSpaceDE w:val="0"/>
        <w:autoSpaceDN w:val="0"/>
        <w:adjustRightInd w:val="0"/>
        <w:spacing w:after="120" w:line="276" w:lineRule="auto"/>
        <w:jc w:val="both"/>
        <w:rPr>
          <w:rFonts w:cstheme="minorHAnsi"/>
        </w:rPr>
      </w:pPr>
      <w:r>
        <w:t>1.- Arreta sanitarioa eman ondoren (orokorki, lehen kontsulta), mutualitateak adieraztea langilearen osasun arazoaren jatorria laborala ez dela, eta kasua Osasunbidea-Nafarroako Osasun Zerbitzura bideratzea.</w:t>
      </w:r>
    </w:p>
    <w:p w14:paraId="4EDAFA96" w14:textId="3B3AB8DC" w:rsidR="00E154CA" w:rsidRPr="00E154CA" w:rsidRDefault="00E154CA" w:rsidP="00E154CA">
      <w:pPr>
        <w:spacing w:after="120" w:line="276" w:lineRule="auto"/>
        <w:jc w:val="both"/>
        <w:rPr>
          <w:rFonts w:cstheme="minorHAnsi"/>
        </w:rPr>
      </w:pPr>
      <w:r>
        <w:t>2.- Enpresak langileari dagokion sorospen bolantea eman nahi ez izatea, mutualitateak langileari arreta eman diezaion (ezinbesteko baldintza izanik hori Gizarte Segurantzarekin elkarlanean aritzen diren mutualitateek kasuari hel diezaioten). Osasunbidea-Nafarroako Osasun Zerbitzuak ematen dio arreta langileari.</w:t>
      </w:r>
    </w:p>
    <w:p w14:paraId="4F77F6D9" w14:textId="6C6B1CA1" w:rsidR="00E154CA" w:rsidRPr="00E154CA" w:rsidRDefault="00E154CA" w:rsidP="00E154CA">
      <w:pPr>
        <w:autoSpaceDE w:val="0"/>
        <w:autoSpaceDN w:val="0"/>
        <w:adjustRightInd w:val="0"/>
        <w:spacing w:after="120" w:line="276" w:lineRule="auto"/>
        <w:jc w:val="both"/>
        <w:rPr>
          <w:rFonts w:cstheme="minorHAnsi"/>
        </w:rPr>
      </w:pPr>
      <w:r>
        <w:t>3.- Langileak ez eskatzea enpresari sorospen bolantea emateko. Kasu honetan ere Osasunbidea-Nafarroako Osasun Zerbitzuak ematen dio arreta.</w:t>
      </w:r>
    </w:p>
    <w:p w14:paraId="72E73F14" w14:textId="2223AEBC" w:rsidR="00E154CA" w:rsidRPr="00E154CA" w:rsidRDefault="00E154CA" w:rsidP="00E154CA">
      <w:pPr>
        <w:autoSpaceDE w:val="0"/>
        <w:autoSpaceDN w:val="0"/>
        <w:adjustRightInd w:val="0"/>
        <w:spacing w:after="120" w:line="276" w:lineRule="auto"/>
        <w:jc w:val="both"/>
        <w:rPr>
          <w:rFonts w:cstheme="minorHAnsi"/>
        </w:rPr>
      </w:pPr>
      <w:r>
        <w:t>Nafarroan ez dago aipagai ditugun kasu guztien datuen erregistrorik, baina Lan Osasunaren Alorreko Zaintza Epidemiologikorako Programa bat dago, Nafarroan Gizarte Segurantzarekin elkarlanean aritzen diren mutualitateek artatu gabeko eta, beraz, Osasunbidea-Nafarroako Osasun Zerbitzura deribatutako (patologia laborala delako susmoak direla eta) pertsonen GUTXIENEKO kasu kopuruari buruzko informazioa ematen duena.</w:t>
      </w:r>
    </w:p>
    <w:p w14:paraId="4F3A8D37" w14:textId="53BB4A4F" w:rsidR="00E154CA" w:rsidRPr="00E154CA" w:rsidRDefault="00E154CA" w:rsidP="00E154CA">
      <w:pPr>
        <w:autoSpaceDE w:val="0"/>
        <w:autoSpaceDN w:val="0"/>
        <w:adjustRightInd w:val="0"/>
        <w:spacing w:after="120" w:line="276" w:lineRule="auto"/>
        <w:jc w:val="both"/>
        <w:rPr>
          <w:rFonts w:cstheme="minorHAnsi"/>
        </w:rPr>
      </w:pPr>
      <w:r>
        <w:t>Lan Osasunaren Alorreko Zaintza Epidemiologikorako Programa Nafarroako Osasun Publikoaren eta Lan Osasunaren Institutuak (NOPLOI) garatutako programetako bat da. Programa horrek Osasunbidea-Nafarroako Osasun Zerbitzuan artatutako patologia jatorri laboralekoa delako susmoen kasuen deklarazioa jasotzen du, osasun alorreko profesionalek BORONDATEZ aitortuta egonik eta langileen baimena izanik.</w:t>
      </w:r>
    </w:p>
    <w:p w14:paraId="4B0170EB" w14:textId="588E3EBA" w:rsidR="00E154CA" w:rsidRPr="00E154CA" w:rsidRDefault="00E154CA" w:rsidP="00E154CA">
      <w:pPr>
        <w:autoSpaceDE w:val="0"/>
        <w:autoSpaceDN w:val="0"/>
        <w:adjustRightInd w:val="0"/>
        <w:spacing w:after="120" w:line="276" w:lineRule="auto"/>
        <w:jc w:val="both"/>
        <w:rPr>
          <w:rFonts w:cstheme="minorHAnsi"/>
        </w:rPr>
      </w:pPr>
      <w:r>
        <w:t>Programari aitortutako iturri nagusia lehen mailako arretan diharduten medikuak dira. Ondoren, NOPLOIko ikuskaritza medikoko profesionalak daude, eta, azken buruan, langileak berak.</w:t>
      </w:r>
    </w:p>
    <w:p w14:paraId="1155C243" w14:textId="77777777" w:rsidR="00E154CA" w:rsidRPr="00E154CA" w:rsidRDefault="00E154CA" w:rsidP="00E154CA">
      <w:pPr>
        <w:autoSpaceDE w:val="0"/>
        <w:autoSpaceDN w:val="0"/>
        <w:adjustRightInd w:val="0"/>
        <w:spacing w:after="120" w:line="276" w:lineRule="auto"/>
        <w:jc w:val="both"/>
        <w:rPr>
          <w:rFonts w:cstheme="minorHAnsi"/>
        </w:rPr>
      </w:pPr>
      <w:r>
        <w:t>Aitortutako osasun arazoen bi talde handi bereizten dira:</w:t>
      </w:r>
    </w:p>
    <w:p w14:paraId="5B2E4092" w14:textId="54EEACFE" w:rsidR="00E154CA" w:rsidRPr="00E154CA" w:rsidRDefault="00E154CA" w:rsidP="00E154CA">
      <w:pPr>
        <w:spacing w:after="120" w:line="276" w:lineRule="auto"/>
        <w:jc w:val="both"/>
        <w:rPr>
          <w:rFonts w:cstheme="minorHAnsi"/>
        </w:rPr>
      </w:pPr>
      <w:r>
        <w:t>A.- Gaixotasun profesionaleko susmoa. Programak osasun arazo hauen aitorpena jasotzen du:</w:t>
      </w:r>
    </w:p>
    <w:p w14:paraId="770FF94E" w14:textId="60F1798D" w:rsidR="00E154CA" w:rsidRPr="00E154CA" w:rsidRDefault="00946A79" w:rsidP="00E154CA">
      <w:pPr>
        <w:autoSpaceDE w:val="0"/>
        <w:autoSpaceDN w:val="0"/>
        <w:adjustRightInd w:val="0"/>
        <w:spacing w:after="120" w:line="276" w:lineRule="auto"/>
        <w:jc w:val="both"/>
        <w:rPr>
          <w:rFonts w:cstheme="minorHAnsi"/>
        </w:rPr>
      </w:pPr>
      <w:r>
        <w:t>S</w:t>
      </w:r>
      <w:r w:rsidR="00E154CA">
        <w:t>orbaldako mahukatxo birakariaren patologia</w:t>
      </w:r>
    </w:p>
    <w:p w14:paraId="3ADC1701" w14:textId="2DA1BB75" w:rsidR="00E154CA" w:rsidRPr="00E154CA" w:rsidRDefault="00946A79" w:rsidP="00E154CA">
      <w:pPr>
        <w:autoSpaceDE w:val="0"/>
        <w:autoSpaceDN w:val="0"/>
        <w:adjustRightInd w:val="0"/>
        <w:spacing w:after="120" w:line="276" w:lineRule="auto"/>
        <w:jc w:val="both"/>
        <w:rPr>
          <w:rFonts w:cstheme="minorHAnsi"/>
        </w:rPr>
      </w:pPr>
      <w:r>
        <w:t>E</w:t>
      </w:r>
      <w:r w:rsidR="00E154CA">
        <w:t>skumuturreko edo ukondoko tendinitisa</w:t>
      </w:r>
    </w:p>
    <w:p w14:paraId="286B49F8" w14:textId="37B78EC5" w:rsidR="00E154CA" w:rsidRPr="00E154CA" w:rsidRDefault="00946A79" w:rsidP="00E154CA">
      <w:pPr>
        <w:autoSpaceDE w:val="0"/>
        <w:autoSpaceDN w:val="0"/>
        <w:adjustRightInd w:val="0"/>
        <w:spacing w:after="120" w:line="276" w:lineRule="auto"/>
        <w:jc w:val="both"/>
        <w:rPr>
          <w:rFonts w:cstheme="minorHAnsi"/>
        </w:rPr>
      </w:pPr>
      <w:r>
        <w:t>K</w:t>
      </w:r>
      <w:r w:rsidR="00E154CA">
        <w:t>arpoko kanalaren sindromea</w:t>
      </w:r>
    </w:p>
    <w:p w14:paraId="3701894F" w14:textId="791C421D" w:rsidR="00E154CA" w:rsidRPr="00E154CA" w:rsidRDefault="00946A79" w:rsidP="00E154CA">
      <w:pPr>
        <w:autoSpaceDE w:val="0"/>
        <w:autoSpaceDN w:val="0"/>
        <w:adjustRightInd w:val="0"/>
        <w:spacing w:after="120" w:line="276" w:lineRule="auto"/>
        <w:jc w:val="both"/>
        <w:rPr>
          <w:rFonts w:cstheme="minorHAnsi"/>
        </w:rPr>
      </w:pPr>
      <w:r>
        <w:t>D</w:t>
      </w:r>
      <w:r w:rsidR="00E154CA">
        <w:t>ermatosi profesionalak</w:t>
      </w:r>
    </w:p>
    <w:p w14:paraId="50FD69D9" w14:textId="4F332C30" w:rsidR="00E154CA" w:rsidRPr="00E154CA" w:rsidRDefault="00946A79" w:rsidP="00E154CA">
      <w:pPr>
        <w:autoSpaceDE w:val="0"/>
        <w:autoSpaceDN w:val="0"/>
        <w:adjustRightInd w:val="0"/>
        <w:spacing w:after="120" w:line="276" w:lineRule="auto"/>
        <w:jc w:val="both"/>
        <w:rPr>
          <w:rFonts w:cstheme="minorHAnsi"/>
        </w:rPr>
      </w:pPr>
      <w:r>
        <w:lastRenderedPageBreak/>
        <w:t>A</w:t>
      </w:r>
      <w:r w:rsidR="00E154CA">
        <w:t>sma okupazionala</w:t>
      </w:r>
    </w:p>
    <w:p w14:paraId="24D294FB" w14:textId="3426F1ED" w:rsidR="00E154CA" w:rsidRPr="00E154CA" w:rsidRDefault="00946A79" w:rsidP="00E154CA">
      <w:pPr>
        <w:autoSpaceDE w:val="0"/>
        <w:autoSpaceDN w:val="0"/>
        <w:adjustRightInd w:val="0"/>
        <w:spacing w:after="120" w:line="276" w:lineRule="auto"/>
        <w:jc w:val="both"/>
        <w:rPr>
          <w:rFonts w:cstheme="minorHAnsi"/>
        </w:rPr>
      </w:pPr>
      <w:r>
        <w:t>A</w:t>
      </w:r>
      <w:r w:rsidR="00E154CA">
        <w:t>hots-patologia</w:t>
      </w:r>
    </w:p>
    <w:p w14:paraId="49CE585B" w14:textId="26B9E3B8" w:rsidR="00E154CA" w:rsidRPr="00E154CA" w:rsidRDefault="00E154CA" w:rsidP="00E154CA">
      <w:pPr>
        <w:autoSpaceDE w:val="0"/>
        <w:autoSpaceDN w:val="0"/>
        <w:adjustRightInd w:val="0"/>
        <w:spacing w:after="120" w:line="276" w:lineRule="auto"/>
        <w:jc w:val="both"/>
        <w:rPr>
          <w:rFonts w:cstheme="minorHAnsi"/>
        </w:rPr>
      </w:pPr>
      <w:r>
        <w:t>B.- Lan-baldintzekin lotutako beste osasun arazo batzuk: arrisku psikosozialen eraginpean egoteko probabilitatearen ondoriozkoak; lan jarduerarekin lotutako algiak; lanpostua egokitu beharra; eta laneko istripuekin lotutako problematika desberdinak.</w:t>
      </w:r>
    </w:p>
    <w:p w14:paraId="37D041A1" w14:textId="125D3763" w:rsidR="00E154CA" w:rsidRPr="00E154CA" w:rsidRDefault="00E154CA" w:rsidP="00E154CA">
      <w:pPr>
        <w:autoSpaceDE w:val="0"/>
        <w:autoSpaceDN w:val="0"/>
        <w:adjustRightInd w:val="0"/>
        <w:spacing w:after="120" w:line="276" w:lineRule="auto"/>
        <w:jc w:val="both"/>
        <w:rPr>
          <w:rFonts w:cstheme="minorHAnsi"/>
        </w:rPr>
      </w:pPr>
      <w:r>
        <w:t>Hala bada, zenbat paziente bideratu dira edo ez dituzte artatu Gizarte Segurantzarekin elkarlanean diharduten mutualitateek eta Nafarroako Osasun Zerbitzutik tratatu behar izan dira, mutualitate horiek diotelako lanekoak ez diren lesioak edo patologiak dituzten pazienteak direla, 2024an eta 2025ean?</w:t>
      </w:r>
    </w:p>
    <w:p w14:paraId="0785D349" w14:textId="4F0382F3" w:rsidR="00E154CA" w:rsidRPr="00E154CA" w:rsidRDefault="00E154CA" w:rsidP="00E154CA">
      <w:pPr>
        <w:autoSpaceDE w:val="0"/>
        <w:autoSpaceDN w:val="0"/>
        <w:adjustRightInd w:val="0"/>
        <w:spacing w:after="120" w:line="276" w:lineRule="auto"/>
        <w:jc w:val="both"/>
        <w:rPr>
          <w:rFonts w:cstheme="minorHAnsi"/>
        </w:rPr>
      </w:pPr>
      <w:r>
        <w:t>Erantsitako taulan, osasun arazoen talde bakoitzean Zaintza Epidemiologikorako Programari modu nominalean aitortutako kasuen kopurua ageri da.</w:t>
      </w:r>
    </w:p>
    <w:p w14:paraId="6C3BA5B3" w14:textId="77777777" w:rsidR="00E154CA" w:rsidRPr="00E154CA" w:rsidRDefault="00E154CA" w:rsidP="00E154CA">
      <w:pPr>
        <w:autoSpaceDE w:val="0"/>
        <w:autoSpaceDN w:val="0"/>
        <w:adjustRightInd w:val="0"/>
        <w:spacing w:after="120" w:line="276" w:lineRule="auto"/>
        <w:jc w:val="both"/>
        <w:rPr>
          <w:rFonts w:cstheme="minorHAnsi"/>
        </w:rPr>
      </w:pPr>
    </w:p>
    <w:p w14:paraId="6CED9084" w14:textId="77777777" w:rsidR="00E154CA" w:rsidRPr="00E154CA" w:rsidRDefault="00E154CA" w:rsidP="00E154CA">
      <w:pPr>
        <w:kinsoku w:val="0"/>
        <w:overflowPunct w:val="0"/>
        <w:autoSpaceDE w:val="0"/>
        <w:autoSpaceDN w:val="0"/>
        <w:adjustRightInd w:val="0"/>
        <w:spacing w:before="5" w:after="0" w:line="240" w:lineRule="auto"/>
        <w:rPr>
          <w:rFonts w:ascii="Times New Roman" w:hAnsi="Times New Roman" w:cs="Times New Roman"/>
          <w:sz w:val="8"/>
          <w:szCs w:val="8"/>
        </w:rPr>
      </w:pPr>
    </w:p>
    <w:tbl>
      <w:tblPr>
        <w:tblW w:w="0" w:type="auto"/>
        <w:tblInd w:w="-5" w:type="dxa"/>
        <w:tblLayout w:type="fixed"/>
        <w:tblCellMar>
          <w:left w:w="0" w:type="dxa"/>
          <w:right w:w="0" w:type="dxa"/>
        </w:tblCellMar>
        <w:tblLook w:val="0000" w:firstRow="0" w:lastRow="0" w:firstColumn="0" w:lastColumn="0" w:noHBand="0" w:noVBand="0"/>
      </w:tblPr>
      <w:tblGrid>
        <w:gridCol w:w="2248"/>
        <w:gridCol w:w="2971"/>
        <w:gridCol w:w="2048"/>
      </w:tblGrid>
      <w:tr w:rsidR="00E154CA" w:rsidRPr="00E154CA" w14:paraId="45C45158" w14:textId="77777777" w:rsidTr="00E154CA">
        <w:trPr>
          <w:trHeight w:hRule="exact" w:val="262"/>
        </w:trPr>
        <w:tc>
          <w:tcPr>
            <w:tcW w:w="2248" w:type="dxa"/>
            <w:tcBorders>
              <w:top w:val="single" w:sz="4" w:space="0" w:color="000000"/>
              <w:left w:val="single" w:sz="4" w:space="0" w:color="000000"/>
              <w:bottom w:val="single" w:sz="4" w:space="0" w:color="000000"/>
              <w:right w:val="single" w:sz="4" w:space="0" w:color="000000"/>
            </w:tcBorders>
            <w:shd w:val="clear" w:color="auto" w:fill="BEBEBE"/>
          </w:tcPr>
          <w:p w14:paraId="70CE15AE" w14:textId="77777777" w:rsidR="00E154CA" w:rsidRPr="00E154CA" w:rsidRDefault="00E154CA" w:rsidP="00E154CA">
            <w:pPr>
              <w:autoSpaceDE w:val="0"/>
              <w:autoSpaceDN w:val="0"/>
              <w:adjustRightInd w:val="0"/>
              <w:spacing w:after="0" w:line="240" w:lineRule="auto"/>
              <w:rPr>
                <w:rFonts w:ascii="Times New Roman" w:hAnsi="Times New Roman" w:cs="Times New Roman"/>
                <w:sz w:val="24"/>
                <w:szCs w:val="24"/>
              </w:rPr>
            </w:pPr>
          </w:p>
        </w:tc>
        <w:tc>
          <w:tcPr>
            <w:tcW w:w="2971" w:type="dxa"/>
            <w:tcBorders>
              <w:top w:val="single" w:sz="4" w:space="0" w:color="000000"/>
              <w:left w:val="single" w:sz="4" w:space="0" w:color="000000"/>
              <w:bottom w:val="single" w:sz="4" w:space="0" w:color="000000"/>
              <w:right w:val="single" w:sz="4" w:space="0" w:color="000000"/>
            </w:tcBorders>
            <w:shd w:val="clear" w:color="auto" w:fill="BEBEBE"/>
          </w:tcPr>
          <w:p w14:paraId="2D22AC9F" w14:textId="77777777" w:rsidR="00E154CA" w:rsidRPr="00E154CA" w:rsidRDefault="00E154CA" w:rsidP="00E154CA">
            <w:pPr>
              <w:kinsoku w:val="0"/>
              <w:overflowPunct w:val="0"/>
              <w:autoSpaceDE w:val="0"/>
              <w:autoSpaceDN w:val="0"/>
              <w:adjustRightInd w:val="0"/>
              <w:spacing w:before="67" w:after="0" w:line="182" w:lineRule="exact"/>
              <w:ind w:left="19"/>
              <w:rPr>
                <w:rFonts w:ascii="Times New Roman" w:hAnsi="Times New Roman" w:cs="Times New Roman"/>
                <w:sz w:val="24"/>
                <w:szCs w:val="24"/>
              </w:rPr>
            </w:pPr>
            <w:r>
              <w:rPr>
                <w:rFonts w:ascii="Calibri" w:hAnsi="Calibri"/>
                <w:sz w:val="15"/>
              </w:rPr>
              <w:t>GAIXOTASUN PROFESIONALEKO SUSMOA (A)</w:t>
            </w:r>
          </w:p>
        </w:tc>
        <w:tc>
          <w:tcPr>
            <w:tcW w:w="2048" w:type="dxa"/>
            <w:tcBorders>
              <w:top w:val="single" w:sz="4" w:space="0" w:color="000000"/>
              <w:left w:val="single" w:sz="4" w:space="0" w:color="000000"/>
              <w:bottom w:val="single" w:sz="4" w:space="0" w:color="000000"/>
              <w:right w:val="single" w:sz="4" w:space="0" w:color="000000"/>
            </w:tcBorders>
            <w:shd w:val="clear" w:color="auto" w:fill="BEBEBE"/>
          </w:tcPr>
          <w:p w14:paraId="264525B5" w14:textId="77777777" w:rsidR="00E154CA" w:rsidRPr="00E154CA" w:rsidRDefault="00E154CA" w:rsidP="00E154CA">
            <w:pPr>
              <w:kinsoku w:val="0"/>
              <w:overflowPunct w:val="0"/>
              <w:autoSpaceDE w:val="0"/>
              <w:autoSpaceDN w:val="0"/>
              <w:adjustRightInd w:val="0"/>
              <w:spacing w:before="67" w:after="0" w:line="182" w:lineRule="exact"/>
              <w:ind w:left="19"/>
              <w:rPr>
                <w:rFonts w:ascii="Times New Roman" w:hAnsi="Times New Roman" w:cs="Times New Roman"/>
                <w:sz w:val="24"/>
                <w:szCs w:val="24"/>
              </w:rPr>
            </w:pPr>
            <w:r>
              <w:rPr>
                <w:rFonts w:ascii="Calibri" w:hAnsi="Calibri"/>
                <w:sz w:val="15"/>
              </w:rPr>
              <w:t>BESTELAKOAK (B TALDEA)</w:t>
            </w:r>
          </w:p>
        </w:tc>
      </w:tr>
      <w:tr w:rsidR="00E154CA" w:rsidRPr="00E154CA" w14:paraId="2FB09A5C" w14:textId="77777777" w:rsidTr="00946A79">
        <w:trPr>
          <w:trHeight w:hRule="exact" w:val="1050"/>
        </w:trPr>
        <w:tc>
          <w:tcPr>
            <w:tcW w:w="2248" w:type="dxa"/>
            <w:tcBorders>
              <w:top w:val="single" w:sz="4" w:space="0" w:color="000000"/>
              <w:left w:val="single" w:sz="4" w:space="0" w:color="000000"/>
              <w:bottom w:val="single" w:sz="4" w:space="0" w:color="000000"/>
              <w:right w:val="single" w:sz="4" w:space="0" w:color="000000"/>
            </w:tcBorders>
          </w:tcPr>
          <w:p w14:paraId="1771667A" w14:textId="77777777" w:rsidR="00E154CA" w:rsidRPr="00E154CA" w:rsidRDefault="00E154CA" w:rsidP="00E154CA">
            <w:pPr>
              <w:kinsoku w:val="0"/>
              <w:overflowPunct w:val="0"/>
              <w:autoSpaceDE w:val="0"/>
              <w:autoSpaceDN w:val="0"/>
              <w:adjustRightInd w:val="0"/>
              <w:spacing w:before="67" w:after="0" w:line="240" w:lineRule="auto"/>
              <w:ind w:left="19"/>
              <w:rPr>
                <w:rFonts w:ascii="Calibri" w:hAnsi="Calibri" w:cs="Calibri"/>
                <w:sz w:val="15"/>
                <w:szCs w:val="15"/>
              </w:rPr>
            </w:pPr>
            <w:r>
              <w:rPr>
                <w:rFonts w:ascii="Calibri" w:hAnsi="Calibri"/>
                <w:sz w:val="15"/>
              </w:rPr>
              <w:t>2024ko urtarrilaren 1etik abenduaren 31ra</w:t>
            </w:r>
          </w:p>
          <w:p w14:paraId="74751110" w14:textId="77777777" w:rsidR="00E154CA" w:rsidRPr="00E154CA" w:rsidRDefault="00E154CA" w:rsidP="00E154CA">
            <w:pPr>
              <w:kinsoku w:val="0"/>
              <w:overflowPunct w:val="0"/>
              <w:autoSpaceDE w:val="0"/>
              <w:autoSpaceDN w:val="0"/>
              <w:adjustRightInd w:val="0"/>
              <w:spacing w:after="0" w:line="240" w:lineRule="auto"/>
              <w:rPr>
                <w:rFonts w:ascii="Times New Roman" w:hAnsi="Times New Roman" w:cs="Times New Roman"/>
                <w:sz w:val="14"/>
                <w:szCs w:val="14"/>
              </w:rPr>
            </w:pPr>
          </w:p>
          <w:p w14:paraId="4A1C7C3C" w14:textId="77777777" w:rsidR="00E154CA" w:rsidRPr="00E154CA" w:rsidRDefault="00E154CA" w:rsidP="00E154CA">
            <w:pPr>
              <w:kinsoku w:val="0"/>
              <w:overflowPunct w:val="0"/>
              <w:autoSpaceDE w:val="0"/>
              <w:autoSpaceDN w:val="0"/>
              <w:adjustRightInd w:val="0"/>
              <w:spacing w:after="0" w:line="182" w:lineRule="exact"/>
              <w:ind w:left="19"/>
              <w:rPr>
                <w:rFonts w:ascii="Times New Roman" w:hAnsi="Times New Roman" w:cs="Times New Roman"/>
                <w:sz w:val="24"/>
                <w:szCs w:val="24"/>
              </w:rPr>
            </w:pPr>
            <w:r>
              <w:rPr>
                <w:rFonts w:ascii="Calibri" w:hAnsi="Calibri"/>
                <w:sz w:val="15"/>
              </w:rPr>
              <w:t>2025eko urtarrilaren 1etik ekainaren 30era</w:t>
            </w:r>
          </w:p>
        </w:tc>
        <w:tc>
          <w:tcPr>
            <w:tcW w:w="2971" w:type="dxa"/>
            <w:tcBorders>
              <w:top w:val="single" w:sz="4" w:space="0" w:color="000000"/>
              <w:left w:val="single" w:sz="4" w:space="0" w:color="000000"/>
              <w:bottom w:val="single" w:sz="4" w:space="0" w:color="000000"/>
              <w:right w:val="single" w:sz="4" w:space="0" w:color="000000"/>
            </w:tcBorders>
          </w:tcPr>
          <w:p w14:paraId="41D6F984" w14:textId="77777777" w:rsidR="00E154CA" w:rsidRPr="00E154CA" w:rsidRDefault="00E154CA" w:rsidP="00E154CA">
            <w:pPr>
              <w:kinsoku w:val="0"/>
              <w:overflowPunct w:val="0"/>
              <w:autoSpaceDE w:val="0"/>
              <w:autoSpaceDN w:val="0"/>
              <w:adjustRightInd w:val="0"/>
              <w:spacing w:before="67" w:after="0" w:line="240" w:lineRule="auto"/>
              <w:ind w:left="7"/>
              <w:jc w:val="center"/>
              <w:rPr>
                <w:rFonts w:ascii="Calibri" w:hAnsi="Calibri" w:cs="Calibri"/>
                <w:sz w:val="15"/>
                <w:szCs w:val="15"/>
              </w:rPr>
            </w:pPr>
            <w:r>
              <w:rPr>
                <w:rFonts w:ascii="Calibri" w:hAnsi="Calibri"/>
                <w:sz w:val="15"/>
              </w:rPr>
              <w:t>1301 kasu</w:t>
            </w:r>
          </w:p>
          <w:p w14:paraId="6F2F101F" w14:textId="77777777" w:rsidR="00E154CA" w:rsidRPr="00E154CA" w:rsidRDefault="00E154CA" w:rsidP="00E154CA">
            <w:pPr>
              <w:kinsoku w:val="0"/>
              <w:overflowPunct w:val="0"/>
              <w:autoSpaceDE w:val="0"/>
              <w:autoSpaceDN w:val="0"/>
              <w:adjustRightInd w:val="0"/>
              <w:spacing w:after="0" w:line="240" w:lineRule="auto"/>
              <w:rPr>
                <w:rFonts w:ascii="Times New Roman" w:hAnsi="Times New Roman" w:cs="Times New Roman"/>
                <w:sz w:val="14"/>
                <w:szCs w:val="14"/>
              </w:rPr>
            </w:pPr>
          </w:p>
          <w:p w14:paraId="7B8A66ED" w14:textId="77777777" w:rsidR="00E154CA" w:rsidRPr="00E154CA" w:rsidRDefault="00E154CA" w:rsidP="00E154CA">
            <w:pPr>
              <w:kinsoku w:val="0"/>
              <w:overflowPunct w:val="0"/>
              <w:autoSpaceDE w:val="0"/>
              <w:autoSpaceDN w:val="0"/>
              <w:adjustRightInd w:val="0"/>
              <w:spacing w:after="0" w:line="182" w:lineRule="exact"/>
              <w:jc w:val="center"/>
              <w:rPr>
                <w:rFonts w:ascii="Times New Roman" w:hAnsi="Times New Roman" w:cs="Times New Roman"/>
                <w:sz w:val="24"/>
                <w:szCs w:val="24"/>
              </w:rPr>
            </w:pPr>
            <w:r>
              <w:rPr>
                <w:rFonts w:ascii="Calibri" w:hAnsi="Calibri"/>
                <w:sz w:val="15"/>
              </w:rPr>
              <w:t>706 kasu</w:t>
            </w:r>
          </w:p>
        </w:tc>
        <w:tc>
          <w:tcPr>
            <w:tcW w:w="2048" w:type="dxa"/>
            <w:tcBorders>
              <w:top w:val="single" w:sz="4" w:space="0" w:color="000000"/>
              <w:left w:val="single" w:sz="4" w:space="0" w:color="000000"/>
              <w:bottom w:val="single" w:sz="4" w:space="0" w:color="000000"/>
              <w:right w:val="single" w:sz="4" w:space="0" w:color="000000"/>
            </w:tcBorders>
          </w:tcPr>
          <w:p w14:paraId="079B8112" w14:textId="77777777" w:rsidR="00E154CA" w:rsidRPr="00E154CA" w:rsidRDefault="00E154CA" w:rsidP="00E154CA">
            <w:pPr>
              <w:kinsoku w:val="0"/>
              <w:overflowPunct w:val="0"/>
              <w:autoSpaceDE w:val="0"/>
              <w:autoSpaceDN w:val="0"/>
              <w:adjustRightInd w:val="0"/>
              <w:spacing w:before="67" w:after="0" w:line="240" w:lineRule="auto"/>
              <w:ind w:right="1"/>
              <w:jc w:val="center"/>
              <w:rPr>
                <w:rFonts w:ascii="Calibri" w:hAnsi="Calibri" w:cs="Calibri"/>
                <w:sz w:val="15"/>
                <w:szCs w:val="15"/>
              </w:rPr>
            </w:pPr>
            <w:r>
              <w:rPr>
                <w:rFonts w:ascii="Calibri" w:hAnsi="Calibri"/>
                <w:sz w:val="15"/>
              </w:rPr>
              <w:t>923 kasu</w:t>
            </w:r>
          </w:p>
          <w:p w14:paraId="73B34376" w14:textId="77777777" w:rsidR="00E154CA" w:rsidRPr="00E154CA" w:rsidRDefault="00E154CA" w:rsidP="00E154CA">
            <w:pPr>
              <w:kinsoku w:val="0"/>
              <w:overflowPunct w:val="0"/>
              <w:autoSpaceDE w:val="0"/>
              <w:autoSpaceDN w:val="0"/>
              <w:adjustRightInd w:val="0"/>
              <w:spacing w:after="0" w:line="240" w:lineRule="auto"/>
              <w:rPr>
                <w:rFonts w:ascii="Times New Roman" w:hAnsi="Times New Roman" w:cs="Times New Roman"/>
                <w:sz w:val="14"/>
                <w:szCs w:val="14"/>
              </w:rPr>
            </w:pPr>
          </w:p>
          <w:p w14:paraId="3F300159" w14:textId="77777777" w:rsidR="00E154CA" w:rsidRPr="00E154CA" w:rsidRDefault="00E154CA" w:rsidP="00E154CA">
            <w:pPr>
              <w:kinsoku w:val="0"/>
              <w:overflowPunct w:val="0"/>
              <w:autoSpaceDE w:val="0"/>
              <w:autoSpaceDN w:val="0"/>
              <w:adjustRightInd w:val="0"/>
              <w:spacing w:after="0" w:line="182" w:lineRule="exact"/>
              <w:ind w:left="8"/>
              <w:jc w:val="center"/>
              <w:rPr>
                <w:rFonts w:ascii="Times New Roman" w:hAnsi="Times New Roman" w:cs="Times New Roman"/>
                <w:sz w:val="24"/>
                <w:szCs w:val="24"/>
              </w:rPr>
            </w:pPr>
            <w:r>
              <w:rPr>
                <w:rFonts w:ascii="Calibri" w:hAnsi="Calibri"/>
                <w:sz w:val="15"/>
              </w:rPr>
              <w:t>527 kasu</w:t>
            </w:r>
          </w:p>
        </w:tc>
      </w:tr>
    </w:tbl>
    <w:p w14:paraId="5F64A16D" w14:textId="77777777" w:rsidR="00E154CA" w:rsidRPr="00E154CA" w:rsidRDefault="00E154CA" w:rsidP="00E154CA">
      <w:pPr>
        <w:autoSpaceDE w:val="0"/>
        <w:autoSpaceDN w:val="0"/>
        <w:adjustRightInd w:val="0"/>
        <w:spacing w:after="120" w:line="276" w:lineRule="auto"/>
        <w:jc w:val="both"/>
        <w:rPr>
          <w:rFonts w:cstheme="minorHAnsi"/>
        </w:rPr>
      </w:pPr>
    </w:p>
    <w:p w14:paraId="769F8D19" w14:textId="1FE9AD2E" w:rsidR="00E154CA" w:rsidRPr="00E154CA" w:rsidRDefault="00E154CA" w:rsidP="00E154CA">
      <w:pPr>
        <w:autoSpaceDE w:val="0"/>
        <w:autoSpaceDN w:val="0"/>
        <w:adjustRightInd w:val="0"/>
        <w:spacing w:after="120" w:line="276" w:lineRule="auto"/>
        <w:jc w:val="both"/>
        <w:rPr>
          <w:rFonts w:cstheme="minorHAnsi"/>
        </w:rPr>
      </w:pPr>
      <w:r>
        <w:t>Aitortutako gaixotasun profesionala dagoelako susmoa eragin duten arrazoi klinikoak (A taldea)</w:t>
      </w:r>
    </w:p>
    <w:p w14:paraId="29EF00D6" w14:textId="77777777" w:rsidR="00E154CA" w:rsidRPr="00E154CA" w:rsidRDefault="00E154CA" w:rsidP="00E154CA">
      <w:pPr>
        <w:kinsoku w:val="0"/>
        <w:overflowPunct w:val="0"/>
        <w:autoSpaceDE w:val="0"/>
        <w:autoSpaceDN w:val="0"/>
        <w:adjustRightInd w:val="0"/>
        <w:spacing w:before="9" w:after="120" w:line="276" w:lineRule="auto"/>
        <w:jc w:val="both"/>
        <w:rPr>
          <w:rFonts w:cstheme="minorHAnsi"/>
        </w:rPr>
      </w:pPr>
    </w:p>
    <w:p w14:paraId="666EEF3B" w14:textId="77777777" w:rsidR="00E154CA" w:rsidRPr="00E154CA" w:rsidRDefault="00E154CA" w:rsidP="00E154CA">
      <w:pPr>
        <w:kinsoku w:val="0"/>
        <w:overflowPunct w:val="0"/>
        <w:autoSpaceDE w:val="0"/>
        <w:autoSpaceDN w:val="0"/>
        <w:adjustRightInd w:val="0"/>
        <w:spacing w:before="9" w:after="0" w:line="240" w:lineRule="auto"/>
        <w:rPr>
          <w:rFonts w:ascii="Times New Roman" w:hAnsi="Times New Roman" w:cs="Times New Roman"/>
          <w:sz w:val="5"/>
          <w:szCs w:val="5"/>
        </w:rPr>
      </w:pPr>
    </w:p>
    <w:tbl>
      <w:tblPr>
        <w:tblW w:w="0" w:type="auto"/>
        <w:tblInd w:w="-6" w:type="dxa"/>
        <w:tblLayout w:type="fixed"/>
        <w:tblCellMar>
          <w:left w:w="0" w:type="dxa"/>
          <w:right w:w="0" w:type="dxa"/>
        </w:tblCellMar>
        <w:tblLook w:val="0000" w:firstRow="0" w:lastRow="0" w:firstColumn="0" w:lastColumn="0" w:noHBand="0" w:noVBand="0"/>
      </w:tblPr>
      <w:tblGrid>
        <w:gridCol w:w="2369"/>
        <w:gridCol w:w="2740"/>
        <w:gridCol w:w="2157"/>
      </w:tblGrid>
      <w:tr w:rsidR="00E154CA" w:rsidRPr="00E154CA" w14:paraId="3ED76E68" w14:textId="77777777" w:rsidTr="00E154CA">
        <w:trPr>
          <w:trHeight w:hRule="exact" w:val="340"/>
        </w:trPr>
        <w:tc>
          <w:tcPr>
            <w:tcW w:w="2369" w:type="dxa"/>
            <w:tcBorders>
              <w:top w:val="single" w:sz="5" w:space="0" w:color="000000"/>
              <w:left w:val="single" w:sz="5" w:space="0" w:color="000000"/>
              <w:bottom w:val="single" w:sz="5" w:space="0" w:color="000000"/>
              <w:right w:val="single" w:sz="5" w:space="0" w:color="000000"/>
            </w:tcBorders>
            <w:shd w:val="clear" w:color="auto" w:fill="C0C0C0"/>
          </w:tcPr>
          <w:p w14:paraId="48DC9AFA" w14:textId="77777777" w:rsidR="00E154CA" w:rsidRPr="00E154CA" w:rsidRDefault="00E154CA" w:rsidP="00E154CA">
            <w:pPr>
              <w:kinsoku w:val="0"/>
              <w:overflowPunct w:val="0"/>
              <w:autoSpaceDE w:val="0"/>
              <w:autoSpaceDN w:val="0"/>
              <w:adjustRightInd w:val="0"/>
              <w:spacing w:before="133" w:after="0" w:line="194" w:lineRule="exact"/>
              <w:ind w:left="718"/>
              <w:rPr>
                <w:rFonts w:ascii="Times New Roman" w:hAnsi="Times New Roman" w:cs="Times New Roman"/>
                <w:sz w:val="24"/>
                <w:szCs w:val="24"/>
              </w:rPr>
            </w:pPr>
            <w:bookmarkStart w:id="0" w:name="_Hlk213670868"/>
            <w:r>
              <w:rPr>
                <w:rFonts w:ascii="Calibri" w:hAnsi="Calibri"/>
                <w:sz w:val="16"/>
              </w:rPr>
              <w:t>Patologia mota</w:t>
            </w:r>
          </w:p>
        </w:tc>
        <w:tc>
          <w:tcPr>
            <w:tcW w:w="2740" w:type="dxa"/>
            <w:tcBorders>
              <w:top w:val="single" w:sz="5" w:space="0" w:color="000000"/>
              <w:left w:val="single" w:sz="5" w:space="0" w:color="000000"/>
              <w:bottom w:val="single" w:sz="5" w:space="0" w:color="000000"/>
              <w:right w:val="single" w:sz="5" w:space="0" w:color="000000"/>
            </w:tcBorders>
            <w:shd w:val="clear" w:color="auto" w:fill="C0C0C0"/>
          </w:tcPr>
          <w:p w14:paraId="52323BEA" w14:textId="77777777" w:rsidR="00E154CA" w:rsidRPr="00E154CA" w:rsidRDefault="00E154CA" w:rsidP="00E154CA">
            <w:pPr>
              <w:kinsoku w:val="0"/>
              <w:overflowPunct w:val="0"/>
              <w:autoSpaceDE w:val="0"/>
              <w:autoSpaceDN w:val="0"/>
              <w:adjustRightInd w:val="0"/>
              <w:spacing w:before="133" w:after="0" w:line="194" w:lineRule="exact"/>
              <w:ind w:left="337"/>
              <w:rPr>
                <w:rFonts w:ascii="Times New Roman" w:hAnsi="Times New Roman" w:cs="Times New Roman"/>
                <w:sz w:val="24"/>
                <w:szCs w:val="24"/>
              </w:rPr>
            </w:pPr>
            <w:r>
              <w:rPr>
                <w:rFonts w:ascii="Calibri" w:hAnsi="Calibri"/>
                <w:sz w:val="16"/>
              </w:rPr>
              <w:t>2024ko urtarrilaren 1etik abenduaren 31ra</w:t>
            </w:r>
          </w:p>
        </w:tc>
        <w:tc>
          <w:tcPr>
            <w:tcW w:w="2157" w:type="dxa"/>
            <w:tcBorders>
              <w:top w:val="single" w:sz="5" w:space="0" w:color="000000"/>
              <w:left w:val="single" w:sz="5" w:space="0" w:color="000000"/>
              <w:bottom w:val="single" w:sz="5" w:space="0" w:color="000000"/>
              <w:right w:val="single" w:sz="5" w:space="0" w:color="000000"/>
            </w:tcBorders>
            <w:shd w:val="clear" w:color="auto" w:fill="C0C0C0"/>
          </w:tcPr>
          <w:p w14:paraId="6C316AB4" w14:textId="77777777" w:rsidR="00E154CA" w:rsidRPr="00E154CA" w:rsidRDefault="00E154CA" w:rsidP="00E154CA">
            <w:pPr>
              <w:kinsoku w:val="0"/>
              <w:overflowPunct w:val="0"/>
              <w:autoSpaceDE w:val="0"/>
              <w:autoSpaceDN w:val="0"/>
              <w:adjustRightInd w:val="0"/>
              <w:spacing w:before="133" w:after="0" w:line="194" w:lineRule="exact"/>
              <w:ind w:left="210"/>
              <w:rPr>
                <w:rFonts w:ascii="Times New Roman" w:hAnsi="Times New Roman" w:cs="Times New Roman"/>
                <w:sz w:val="24"/>
                <w:szCs w:val="24"/>
              </w:rPr>
            </w:pPr>
            <w:r>
              <w:rPr>
                <w:rFonts w:ascii="Calibri" w:hAnsi="Calibri"/>
                <w:sz w:val="16"/>
              </w:rPr>
              <w:t>2025eko urtarrilaren 1etik ekainaren 30era</w:t>
            </w:r>
          </w:p>
        </w:tc>
      </w:tr>
      <w:tr w:rsidR="00E154CA" w:rsidRPr="00E154CA" w14:paraId="14B29D0E" w14:textId="77777777" w:rsidTr="00E154CA">
        <w:trPr>
          <w:trHeight w:hRule="exact" w:val="297"/>
        </w:trPr>
        <w:tc>
          <w:tcPr>
            <w:tcW w:w="2369" w:type="dxa"/>
            <w:tcBorders>
              <w:top w:val="single" w:sz="5" w:space="0" w:color="000000"/>
              <w:left w:val="single" w:sz="5" w:space="0" w:color="000000"/>
              <w:bottom w:val="single" w:sz="5" w:space="0" w:color="000000"/>
              <w:right w:val="single" w:sz="5" w:space="0" w:color="000000"/>
            </w:tcBorders>
          </w:tcPr>
          <w:p w14:paraId="69B35EBA" w14:textId="77777777" w:rsidR="00E154CA" w:rsidRPr="00E154CA" w:rsidRDefault="00E154CA" w:rsidP="00E154CA">
            <w:pPr>
              <w:kinsoku w:val="0"/>
              <w:overflowPunct w:val="0"/>
              <w:autoSpaceDE w:val="0"/>
              <w:autoSpaceDN w:val="0"/>
              <w:adjustRightInd w:val="0"/>
              <w:spacing w:before="91" w:after="0" w:line="194" w:lineRule="exact"/>
              <w:ind w:left="20"/>
              <w:rPr>
                <w:rFonts w:ascii="Times New Roman" w:hAnsi="Times New Roman" w:cs="Times New Roman"/>
                <w:sz w:val="24"/>
                <w:szCs w:val="24"/>
              </w:rPr>
            </w:pPr>
            <w:r>
              <w:rPr>
                <w:rFonts w:ascii="Calibri" w:hAnsi="Calibri"/>
                <w:sz w:val="16"/>
              </w:rPr>
              <w:t>DERMATOLOGIKOA</w:t>
            </w:r>
          </w:p>
        </w:tc>
        <w:tc>
          <w:tcPr>
            <w:tcW w:w="2740" w:type="dxa"/>
            <w:tcBorders>
              <w:top w:val="single" w:sz="5" w:space="0" w:color="000000"/>
              <w:left w:val="single" w:sz="5" w:space="0" w:color="000000"/>
              <w:bottom w:val="single" w:sz="5" w:space="0" w:color="000000"/>
              <w:right w:val="single" w:sz="5" w:space="0" w:color="000000"/>
            </w:tcBorders>
          </w:tcPr>
          <w:p w14:paraId="2145E255" w14:textId="77777777" w:rsidR="00E154CA" w:rsidRPr="00E154CA" w:rsidRDefault="00E154CA" w:rsidP="00E154CA">
            <w:pPr>
              <w:kinsoku w:val="0"/>
              <w:overflowPunct w:val="0"/>
              <w:autoSpaceDE w:val="0"/>
              <w:autoSpaceDN w:val="0"/>
              <w:adjustRightInd w:val="0"/>
              <w:spacing w:before="91" w:after="0" w:line="194" w:lineRule="exact"/>
              <w:jc w:val="center"/>
              <w:rPr>
                <w:rFonts w:ascii="Times New Roman" w:hAnsi="Times New Roman" w:cs="Times New Roman"/>
                <w:sz w:val="24"/>
                <w:szCs w:val="24"/>
              </w:rPr>
            </w:pPr>
            <w:r>
              <w:rPr>
                <w:rFonts w:ascii="Calibri" w:hAnsi="Calibri"/>
                <w:sz w:val="16"/>
              </w:rPr>
              <w:t>58</w:t>
            </w:r>
          </w:p>
        </w:tc>
        <w:tc>
          <w:tcPr>
            <w:tcW w:w="2157" w:type="dxa"/>
            <w:tcBorders>
              <w:top w:val="single" w:sz="5" w:space="0" w:color="000000"/>
              <w:left w:val="single" w:sz="5" w:space="0" w:color="000000"/>
              <w:bottom w:val="single" w:sz="5" w:space="0" w:color="000000"/>
              <w:right w:val="single" w:sz="5" w:space="0" w:color="000000"/>
            </w:tcBorders>
          </w:tcPr>
          <w:p w14:paraId="1108ABC7" w14:textId="77777777" w:rsidR="00E154CA" w:rsidRPr="00E154CA" w:rsidRDefault="00E154CA" w:rsidP="00E154CA">
            <w:pPr>
              <w:kinsoku w:val="0"/>
              <w:overflowPunct w:val="0"/>
              <w:autoSpaceDE w:val="0"/>
              <w:autoSpaceDN w:val="0"/>
              <w:adjustRightInd w:val="0"/>
              <w:spacing w:before="91" w:after="0" w:line="194" w:lineRule="exact"/>
              <w:ind w:right="8"/>
              <w:jc w:val="center"/>
              <w:rPr>
                <w:rFonts w:ascii="Times New Roman" w:hAnsi="Times New Roman" w:cs="Times New Roman"/>
                <w:sz w:val="24"/>
                <w:szCs w:val="24"/>
              </w:rPr>
            </w:pPr>
            <w:r>
              <w:rPr>
                <w:rFonts w:ascii="Calibri" w:hAnsi="Calibri"/>
                <w:sz w:val="16"/>
              </w:rPr>
              <w:t>44</w:t>
            </w:r>
          </w:p>
        </w:tc>
      </w:tr>
      <w:tr w:rsidR="00E154CA" w:rsidRPr="00E154CA" w14:paraId="2EE16F86" w14:textId="77777777" w:rsidTr="00E154CA">
        <w:trPr>
          <w:trHeight w:hRule="exact" w:val="212"/>
        </w:trPr>
        <w:tc>
          <w:tcPr>
            <w:tcW w:w="2369" w:type="dxa"/>
            <w:tcBorders>
              <w:top w:val="single" w:sz="5" w:space="0" w:color="000000"/>
              <w:left w:val="single" w:sz="5" w:space="0" w:color="000000"/>
              <w:bottom w:val="single" w:sz="5" w:space="0" w:color="000000"/>
              <w:right w:val="single" w:sz="5" w:space="0" w:color="000000"/>
            </w:tcBorders>
          </w:tcPr>
          <w:p w14:paraId="233FD890" w14:textId="77777777" w:rsidR="00E154CA" w:rsidRPr="00E154CA" w:rsidRDefault="00E154CA" w:rsidP="00E154CA">
            <w:pPr>
              <w:kinsoku w:val="0"/>
              <w:overflowPunct w:val="0"/>
              <w:autoSpaceDE w:val="0"/>
              <w:autoSpaceDN w:val="0"/>
              <w:adjustRightInd w:val="0"/>
              <w:spacing w:before="6" w:after="0" w:line="194" w:lineRule="exact"/>
              <w:ind w:left="20"/>
              <w:rPr>
                <w:rFonts w:ascii="Times New Roman" w:hAnsi="Times New Roman" w:cs="Times New Roman"/>
                <w:sz w:val="24"/>
                <w:szCs w:val="24"/>
              </w:rPr>
            </w:pPr>
            <w:r>
              <w:rPr>
                <w:rFonts w:ascii="Calibri" w:hAnsi="Calibri"/>
                <w:sz w:val="16"/>
              </w:rPr>
              <w:t>MUSKULOESKELETIKOA</w:t>
            </w:r>
          </w:p>
        </w:tc>
        <w:tc>
          <w:tcPr>
            <w:tcW w:w="2740" w:type="dxa"/>
            <w:tcBorders>
              <w:top w:val="single" w:sz="5" w:space="0" w:color="000000"/>
              <w:left w:val="single" w:sz="5" w:space="0" w:color="000000"/>
              <w:bottom w:val="single" w:sz="5" w:space="0" w:color="000000"/>
              <w:right w:val="single" w:sz="5" w:space="0" w:color="000000"/>
            </w:tcBorders>
          </w:tcPr>
          <w:p w14:paraId="6363C1CF" w14:textId="77777777" w:rsidR="00E154CA" w:rsidRPr="00E154CA" w:rsidRDefault="00E154CA" w:rsidP="00E154CA">
            <w:pPr>
              <w:kinsoku w:val="0"/>
              <w:overflowPunct w:val="0"/>
              <w:autoSpaceDE w:val="0"/>
              <w:autoSpaceDN w:val="0"/>
              <w:adjustRightInd w:val="0"/>
              <w:spacing w:before="6" w:after="0" w:line="194" w:lineRule="exact"/>
              <w:jc w:val="center"/>
              <w:rPr>
                <w:rFonts w:ascii="Times New Roman" w:hAnsi="Times New Roman" w:cs="Times New Roman"/>
                <w:sz w:val="24"/>
                <w:szCs w:val="24"/>
              </w:rPr>
            </w:pPr>
            <w:r>
              <w:rPr>
                <w:rFonts w:ascii="Calibri" w:hAnsi="Calibri"/>
                <w:sz w:val="16"/>
              </w:rPr>
              <w:t>1209</w:t>
            </w:r>
          </w:p>
        </w:tc>
        <w:tc>
          <w:tcPr>
            <w:tcW w:w="2157" w:type="dxa"/>
            <w:tcBorders>
              <w:top w:val="single" w:sz="5" w:space="0" w:color="000000"/>
              <w:left w:val="single" w:sz="5" w:space="0" w:color="000000"/>
              <w:bottom w:val="single" w:sz="5" w:space="0" w:color="000000"/>
              <w:right w:val="single" w:sz="5" w:space="0" w:color="000000"/>
            </w:tcBorders>
          </w:tcPr>
          <w:p w14:paraId="050F1691" w14:textId="77777777" w:rsidR="00E154CA" w:rsidRPr="00E154CA" w:rsidRDefault="00E154CA" w:rsidP="00E154CA">
            <w:pPr>
              <w:kinsoku w:val="0"/>
              <w:overflowPunct w:val="0"/>
              <w:autoSpaceDE w:val="0"/>
              <w:autoSpaceDN w:val="0"/>
              <w:adjustRightInd w:val="0"/>
              <w:spacing w:before="6" w:after="0" w:line="194" w:lineRule="exact"/>
              <w:jc w:val="center"/>
              <w:rPr>
                <w:rFonts w:ascii="Times New Roman" w:hAnsi="Times New Roman" w:cs="Times New Roman"/>
                <w:sz w:val="24"/>
                <w:szCs w:val="24"/>
              </w:rPr>
            </w:pPr>
            <w:r>
              <w:rPr>
                <w:rFonts w:ascii="Calibri" w:hAnsi="Calibri"/>
                <w:sz w:val="16"/>
              </w:rPr>
              <w:t>639</w:t>
            </w:r>
          </w:p>
        </w:tc>
      </w:tr>
      <w:tr w:rsidR="00E154CA" w:rsidRPr="00E154CA" w14:paraId="03872725" w14:textId="77777777" w:rsidTr="00E154CA">
        <w:trPr>
          <w:trHeight w:hRule="exact" w:val="212"/>
        </w:trPr>
        <w:tc>
          <w:tcPr>
            <w:tcW w:w="2369" w:type="dxa"/>
            <w:tcBorders>
              <w:top w:val="single" w:sz="5" w:space="0" w:color="000000"/>
              <w:left w:val="single" w:sz="5" w:space="0" w:color="000000"/>
              <w:bottom w:val="single" w:sz="5" w:space="0" w:color="000000"/>
              <w:right w:val="single" w:sz="5" w:space="0" w:color="000000"/>
            </w:tcBorders>
          </w:tcPr>
          <w:p w14:paraId="19804006" w14:textId="77777777" w:rsidR="00E154CA" w:rsidRPr="00E154CA" w:rsidRDefault="00E154CA" w:rsidP="00E154CA">
            <w:pPr>
              <w:kinsoku w:val="0"/>
              <w:overflowPunct w:val="0"/>
              <w:autoSpaceDE w:val="0"/>
              <w:autoSpaceDN w:val="0"/>
              <w:adjustRightInd w:val="0"/>
              <w:spacing w:before="6" w:after="0" w:line="194" w:lineRule="exact"/>
              <w:ind w:left="20"/>
              <w:rPr>
                <w:rFonts w:ascii="Times New Roman" w:hAnsi="Times New Roman" w:cs="Times New Roman"/>
                <w:sz w:val="24"/>
                <w:szCs w:val="24"/>
              </w:rPr>
            </w:pPr>
            <w:r>
              <w:rPr>
                <w:rFonts w:ascii="Calibri" w:hAnsi="Calibri"/>
                <w:sz w:val="16"/>
              </w:rPr>
              <w:t>ARNAS APARATUKOA</w:t>
            </w:r>
          </w:p>
        </w:tc>
        <w:tc>
          <w:tcPr>
            <w:tcW w:w="2740" w:type="dxa"/>
            <w:tcBorders>
              <w:top w:val="single" w:sz="5" w:space="0" w:color="000000"/>
              <w:left w:val="single" w:sz="5" w:space="0" w:color="000000"/>
              <w:bottom w:val="single" w:sz="5" w:space="0" w:color="000000"/>
              <w:right w:val="single" w:sz="5" w:space="0" w:color="000000"/>
            </w:tcBorders>
          </w:tcPr>
          <w:p w14:paraId="6824DF93" w14:textId="77777777" w:rsidR="00E154CA" w:rsidRPr="00E154CA" w:rsidRDefault="00E154CA" w:rsidP="00E154CA">
            <w:pPr>
              <w:kinsoku w:val="0"/>
              <w:overflowPunct w:val="0"/>
              <w:autoSpaceDE w:val="0"/>
              <w:autoSpaceDN w:val="0"/>
              <w:adjustRightInd w:val="0"/>
              <w:spacing w:before="6" w:after="0" w:line="194" w:lineRule="exact"/>
              <w:ind w:right="1"/>
              <w:jc w:val="center"/>
              <w:rPr>
                <w:rFonts w:ascii="Times New Roman" w:hAnsi="Times New Roman" w:cs="Times New Roman"/>
                <w:sz w:val="24"/>
                <w:szCs w:val="24"/>
              </w:rPr>
            </w:pPr>
            <w:r>
              <w:rPr>
                <w:rFonts w:ascii="Calibri" w:hAnsi="Calibri"/>
                <w:sz w:val="16"/>
              </w:rPr>
              <w:t>5</w:t>
            </w:r>
          </w:p>
        </w:tc>
        <w:tc>
          <w:tcPr>
            <w:tcW w:w="2157" w:type="dxa"/>
            <w:tcBorders>
              <w:top w:val="single" w:sz="5" w:space="0" w:color="000000"/>
              <w:left w:val="single" w:sz="5" w:space="0" w:color="000000"/>
              <w:bottom w:val="single" w:sz="5" w:space="0" w:color="000000"/>
              <w:right w:val="single" w:sz="5" w:space="0" w:color="000000"/>
            </w:tcBorders>
          </w:tcPr>
          <w:p w14:paraId="69A1E97C" w14:textId="77777777" w:rsidR="00E154CA" w:rsidRPr="00E154CA" w:rsidRDefault="00E154CA" w:rsidP="00E154CA">
            <w:pPr>
              <w:kinsoku w:val="0"/>
              <w:overflowPunct w:val="0"/>
              <w:autoSpaceDE w:val="0"/>
              <w:autoSpaceDN w:val="0"/>
              <w:adjustRightInd w:val="0"/>
              <w:spacing w:before="6" w:after="0" w:line="194" w:lineRule="exact"/>
              <w:ind w:left="7"/>
              <w:jc w:val="center"/>
              <w:rPr>
                <w:rFonts w:ascii="Times New Roman" w:hAnsi="Times New Roman" w:cs="Times New Roman"/>
                <w:sz w:val="24"/>
                <w:szCs w:val="24"/>
              </w:rPr>
            </w:pPr>
            <w:r>
              <w:rPr>
                <w:rFonts w:ascii="Calibri" w:hAnsi="Calibri"/>
                <w:sz w:val="16"/>
              </w:rPr>
              <w:t>4</w:t>
            </w:r>
          </w:p>
        </w:tc>
      </w:tr>
      <w:tr w:rsidR="00E154CA" w:rsidRPr="00E154CA" w14:paraId="37F9D599" w14:textId="77777777" w:rsidTr="00E154CA">
        <w:trPr>
          <w:trHeight w:hRule="exact" w:val="212"/>
        </w:trPr>
        <w:tc>
          <w:tcPr>
            <w:tcW w:w="2369" w:type="dxa"/>
            <w:tcBorders>
              <w:top w:val="single" w:sz="5" w:space="0" w:color="000000"/>
              <w:left w:val="single" w:sz="5" w:space="0" w:color="000000"/>
              <w:bottom w:val="single" w:sz="5" w:space="0" w:color="000000"/>
              <w:right w:val="single" w:sz="5" w:space="0" w:color="000000"/>
            </w:tcBorders>
          </w:tcPr>
          <w:p w14:paraId="72F57BE6" w14:textId="77777777" w:rsidR="00E154CA" w:rsidRPr="00E154CA" w:rsidRDefault="00E154CA" w:rsidP="00E154CA">
            <w:pPr>
              <w:kinsoku w:val="0"/>
              <w:overflowPunct w:val="0"/>
              <w:autoSpaceDE w:val="0"/>
              <w:autoSpaceDN w:val="0"/>
              <w:adjustRightInd w:val="0"/>
              <w:spacing w:before="6" w:after="0" w:line="194" w:lineRule="exact"/>
              <w:ind w:left="20"/>
              <w:rPr>
                <w:rFonts w:ascii="Times New Roman" w:hAnsi="Times New Roman" w:cs="Times New Roman"/>
                <w:sz w:val="24"/>
                <w:szCs w:val="24"/>
              </w:rPr>
            </w:pPr>
            <w:r>
              <w:rPr>
                <w:rFonts w:ascii="Calibri" w:hAnsi="Calibri"/>
                <w:sz w:val="16"/>
              </w:rPr>
              <w:t>AHOTS SINTOMAK</w:t>
            </w:r>
          </w:p>
        </w:tc>
        <w:tc>
          <w:tcPr>
            <w:tcW w:w="2740" w:type="dxa"/>
            <w:tcBorders>
              <w:top w:val="single" w:sz="5" w:space="0" w:color="000000"/>
              <w:left w:val="single" w:sz="5" w:space="0" w:color="000000"/>
              <w:bottom w:val="single" w:sz="5" w:space="0" w:color="000000"/>
              <w:right w:val="single" w:sz="5" w:space="0" w:color="000000"/>
            </w:tcBorders>
          </w:tcPr>
          <w:p w14:paraId="4E9F0F01" w14:textId="77777777" w:rsidR="00E154CA" w:rsidRPr="00E154CA" w:rsidRDefault="00E154CA" w:rsidP="00E154CA">
            <w:pPr>
              <w:kinsoku w:val="0"/>
              <w:overflowPunct w:val="0"/>
              <w:autoSpaceDE w:val="0"/>
              <w:autoSpaceDN w:val="0"/>
              <w:adjustRightInd w:val="0"/>
              <w:spacing w:before="6" w:after="0" w:line="194" w:lineRule="exact"/>
              <w:jc w:val="center"/>
              <w:rPr>
                <w:rFonts w:ascii="Times New Roman" w:hAnsi="Times New Roman" w:cs="Times New Roman"/>
                <w:sz w:val="24"/>
                <w:szCs w:val="24"/>
              </w:rPr>
            </w:pPr>
            <w:r>
              <w:rPr>
                <w:rFonts w:ascii="Calibri" w:hAnsi="Calibri"/>
                <w:sz w:val="16"/>
              </w:rPr>
              <w:t>29</w:t>
            </w:r>
          </w:p>
        </w:tc>
        <w:tc>
          <w:tcPr>
            <w:tcW w:w="2157" w:type="dxa"/>
            <w:tcBorders>
              <w:top w:val="single" w:sz="5" w:space="0" w:color="000000"/>
              <w:left w:val="single" w:sz="5" w:space="0" w:color="000000"/>
              <w:bottom w:val="single" w:sz="5" w:space="0" w:color="000000"/>
              <w:right w:val="single" w:sz="5" w:space="0" w:color="000000"/>
            </w:tcBorders>
          </w:tcPr>
          <w:p w14:paraId="470F7B4B" w14:textId="77777777" w:rsidR="00E154CA" w:rsidRPr="00E154CA" w:rsidRDefault="00E154CA" w:rsidP="00E154CA">
            <w:pPr>
              <w:kinsoku w:val="0"/>
              <w:overflowPunct w:val="0"/>
              <w:autoSpaceDE w:val="0"/>
              <w:autoSpaceDN w:val="0"/>
              <w:adjustRightInd w:val="0"/>
              <w:spacing w:before="6" w:after="0" w:line="194" w:lineRule="exact"/>
              <w:ind w:right="8"/>
              <w:jc w:val="center"/>
              <w:rPr>
                <w:rFonts w:ascii="Times New Roman" w:hAnsi="Times New Roman" w:cs="Times New Roman"/>
                <w:sz w:val="24"/>
                <w:szCs w:val="24"/>
              </w:rPr>
            </w:pPr>
            <w:r>
              <w:rPr>
                <w:rFonts w:ascii="Calibri" w:hAnsi="Calibri"/>
                <w:sz w:val="16"/>
              </w:rPr>
              <w:t>19</w:t>
            </w:r>
          </w:p>
        </w:tc>
      </w:tr>
      <w:tr w:rsidR="00E154CA" w:rsidRPr="00E154CA" w14:paraId="0BC0060B" w14:textId="77777777" w:rsidTr="00E154CA">
        <w:trPr>
          <w:trHeight w:hRule="exact" w:val="212"/>
        </w:trPr>
        <w:tc>
          <w:tcPr>
            <w:tcW w:w="2369" w:type="dxa"/>
            <w:tcBorders>
              <w:top w:val="single" w:sz="5" w:space="0" w:color="000000"/>
              <w:left w:val="single" w:sz="5" w:space="0" w:color="000000"/>
              <w:bottom w:val="single" w:sz="5" w:space="0" w:color="000000"/>
              <w:right w:val="single" w:sz="5" w:space="0" w:color="000000"/>
            </w:tcBorders>
            <w:shd w:val="clear" w:color="auto" w:fill="BEBEBE"/>
          </w:tcPr>
          <w:p w14:paraId="068410E6" w14:textId="77777777" w:rsidR="00E154CA" w:rsidRPr="00E154CA" w:rsidRDefault="00E154CA" w:rsidP="00E154CA">
            <w:pPr>
              <w:kinsoku w:val="0"/>
              <w:overflowPunct w:val="0"/>
              <w:autoSpaceDE w:val="0"/>
              <w:autoSpaceDN w:val="0"/>
              <w:adjustRightInd w:val="0"/>
              <w:spacing w:before="6" w:after="0" w:line="194" w:lineRule="exact"/>
              <w:ind w:left="20"/>
              <w:rPr>
                <w:rFonts w:ascii="Times New Roman" w:hAnsi="Times New Roman" w:cs="Times New Roman"/>
                <w:sz w:val="24"/>
                <w:szCs w:val="24"/>
              </w:rPr>
            </w:pPr>
            <w:r>
              <w:rPr>
                <w:rFonts w:ascii="Calibri" w:hAnsi="Calibri"/>
                <w:b/>
                <w:sz w:val="16"/>
              </w:rPr>
              <w:t>GUZTIRA</w:t>
            </w:r>
          </w:p>
        </w:tc>
        <w:tc>
          <w:tcPr>
            <w:tcW w:w="2740" w:type="dxa"/>
            <w:tcBorders>
              <w:top w:val="single" w:sz="5" w:space="0" w:color="000000"/>
              <w:left w:val="single" w:sz="5" w:space="0" w:color="000000"/>
              <w:bottom w:val="single" w:sz="5" w:space="0" w:color="000000"/>
              <w:right w:val="single" w:sz="5" w:space="0" w:color="000000"/>
            </w:tcBorders>
            <w:shd w:val="clear" w:color="auto" w:fill="BEBEBE"/>
          </w:tcPr>
          <w:p w14:paraId="1388F184" w14:textId="77777777" w:rsidR="00E154CA" w:rsidRPr="00E154CA" w:rsidRDefault="00E154CA" w:rsidP="00E154CA">
            <w:pPr>
              <w:kinsoku w:val="0"/>
              <w:overflowPunct w:val="0"/>
              <w:autoSpaceDE w:val="0"/>
              <w:autoSpaceDN w:val="0"/>
              <w:adjustRightInd w:val="0"/>
              <w:spacing w:before="6" w:after="0" w:line="194" w:lineRule="exact"/>
              <w:jc w:val="center"/>
              <w:rPr>
                <w:rFonts w:ascii="Times New Roman" w:hAnsi="Times New Roman" w:cs="Times New Roman"/>
                <w:sz w:val="24"/>
                <w:szCs w:val="24"/>
              </w:rPr>
            </w:pPr>
            <w:r>
              <w:rPr>
                <w:rFonts w:ascii="Calibri" w:hAnsi="Calibri"/>
                <w:b/>
                <w:sz w:val="16"/>
              </w:rPr>
              <w:t>1301</w:t>
            </w:r>
          </w:p>
        </w:tc>
        <w:tc>
          <w:tcPr>
            <w:tcW w:w="2157" w:type="dxa"/>
            <w:tcBorders>
              <w:top w:val="single" w:sz="5" w:space="0" w:color="000000"/>
              <w:left w:val="single" w:sz="5" w:space="0" w:color="000000"/>
              <w:bottom w:val="single" w:sz="5" w:space="0" w:color="000000"/>
              <w:right w:val="single" w:sz="5" w:space="0" w:color="000000"/>
            </w:tcBorders>
            <w:shd w:val="clear" w:color="auto" w:fill="BEBEBE"/>
          </w:tcPr>
          <w:p w14:paraId="07A62402" w14:textId="77777777" w:rsidR="00E154CA" w:rsidRPr="00E154CA" w:rsidRDefault="00E154CA" w:rsidP="00E154CA">
            <w:pPr>
              <w:kinsoku w:val="0"/>
              <w:overflowPunct w:val="0"/>
              <w:autoSpaceDE w:val="0"/>
              <w:autoSpaceDN w:val="0"/>
              <w:adjustRightInd w:val="0"/>
              <w:spacing w:before="6" w:after="0" w:line="194" w:lineRule="exact"/>
              <w:jc w:val="center"/>
              <w:rPr>
                <w:rFonts w:ascii="Times New Roman" w:hAnsi="Times New Roman" w:cs="Times New Roman"/>
                <w:sz w:val="24"/>
                <w:szCs w:val="24"/>
              </w:rPr>
            </w:pPr>
            <w:r>
              <w:rPr>
                <w:rFonts w:ascii="Calibri" w:hAnsi="Calibri"/>
                <w:b/>
                <w:sz w:val="16"/>
              </w:rPr>
              <w:t>706</w:t>
            </w:r>
          </w:p>
        </w:tc>
      </w:tr>
      <w:bookmarkEnd w:id="0"/>
    </w:tbl>
    <w:p w14:paraId="1BECBB34" w14:textId="10B6AD32" w:rsidR="00E154CA" w:rsidRPr="00E154CA" w:rsidRDefault="00E154CA" w:rsidP="00E154CA">
      <w:pPr>
        <w:spacing w:after="120" w:line="276" w:lineRule="auto"/>
        <w:jc w:val="both"/>
        <w:rPr>
          <w:rFonts w:cstheme="minorHAnsi"/>
        </w:rPr>
      </w:pPr>
    </w:p>
    <w:p w14:paraId="4B1F01DF" w14:textId="6DB71B09" w:rsidR="00E154CA" w:rsidRPr="00E154CA" w:rsidRDefault="00E154CA" w:rsidP="00E154CA">
      <w:pPr>
        <w:autoSpaceDE w:val="0"/>
        <w:autoSpaceDN w:val="0"/>
        <w:adjustRightInd w:val="0"/>
        <w:spacing w:after="120" w:line="276" w:lineRule="auto"/>
        <w:jc w:val="both"/>
        <w:rPr>
          <w:rFonts w:cstheme="minorHAnsi"/>
        </w:rPr>
      </w:pPr>
      <w:r>
        <w:t>Gaixotasun profesionaleko susmotzat jotako kasu horietatik, osasun arazoengatik mutualitatera joan ez zirenak mutualitateetara bideratu ziren (aldez aurretik langileei jakinarazten zaie sorospen bolantea eskatu behar diotela enpresari mutualitatera joateko). Mutualitateek honela erantzun dute:</w:t>
      </w:r>
    </w:p>
    <w:p w14:paraId="37D00244" w14:textId="6CEAE9C3" w:rsidR="00E154CA" w:rsidRDefault="00E154CA" w:rsidP="00E154CA">
      <w:pPr>
        <w:kinsoku w:val="0"/>
        <w:overflowPunct w:val="0"/>
        <w:autoSpaceDE w:val="0"/>
        <w:autoSpaceDN w:val="0"/>
        <w:adjustRightInd w:val="0"/>
        <w:spacing w:before="11" w:after="120" w:line="276" w:lineRule="auto"/>
        <w:jc w:val="both"/>
        <w:rPr>
          <w:rFonts w:cstheme="minorHAnsi"/>
        </w:rPr>
      </w:pPr>
    </w:p>
    <w:p w14:paraId="37887A65" w14:textId="77777777" w:rsidR="00E154CA" w:rsidRDefault="00E154CA" w:rsidP="00E154CA">
      <w:pPr>
        <w:pStyle w:val="Textoindependiente"/>
        <w:kinsoku w:val="0"/>
        <w:overflowPunct w:val="0"/>
        <w:spacing w:before="7"/>
        <w:ind w:left="0"/>
        <w:rPr>
          <w:rFonts w:ascii="Times New Roman" w:hAnsi="Times New Roman" w:cs="Times New Roman"/>
          <w:b w:val="0"/>
          <w:bCs w:val="0"/>
          <w:sz w:val="4"/>
          <w:szCs w:val="4"/>
        </w:rPr>
      </w:pPr>
    </w:p>
    <w:tbl>
      <w:tblPr>
        <w:tblW w:w="0" w:type="auto"/>
        <w:tblInd w:w="500" w:type="dxa"/>
        <w:tblLayout w:type="fixed"/>
        <w:tblCellMar>
          <w:left w:w="0" w:type="dxa"/>
          <w:right w:w="0" w:type="dxa"/>
        </w:tblCellMar>
        <w:tblLook w:val="0000" w:firstRow="0" w:lastRow="0" w:firstColumn="0" w:lastColumn="0" w:noHBand="0" w:noVBand="0"/>
      </w:tblPr>
      <w:tblGrid>
        <w:gridCol w:w="2801"/>
        <w:gridCol w:w="1027"/>
        <w:gridCol w:w="1388"/>
      </w:tblGrid>
      <w:tr w:rsidR="00E154CA" w14:paraId="068BB0D0" w14:textId="77777777">
        <w:trPr>
          <w:trHeight w:hRule="exact" w:val="333"/>
        </w:trPr>
        <w:tc>
          <w:tcPr>
            <w:tcW w:w="2801" w:type="dxa"/>
            <w:tcBorders>
              <w:top w:val="single" w:sz="6" w:space="0" w:color="000000"/>
              <w:left w:val="single" w:sz="6" w:space="0" w:color="000000"/>
              <w:bottom w:val="single" w:sz="6" w:space="0" w:color="000000"/>
              <w:right w:val="single" w:sz="6" w:space="0" w:color="000000"/>
            </w:tcBorders>
            <w:shd w:val="clear" w:color="auto" w:fill="BEBEBE"/>
          </w:tcPr>
          <w:p w14:paraId="09CC4D43" w14:textId="77777777" w:rsidR="00E154CA" w:rsidRDefault="00E154CA">
            <w:pPr>
              <w:pStyle w:val="TableParagraph"/>
              <w:kinsoku w:val="0"/>
              <w:overflowPunct w:val="0"/>
              <w:spacing w:before="87" w:line="231" w:lineRule="exact"/>
              <w:ind w:left="24"/>
            </w:pPr>
            <w:bookmarkStart w:id="1" w:name="_Hlk213670929"/>
            <w:r>
              <w:rPr>
                <w:rFonts w:ascii="Calibri" w:hAnsi="Calibri"/>
                <w:sz w:val="19"/>
              </w:rPr>
              <w:t>MUTUALITATEEN ERANTZUNA</w:t>
            </w:r>
          </w:p>
        </w:tc>
        <w:tc>
          <w:tcPr>
            <w:tcW w:w="1027" w:type="dxa"/>
            <w:tcBorders>
              <w:top w:val="single" w:sz="6" w:space="0" w:color="000000"/>
              <w:left w:val="single" w:sz="6" w:space="0" w:color="000000"/>
              <w:bottom w:val="single" w:sz="6" w:space="0" w:color="000000"/>
              <w:right w:val="single" w:sz="6" w:space="0" w:color="000000"/>
            </w:tcBorders>
            <w:shd w:val="clear" w:color="auto" w:fill="BEBEBE"/>
          </w:tcPr>
          <w:p w14:paraId="7DBCAB46" w14:textId="77777777" w:rsidR="00E154CA" w:rsidRDefault="00E154CA">
            <w:pPr>
              <w:pStyle w:val="TableParagraph"/>
              <w:kinsoku w:val="0"/>
              <w:overflowPunct w:val="0"/>
              <w:spacing w:before="87" w:line="231" w:lineRule="exact"/>
              <w:ind w:left="191"/>
            </w:pPr>
            <w:r>
              <w:rPr>
                <w:rFonts w:ascii="Calibri" w:hAnsi="Calibri"/>
                <w:sz w:val="19"/>
              </w:rPr>
              <w:t>2024 osoa</w:t>
            </w:r>
          </w:p>
        </w:tc>
        <w:tc>
          <w:tcPr>
            <w:tcW w:w="1388" w:type="dxa"/>
            <w:tcBorders>
              <w:top w:val="single" w:sz="6" w:space="0" w:color="000000"/>
              <w:left w:val="single" w:sz="6" w:space="0" w:color="000000"/>
              <w:bottom w:val="single" w:sz="6" w:space="0" w:color="000000"/>
              <w:right w:val="single" w:sz="6" w:space="0" w:color="000000"/>
            </w:tcBorders>
            <w:shd w:val="clear" w:color="auto" w:fill="BEBEBE"/>
          </w:tcPr>
          <w:p w14:paraId="4A039583" w14:textId="77777777" w:rsidR="00E154CA" w:rsidRDefault="00E154CA">
            <w:pPr>
              <w:pStyle w:val="TableParagraph"/>
              <w:kinsoku w:val="0"/>
              <w:overflowPunct w:val="0"/>
              <w:spacing w:before="87" w:line="231" w:lineRule="exact"/>
              <w:ind w:left="24"/>
            </w:pPr>
            <w:r>
              <w:rPr>
                <w:rFonts w:ascii="Calibri" w:hAnsi="Calibri"/>
                <w:sz w:val="19"/>
              </w:rPr>
              <w:t>2025/06/30era arte</w:t>
            </w:r>
          </w:p>
        </w:tc>
      </w:tr>
      <w:tr w:rsidR="00E154CA" w14:paraId="43E41ADF" w14:textId="77777777">
        <w:trPr>
          <w:trHeight w:hRule="exact" w:val="333"/>
        </w:trPr>
        <w:tc>
          <w:tcPr>
            <w:tcW w:w="2801" w:type="dxa"/>
            <w:tcBorders>
              <w:top w:val="single" w:sz="6" w:space="0" w:color="000000"/>
              <w:left w:val="single" w:sz="6" w:space="0" w:color="000000"/>
              <w:bottom w:val="single" w:sz="6" w:space="0" w:color="000000"/>
              <w:right w:val="single" w:sz="6" w:space="0" w:color="000000"/>
            </w:tcBorders>
          </w:tcPr>
          <w:p w14:paraId="380AD675" w14:textId="77777777" w:rsidR="00E154CA" w:rsidRDefault="00E154CA">
            <w:pPr>
              <w:pStyle w:val="TableParagraph"/>
              <w:kinsoku w:val="0"/>
              <w:overflowPunct w:val="0"/>
              <w:spacing w:before="87" w:line="231" w:lineRule="exact"/>
              <w:ind w:left="24"/>
            </w:pPr>
            <w:r>
              <w:rPr>
                <w:rFonts w:ascii="Calibri" w:hAnsi="Calibri"/>
                <w:sz w:val="19"/>
              </w:rPr>
              <w:t>MUTUALITATEEK ONARTUTAKO KASUAK</w:t>
            </w:r>
          </w:p>
        </w:tc>
        <w:tc>
          <w:tcPr>
            <w:tcW w:w="1027" w:type="dxa"/>
            <w:tcBorders>
              <w:top w:val="single" w:sz="6" w:space="0" w:color="000000"/>
              <w:left w:val="single" w:sz="6" w:space="0" w:color="000000"/>
              <w:bottom w:val="single" w:sz="6" w:space="0" w:color="000000"/>
              <w:right w:val="single" w:sz="6" w:space="0" w:color="000000"/>
            </w:tcBorders>
          </w:tcPr>
          <w:p w14:paraId="12D21781" w14:textId="77777777" w:rsidR="00E154CA" w:rsidRDefault="00E154CA">
            <w:pPr>
              <w:pStyle w:val="TableParagraph"/>
              <w:kinsoku w:val="0"/>
              <w:overflowPunct w:val="0"/>
              <w:spacing w:before="87" w:line="231" w:lineRule="exact"/>
              <w:ind w:left="50"/>
            </w:pPr>
            <w:r>
              <w:rPr>
                <w:rFonts w:ascii="Calibri" w:hAnsi="Calibri"/>
                <w:sz w:val="19"/>
              </w:rPr>
              <w:t>143 (% 21,1)</w:t>
            </w:r>
          </w:p>
        </w:tc>
        <w:tc>
          <w:tcPr>
            <w:tcW w:w="1388" w:type="dxa"/>
            <w:tcBorders>
              <w:top w:val="single" w:sz="6" w:space="0" w:color="000000"/>
              <w:left w:val="single" w:sz="6" w:space="0" w:color="000000"/>
              <w:bottom w:val="single" w:sz="6" w:space="0" w:color="000000"/>
              <w:right w:val="single" w:sz="6" w:space="0" w:color="000000"/>
            </w:tcBorders>
          </w:tcPr>
          <w:p w14:paraId="20DC70E7" w14:textId="77777777" w:rsidR="00E154CA" w:rsidRDefault="00E154CA">
            <w:pPr>
              <w:pStyle w:val="TableParagraph"/>
              <w:kinsoku w:val="0"/>
              <w:overflowPunct w:val="0"/>
              <w:spacing w:before="87" w:line="231" w:lineRule="exact"/>
              <w:ind w:left="281"/>
            </w:pPr>
            <w:r>
              <w:rPr>
                <w:rFonts w:ascii="Calibri" w:hAnsi="Calibri"/>
                <w:sz w:val="19"/>
              </w:rPr>
              <w:t>48 (% 17,1)</w:t>
            </w:r>
          </w:p>
        </w:tc>
      </w:tr>
      <w:tr w:rsidR="00E154CA" w14:paraId="6EC71E9C" w14:textId="77777777">
        <w:trPr>
          <w:trHeight w:hRule="exact" w:val="333"/>
        </w:trPr>
        <w:tc>
          <w:tcPr>
            <w:tcW w:w="2801" w:type="dxa"/>
            <w:tcBorders>
              <w:top w:val="single" w:sz="6" w:space="0" w:color="000000"/>
              <w:left w:val="single" w:sz="6" w:space="0" w:color="000000"/>
              <w:bottom w:val="single" w:sz="6" w:space="0" w:color="000000"/>
              <w:right w:val="single" w:sz="6" w:space="0" w:color="000000"/>
            </w:tcBorders>
          </w:tcPr>
          <w:p w14:paraId="20E7A565" w14:textId="77777777" w:rsidR="00E154CA" w:rsidRDefault="00E154CA">
            <w:pPr>
              <w:pStyle w:val="TableParagraph"/>
              <w:kinsoku w:val="0"/>
              <w:overflowPunct w:val="0"/>
              <w:spacing w:before="87" w:line="231" w:lineRule="exact"/>
              <w:ind w:left="24"/>
            </w:pPr>
            <w:r>
              <w:rPr>
                <w:rFonts w:ascii="Calibri" w:hAnsi="Calibri"/>
                <w:sz w:val="19"/>
              </w:rPr>
              <w:t>MUTUALITATEEK BAZTERTUTAKO KASUAK</w:t>
            </w:r>
          </w:p>
        </w:tc>
        <w:tc>
          <w:tcPr>
            <w:tcW w:w="1027" w:type="dxa"/>
            <w:tcBorders>
              <w:top w:val="single" w:sz="6" w:space="0" w:color="000000"/>
              <w:left w:val="single" w:sz="6" w:space="0" w:color="000000"/>
              <w:bottom w:val="single" w:sz="6" w:space="0" w:color="000000"/>
              <w:right w:val="single" w:sz="6" w:space="0" w:color="000000"/>
            </w:tcBorders>
          </w:tcPr>
          <w:p w14:paraId="71C0D8FF" w14:textId="77777777" w:rsidR="00E154CA" w:rsidRDefault="00E154CA">
            <w:pPr>
              <w:pStyle w:val="TableParagraph"/>
              <w:kinsoku w:val="0"/>
              <w:overflowPunct w:val="0"/>
              <w:spacing w:before="87" w:line="231" w:lineRule="exact"/>
              <w:ind w:left="63"/>
            </w:pPr>
            <w:r>
              <w:rPr>
                <w:rFonts w:ascii="Calibri" w:hAnsi="Calibri"/>
                <w:sz w:val="19"/>
              </w:rPr>
              <w:t>216 (% 31,8)</w:t>
            </w:r>
          </w:p>
        </w:tc>
        <w:tc>
          <w:tcPr>
            <w:tcW w:w="1388" w:type="dxa"/>
            <w:tcBorders>
              <w:top w:val="single" w:sz="6" w:space="0" w:color="000000"/>
              <w:left w:val="single" w:sz="6" w:space="0" w:color="000000"/>
              <w:bottom w:val="single" w:sz="6" w:space="0" w:color="000000"/>
              <w:right w:val="single" w:sz="6" w:space="0" w:color="000000"/>
            </w:tcBorders>
          </w:tcPr>
          <w:p w14:paraId="0E51AF84" w14:textId="77777777" w:rsidR="00E154CA" w:rsidRDefault="00E154CA">
            <w:pPr>
              <w:pStyle w:val="TableParagraph"/>
              <w:kinsoku w:val="0"/>
              <w:overflowPunct w:val="0"/>
              <w:spacing w:before="87" w:line="231" w:lineRule="exact"/>
              <w:ind w:left="242"/>
            </w:pPr>
            <w:r>
              <w:rPr>
                <w:rFonts w:ascii="Calibri" w:hAnsi="Calibri"/>
                <w:sz w:val="19"/>
              </w:rPr>
              <w:t>102 (% 36,4)</w:t>
            </w:r>
          </w:p>
        </w:tc>
      </w:tr>
      <w:tr w:rsidR="00E154CA" w14:paraId="70A7E3FC" w14:textId="77777777">
        <w:trPr>
          <w:trHeight w:hRule="exact" w:val="333"/>
        </w:trPr>
        <w:tc>
          <w:tcPr>
            <w:tcW w:w="2801" w:type="dxa"/>
            <w:tcBorders>
              <w:top w:val="single" w:sz="6" w:space="0" w:color="000000"/>
              <w:left w:val="single" w:sz="6" w:space="0" w:color="000000"/>
              <w:bottom w:val="single" w:sz="6" w:space="0" w:color="000000"/>
              <w:right w:val="single" w:sz="6" w:space="0" w:color="000000"/>
            </w:tcBorders>
          </w:tcPr>
          <w:p w14:paraId="67EE47B2" w14:textId="77777777" w:rsidR="00E154CA" w:rsidRDefault="00E154CA">
            <w:pPr>
              <w:pStyle w:val="TableParagraph"/>
              <w:kinsoku w:val="0"/>
              <w:overflowPunct w:val="0"/>
              <w:spacing w:before="87" w:line="231" w:lineRule="exact"/>
              <w:ind w:left="24"/>
            </w:pPr>
            <w:r>
              <w:rPr>
                <w:rFonts w:ascii="Calibri" w:hAnsi="Calibri"/>
                <w:sz w:val="19"/>
              </w:rPr>
              <w:t>MUTUALITATEAK EZ DU ERANTZUTEN</w:t>
            </w:r>
          </w:p>
        </w:tc>
        <w:tc>
          <w:tcPr>
            <w:tcW w:w="1027" w:type="dxa"/>
            <w:tcBorders>
              <w:top w:val="single" w:sz="6" w:space="0" w:color="000000"/>
              <w:left w:val="single" w:sz="6" w:space="0" w:color="000000"/>
              <w:bottom w:val="single" w:sz="6" w:space="0" w:color="000000"/>
              <w:right w:val="single" w:sz="6" w:space="0" w:color="000000"/>
            </w:tcBorders>
          </w:tcPr>
          <w:p w14:paraId="3B416FC6" w14:textId="77777777" w:rsidR="00E154CA" w:rsidRDefault="00E154CA">
            <w:pPr>
              <w:pStyle w:val="TableParagraph"/>
              <w:kinsoku w:val="0"/>
              <w:overflowPunct w:val="0"/>
              <w:spacing w:before="87" w:line="231" w:lineRule="exact"/>
              <w:ind w:left="63"/>
            </w:pPr>
            <w:r>
              <w:rPr>
                <w:rFonts w:ascii="Calibri" w:hAnsi="Calibri"/>
                <w:sz w:val="19"/>
              </w:rPr>
              <w:t>225 (% 33,1)</w:t>
            </w:r>
          </w:p>
        </w:tc>
        <w:tc>
          <w:tcPr>
            <w:tcW w:w="1388" w:type="dxa"/>
            <w:tcBorders>
              <w:top w:val="single" w:sz="6" w:space="0" w:color="000000"/>
              <w:left w:val="single" w:sz="6" w:space="0" w:color="000000"/>
              <w:bottom w:val="single" w:sz="6" w:space="0" w:color="000000"/>
              <w:right w:val="single" w:sz="6" w:space="0" w:color="000000"/>
            </w:tcBorders>
          </w:tcPr>
          <w:p w14:paraId="5869DF49" w14:textId="77777777" w:rsidR="00E154CA" w:rsidRDefault="00E154CA">
            <w:pPr>
              <w:pStyle w:val="TableParagraph"/>
              <w:kinsoku w:val="0"/>
              <w:overflowPunct w:val="0"/>
              <w:spacing w:before="87" w:line="231" w:lineRule="exact"/>
              <w:ind w:left="281"/>
            </w:pPr>
            <w:r>
              <w:rPr>
                <w:rFonts w:ascii="Calibri" w:hAnsi="Calibri"/>
                <w:sz w:val="19"/>
              </w:rPr>
              <w:t>73 (% 26,1)</w:t>
            </w:r>
          </w:p>
        </w:tc>
      </w:tr>
      <w:tr w:rsidR="00E154CA" w14:paraId="6833EC1D" w14:textId="77777777">
        <w:trPr>
          <w:trHeight w:hRule="exact" w:val="333"/>
        </w:trPr>
        <w:tc>
          <w:tcPr>
            <w:tcW w:w="2801" w:type="dxa"/>
            <w:tcBorders>
              <w:top w:val="single" w:sz="6" w:space="0" w:color="000000"/>
              <w:left w:val="single" w:sz="6" w:space="0" w:color="000000"/>
              <w:bottom w:val="single" w:sz="6" w:space="0" w:color="000000"/>
              <w:right w:val="single" w:sz="6" w:space="0" w:color="000000"/>
            </w:tcBorders>
          </w:tcPr>
          <w:p w14:paraId="73E22D09" w14:textId="77777777" w:rsidR="00E154CA" w:rsidRDefault="00E154CA">
            <w:pPr>
              <w:pStyle w:val="TableParagraph"/>
              <w:kinsoku w:val="0"/>
              <w:overflowPunct w:val="0"/>
              <w:spacing w:before="87" w:line="231" w:lineRule="exact"/>
              <w:ind w:left="24"/>
            </w:pPr>
            <w:r>
              <w:rPr>
                <w:rFonts w:ascii="Calibri" w:hAnsi="Calibri"/>
                <w:sz w:val="19"/>
              </w:rPr>
              <w:t>BESTE BATZUK</w:t>
            </w:r>
          </w:p>
        </w:tc>
        <w:tc>
          <w:tcPr>
            <w:tcW w:w="1027" w:type="dxa"/>
            <w:tcBorders>
              <w:top w:val="single" w:sz="6" w:space="0" w:color="000000"/>
              <w:left w:val="single" w:sz="6" w:space="0" w:color="000000"/>
              <w:bottom w:val="single" w:sz="6" w:space="0" w:color="000000"/>
              <w:right w:val="single" w:sz="6" w:space="0" w:color="000000"/>
            </w:tcBorders>
          </w:tcPr>
          <w:p w14:paraId="46E6A117" w14:textId="01C43E58" w:rsidR="00E154CA" w:rsidRPr="00946A79" w:rsidRDefault="00946A79" w:rsidP="00946A79">
            <w:pPr>
              <w:pStyle w:val="TableParagraph"/>
              <w:kinsoku w:val="0"/>
              <w:overflowPunct w:val="0"/>
              <w:spacing w:before="87" w:line="231" w:lineRule="exact"/>
              <w:rPr>
                <w:rFonts w:ascii="Calibri" w:hAnsi="Calibri"/>
                <w:sz w:val="19"/>
              </w:rPr>
            </w:pPr>
            <w:r>
              <w:rPr>
                <w:rFonts w:ascii="Calibri" w:hAnsi="Calibri"/>
                <w:sz w:val="19"/>
              </w:rPr>
              <w:t xml:space="preserve">  </w:t>
            </w:r>
            <w:r w:rsidR="00E154CA">
              <w:rPr>
                <w:rFonts w:ascii="Calibri" w:hAnsi="Calibri"/>
                <w:sz w:val="19"/>
              </w:rPr>
              <w:t>95 (% 14)</w:t>
            </w:r>
          </w:p>
        </w:tc>
        <w:tc>
          <w:tcPr>
            <w:tcW w:w="1388" w:type="dxa"/>
            <w:tcBorders>
              <w:top w:val="single" w:sz="6" w:space="0" w:color="000000"/>
              <w:left w:val="single" w:sz="6" w:space="0" w:color="000000"/>
              <w:bottom w:val="single" w:sz="6" w:space="0" w:color="000000"/>
              <w:right w:val="single" w:sz="6" w:space="0" w:color="000000"/>
            </w:tcBorders>
          </w:tcPr>
          <w:p w14:paraId="18BEBBB6" w14:textId="77777777" w:rsidR="00E154CA" w:rsidRDefault="00E154CA">
            <w:pPr>
              <w:pStyle w:val="TableParagraph"/>
              <w:kinsoku w:val="0"/>
              <w:overflowPunct w:val="0"/>
              <w:spacing w:before="87" w:line="231" w:lineRule="exact"/>
              <w:ind w:left="281"/>
            </w:pPr>
            <w:r>
              <w:rPr>
                <w:rFonts w:ascii="Calibri" w:hAnsi="Calibri"/>
                <w:sz w:val="19"/>
              </w:rPr>
              <w:t>57 (% 20,4)</w:t>
            </w:r>
          </w:p>
        </w:tc>
      </w:tr>
      <w:tr w:rsidR="00E154CA" w14:paraId="6BD1E522" w14:textId="77777777">
        <w:trPr>
          <w:trHeight w:hRule="exact" w:val="333"/>
        </w:trPr>
        <w:tc>
          <w:tcPr>
            <w:tcW w:w="2801" w:type="dxa"/>
            <w:tcBorders>
              <w:top w:val="single" w:sz="6" w:space="0" w:color="000000"/>
              <w:left w:val="single" w:sz="6" w:space="0" w:color="000000"/>
              <w:bottom w:val="single" w:sz="6" w:space="0" w:color="000000"/>
              <w:right w:val="single" w:sz="6" w:space="0" w:color="000000"/>
            </w:tcBorders>
            <w:shd w:val="clear" w:color="auto" w:fill="BEBEBE"/>
          </w:tcPr>
          <w:p w14:paraId="2AF5FAD0" w14:textId="77777777" w:rsidR="00E154CA" w:rsidRDefault="00E154CA">
            <w:pPr>
              <w:pStyle w:val="TableParagraph"/>
              <w:kinsoku w:val="0"/>
              <w:overflowPunct w:val="0"/>
              <w:spacing w:before="87" w:line="231" w:lineRule="exact"/>
              <w:ind w:left="24"/>
            </w:pPr>
            <w:r>
              <w:rPr>
                <w:rFonts w:ascii="Calibri" w:hAnsi="Calibri"/>
                <w:sz w:val="19"/>
              </w:rPr>
              <w:t>Mutualitateetara deribatutako kasuen guztizkoa</w:t>
            </w:r>
          </w:p>
        </w:tc>
        <w:tc>
          <w:tcPr>
            <w:tcW w:w="1027" w:type="dxa"/>
            <w:tcBorders>
              <w:top w:val="single" w:sz="6" w:space="0" w:color="000000"/>
              <w:left w:val="single" w:sz="6" w:space="0" w:color="000000"/>
              <w:bottom w:val="single" w:sz="6" w:space="0" w:color="000000"/>
              <w:right w:val="single" w:sz="6" w:space="0" w:color="000000"/>
            </w:tcBorders>
            <w:shd w:val="clear" w:color="auto" w:fill="BEBEBE"/>
          </w:tcPr>
          <w:p w14:paraId="39A3D514" w14:textId="77777777" w:rsidR="00E154CA" w:rsidRDefault="00E154CA">
            <w:pPr>
              <w:pStyle w:val="TableParagraph"/>
              <w:kinsoku w:val="0"/>
              <w:overflowPunct w:val="0"/>
              <w:spacing w:before="87" w:line="231" w:lineRule="exact"/>
              <w:jc w:val="center"/>
            </w:pPr>
            <w:r>
              <w:rPr>
                <w:rFonts w:ascii="Calibri" w:hAnsi="Calibri"/>
                <w:sz w:val="19"/>
              </w:rPr>
              <w:t>679</w:t>
            </w:r>
          </w:p>
        </w:tc>
        <w:tc>
          <w:tcPr>
            <w:tcW w:w="1388" w:type="dxa"/>
            <w:tcBorders>
              <w:top w:val="single" w:sz="6" w:space="0" w:color="000000"/>
              <w:left w:val="single" w:sz="6" w:space="0" w:color="000000"/>
              <w:bottom w:val="single" w:sz="6" w:space="0" w:color="000000"/>
              <w:right w:val="single" w:sz="6" w:space="0" w:color="000000"/>
            </w:tcBorders>
            <w:shd w:val="clear" w:color="auto" w:fill="BEBEBE"/>
          </w:tcPr>
          <w:p w14:paraId="5D324019" w14:textId="77777777" w:rsidR="00E154CA" w:rsidRDefault="00E154CA">
            <w:pPr>
              <w:pStyle w:val="TableParagraph"/>
              <w:kinsoku w:val="0"/>
              <w:overflowPunct w:val="0"/>
              <w:spacing w:before="87" w:line="231" w:lineRule="exact"/>
              <w:jc w:val="center"/>
            </w:pPr>
            <w:r>
              <w:rPr>
                <w:rFonts w:ascii="Calibri" w:hAnsi="Calibri"/>
                <w:sz w:val="19"/>
              </w:rPr>
              <w:t>280</w:t>
            </w:r>
          </w:p>
        </w:tc>
      </w:tr>
    </w:tbl>
    <w:bookmarkEnd w:id="1"/>
    <w:p w14:paraId="15A7866D" w14:textId="64999EC3" w:rsidR="00E154CA" w:rsidRDefault="00E154CA" w:rsidP="00E154CA">
      <w:pPr>
        <w:pStyle w:val="Textoindependiente"/>
        <w:kinsoku w:val="0"/>
        <w:overflowPunct w:val="0"/>
        <w:spacing w:before="0"/>
        <w:ind w:left="0"/>
        <w:rPr>
          <w:b w:val="0"/>
          <w:bCs w:val="0"/>
        </w:rPr>
      </w:pPr>
      <w:r>
        <w:t>*Bestelakoak: enpresak sorospen bolanterik igortzen ez dueneko edo langileak mutualitatera joan nahi ez dueneko kasuak</w:t>
      </w:r>
    </w:p>
    <w:p w14:paraId="6410A2D1" w14:textId="14E8D55F" w:rsidR="00E154CA" w:rsidRPr="00E154CA" w:rsidRDefault="00E154CA" w:rsidP="00E154CA">
      <w:pPr>
        <w:spacing w:after="120" w:line="276" w:lineRule="auto"/>
        <w:jc w:val="both"/>
        <w:rPr>
          <w:rFonts w:cstheme="minorHAnsi"/>
        </w:rPr>
      </w:pPr>
    </w:p>
    <w:p w14:paraId="434E4F30" w14:textId="6F915549" w:rsidR="00E154CA" w:rsidRPr="00E154CA" w:rsidRDefault="00E154CA" w:rsidP="00E154CA">
      <w:pPr>
        <w:spacing w:after="120" w:line="276" w:lineRule="auto"/>
        <w:jc w:val="both"/>
        <w:rPr>
          <w:rFonts w:cstheme="minorHAnsi"/>
        </w:rPr>
      </w:pPr>
      <w:r>
        <w:lastRenderedPageBreak/>
        <w:t>B taldearen barnean (hots, lanarekin lotutako beste osasun arazo batzuk), kasuetako ugari laneko istripuekin lotuta dago. Horren bi kausa posibleak dira, batetik, mutualitateek ez dutela onartzen istripuaren ondoriozko lesioa, eta bestetik, enpresak ez duela dagokion sorospen medikoaren partea ematen mutualitateak osasun arreta eman dezan. Hala, 2024an 203 kasu izan ziren (% 22), eta 2025eko ekainaren 30era arte, berriz, 146 (% 27,7).</w:t>
      </w:r>
    </w:p>
    <w:p w14:paraId="04EDFC10" w14:textId="77777777" w:rsidR="00E154CA" w:rsidRPr="00E154CA" w:rsidRDefault="00E154CA" w:rsidP="00E154CA">
      <w:pPr>
        <w:autoSpaceDE w:val="0"/>
        <w:autoSpaceDN w:val="0"/>
        <w:adjustRightInd w:val="0"/>
        <w:spacing w:after="120" w:line="276" w:lineRule="auto"/>
        <w:jc w:val="both"/>
        <w:rPr>
          <w:rFonts w:cstheme="minorHAnsi"/>
        </w:rPr>
      </w:pPr>
      <w:r>
        <w:t xml:space="preserve">Laburbilduz, eta Lan Osasunaren Alorreko Zaintza Epidemiologikorako Programari aitortutako informazioa kontuan izanik, GUTXIENEZ 1000 pertsona artatu zituen Osasunbidea-Nafarroako Osasun Zerbitzuak 2024an, eta 500, berriz, 2025eko ekainaren 30era arte. </w:t>
      </w:r>
    </w:p>
    <w:p w14:paraId="78E45435" w14:textId="593FDECD" w:rsidR="00E154CA" w:rsidRPr="00E154CA" w:rsidRDefault="00E154CA" w:rsidP="00E154CA">
      <w:pPr>
        <w:autoSpaceDE w:val="0"/>
        <w:autoSpaceDN w:val="0"/>
        <w:adjustRightInd w:val="0"/>
        <w:spacing w:after="120" w:line="276" w:lineRule="auto"/>
        <w:jc w:val="both"/>
        <w:rPr>
          <w:rFonts w:cstheme="minorHAnsi"/>
        </w:rPr>
      </w:pPr>
      <w:r>
        <w:t>Erregistro hori ez badago, zer tresnaren bidez kontrolatzen ditu O-NOZek deribazio horiek, eta nola egiaztatzen du Gizarte Segurantzarekin elkarlanean diharduten mutualitate horiek artatzen ez dituzten pazienteen lesioak edo patologiak lanetik kanpokoak direla?</w:t>
      </w:r>
    </w:p>
    <w:p w14:paraId="34B3334E" w14:textId="2749BF94" w:rsidR="00E154CA" w:rsidRPr="00E154CA" w:rsidRDefault="00E154CA" w:rsidP="00E154CA">
      <w:pPr>
        <w:autoSpaceDE w:val="0"/>
        <w:autoSpaceDN w:val="0"/>
        <w:adjustRightInd w:val="0"/>
        <w:spacing w:after="120" w:line="276" w:lineRule="auto"/>
        <w:jc w:val="both"/>
        <w:rPr>
          <w:rFonts w:cstheme="minorHAnsi"/>
        </w:rPr>
      </w:pPr>
      <w:r>
        <w:t>Gaur egun ez dago Osasunbidea-Nafarroako Osasun Zerbitzuak langileen artean artatutako patologia jatorri laboralekoa dela egiaztatzeko baliabiderik.</w:t>
      </w:r>
    </w:p>
    <w:p w14:paraId="52B11310" w14:textId="7192FEDD" w:rsidR="00E154CA" w:rsidRPr="00E154CA" w:rsidRDefault="00E154CA" w:rsidP="00E154CA">
      <w:pPr>
        <w:autoSpaceDE w:val="0"/>
        <w:autoSpaceDN w:val="0"/>
        <w:adjustRightInd w:val="0"/>
        <w:spacing w:after="120" w:line="276" w:lineRule="auto"/>
        <w:jc w:val="both"/>
        <w:rPr>
          <w:rFonts w:cstheme="minorHAnsi"/>
        </w:rPr>
      </w:pPr>
      <w:r>
        <w:t>Hori jakinarazten dut, Nafarroako Parlamentuko Erregelamenduaren 215. artikuluan xedatutakoa betez.</w:t>
      </w:r>
    </w:p>
    <w:p w14:paraId="19046BAE" w14:textId="0677D919" w:rsidR="00E154CA" w:rsidRPr="00E154CA" w:rsidRDefault="00E154CA" w:rsidP="00E154CA">
      <w:pPr>
        <w:spacing w:after="120" w:line="276" w:lineRule="auto"/>
        <w:jc w:val="both"/>
        <w:rPr>
          <w:rFonts w:cstheme="minorHAnsi"/>
        </w:rPr>
      </w:pPr>
      <w:r>
        <w:t>Iruñean, 2025eko urriaren 10ean</w:t>
      </w:r>
    </w:p>
    <w:p w14:paraId="3ED036ED" w14:textId="20D7CA5E" w:rsidR="00E154CA" w:rsidRPr="00E154CA" w:rsidRDefault="00E154CA" w:rsidP="00E154CA">
      <w:pPr>
        <w:spacing w:after="120" w:line="276" w:lineRule="auto"/>
        <w:jc w:val="both"/>
        <w:rPr>
          <w:rFonts w:cstheme="minorHAnsi"/>
        </w:rPr>
      </w:pPr>
      <w:r>
        <w:t>Osasuneko kontseilaria: Fernando Domínguez Cunchillos.</w:t>
      </w:r>
    </w:p>
    <w:sectPr w:rsidR="00E154CA" w:rsidRPr="00E154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CA"/>
    <w:rsid w:val="00946A79"/>
    <w:rsid w:val="00AD3405"/>
    <w:rsid w:val="00CD088A"/>
    <w:rsid w:val="00E154CA"/>
    <w:rsid w:val="00FA15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0B1E"/>
  <w15:chartTrackingRefBased/>
  <w15:docId w15:val="{0BE51B6B-7414-452D-9F19-139606FC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154CA"/>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154CA"/>
    <w:pPr>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uiPriority w:val="1"/>
    <w:qFormat/>
    <w:rsid w:val="00E154CA"/>
    <w:pPr>
      <w:autoSpaceDE w:val="0"/>
      <w:autoSpaceDN w:val="0"/>
      <w:adjustRightInd w:val="0"/>
      <w:spacing w:before="1" w:after="0" w:line="240" w:lineRule="auto"/>
      <w:ind w:left="82"/>
    </w:pPr>
    <w:rPr>
      <w:rFonts w:ascii="Calibri" w:hAnsi="Calibri" w:cs="Calibri"/>
      <w:b/>
      <w:bCs/>
      <w:sz w:val="17"/>
      <w:szCs w:val="17"/>
    </w:rPr>
  </w:style>
  <w:style w:type="character" w:customStyle="1" w:styleId="TextoindependienteCar">
    <w:name w:val="Texto independiente Car"/>
    <w:basedOn w:val="Fuentedeprrafopredeter"/>
    <w:link w:val="Textoindependiente"/>
    <w:uiPriority w:val="1"/>
    <w:rsid w:val="00E154CA"/>
    <w:rPr>
      <w:rFonts w:ascii="Calibri" w:hAnsi="Calibri" w:cs="Calibri"/>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931</Words>
  <Characters>5196</Characters>
  <Application>Microsoft Office Word</Application>
  <DocSecurity>0</DocSecurity>
  <Lines>433</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2025-10-13T07:07:00Z</dcterms:created>
  <dcterms:modified xsi:type="dcterms:W3CDTF">2025-11-10T11:45:00Z</dcterms:modified>
</cp:coreProperties>
</file>