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3FBB" w14:textId="7E0335FA" w:rsidR="005C6F85" w:rsidRPr="001A4F8F" w:rsidRDefault="005C6F85" w:rsidP="00330169">
      <w:pPr>
        <w:spacing w:after="120" w:line="276" w:lineRule="auto"/>
        <w:jc w:val="both"/>
        <w:rPr>
          <w:rFonts w:asciiTheme="majorHAnsi" w:hAnsiTheme="majorHAnsi" w:cstheme="majorHAnsi"/>
          <w:sz w:val="22"/>
          <w:szCs w:val="22"/>
        </w:rPr>
      </w:pPr>
      <w:r>
        <w:rPr>
          <w:rFonts w:asciiTheme="majorHAnsi" w:hAnsiTheme="majorHAnsi"/>
          <w:sz w:val="22"/>
        </w:rPr>
        <w:t>EH Bildu Nafarroa talde parlamentarioari atxikitako foru parlamentari Mikel Zabaleta Aramendia jaunak idatziz erantzuteko galdera egin du 11-25/PES-00365 eskariari buruz. Bada, Nafarroako Gobernuko Etxebizitzako, Gazteriako eta Migrazio Politiketako kontseilariak hau jakinarazten du:</w:t>
      </w:r>
    </w:p>
    <w:p w14:paraId="2D7CE91E" w14:textId="58CF8C6A" w:rsidR="000D5CCC" w:rsidRPr="001A4F8F" w:rsidRDefault="000D5CCC" w:rsidP="00330169">
      <w:pPr>
        <w:spacing w:after="120" w:line="276" w:lineRule="auto"/>
        <w:jc w:val="both"/>
        <w:rPr>
          <w:rFonts w:asciiTheme="majorHAnsi" w:hAnsiTheme="majorHAnsi" w:cstheme="majorHAnsi"/>
          <w:b/>
          <w:i/>
          <w:sz w:val="22"/>
          <w:szCs w:val="22"/>
        </w:rPr>
      </w:pPr>
      <w:r>
        <w:rPr>
          <w:rFonts w:asciiTheme="majorHAnsi" w:hAnsiTheme="majorHAnsi"/>
          <w:b/>
          <w:i/>
          <w:sz w:val="22"/>
        </w:rPr>
        <w:t xml:space="preserve">Zertan dira </w:t>
      </w:r>
      <w:proofErr w:type="spellStart"/>
      <w:r>
        <w:rPr>
          <w:rFonts w:asciiTheme="majorHAnsi" w:hAnsiTheme="majorHAnsi"/>
          <w:b/>
          <w:i/>
          <w:sz w:val="22"/>
        </w:rPr>
        <w:t>Catella</w:t>
      </w:r>
      <w:proofErr w:type="spellEnd"/>
      <w:r>
        <w:rPr>
          <w:rFonts w:asciiTheme="majorHAnsi" w:hAnsiTheme="majorHAnsi"/>
          <w:b/>
          <w:i/>
          <w:sz w:val="22"/>
        </w:rPr>
        <w:t xml:space="preserve"> </w:t>
      </w:r>
      <w:proofErr w:type="spellStart"/>
      <w:r>
        <w:rPr>
          <w:rFonts w:asciiTheme="majorHAnsi" w:hAnsiTheme="majorHAnsi"/>
          <w:b/>
          <w:i/>
          <w:sz w:val="22"/>
        </w:rPr>
        <w:t>Group</w:t>
      </w:r>
      <w:proofErr w:type="spellEnd"/>
      <w:r>
        <w:rPr>
          <w:rFonts w:asciiTheme="majorHAnsi" w:hAnsiTheme="majorHAnsi"/>
          <w:b/>
          <w:i/>
          <w:sz w:val="22"/>
        </w:rPr>
        <w:t xml:space="preserve"> enpresarekiko kontaktuak?</w:t>
      </w:r>
    </w:p>
    <w:p w14:paraId="495ED02D" w14:textId="77777777"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 xml:space="preserve">CATELLA WE 06 SPAIN </w:t>
      </w:r>
      <w:proofErr w:type="spellStart"/>
      <w:r>
        <w:rPr>
          <w:rFonts w:asciiTheme="majorHAnsi" w:hAnsiTheme="majorHAnsi"/>
          <w:sz w:val="22"/>
        </w:rPr>
        <w:t>SLUk</w:t>
      </w:r>
      <w:proofErr w:type="spellEnd"/>
      <w:r>
        <w:rPr>
          <w:rFonts w:asciiTheme="majorHAnsi" w:hAnsiTheme="majorHAnsi"/>
          <w:sz w:val="22"/>
        </w:rPr>
        <w:t xml:space="preserve"> </w:t>
      </w:r>
      <w:proofErr w:type="spellStart"/>
      <w:r>
        <w:rPr>
          <w:rFonts w:asciiTheme="majorHAnsi" w:hAnsiTheme="majorHAnsi"/>
          <w:sz w:val="22"/>
        </w:rPr>
        <w:t>Sarrigurengo</w:t>
      </w:r>
      <w:proofErr w:type="spellEnd"/>
      <w:r>
        <w:rPr>
          <w:rFonts w:asciiTheme="majorHAnsi" w:hAnsiTheme="majorHAnsi"/>
          <w:sz w:val="22"/>
        </w:rPr>
        <w:t xml:space="preserve"> bi sustapen hauek kudeatzen ditu:</w:t>
      </w:r>
    </w:p>
    <w:p w14:paraId="26C8F3D5" w14:textId="77777777" w:rsidR="000D5CCC" w:rsidRPr="001A4F8F" w:rsidRDefault="000D5CCC" w:rsidP="00330169">
      <w:pPr>
        <w:spacing w:after="120" w:line="276" w:lineRule="auto"/>
        <w:jc w:val="both"/>
        <w:rPr>
          <w:rFonts w:asciiTheme="majorHAnsi" w:hAnsiTheme="majorHAnsi" w:cstheme="majorHAnsi"/>
          <w:b/>
          <w:sz w:val="22"/>
          <w:szCs w:val="22"/>
        </w:rPr>
      </w:pPr>
      <w:r>
        <w:rPr>
          <w:rFonts w:asciiTheme="majorHAnsi" w:hAnsiTheme="majorHAnsi"/>
          <w:b/>
          <w:sz w:val="22"/>
        </w:rPr>
        <w:t>31/1-0046/03 espedientea, 60 etxebizitza.</w:t>
      </w:r>
    </w:p>
    <w:p w14:paraId="063EFEE2"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 xml:space="preserve">Helbidea: </w:t>
      </w:r>
      <w:proofErr w:type="spellStart"/>
      <w:r>
        <w:rPr>
          <w:rFonts w:asciiTheme="majorHAnsi" w:hAnsiTheme="majorHAnsi"/>
          <w:sz w:val="22"/>
        </w:rPr>
        <w:t>Badostaingo</w:t>
      </w:r>
      <w:proofErr w:type="spellEnd"/>
      <w:r>
        <w:rPr>
          <w:rFonts w:asciiTheme="majorHAnsi" w:hAnsiTheme="majorHAnsi"/>
          <w:sz w:val="22"/>
        </w:rPr>
        <w:t xml:space="preserve"> Portalea plaza 9, 11, 13, 15 eta 17.</w:t>
      </w:r>
    </w:p>
    <w:p w14:paraId="39C4E909" w14:textId="77777777" w:rsidR="000D5CCC" w:rsidRPr="001A4F8F" w:rsidRDefault="000D5CCC" w:rsidP="001A4F8F">
      <w:pPr>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Behin betiko kalifikazioaren data: 2005/08/03.</w:t>
      </w:r>
    </w:p>
    <w:p w14:paraId="522CDC4E" w14:textId="77777777" w:rsidR="000D5CCC" w:rsidRPr="001A4F8F" w:rsidRDefault="000D5CCC" w:rsidP="001A4F8F">
      <w:pPr>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Babesaren amaiera-data: 2025/08/03.</w:t>
      </w:r>
    </w:p>
    <w:p w14:paraId="1E0C749B" w14:textId="77777777" w:rsidR="000D5CCC" w:rsidRPr="001A4F8F" w:rsidRDefault="000D5CCC" w:rsidP="00330169">
      <w:pPr>
        <w:spacing w:after="120" w:line="276" w:lineRule="auto"/>
        <w:jc w:val="both"/>
        <w:rPr>
          <w:rFonts w:asciiTheme="majorHAnsi" w:hAnsiTheme="majorHAnsi" w:cstheme="majorHAnsi"/>
          <w:b/>
          <w:sz w:val="22"/>
          <w:szCs w:val="22"/>
        </w:rPr>
      </w:pPr>
      <w:r>
        <w:rPr>
          <w:rFonts w:asciiTheme="majorHAnsi" w:hAnsiTheme="majorHAnsi"/>
          <w:b/>
          <w:sz w:val="22"/>
        </w:rPr>
        <w:t>31/1-0069/03 espedientea, 108 etxebizitza.</w:t>
      </w:r>
    </w:p>
    <w:p w14:paraId="5EE210BC"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 xml:space="preserve">Helbidea: </w:t>
      </w:r>
      <w:proofErr w:type="spellStart"/>
      <w:r>
        <w:rPr>
          <w:rFonts w:asciiTheme="majorHAnsi" w:hAnsiTheme="majorHAnsi"/>
          <w:sz w:val="22"/>
        </w:rPr>
        <w:t>Badostaingo</w:t>
      </w:r>
      <w:proofErr w:type="spellEnd"/>
      <w:r>
        <w:rPr>
          <w:rFonts w:asciiTheme="majorHAnsi" w:hAnsiTheme="majorHAnsi"/>
          <w:sz w:val="22"/>
        </w:rPr>
        <w:t xml:space="preserve"> Portalea plaza 1, 3, 5 eta 7. Ibia plaza 2–10 (bikoitiak). Elizmendi kalea 27 eta 29.</w:t>
      </w:r>
    </w:p>
    <w:p w14:paraId="21A8DF81"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Behin betiko kalifikazioaren data: 2006/03/06.</w:t>
      </w:r>
    </w:p>
    <w:p w14:paraId="66931E38" w14:textId="77777777" w:rsidR="000D5CCC" w:rsidRPr="001A4F8F" w:rsidRDefault="000D5CCC" w:rsidP="001A4F8F">
      <w:pPr>
        <w:pStyle w:val="Prrafodelista"/>
        <w:numPr>
          <w:ilvl w:val="1"/>
          <w:numId w:val="16"/>
        </w:numPr>
        <w:spacing w:after="120" w:line="276" w:lineRule="auto"/>
        <w:jc w:val="both"/>
        <w:rPr>
          <w:rFonts w:asciiTheme="majorHAnsi" w:hAnsiTheme="majorHAnsi" w:cstheme="majorHAnsi"/>
          <w:sz w:val="22"/>
          <w:szCs w:val="22"/>
        </w:rPr>
      </w:pPr>
      <w:r>
        <w:rPr>
          <w:rFonts w:asciiTheme="majorHAnsi" w:hAnsiTheme="majorHAnsi"/>
          <w:sz w:val="22"/>
        </w:rPr>
        <w:t>Babesaren amaiera-data: 2026/03/06.</w:t>
      </w:r>
    </w:p>
    <w:p w14:paraId="24E0EBA2" w14:textId="77777777" w:rsidR="00532AC0" w:rsidRPr="001A4F8F" w:rsidRDefault="00532AC0" w:rsidP="00330169">
      <w:pPr>
        <w:spacing w:after="120" w:line="276" w:lineRule="auto"/>
        <w:jc w:val="both"/>
        <w:rPr>
          <w:rFonts w:asciiTheme="majorHAnsi" w:hAnsiTheme="majorHAnsi" w:cstheme="majorHAnsi"/>
          <w:sz w:val="22"/>
          <w:szCs w:val="22"/>
        </w:rPr>
      </w:pPr>
      <w:r>
        <w:rPr>
          <w:rFonts w:asciiTheme="majorHAnsi" w:hAnsiTheme="majorHAnsi"/>
          <w:sz w:val="22"/>
        </w:rPr>
        <w:t xml:space="preserve">Departamentua harremanetan izan da CATELLA WE 06 SPAIN </w:t>
      </w:r>
      <w:proofErr w:type="spellStart"/>
      <w:r>
        <w:rPr>
          <w:rFonts w:asciiTheme="majorHAnsi" w:hAnsiTheme="majorHAnsi"/>
          <w:sz w:val="22"/>
        </w:rPr>
        <w:t>SLUrekin</w:t>
      </w:r>
      <w:proofErr w:type="spellEnd"/>
      <w:r>
        <w:rPr>
          <w:rFonts w:asciiTheme="majorHAnsi" w:hAnsiTheme="majorHAnsi"/>
          <w:sz w:val="22"/>
        </w:rPr>
        <w:t xml:space="preserve"> 2025ean zehar, </w:t>
      </w:r>
      <w:proofErr w:type="spellStart"/>
      <w:r>
        <w:rPr>
          <w:rFonts w:asciiTheme="majorHAnsi" w:hAnsiTheme="majorHAnsi"/>
          <w:sz w:val="22"/>
        </w:rPr>
        <w:t>Sarrigurengo</w:t>
      </w:r>
      <w:proofErr w:type="spellEnd"/>
      <w:r>
        <w:rPr>
          <w:rFonts w:asciiTheme="majorHAnsi" w:hAnsiTheme="majorHAnsi"/>
          <w:sz w:val="22"/>
        </w:rPr>
        <w:t xml:space="preserve"> sustapenen babesa amaitzear den honetan, dauzkan aukeren gaineko informazioa emateko. Departamentuak behin eta berriz argi adierazi du etxebizitzen babes-araubidea luzatu nahi duela, eta, halaber, errentarien egoera bermatu eta babestu nahi duela.</w:t>
      </w:r>
    </w:p>
    <w:p w14:paraId="4CA492B6" w14:textId="2D4AAE3A" w:rsidR="000D5CCC" w:rsidRPr="001A4F8F" w:rsidRDefault="000D5CCC" w:rsidP="00330169">
      <w:pPr>
        <w:spacing w:after="120" w:line="276" w:lineRule="auto"/>
        <w:jc w:val="both"/>
        <w:rPr>
          <w:rFonts w:asciiTheme="majorHAnsi" w:hAnsiTheme="majorHAnsi" w:cstheme="majorHAnsi"/>
          <w:b/>
          <w:i/>
          <w:sz w:val="22"/>
          <w:szCs w:val="22"/>
        </w:rPr>
      </w:pPr>
      <w:r>
        <w:rPr>
          <w:rFonts w:asciiTheme="majorHAnsi" w:hAnsiTheme="majorHAnsi"/>
          <w:b/>
          <w:i/>
          <w:sz w:val="22"/>
        </w:rPr>
        <w:t>Nafarroako Gobernuak ba al du asmorik enpresa horrekin akordio batera iristeko, hark 168 familiek beren etxebizitzetan jarraitzea berma dezan?</w:t>
      </w:r>
    </w:p>
    <w:p w14:paraId="0A05FAAB" w14:textId="77777777" w:rsidR="000D5CCC" w:rsidRPr="001A4F8F" w:rsidRDefault="00B54B7D" w:rsidP="00330169">
      <w:pPr>
        <w:spacing w:after="120" w:line="276" w:lineRule="auto"/>
        <w:jc w:val="both"/>
        <w:rPr>
          <w:rFonts w:asciiTheme="majorHAnsi" w:hAnsiTheme="majorHAnsi" w:cstheme="majorHAnsi"/>
          <w:sz w:val="22"/>
          <w:szCs w:val="22"/>
        </w:rPr>
      </w:pPr>
      <w:r>
        <w:rPr>
          <w:rFonts w:asciiTheme="majorHAnsi" w:hAnsiTheme="majorHAnsi"/>
          <w:sz w:val="22"/>
        </w:rPr>
        <w:t>Nafarroako Gobernuak egiten ahal duen bakarra da legez ezarritako mekanismoak aplikatzea, etxebizitzen babesa bermatu eta mantentzeko, eta errentariek laguntzak jasotzen jarraitzeko; horixe defendatu du, eta horixe adierazi dio enpresari beti.</w:t>
      </w:r>
    </w:p>
    <w:p w14:paraId="77C78330" w14:textId="250ABA3E" w:rsidR="000D5CCC" w:rsidRPr="001A4F8F" w:rsidRDefault="000D5CCC" w:rsidP="00330169">
      <w:pPr>
        <w:spacing w:after="120" w:line="276" w:lineRule="auto"/>
        <w:jc w:val="both"/>
        <w:rPr>
          <w:rFonts w:asciiTheme="majorHAnsi" w:hAnsiTheme="majorHAnsi" w:cstheme="majorHAnsi"/>
          <w:b/>
          <w:i/>
          <w:sz w:val="22"/>
          <w:szCs w:val="22"/>
        </w:rPr>
      </w:pPr>
      <w:r>
        <w:rPr>
          <w:rFonts w:asciiTheme="majorHAnsi" w:hAnsiTheme="majorHAnsi"/>
          <w:b/>
          <w:i/>
          <w:sz w:val="22"/>
        </w:rPr>
        <w:t>Zer formula edo irtenbide aztertzen ari dira?</w:t>
      </w:r>
    </w:p>
    <w:p w14:paraId="05EA2439" w14:textId="77777777" w:rsidR="00B54B7D" w:rsidRPr="001A4F8F" w:rsidRDefault="00B54B7D" w:rsidP="00330169">
      <w:pPr>
        <w:spacing w:after="120" w:line="276" w:lineRule="auto"/>
        <w:jc w:val="both"/>
        <w:rPr>
          <w:rFonts w:asciiTheme="majorHAnsi" w:hAnsiTheme="majorHAnsi" w:cstheme="majorHAnsi"/>
          <w:sz w:val="22"/>
          <w:szCs w:val="22"/>
        </w:rPr>
      </w:pPr>
      <w:r>
        <w:rPr>
          <w:rFonts w:asciiTheme="majorHAnsi" w:hAnsiTheme="majorHAnsi"/>
          <w:sz w:val="22"/>
        </w:rPr>
        <w:t xml:space="preserve">Babes-araubidea amaitzear den honetan, CATELLA WE 06 SPAIN </w:t>
      </w:r>
      <w:proofErr w:type="spellStart"/>
      <w:r>
        <w:rPr>
          <w:rFonts w:asciiTheme="majorHAnsi" w:hAnsiTheme="majorHAnsi"/>
          <w:sz w:val="22"/>
        </w:rPr>
        <w:t>SLUri</w:t>
      </w:r>
      <w:proofErr w:type="spellEnd"/>
      <w:r>
        <w:rPr>
          <w:rFonts w:asciiTheme="majorHAnsi" w:hAnsiTheme="majorHAnsi"/>
          <w:sz w:val="22"/>
        </w:rPr>
        <w:t xml:space="preserve"> proposatutako aukera eta soluzio guztien funtsa izan da aipatutako araubidea luzatzea, errentariek beren etxeetan jarraitzea bermatzea eta horiei dirulaguntzak ematea.</w:t>
      </w:r>
    </w:p>
    <w:p w14:paraId="11667433" w14:textId="7F9D3813"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Hala, etxebizitzaren arloko jarduketa babesgarriak arautzen dituen irailaren 18ko 61/2013 Foru Dekretuak aukera ematen du errentariei dirulaguntzak emateko, baldin eta etxebizitzak baldintza berdinetan errentatzera bideratzen badira. Kasurako, hona bigarren xedapen iragankorrak dioena:</w:t>
      </w:r>
    </w:p>
    <w:p w14:paraId="4F230935" w14:textId="4D7D2C62"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sz w:val="22"/>
        </w:rPr>
        <w:t>“</w:t>
      </w:r>
      <w:r>
        <w:rPr>
          <w:rFonts w:asciiTheme="majorHAnsi" w:hAnsiTheme="majorHAnsi"/>
          <w:i/>
          <w:sz w:val="22"/>
        </w:rPr>
        <w:t xml:space="preserve">Bigarren xedapen iragankorra. Kalifikazio epea bukatutakoan errentamendurakoak izaten segitzen duten etxebizitzetako maizterrentzako dirulaguntza. </w:t>
      </w:r>
    </w:p>
    <w:p w14:paraId="0E251B09"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i/>
          <w:sz w:val="22"/>
        </w:rPr>
        <w:t xml:space="preserve">Etxebizitzaren arloan eskumena duen departamentuak dirulaguntzak ematen ahalko dizkie errentamendurakoak izaten segitzen duten etxebizitzetako maizterrei, kalifikazio-epea eta ezarritako babes-araubidearen indarraldia bukatu denean, honako baldintza hauek betetzen badira: </w:t>
      </w:r>
    </w:p>
    <w:p w14:paraId="408AE782"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Pr>
          <w:rFonts w:asciiTheme="majorHAnsi" w:hAnsiTheme="majorHAnsi"/>
          <w:i/>
          <w:sz w:val="22"/>
        </w:rPr>
        <w:lastRenderedPageBreak/>
        <w:t xml:space="preserve">a) Sustatzaileak konpromisoa hartzen badu etxebizitza babestuetarako ezarritako baldintzetan etxebizitzak errentamendurako erabiltzeko, kasuko kontratu-urtealdia amaitu arte. Epe hori sustatzailearen eskariz luzatu ahalko da, errentamendu-urtealdi osoetarako, gehieneko mugarik gabe. </w:t>
      </w:r>
    </w:p>
    <w:p w14:paraId="2BE04BC2"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Pr>
          <w:rFonts w:asciiTheme="majorHAnsi" w:hAnsiTheme="majorHAnsi"/>
          <w:i/>
          <w:sz w:val="22"/>
        </w:rPr>
        <w:t xml:space="preserve">b) Sustatzaileak egina izan dadila xedapen honetan ezarritakora biltzeko eskaera: </w:t>
      </w:r>
    </w:p>
    <w:p w14:paraId="56C709AC"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Pr>
          <w:rFonts w:asciiTheme="majorHAnsi" w:hAnsiTheme="majorHAnsi"/>
          <w:i/>
          <w:sz w:val="22"/>
        </w:rPr>
        <w:t>– Edonoiz, kalifikazio-epea amaitzen denetik zortzi hilabete igaro arte, eta amaiera horretatik aurrera izanen du eragina.</w:t>
      </w:r>
    </w:p>
    <w:p w14:paraId="2CCAEE2B" w14:textId="77777777" w:rsidR="000D5CCC" w:rsidRPr="001A4F8F" w:rsidRDefault="000D5CCC" w:rsidP="001A4F8F">
      <w:pPr>
        <w:spacing w:after="120" w:line="276" w:lineRule="auto"/>
        <w:ind w:firstLine="708"/>
        <w:jc w:val="both"/>
        <w:rPr>
          <w:rFonts w:asciiTheme="majorHAnsi" w:hAnsiTheme="majorHAnsi" w:cstheme="majorHAnsi"/>
          <w:i/>
          <w:sz w:val="22"/>
          <w:szCs w:val="22"/>
        </w:rPr>
      </w:pPr>
      <w:r>
        <w:rPr>
          <w:rFonts w:asciiTheme="majorHAnsi" w:hAnsiTheme="majorHAnsi"/>
          <w:i/>
          <w:sz w:val="22"/>
        </w:rPr>
        <w:t>– Edo hurrengo urtealdi osoak amaitu baino hilabete lehenago arte</w:t>
      </w:r>
      <w:r>
        <w:rPr>
          <w:rFonts w:asciiTheme="majorHAnsi" w:hAnsiTheme="majorHAnsi"/>
          <w:sz w:val="22"/>
        </w:rPr>
        <w:t>”.</w:t>
      </w:r>
      <w:r>
        <w:rPr>
          <w:rFonts w:asciiTheme="majorHAnsi" w:hAnsiTheme="majorHAnsi"/>
          <w:i/>
          <w:sz w:val="22"/>
        </w:rPr>
        <w:t xml:space="preserve"> </w:t>
      </w:r>
    </w:p>
    <w:p w14:paraId="58D2B124" w14:textId="77777777"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 xml:space="preserve">Aukeretako bat da kontratu berriak izenpetzea egungo errentariekin, dirulaguntzak jasotzen segitu dezaten; izan ere, foru-araudiak araubide berezi bat barne hartzen du, jada maizter diren pertsonentzat. Hala, 10/2010 Foru Legeak, maiatzaren 10ekoak, Nafarroan etxebizitza izateko eskubideari buruzkoak, hau xedatzen du: </w:t>
      </w:r>
    </w:p>
    <w:p w14:paraId="7E414062" w14:textId="77777777" w:rsidR="000D5CCC" w:rsidRPr="001A4F8F" w:rsidRDefault="00F542F4" w:rsidP="00330169">
      <w:pPr>
        <w:spacing w:after="120" w:line="276" w:lineRule="auto"/>
        <w:jc w:val="both"/>
        <w:rPr>
          <w:rFonts w:asciiTheme="majorHAnsi" w:hAnsiTheme="majorHAnsi" w:cstheme="majorHAnsi"/>
          <w:i/>
          <w:sz w:val="22"/>
          <w:szCs w:val="22"/>
        </w:rPr>
      </w:pPr>
      <w:r>
        <w:rPr>
          <w:rFonts w:asciiTheme="majorHAnsi" w:hAnsiTheme="majorHAnsi"/>
          <w:sz w:val="22"/>
        </w:rPr>
        <w:t>“</w:t>
      </w:r>
      <w:r>
        <w:rPr>
          <w:rFonts w:asciiTheme="majorHAnsi" w:hAnsiTheme="majorHAnsi"/>
          <w:i/>
          <w:sz w:val="22"/>
        </w:rPr>
        <w:t>Hogeita batgarren xedapen gehigarria Kalifikazio epea bukatuta daukaten etxebizitza babestuetako maizterrentzako dirulaguntza</w:t>
      </w:r>
      <w:r>
        <w:rPr>
          <w:rFonts w:asciiTheme="majorHAnsi" w:hAnsiTheme="majorHAnsi"/>
          <w:sz w:val="22"/>
        </w:rPr>
        <w:t>”.</w:t>
      </w:r>
    </w:p>
    <w:p w14:paraId="1E75DA96"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i/>
          <w:sz w:val="22"/>
        </w:rPr>
        <w:t xml:space="preserve">Errentamendurakoak diren babes ofizialeko etxebizitzen sustapen batean babes-araubidea bukatu baldin bada, lehenik maizter ziren pertsonekin errentamendu-kontratu berriak sinatzeak horiei modua emanen die errentamendurako babes ofizialeko etxebizitzetarako aurreikusitako dirulaguntzak izaten segitzeko, betekizun, baldintza eta portzentaje berekin, baldin eta honako bi baldintza hauek ere betetzen badira: </w:t>
      </w:r>
    </w:p>
    <w:p w14:paraId="4571789D"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i/>
          <w:sz w:val="22"/>
        </w:rPr>
        <w:t xml:space="preserve">– Etxebizitzaren hileko errentaren prezioa ez dadila handiagoa izan ekainaren 2ko 4/2008 Legegintzako Foru Dekretuaren bidez onetsi zen Pertsona Fisikoen Errentaren gaineko Zergari buruzko Foru Legearen testu </w:t>
      </w:r>
      <w:proofErr w:type="spellStart"/>
      <w:r>
        <w:rPr>
          <w:rFonts w:asciiTheme="majorHAnsi" w:hAnsiTheme="majorHAnsi"/>
          <w:i/>
          <w:sz w:val="22"/>
        </w:rPr>
        <w:t>bateginaren</w:t>
      </w:r>
      <w:proofErr w:type="spellEnd"/>
      <w:r>
        <w:rPr>
          <w:rFonts w:asciiTheme="majorHAnsi" w:hAnsiTheme="majorHAnsi"/>
          <w:i/>
          <w:sz w:val="22"/>
        </w:rPr>
        <w:t xml:space="preserve"> 68 </w:t>
      </w:r>
      <w:proofErr w:type="spellStart"/>
      <w:r>
        <w:rPr>
          <w:rFonts w:asciiTheme="majorHAnsi" w:hAnsiTheme="majorHAnsi"/>
          <w:i/>
          <w:sz w:val="22"/>
        </w:rPr>
        <w:t>quinquies</w:t>
      </w:r>
      <w:proofErr w:type="spellEnd"/>
      <w:r>
        <w:rPr>
          <w:rFonts w:asciiTheme="majorHAnsi" w:hAnsiTheme="majorHAnsi"/>
          <w:i/>
          <w:sz w:val="22"/>
        </w:rPr>
        <w:t xml:space="preserve"> artikuluko C letran aurreikusitakoa baino. </w:t>
      </w:r>
    </w:p>
    <w:p w14:paraId="330C4743"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i/>
          <w:sz w:val="22"/>
        </w:rPr>
        <w:t xml:space="preserve">– Etxebizitzak Tuteran kokatuta egotea, edo Nafarroako Lurralde Estrategiaren 10. esparruko 10.4 </w:t>
      </w:r>
      <w:proofErr w:type="spellStart"/>
      <w:r>
        <w:rPr>
          <w:rFonts w:asciiTheme="majorHAnsi" w:hAnsiTheme="majorHAnsi"/>
          <w:i/>
          <w:sz w:val="22"/>
        </w:rPr>
        <w:t>azpiesparruaren</w:t>
      </w:r>
      <w:proofErr w:type="spellEnd"/>
      <w:r>
        <w:rPr>
          <w:rFonts w:asciiTheme="majorHAnsi" w:hAnsiTheme="majorHAnsi"/>
          <w:i/>
          <w:sz w:val="22"/>
        </w:rPr>
        <w:t xml:space="preserve"> —Iruñeko </w:t>
      </w:r>
      <w:proofErr w:type="spellStart"/>
      <w:r>
        <w:rPr>
          <w:rFonts w:asciiTheme="majorHAnsi" w:hAnsiTheme="majorHAnsi"/>
          <w:i/>
          <w:sz w:val="22"/>
        </w:rPr>
        <w:t>metropolialdearen</w:t>
      </w:r>
      <w:proofErr w:type="spellEnd"/>
      <w:r>
        <w:rPr>
          <w:rFonts w:asciiTheme="majorHAnsi" w:hAnsiTheme="majorHAnsi"/>
          <w:i/>
          <w:sz w:val="22"/>
        </w:rPr>
        <w:t>— aplikazio-eremuan</w:t>
      </w:r>
      <w:r>
        <w:rPr>
          <w:rFonts w:asciiTheme="majorHAnsi" w:hAnsiTheme="majorHAnsi"/>
          <w:sz w:val="22"/>
        </w:rPr>
        <w:t>”.</w:t>
      </w:r>
    </w:p>
    <w:p w14:paraId="73B906FF" w14:textId="77777777"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 xml:space="preserve">Bestalde, babes-araubidea bukatu zaien eta tentsiopeko etxebizitza-merkatuko eremu batean dauden etxebizitzetan, kontuan hartu behar da 10/2010 Foru Legearen hogeita hamahirugarren xedapen gehigarria, Nafarroan etxebizitza </w:t>
      </w:r>
      <w:proofErr w:type="spellStart"/>
      <w:r>
        <w:rPr>
          <w:rFonts w:asciiTheme="majorHAnsi" w:hAnsiTheme="majorHAnsi"/>
          <w:sz w:val="22"/>
        </w:rPr>
        <w:t>ordainerraza</w:t>
      </w:r>
      <w:proofErr w:type="spellEnd"/>
      <w:r>
        <w:rPr>
          <w:rFonts w:asciiTheme="majorHAnsi" w:hAnsiTheme="majorHAnsi"/>
          <w:sz w:val="22"/>
        </w:rPr>
        <w:t xml:space="preserve"> izateko eskubideari buruzko ekainaren 30 9/2025 Foru Legearen bidez gehitu zena. Hauxe dio:</w:t>
      </w:r>
    </w:p>
    <w:p w14:paraId="0423B904"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sz w:val="22"/>
        </w:rPr>
        <w:t>“</w:t>
      </w:r>
      <w:r>
        <w:rPr>
          <w:rFonts w:asciiTheme="majorHAnsi" w:hAnsiTheme="majorHAnsi"/>
          <w:i/>
          <w:sz w:val="22"/>
        </w:rPr>
        <w:t>Hogeita hamahirugarren xedapen gehigarria. Tentsiopeko etxebizitza-merkatuaren zonalde batean kokatuta dauden etxebizitza babestu baina babes-araubidea amaituta daukatenetako errenta.</w:t>
      </w:r>
    </w:p>
    <w:p w14:paraId="0D5ECB1D" w14:textId="77777777" w:rsidR="000D5CCC" w:rsidRPr="001A4F8F" w:rsidRDefault="000D5CCC" w:rsidP="00330169">
      <w:pPr>
        <w:spacing w:after="120" w:line="276" w:lineRule="auto"/>
        <w:jc w:val="both"/>
        <w:rPr>
          <w:rFonts w:asciiTheme="majorHAnsi" w:hAnsiTheme="majorHAnsi" w:cstheme="majorHAnsi"/>
          <w:i/>
          <w:sz w:val="22"/>
          <w:szCs w:val="22"/>
        </w:rPr>
      </w:pPr>
      <w:r>
        <w:rPr>
          <w:rFonts w:asciiTheme="majorHAnsi" w:hAnsiTheme="majorHAnsi"/>
          <w:i/>
          <w:sz w:val="22"/>
        </w:rPr>
        <w:t xml:space="preserve">Etxebizitza libreak errentan emateko kontratuetan, baldin etxebizitza horiek lehenago errentamendu-araubidezko edo errentamendu </w:t>
      </w:r>
      <w:proofErr w:type="spellStart"/>
      <w:r>
        <w:rPr>
          <w:rFonts w:asciiTheme="majorHAnsi" w:hAnsiTheme="majorHAnsi"/>
          <w:i/>
          <w:sz w:val="22"/>
        </w:rPr>
        <w:t>ordainerrazeko</w:t>
      </w:r>
      <w:proofErr w:type="spellEnd"/>
      <w:r>
        <w:rPr>
          <w:rFonts w:asciiTheme="majorHAnsi" w:hAnsiTheme="majorHAnsi"/>
          <w:i/>
          <w:sz w:val="22"/>
        </w:rPr>
        <w:t xml:space="preserve"> araubidezko babes ofizialeko etxebizitzak baziren eta babes-araubidea amaituta izan eta tentsiopeko etxebizitza-merkatuaren zonalde batean kokatuta badaude, lehenbiziko kontratu berriaren hasieran itundutako errentak muga bakartzat izanen du erreferentzia-prezioen indizeen sistema, errentan emandako etxebizitzaren nahiz kokatuta dagoen eraikinaren baldintzen eta ezaugarrien arabera</w:t>
      </w:r>
      <w:r>
        <w:rPr>
          <w:rFonts w:asciiTheme="majorHAnsi" w:hAnsiTheme="majorHAnsi"/>
          <w:sz w:val="22"/>
        </w:rPr>
        <w:t>”.</w:t>
      </w:r>
    </w:p>
    <w:p w14:paraId="67DD2910" w14:textId="2797A7D4" w:rsidR="000D5CCC" w:rsidRPr="001A4F8F" w:rsidRDefault="000D5CCC" w:rsidP="00330169">
      <w:pPr>
        <w:spacing w:after="120" w:line="276" w:lineRule="auto"/>
        <w:jc w:val="both"/>
        <w:rPr>
          <w:rFonts w:asciiTheme="majorHAnsi" w:hAnsiTheme="majorHAnsi" w:cstheme="majorHAnsi"/>
          <w:b/>
          <w:i/>
          <w:sz w:val="22"/>
          <w:szCs w:val="22"/>
        </w:rPr>
      </w:pPr>
      <w:r>
        <w:rPr>
          <w:rFonts w:asciiTheme="majorHAnsi" w:hAnsiTheme="majorHAnsi"/>
          <w:b/>
          <w:i/>
          <w:sz w:val="22"/>
        </w:rPr>
        <w:t>Zer aurreikuspen darabil Nafarroako Gobernuak horri buruz?</w:t>
      </w:r>
    </w:p>
    <w:p w14:paraId="2035B259" w14:textId="77777777" w:rsidR="000D5CCC" w:rsidRPr="001A4F8F" w:rsidRDefault="000D5CCC" w:rsidP="00330169">
      <w:pPr>
        <w:spacing w:after="120" w:line="276" w:lineRule="auto"/>
        <w:jc w:val="both"/>
        <w:rPr>
          <w:rFonts w:asciiTheme="majorHAnsi" w:hAnsiTheme="majorHAnsi" w:cstheme="majorHAnsi"/>
          <w:sz w:val="22"/>
          <w:szCs w:val="22"/>
        </w:rPr>
      </w:pPr>
      <w:proofErr w:type="spellStart"/>
      <w:r>
        <w:rPr>
          <w:rFonts w:asciiTheme="majorHAnsi" w:hAnsiTheme="majorHAnsi"/>
          <w:sz w:val="22"/>
        </w:rPr>
        <w:t>CATELLAk</w:t>
      </w:r>
      <w:proofErr w:type="spellEnd"/>
      <w:r>
        <w:rPr>
          <w:rFonts w:asciiTheme="majorHAnsi" w:hAnsiTheme="majorHAnsi"/>
          <w:sz w:val="22"/>
        </w:rPr>
        <w:t xml:space="preserve"> eskabide bat aurkeztu zuen 2025eko urriaren 27an, hauxe eskatzeko: 31/1-0046/03 espedienteari dagokionez (60 etxebizitza), eta irailaren 18ko 61/2023 Foru Dekretuaren bigarren </w:t>
      </w:r>
      <w:r>
        <w:rPr>
          <w:rFonts w:asciiTheme="majorHAnsi" w:hAnsiTheme="majorHAnsi"/>
          <w:sz w:val="22"/>
        </w:rPr>
        <w:lastRenderedPageBreak/>
        <w:t xml:space="preserve">xedapen iragankorrari jarraikiz, 60 etxebizitzetako 28ren babes-araubidea urtebetez luzatzea. Alegia, laguntzak jasotzen dituzten maizterren etxebizitzetarako soilik eskatu du luzapena. </w:t>
      </w:r>
    </w:p>
    <w:p w14:paraId="0FD1639F" w14:textId="77777777"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Gainerako etxebizitzak (32), etxebizitza libre izatera igaroko dira. Hala ere, enpresak, Departamentuari adierazi dioenaren arabera, etxebizitza horietako maizterren kontratuak luzatu nahi ditu, legeak ezarritako dirulaguntzak jasotzen segi ahal izan dezaten.</w:t>
      </w:r>
    </w:p>
    <w:p w14:paraId="42EE0FCE" w14:textId="77777777" w:rsidR="000D5CCC" w:rsidRPr="001A4F8F" w:rsidRDefault="000D5CCC" w:rsidP="00330169">
      <w:pPr>
        <w:spacing w:after="120" w:line="276" w:lineRule="auto"/>
        <w:jc w:val="both"/>
        <w:rPr>
          <w:rFonts w:asciiTheme="majorHAnsi" w:hAnsiTheme="majorHAnsi" w:cstheme="majorHAnsi"/>
          <w:sz w:val="22"/>
          <w:szCs w:val="22"/>
        </w:rPr>
      </w:pPr>
      <w:r>
        <w:rPr>
          <w:rFonts w:asciiTheme="majorHAnsi" w:hAnsiTheme="majorHAnsi"/>
          <w:sz w:val="22"/>
        </w:rPr>
        <w:t>Etxebizitzako, Gazteriako eta Migrazio Politiketako Departamentuak eskatutako urtebeteko luzapena emanen du eta laguntzen onuradun diren errentariei dirulaguntza ematen segituko du. Gainera, enpresa honen aitzinean bezala beste enpresa eta sustatzaile batzuen aitzinean ere defendatuko du babes-araubidearen jarraitutasuna, errentariei babesteko.</w:t>
      </w:r>
    </w:p>
    <w:p w14:paraId="76555D84" w14:textId="77777777" w:rsidR="00B519DF" w:rsidRPr="001A4F8F" w:rsidRDefault="00B519DF" w:rsidP="00330169">
      <w:pPr>
        <w:spacing w:after="120" w:line="276" w:lineRule="auto"/>
        <w:jc w:val="both"/>
        <w:rPr>
          <w:rFonts w:asciiTheme="majorHAnsi" w:hAnsiTheme="majorHAnsi" w:cstheme="majorHAnsi"/>
          <w:sz w:val="22"/>
          <w:szCs w:val="22"/>
        </w:rPr>
      </w:pPr>
      <w:r>
        <w:rPr>
          <w:rFonts w:asciiTheme="majorHAnsi" w:hAnsiTheme="majorHAnsi"/>
          <w:sz w:val="22"/>
        </w:rPr>
        <w:t>Hori jakinarazten dut, Nafarroako Parlamentuko Erregelamenduaren 215. artikuluan xedatutakoa betez.</w:t>
      </w:r>
    </w:p>
    <w:p w14:paraId="25493E0E" w14:textId="2131FAF7" w:rsidR="006D259E" w:rsidRPr="001A4F8F" w:rsidRDefault="006D259E" w:rsidP="001A4F8F">
      <w:pPr>
        <w:spacing w:after="120" w:line="276" w:lineRule="auto"/>
        <w:jc w:val="both"/>
        <w:rPr>
          <w:rFonts w:asciiTheme="majorHAnsi" w:hAnsiTheme="majorHAnsi" w:cstheme="majorHAnsi"/>
          <w:color w:val="000000"/>
          <w:sz w:val="22"/>
          <w:szCs w:val="22"/>
        </w:rPr>
      </w:pPr>
      <w:r>
        <w:rPr>
          <w:rFonts w:asciiTheme="majorHAnsi" w:hAnsiTheme="majorHAnsi"/>
          <w:color w:val="000000"/>
          <w:sz w:val="22"/>
        </w:rPr>
        <w:t>Iruñean, 2025eko azaroaren 4an</w:t>
      </w:r>
    </w:p>
    <w:p w14:paraId="440C7722" w14:textId="60633405" w:rsidR="006D259E" w:rsidRPr="001A4F8F" w:rsidRDefault="001A4F8F" w:rsidP="001A4F8F">
      <w:pPr>
        <w:spacing w:after="120" w:line="276" w:lineRule="auto"/>
        <w:jc w:val="both"/>
        <w:rPr>
          <w:rFonts w:asciiTheme="majorHAnsi" w:hAnsiTheme="majorHAnsi" w:cstheme="majorHAnsi"/>
          <w:color w:val="000000"/>
          <w:sz w:val="22"/>
          <w:szCs w:val="22"/>
        </w:rPr>
      </w:pPr>
      <w:r>
        <w:rPr>
          <w:rFonts w:asciiTheme="majorHAnsi" w:hAnsiTheme="majorHAnsi"/>
          <w:sz w:val="22"/>
        </w:rPr>
        <w:t xml:space="preserve">Hirugarren lehendakariorde eta Etxebizitzako, Gazteriako eta Migrazio Politiketako kontseilaria: Begoña </w:t>
      </w:r>
      <w:proofErr w:type="spellStart"/>
      <w:r>
        <w:rPr>
          <w:rFonts w:asciiTheme="majorHAnsi" w:hAnsiTheme="majorHAnsi"/>
          <w:sz w:val="22"/>
        </w:rPr>
        <w:t>Alfaro</w:t>
      </w:r>
      <w:proofErr w:type="spellEnd"/>
      <w:r>
        <w:rPr>
          <w:rFonts w:asciiTheme="majorHAnsi" w:hAnsiTheme="majorHAnsi"/>
          <w:sz w:val="22"/>
        </w:rPr>
        <w:t xml:space="preserve"> García</w:t>
      </w:r>
    </w:p>
    <w:sectPr w:rsidR="006D259E" w:rsidRPr="001A4F8F" w:rsidSect="00C7050A">
      <w:headerReference w:type="first" r:id="rId8"/>
      <w:footerReference w:type="first" r:id="rId9"/>
      <w:pgSz w:w="11901" w:h="16817" w:code="9"/>
      <w:pgMar w:top="1560" w:right="1418" w:bottom="1985"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9CB5" w14:textId="77777777" w:rsidR="008C5A2E" w:rsidRDefault="008C5A2E">
      <w:r>
        <w:separator/>
      </w:r>
    </w:p>
  </w:endnote>
  <w:endnote w:type="continuationSeparator" w:id="0">
    <w:p w14:paraId="415E8F02" w14:textId="77777777" w:rsidR="008C5A2E" w:rsidRDefault="008C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43DF" w14:textId="77777777" w:rsidR="00CB51C6" w:rsidRPr="00A2145B" w:rsidRDefault="00CB51C6"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0556" w14:textId="77777777" w:rsidR="008C5A2E" w:rsidRDefault="008C5A2E">
      <w:r>
        <w:separator/>
      </w:r>
    </w:p>
  </w:footnote>
  <w:footnote w:type="continuationSeparator" w:id="0">
    <w:p w14:paraId="1F6AE6B6" w14:textId="77777777" w:rsidR="008C5A2E" w:rsidRDefault="008C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0D5C" w14:textId="77777777" w:rsidR="00CB51C6" w:rsidRDefault="00CB51C6" w:rsidP="00696F6F">
    <w:pPr>
      <w:pStyle w:val="Encabezado"/>
      <w:ind w:left="-765"/>
    </w:pPr>
    <w:r>
      <w:rPr>
        <w:noProof/>
      </w:rPr>
      <w:drawing>
        <wp:anchor distT="0" distB="0" distL="114300" distR="114300" simplePos="0" relativeHeight="251661312" behindDoc="1" locked="0" layoutInCell="1" allowOverlap="1" wp14:anchorId="1D647FBC" wp14:editId="33850971">
          <wp:simplePos x="419100" y="542925"/>
          <wp:positionH relativeFrom="page">
            <wp:align>left</wp:align>
          </wp:positionH>
          <wp:positionV relativeFrom="page">
            <wp:align>top</wp:align>
          </wp:positionV>
          <wp:extent cx="7560000" cy="1796400"/>
          <wp:effectExtent l="0" t="0" r="317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92609"/>
    <w:multiLevelType w:val="hybridMultilevel"/>
    <w:tmpl w:val="2E9454F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87930359">
    <w:abstractNumId w:val="1"/>
  </w:num>
  <w:num w:numId="2" w16cid:durableId="1128478021">
    <w:abstractNumId w:val="12"/>
  </w:num>
  <w:num w:numId="3" w16cid:durableId="1864858162">
    <w:abstractNumId w:val="3"/>
  </w:num>
  <w:num w:numId="4" w16cid:durableId="180516732">
    <w:abstractNumId w:val="5"/>
  </w:num>
  <w:num w:numId="5" w16cid:durableId="1169371122">
    <w:abstractNumId w:val="14"/>
  </w:num>
  <w:num w:numId="6" w16cid:durableId="365450106">
    <w:abstractNumId w:val="9"/>
  </w:num>
  <w:num w:numId="7" w16cid:durableId="1047801163">
    <w:abstractNumId w:val="2"/>
  </w:num>
  <w:num w:numId="8" w16cid:durableId="1965891268">
    <w:abstractNumId w:val="10"/>
  </w:num>
  <w:num w:numId="9" w16cid:durableId="1503005412">
    <w:abstractNumId w:val="13"/>
  </w:num>
  <w:num w:numId="10" w16cid:durableId="1485120975">
    <w:abstractNumId w:val="7"/>
  </w:num>
  <w:num w:numId="11" w16cid:durableId="520514965">
    <w:abstractNumId w:val="4"/>
  </w:num>
  <w:num w:numId="12" w16cid:durableId="523054640">
    <w:abstractNumId w:val="15"/>
  </w:num>
  <w:num w:numId="13" w16cid:durableId="2073039321">
    <w:abstractNumId w:val="8"/>
  </w:num>
  <w:num w:numId="14" w16cid:durableId="583035728">
    <w:abstractNumId w:val="0"/>
  </w:num>
  <w:num w:numId="15" w16cid:durableId="1870409021">
    <w:abstractNumId w:val="11"/>
  </w:num>
  <w:num w:numId="16" w16cid:durableId="1478259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3787E"/>
    <w:rsid w:val="000631E5"/>
    <w:rsid w:val="000649AC"/>
    <w:rsid w:val="000729E0"/>
    <w:rsid w:val="00083C0A"/>
    <w:rsid w:val="0009463A"/>
    <w:rsid w:val="000B64A1"/>
    <w:rsid w:val="000D5CCC"/>
    <w:rsid w:val="000D79CF"/>
    <w:rsid w:val="00116AF7"/>
    <w:rsid w:val="0014013D"/>
    <w:rsid w:val="00140E32"/>
    <w:rsid w:val="001414EA"/>
    <w:rsid w:val="00165095"/>
    <w:rsid w:val="001671B2"/>
    <w:rsid w:val="00170AFF"/>
    <w:rsid w:val="001A4F8F"/>
    <w:rsid w:val="001B1ACE"/>
    <w:rsid w:val="001F5AE6"/>
    <w:rsid w:val="00247EB5"/>
    <w:rsid w:val="002502D1"/>
    <w:rsid w:val="00253366"/>
    <w:rsid w:val="00277C9A"/>
    <w:rsid w:val="00280F08"/>
    <w:rsid w:val="00297545"/>
    <w:rsid w:val="002A1F37"/>
    <w:rsid w:val="002D2A8E"/>
    <w:rsid w:val="002F09C8"/>
    <w:rsid w:val="00300E54"/>
    <w:rsid w:val="00304004"/>
    <w:rsid w:val="003159A7"/>
    <w:rsid w:val="00330169"/>
    <w:rsid w:val="00340555"/>
    <w:rsid w:val="00341D0D"/>
    <w:rsid w:val="00374714"/>
    <w:rsid w:val="00384363"/>
    <w:rsid w:val="003A51EA"/>
    <w:rsid w:val="003C5A78"/>
    <w:rsid w:val="003F1206"/>
    <w:rsid w:val="00443A44"/>
    <w:rsid w:val="004B47C0"/>
    <w:rsid w:val="004D186D"/>
    <w:rsid w:val="004F08DD"/>
    <w:rsid w:val="00524CFD"/>
    <w:rsid w:val="00532AC0"/>
    <w:rsid w:val="005367EB"/>
    <w:rsid w:val="00562C46"/>
    <w:rsid w:val="00586ABB"/>
    <w:rsid w:val="005A7259"/>
    <w:rsid w:val="005B095B"/>
    <w:rsid w:val="005C6849"/>
    <w:rsid w:val="005C6F85"/>
    <w:rsid w:val="005F55EF"/>
    <w:rsid w:val="005F5C77"/>
    <w:rsid w:val="005F6D5D"/>
    <w:rsid w:val="006557F1"/>
    <w:rsid w:val="006566E5"/>
    <w:rsid w:val="00663B51"/>
    <w:rsid w:val="00683497"/>
    <w:rsid w:val="00696F6F"/>
    <w:rsid w:val="006A249B"/>
    <w:rsid w:val="006A5952"/>
    <w:rsid w:val="006A7F53"/>
    <w:rsid w:val="006D259E"/>
    <w:rsid w:val="007018B0"/>
    <w:rsid w:val="0071169E"/>
    <w:rsid w:val="0072285D"/>
    <w:rsid w:val="00767509"/>
    <w:rsid w:val="00793F61"/>
    <w:rsid w:val="007C55BD"/>
    <w:rsid w:val="007C68F3"/>
    <w:rsid w:val="007F2C1A"/>
    <w:rsid w:val="007F433A"/>
    <w:rsid w:val="00803522"/>
    <w:rsid w:val="00834D40"/>
    <w:rsid w:val="008354B9"/>
    <w:rsid w:val="00840386"/>
    <w:rsid w:val="00843157"/>
    <w:rsid w:val="008533BE"/>
    <w:rsid w:val="00860C26"/>
    <w:rsid w:val="008642B3"/>
    <w:rsid w:val="00890456"/>
    <w:rsid w:val="00890AA3"/>
    <w:rsid w:val="008A6304"/>
    <w:rsid w:val="008C5A2E"/>
    <w:rsid w:val="008F3C04"/>
    <w:rsid w:val="009022B4"/>
    <w:rsid w:val="0090494F"/>
    <w:rsid w:val="00954697"/>
    <w:rsid w:val="00994342"/>
    <w:rsid w:val="009C2ED9"/>
    <w:rsid w:val="009C74F8"/>
    <w:rsid w:val="009E202F"/>
    <w:rsid w:val="009E22FA"/>
    <w:rsid w:val="009E381E"/>
    <w:rsid w:val="009F4CB6"/>
    <w:rsid w:val="00A077F0"/>
    <w:rsid w:val="00A117E7"/>
    <w:rsid w:val="00A2145B"/>
    <w:rsid w:val="00A52259"/>
    <w:rsid w:val="00A85153"/>
    <w:rsid w:val="00A95321"/>
    <w:rsid w:val="00B13A40"/>
    <w:rsid w:val="00B45CCD"/>
    <w:rsid w:val="00B46857"/>
    <w:rsid w:val="00B519DF"/>
    <w:rsid w:val="00B54B7D"/>
    <w:rsid w:val="00B662C6"/>
    <w:rsid w:val="00B67FDD"/>
    <w:rsid w:val="00B829D2"/>
    <w:rsid w:val="00B96F7E"/>
    <w:rsid w:val="00BA344F"/>
    <w:rsid w:val="00BB0885"/>
    <w:rsid w:val="00BB36D2"/>
    <w:rsid w:val="00BD6A02"/>
    <w:rsid w:val="00BE2BD3"/>
    <w:rsid w:val="00C45E0E"/>
    <w:rsid w:val="00C53A08"/>
    <w:rsid w:val="00C7050A"/>
    <w:rsid w:val="00C94995"/>
    <w:rsid w:val="00CA2943"/>
    <w:rsid w:val="00CB51C6"/>
    <w:rsid w:val="00CC1284"/>
    <w:rsid w:val="00CE65F5"/>
    <w:rsid w:val="00CE6FF9"/>
    <w:rsid w:val="00D304C8"/>
    <w:rsid w:val="00D76DC5"/>
    <w:rsid w:val="00D9466D"/>
    <w:rsid w:val="00DA50C6"/>
    <w:rsid w:val="00DA599A"/>
    <w:rsid w:val="00DB4349"/>
    <w:rsid w:val="00DC2904"/>
    <w:rsid w:val="00DD353F"/>
    <w:rsid w:val="00DF6784"/>
    <w:rsid w:val="00E04602"/>
    <w:rsid w:val="00E2704D"/>
    <w:rsid w:val="00E30455"/>
    <w:rsid w:val="00E45FC9"/>
    <w:rsid w:val="00E54191"/>
    <w:rsid w:val="00E5691C"/>
    <w:rsid w:val="00E8181E"/>
    <w:rsid w:val="00E92B04"/>
    <w:rsid w:val="00E96713"/>
    <w:rsid w:val="00EB05BE"/>
    <w:rsid w:val="00F037C2"/>
    <w:rsid w:val="00F042B3"/>
    <w:rsid w:val="00F344C7"/>
    <w:rsid w:val="00F542F4"/>
    <w:rsid w:val="00FD51BC"/>
    <w:rsid w:val="00FD55DC"/>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B89B"/>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51332746">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839202289">
      <w:bodyDiv w:val="1"/>
      <w:marLeft w:val="0"/>
      <w:marRight w:val="0"/>
      <w:marTop w:val="0"/>
      <w:marBottom w:val="0"/>
      <w:divBdr>
        <w:top w:val="none" w:sz="0" w:space="0" w:color="auto"/>
        <w:left w:val="none" w:sz="0" w:space="0" w:color="auto"/>
        <w:bottom w:val="none" w:sz="0" w:space="0" w:color="auto"/>
        <w:right w:val="none" w:sz="0" w:space="0" w:color="auto"/>
      </w:divBdr>
    </w:div>
    <w:div w:id="1440832191">
      <w:bodyDiv w:val="1"/>
      <w:marLeft w:val="0"/>
      <w:marRight w:val="0"/>
      <w:marTop w:val="0"/>
      <w:marBottom w:val="0"/>
      <w:divBdr>
        <w:top w:val="none" w:sz="0" w:space="0" w:color="auto"/>
        <w:left w:val="none" w:sz="0" w:space="0" w:color="auto"/>
        <w:bottom w:val="none" w:sz="0" w:space="0" w:color="auto"/>
        <w:right w:val="none" w:sz="0" w:space="0" w:color="auto"/>
      </w:divBdr>
    </w:div>
    <w:div w:id="2042583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513D-636A-4CD8-8306-52B6EC38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14</cp:revision>
  <cp:lastPrinted>2025-06-26T12:40:00Z</cp:lastPrinted>
  <dcterms:created xsi:type="dcterms:W3CDTF">2025-11-01T05:47:00Z</dcterms:created>
  <dcterms:modified xsi:type="dcterms:W3CDTF">2025-12-12T10:05:00Z</dcterms:modified>
</cp:coreProperties>
</file>