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92CE" w14:textId="5432D6B2" w:rsidR="00D0376E" w:rsidRPr="00D0376E" w:rsidRDefault="00D0376E" w:rsidP="002457D5">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2025eko azaroaren 18a</w:t>
      </w:r>
    </w:p>
    <w:p w14:paraId="6818B5C8" w14:textId="5C8B624A" w:rsidR="00934199" w:rsidRPr="00D0376E" w:rsidRDefault="00B07455" w:rsidP="002457D5">
      <w:pPr>
        <w:spacing w:after="120" w:line="276" w:lineRule="auto"/>
        <w:rPr>
          <w:sz w:val="22"/>
          <w:szCs w:val="22"/>
          <w:rFonts w:asciiTheme="minorHAnsi" w:hAnsiTheme="minorHAnsi" w:cstheme="minorHAnsi"/>
        </w:rPr>
      </w:pPr>
      <w:r>
        <w:rPr>
          <w:sz w:val="22"/>
          <w:color w:val="000000"/>
          <w:rFonts w:asciiTheme="minorHAnsi" w:hAnsiTheme="minorHAnsi"/>
        </w:rPr>
        <w:t xml:space="preserve">UPN talde parlamentarioari atxikitako foru parlamentari </w:t>
      </w:r>
      <w:r>
        <w:rPr>
          <w:sz w:val="22"/>
          <w:color w:val="000000"/>
          <w:rFonts w:asciiTheme="minorHAnsi" w:hAnsiTheme="minorHAnsi"/>
        </w:rPr>
        <w:t xml:space="preserve">Félix Zapatero Soria</w:t>
      </w:r>
      <w:r>
        <w:rPr>
          <w:sz w:val="22"/>
          <w:rFonts w:asciiTheme="minorHAnsi" w:hAnsiTheme="minorHAnsi"/>
        </w:rPr>
        <w:t xml:space="preserve"> jaunak 11-25/PES-00383  idatzizko galdera egin zuen, hondakinak zabortegietan uztearen gaineko zerga dela eta Foru Administrazioak bere gain hartutako kostu osoaren edo eragin ekonomikoari buruz. Bada, Landa Garapeneko eta Ingurumeneko kontseilariak horri buruz ematen dion informazioa:</w:t>
      </w:r>
    </w:p>
    <w:p w14:paraId="5AC70AF4" w14:textId="77777777" w:rsidR="009E58C2" w:rsidRPr="00D0376E" w:rsidRDefault="009E58C2" w:rsidP="002457D5">
      <w:p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Iruñerriko Ingurumen Zentroan tratatu eta kudeatu gabeko hondakin frakzio ezabatuaren ondorioz aplikatutako isurketa zerga jaso da beheko taulan.</w:t>
      </w:r>
    </w:p>
    <w:p w14:paraId="20FC061D" w14:textId="77777777" w:rsidR="009E58C2" w:rsidRPr="009E58C2" w:rsidRDefault="009E58C2" w:rsidP="009E58C2">
      <w:pPr>
        <w:spacing w:line="240" w:lineRule="auto"/>
        <w:ind w:firstLine="723"/>
        <w:rPr>
          <w:rFonts w:eastAsia="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5362"/>
        <w:gridCol w:w="1078"/>
        <w:gridCol w:w="1032"/>
        <w:gridCol w:w="1032"/>
      </w:tblGrid>
      <w:tr w:rsidR="009E58C2" w:rsidRPr="009E58C2" w14:paraId="2C839FD4" w14:textId="77777777" w:rsidTr="00DD04BC">
        <w:trPr>
          <w:trHeight w:val="300"/>
        </w:trPr>
        <w:tc>
          <w:tcPr>
            <w:tcW w:w="2890" w:type="pct"/>
            <w:tcBorders>
              <w:top w:val="nil"/>
              <w:left w:val="nil"/>
              <w:bottom w:val="nil"/>
              <w:right w:val="nil"/>
            </w:tcBorders>
            <w:shd w:val="clear" w:color="auto" w:fill="auto"/>
            <w:vAlign w:val="center"/>
            <w:hideMark/>
          </w:tcPr>
          <w:p w14:paraId="7F834758" w14:textId="77777777" w:rsidR="009E58C2" w:rsidRPr="009E58C2" w:rsidRDefault="009E58C2" w:rsidP="009E58C2">
            <w:pPr>
              <w:spacing w:line="240" w:lineRule="auto"/>
              <w:jc w:val="left"/>
              <w:rPr>
                <w:rFonts w:ascii="Times New Roman" w:hAnsi="Times New Roman"/>
                <w:szCs w:val="24"/>
              </w:rPr>
            </w:pPr>
          </w:p>
        </w:tc>
        <w:tc>
          <w:tcPr>
            <w:tcW w:w="779" w:type="pct"/>
            <w:tcBorders>
              <w:top w:val="nil"/>
              <w:left w:val="nil"/>
              <w:bottom w:val="nil"/>
              <w:right w:val="nil"/>
            </w:tcBorders>
            <w:shd w:val="clear" w:color="000000" w:fill="BFBFBF"/>
            <w:noWrap/>
            <w:vAlign w:val="center"/>
            <w:hideMark/>
          </w:tcPr>
          <w:p w14:paraId="6A54FFBD"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2023</w:t>
            </w:r>
          </w:p>
        </w:tc>
        <w:tc>
          <w:tcPr>
            <w:tcW w:w="665" w:type="pct"/>
            <w:tcBorders>
              <w:top w:val="nil"/>
              <w:left w:val="nil"/>
              <w:bottom w:val="nil"/>
              <w:right w:val="nil"/>
            </w:tcBorders>
            <w:shd w:val="clear" w:color="000000" w:fill="BFBFBF"/>
            <w:noWrap/>
            <w:vAlign w:val="center"/>
            <w:hideMark/>
          </w:tcPr>
          <w:p w14:paraId="59E3F0C4"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2024</w:t>
            </w:r>
          </w:p>
        </w:tc>
        <w:tc>
          <w:tcPr>
            <w:tcW w:w="666" w:type="pct"/>
            <w:tcBorders>
              <w:top w:val="nil"/>
              <w:left w:val="nil"/>
              <w:bottom w:val="nil"/>
              <w:right w:val="nil"/>
            </w:tcBorders>
            <w:shd w:val="clear" w:color="000000" w:fill="BFBFBF"/>
          </w:tcPr>
          <w:p w14:paraId="189879C1"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2025*</w:t>
            </w:r>
          </w:p>
        </w:tc>
      </w:tr>
      <w:tr w:rsidR="009E58C2" w:rsidRPr="009E58C2" w14:paraId="75D89CD6" w14:textId="77777777" w:rsidTr="00DD04BC">
        <w:trPr>
          <w:trHeight w:val="315"/>
        </w:trPr>
        <w:tc>
          <w:tcPr>
            <w:tcW w:w="2890" w:type="pct"/>
            <w:tcBorders>
              <w:top w:val="nil"/>
              <w:left w:val="nil"/>
              <w:bottom w:val="nil"/>
              <w:right w:val="nil"/>
            </w:tcBorders>
            <w:shd w:val="clear" w:color="auto" w:fill="auto"/>
            <w:vAlign w:val="center"/>
            <w:hideMark/>
          </w:tcPr>
          <w:p w14:paraId="50976321" w14:textId="77777777" w:rsidR="009E58C2" w:rsidRPr="009E58C2" w:rsidRDefault="009E58C2" w:rsidP="009E58C2">
            <w:pPr>
              <w:spacing w:line="240" w:lineRule="auto"/>
              <w:jc w:val="right"/>
              <w:rPr>
                <w:rFonts w:ascii="Calibri" w:hAnsi="Calibri" w:cs="Calibri"/>
                <w:b/>
                <w:bCs/>
                <w:sz w:val="22"/>
                <w:szCs w:val="22"/>
              </w:rPr>
            </w:pPr>
          </w:p>
        </w:tc>
        <w:tc>
          <w:tcPr>
            <w:tcW w:w="779" w:type="pct"/>
            <w:tcBorders>
              <w:top w:val="nil"/>
              <w:left w:val="nil"/>
              <w:bottom w:val="nil"/>
              <w:right w:val="nil"/>
            </w:tcBorders>
            <w:shd w:val="clear" w:color="auto" w:fill="auto"/>
            <w:vAlign w:val="center"/>
            <w:hideMark/>
          </w:tcPr>
          <w:p w14:paraId="5AC2BE08" w14:textId="77777777" w:rsidR="009E58C2" w:rsidRPr="009E58C2" w:rsidRDefault="009E58C2" w:rsidP="009E58C2">
            <w:pPr>
              <w:spacing w:line="240" w:lineRule="auto"/>
              <w:jc w:val="left"/>
              <w:rPr>
                <w:rFonts w:ascii="Times New Roman" w:hAnsi="Times New Roman"/>
                <w:sz w:val="20"/>
              </w:rPr>
            </w:pPr>
          </w:p>
        </w:tc>
        <w:tc>
          <w:tcPr>
            <w:tcW w:w="665" w:type="pct"/>
            <w:tcBorders>
              <w:top w:val="nil"/>
              <w:left w:val="nil"/>
              <w:bottom w:val="nil"/>
              <w:right w:val="nil"/>
            </w:tcBorders>
            <w:shd w:val="clear" w:color="auto" w:fill="auto"/>
            <w:vAlign w:val="center"/>
            <w:hideMark/>
          </w:tcPr>
          <w:p w14:paraId="7C0118F6" w14:textId="77777777" w:rsidR="009E58C2" w:rsidRPr="009E58C2" w:rsidRDefault="009E58C2" w:rsidP="009E58C2">
            <w:pPr>
              <w:spacing w:line="240" w:lineRule="auto"/>
              <w:jc w:val="left"/>
              <w:rPr>
                <w:rFonts w:ascii="Times New Roman" w:hAnsi="Times New Roman"/>
                <w:sz w:val="20"/>
              </w:rPr>
            </w:pPr>
          </w:p>
        </w:tc>
        <w:tc>
          <w:tcPr>
            <w:tcW w:w="666" w:type="pct"/>
            <w:tcBorders>
              <w:top w:val="nil"/>
              <w:left w:val="nil"/>
              <w:bottom w:val="nil"/>
              <w:right w:val="nil"/>
            </w:tcBorders>
          </w:tcPr>
          <w:p w14:paraId="51279053" w14:textId="77777777" w:rsidR="009E58C2" w:rsidRPr="009E58C2" w:rsidRDefault="009E58C2" w:rsidP="009E58C2">
            <w:pPr>
              <w:spacing w:line="240" w:lineRule="auto"/>
              <w:jc w:val="left"/>
              <w:rPr>
                <w:rFonts w:ascii="Times New Roman" w:hAnsi="Times New Roman"/>
                <w:sz w:val="20"/>
              </w:rPr>
            </w:pPr>
          </w:p>
        </w:tc>
      </w:tr>
      <w:tr w:rsidR="009E58C2" w:rsidRPr="009E58C2" w14:paraId="6FD0BB56" w14:textId="77777777" w:rsidTr="00DD04BC">
        <w:trPr>
          <w:trHeight w:val="315"/>
        </w:trPr>
        <w:tc>
          <w:tcPr>
            <w:tcW w:w="2890" w:type="pct"/>
            <w:tcBorders>
              <w:top w:val="single" w:sz="8" w:space="0" w:color="auto"/>
              <w:left w:val="nil"/>
              <w:bottom w:val="single" w:sz="8" w:space="0" w:color="auto"/>
              <w:right w:val="nil"/>
            </w:tcBorders>
            <w:shd w:val="clear" w:color="000000" w:fill="A5A5A5"/>
            <w:noWrap/>
            <w:vAlign w:val="center"/>
            <w:hideMark/>
          </w:tcPr>
          <w:p w14:paraId="1205B209" w14:textId="77777777" w:rsidR="009E58C2" w:rsidRPr="009E58C2" w:rsidRDefault="009E58C2" w:rsidP="009E58C2">
            <w:pPr>
              <w:spacing w:line="240" w:lineRule="auto"/>
              <w:jc w:val="left"/>
              <w:rPr>
                <w:b/>
                <w:bCs/>
                <w:sz w:val="22"/>
                <w:szCs w:val="22"/>
                <w:rFonts w:ascii="Calibri" w:hAnsi="Calibri" w:cs="Calibri"/>
              </w:rPr>
            </w:pPr>
            <w:r>
              <w:rPr>
                <w:b/>
                <w:sz w:val="22"/>
                <w:rFonts w:ascii="Calibri" w:hAnsi="Calibri"/>
              </w:rPr>
              <w:t xml:space="preserve">JASOTAKO HONDAKIN FRAKZIOA</w:t>
            </w:r>
            <w:r>
              <w:rPr>
                <w:b/>
                <w:sz w:val="22"/>
                <w:rFonts w:ascii="Calibri" w:hAnsi="Calibri"/>
              </w:rPr>
              <w:t xml:space="preserve"> </w:t>
            </w:r>
          </w:p>
        </w:tc>
        <w:tc>
          <w:tcPr>
            <w:tcW w:w="779" w:type="pct"/>
            <w:tcBorders>
              <w:top w:val="single" w:sz="8" w:space="0" w:color="auto"/>
              <w:left w:val="nil"/>
              <w:bottom w:val="single" w:sz="8" w:space="0" w:color="auto"/>
              <w:right w:val="nil"/>
            </w:tcBorders>
            <w:shd w:val="clear" w:color="000000" w:fill="A5A5A5"/>
            <w:noWrap/>
            <w:vAlign w:val="center"/>
            <w:hideMark/>
          </w:tcPr>
          <w:p w14:paraId="7F8BB325"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62.863</w:t>
            </w:r>
          </w:p>
        </w:tc>
        <w:tc>
          <w:tcPr>
            <w:tcW w:w="665" w:type="pct"/>
            <w:tcBorders>
              <w:top w:val="single" w:sz="8" w:space="0" w:color="auto"/>
              <w:left w:val="nil"/>
              <w:bottom w:val="single" w:sz="8" w:space="0" w:color="auto"/>
              <w:right w:val="single" w:sz="8" w:space="0" w:color="auto"/>
            </w:tcBorders>
            <w:shd w:val="clear" w:color="000000" w:fill="A5A5A5"/>
            <w:noWrap/>
            <w:vAlign w:val="center"/>
            <w:hideMark/>
          </w:tcPr>
          <w:p w14:paraId="2D649545"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64.031</w:t>
            </w:r>
          </w:p>
        </w:tc>
        <w:tc>
          <w:tcPr>
            <w:tcW w:w="666" w:type="pct"/>
            <w:tcBorders>
              <w:top w:val="single" w:sz="8" w:space="0" w:color="auto"/>
              <w:left w:val="nil"/>
              <w:bottom w:val="single" w:sz="8" w:space="0" w:color="auto"/>
              <w:right w:val="single" w:sz="8" w:space="0" w:color="auto"/>
            </w:tcBorders>
            <w:shd w:val="clear" w:color="000000" w:fill="A5A5A5"/>
            <w:vAlign w:val="bottom"/>
          </w:tcPr>
          <w:p w14:paraId="06BF313E" w14:textId="77777777" w:rsidR="009E58C2" w:rsidRPr="009E58C2" w:rsidRDefault="009E58C2" w:rsidP="009E58C2">
            <w:pPr>
              <w:spacing w:line="240" w:lineRule="auto"/>
              <w:jc w:val="right"/>
              <w:rPr>
                <w:b/>
                <w:bCs/>
                <w:sz w:val="22"/>
                <w:szCs w:val="22"/>
                <w:rFonts w:ascii="Calibri" w:hAnsi="Calibri" w:cs="Calibri"/>
              </w:rPr>
            </w:pPr>
            <w:r>
              <w:rPr>
                <w:b/>
                <w:sz w:val="22"/>
                <w:rFonts w:ascii="Calibri" w:hAnsi="Calibri"/>
              </w:rPr>
              <w:t xml:space="preserve">58.500</w:t>
            </w:r>
          </w:p>
        </w:tc>
      </w:tr>
      <w:tr w:rsidR="009E58C2" w:rsidRPr="009E58C2" w14:paraId="188B94C4" w14:textId="77777777" w:rsidTr="00DD04BC">
        <w:trPr>
          <w:trHeight w:val="300"/>
        </w:trPr>
        <w:tc>
          <w:tcPr>
            <w:tcW w:w="2890" w:type="pct"/>
            <w:tcBorders>
              <w:top w:val="nil"/>
              <w:left w:val="nil"/>
              <w:bottom w:val="nil"/>
              <w:right w:val="nil"/>
            </w:tcBorders>
            <w:shd w:val="clear" w:color="auto" w:fill="auto"/>
            <w:noWrap/>
            <w:vAlign w:val="bottom"/>
            <w:hideMark/>
          </w:tcPr>
          <w:p w14:paraId="35AFCBB4" w14:textId="77777777" w:rsidR="009E58C2" w:rsidRPr="009E58C2" w:rsidRDefault="009E58C2" w:rsidP="009E58C2">
            <w:pPr>
              <w:spacing w:line="240" w:lineRule="auto"/>
              <w:jc w:val="right"/>
              <w:rPr>
                <w:rFonts w:ascii="Calibri" w:hAnsi="Calibri" w:cs="Calibri"/>
                <w:b/>
                <w:bCs/>
                <w:sz w:val="22"/>
                <w:szCs w:val="22"/>
              </w:rPr>
            </w:pPr>
          </w:p>
        </w:tc>
        <w:tc>
          <w:tcPr>
            <w:tcW w:w="779" w:type="pct"/>
            <w:tcBorders>
              <w:top w:val="nil"/>
              <w:left w:val="nil"/>
              <w:bottom w:val="nil"/>
              <w:right w:val="nil"/>
            </w:tcBorders>
            <w:shd w:val="clear" w:color="auto" w:fill="auto"/>
            <w:noWrap/>
            <w:vAlign w:val="bottom"/>
            <w:hideMark/>
          </w:tcPr>
          <w:p w14:paraId="34267CCD" w14:textId="77777777" w:rsidR="009E58C2" w:rsidRPr="009E58C2" w:rsidRDefault="009E58C2" w:rsidP="009E58C2">
            <w:pPr>
              <w:spacing w:line="240" w:lineRule="auto"/>
              <w:jc w:val="left"/>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438E9818" w14:textId="77777777" w:rsidR="009E58C2" w:rsidRPr="009E58C2" w:rsidRDefault="009E58C2" w:rsidP="009E58C2">
            <w:pPr>
              <w:spacing w:line="240" w:lineRule="auto"/>
              <w:jc w:val="left"/>
              <w:rPr>
                <w:rFonts w:ascii="Times New Roman" w:hAnsi="Times New Roman"/>
                <w:sz w:val="20"/>
              </w:rPr>
            </w:pPr>
          </w:p>
        </w:tc>
        <w:tc>
          <w:tcPr>
            <w:tcW w:w="666" w:type="pct"/>
            <w:tcBorders>
              <w:top w:val="nil"/>
              <w:left w:val="nil"/>
              <w:bottom w:val="nil"/>
              <w:right w:val="nil"/>
            </w:tcBorders>
            <w:vAlign w:val="bottom"/>
          </w:tcPr>
          <w:p w14:paraId="506D9F78" w14:textId="77777777" w:rsidR="009E58C2" w:rsidRPr="009E58C2" w:rsidRDefault="009E58C2" w:rsidP="009E58C2">
            <w:pPr>
              <w:spacing w:line="240" w:lineRule="auto"/>
              <w:jc w:val="left"/>
              <w:rPr>
                <w:rFonts w:ascii="Times New Roman" w:hAnsi="Times New Roman"/>
                <w:sz w:val="20"/>
              </w:rPr>
            </w:pPr>
          </w:p>
        </w:tc>
      </w:tr>
      <w:tr w:rsidR="009E58C2" w:rsidRPr="009E58C2" w14:paraId="096BA93A" w14:textId="77777777" w:rsidTr="00DD04BC">
        <w:trPr>
          <w:trHeight w:val="300"/>
        </w:trPr>
        <w:tc>
          <w:tcPr>
            <w:tcW w:w="2890" w:type="pct"/>
            <w:tcBorders>
              <w:top w:val="nil"/>
              <w:left w:val="nil"/>
              <w:bottom w:val="nil"/>
              <w:right w:val="nil"/>
            </w:tcBorders>
            <w:shd w:val="clear" w:color="auto" w:fill="auto"/>
            <w:noWrap/>
            <w:vAlign w:val="bottom"/>
            <w:hideMark/>
          </w:tcPr>
          <w:p w14:paraId="3DD6D255" w14:textId="77777777" w:rsidR="009E58C2" w:rsidRPr="009E58C2" w:rsidRDefault="009E58C2" w:rsidP="009E58C2">
            <w:pPr>
              <w:spacing w:line="240" w:lineRule="auto"/>
              <w:jc w:val="left"/>
              <w:rPr>
                <w:b/>
                <w:bCs/>
                <w:color w:val="000000"/>
                <w:sz w:val="22"/>
                <w:szCs w:val="22"/>
                <w:rFonts w:ascii="Calibri" w:hAnsi="Calibri" w:cs="Calibri"/>
              </w:rPr>
            </w:pPr>
            <w:r>
              <w:rPr>
                <w:b/>
                <w:color w:val="000000"/>
                <w:sz w:val="22"/>
                <w:rFonts w:ascii="Calibri" w:hAnsi="Calibri"/>
              </w:rPr>
              <w:t xml:space="preserve">Zerga aplikatzeko HONDAKINEN tonak</w:t>
            </w:r>
            <w:r>
              <w:rPr>
                <w:b/>
                <w:color w:val="000000"/>
                <w:sz w:val="22"/>
                <w:rFonts w:ascii="Calibri" w:hAnsi="Calibri"/>
              </w:rPr>
              <w:t xml:space="preserve"> </w:t>
            </w:r>
          </w:p>
        </w:tc>
        <w:tc>
          <w:tcPr>
            <w:tcW w:w="779" w:type="pct"/>
            <w:tcBorders>
              <w:top w:val="nil"/>
              <w:left w:val="nil"/>
              <w:bottom w:val="nil"/>
              <w:right w:val="nil"/>
            </w:tcBorders>
            <w:shd w:val="clear" w:color="000000" w:fill="B4C6E7"/>
            <w:noWrap/>
            <w:vAlign w:val="bottom"/>
            <w:hideMark/>
          </w:tcPr>
          <w:p w14:paraId="754FEA61" w14:textId="77777777" w:rsidR="009E58C2" w:rsidRPr="009E58C2" w:rsidRDefault="009E58C2" w:rsidP="009E58C2">
            <w:pPr>
              <w:spacing w:line="240" w:lineRule="auto"/>
              <w:jc w:val="right"/>
              <w:rPr>
                <w:b/>
                <w:bCs/>
                <w:color w:val="000000"/>
                <w:sz w:val="22"/>
                <w:szCs w:val="22"/>
                <w:rFonts w:ascii="Calibri" w:hAnsi="Calibri" w:cs="Calibri"/>
              </w:rPr>
            </w:pPr>
            <w:r>
              <w:rPr>
                <w:b/>
                <w:color w:val="000000"/>
                <w:sz w:val="22"/>
                <w:rFonts w:ascii="Calibri" w:hAnsi="Calibri"/>
              </w:rPr>
              <w:t xml:space="preserve">62.863</w:t>
            </w:r>
          </w:p>
        </w:tc>
        <w:tc>
          <w:tcPr>
            <w:tcW w:w="665" w:type="pct"/>
            <w:tcBorders>
              <w:top w:val="nil"/>
              <w:left w:val="nil"/>
              <w:bottom w:val="nil"/>
              <w:right w:val="nil"/>
            </w:tcBorders>
            <w:shd w:val="clear" w:color="000000" w:fill="B4C6E7"/>
            <w:noWrap/>
            <w:vAlign w:val="bottom"/>
            <w:hideMark/>
          </w:tcPr>
          <w:p w14:paraId="15DF93D6" w14:textId="77777777" w:rsidR="009E58C2" w:rsidRPr="009E58C2" w:rsidRDefault="009E58C2" w:rsidP="009E58C2">
            <w:pPr>
              <w:spacing w:line="240" w:lineRule="auto"/>
              <w:jc w:val="right"/>
              <w:rPr>
                <w:b/>
                <w:bCs/>
                <w:color w:val="000000"/>
                <w:sz w:val="22"/>
                <w:szCs w:val="22"/>
                <w:rFonts w:ascii="Calibri" w:hAnsi="Calibri" w:cs="Calibri"/>
              </w:rPr>
            </w:pPr>
            <w:r>
              <w:rPr>
                <w:b/>
                <w:color w:val="000000"/>
                <w:sz w:val="22"/>
                <w:rFonts w:ascii="Calibri" w:hAnsi="Calibri"/>
              </w:rPr>
              <w:t xml:space="preserve">64.031</w:t>
            </w:r>
          </w:p>
        </w:tc>
        <w:tc>
          <w:tcPr>
            <w:tcW w:w="666" w:type="pct"/>
            <w:tcBorders>
              <w:top w:val="nil"/>
              <w:left w:val="nil"/>
              <w:bottom w:val="nil"/>
              <w:right w:val="nil"/>
            </w:tcBorders>
            <w:shd w:val="clear" w:color="000000" w:fill="B4C6E7"/>
            <w:vAlign w:val="bottom"/>
          </w:tcPr>
          <w:p w14:paraId="3D373150" w14:textId="77777777" w:rsidR="009E58C2" w:rsidRPr="009E58C2" w:rsidRDefault="009E58C2" w:rsidP="009E58C2">
            <w:pPr>
              <w:spacing w:line="240" w:lineRule="auto"/>
              <w:jc w:val="right"/>
              <w:rPr>
                <w:b/>
                <w:bCs/>
                <w:color w:val="000000"/>
                <w:sz w:val="22"/>
                <w:szCs w:val="22"/>
                <w:rFonts w:ascii="Calibri" w:hAnsi="Calibri" w:cs="Calibri"/>
              </w:rPr>
            </w:pPr>
            <w:r>
              <w:rPr>
                <w:b/>
                <w:color w:val="000000"/>
                <w:sz w:val="22"/>
                <w:rFonts w:ascii="Calibri" w:hAnsi="Calibri"/>
              </w:rPr>
              <w:t xml:space="preserve">58.500</w:t>
            </w:r>
          </w:p>
        </w:tc>
      </w:tr>
      <w:tr w:rsidR="009E58C2" w:rsidRPr="009E58C2" w14:paraId="48315C97" w14:textId="77777777" w:rsidTr="00DD04BC">
        <w:trPr>
          <w:trHeight w:val="315"/>
        </w:trPr>
        <w:tc>
          <w:tcPr>
            <w:tcW w:w="2890" w:type="pct"/>
            <w:tcBorders>
              <w:top w:val="nil"/>
              <w:left w:val="nil"/>
              <w:bottom w:val="single" w:sz="8" w:space="0" w:color="auto"/>
              <w:right w:val="nil"/>
            </w:tcBorders>
            <w:shd w:val="clear" w:color="auto" w:fill="auto"/>
            <w:noWrap/>
            <w:vAlign w:val="bottom"/>
            <w:hideMark/>
          </w:tcPr>
          <w:p w14:paraId="0247BD69"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Aplikatutako isurketa zerga, eurotan</w:t>
            </w:r>
            <w:r>
              <w:rPr>
                <w:color w:val="000000"/>
                <w:sz w:val="22"/>
                <w:rFonts w:ascii="Calibri" w:hAnsi="Calibri"/>
              </w:rPr>
              <w:t xml:space="preserve"> </w:t>
            </w:r>
          </w:p>
        </w:tc>
        <w:tc>
          <w:tcPr>
            <w:tcW w:w="779" w:type="pct"/>
            <w:tcBorders>
              <w:top w:val="nil"/>
              <w:left w:val="nil"/>
              <w:bottom w:val="single" w:sz="8" w:space="0" w:color="auto"/>
              <w:right w:val="nil"/>
            </w:tcBorders>
            <w:shd w:val="clear" w:color="auto" w:fill="auto"/>
            <w:noWrap/>
            <w:vAlign w:val="bottom"/>
            <w:hideMark/>
          </w:tcPr>
          <w:p w14:paraId="153A267C"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2.514.507</w:t>
            </w:r>
          </w:p>
        </w:tc>
        <w:tc>
          <w:tcPr>
            <w:tcW w:w="665" w:type="pct"/>
            <w:tcBorders>
              <w:top w:val="nil"/>
              <w:left w:val="nil"/>
              <w:bottom w:val="single" w:sz="8" w:space="0" w:color="auto"/>
              <w:right w:val="nil"/>
            </w:tcBorders>
            <w:shd w:val="clear" w:color="auto" w:fill="auto"/>
            <w:noWrap/>
            <w:vAlign w:val="bottom"/>
            <w:hideMark/>
          </w:tcPr>
          <w:p w14:paraId="72E32582"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2.561.233</w:t>
            </w:r>
          </w:p>
        </w:tc>
        <w:tc>
          <w:tcPr>
            <w:tcW w:w="666" w:type="pct"/>
            <w:tcBorders>
              <w:top w:val="nil"/>
              <w:left w:val="nil"/>
              <w:bottom w:val="single" w:sz="8" w:space="0" w:color="auto"/>
              <w:right w:val="nil"/>
            </w:tcBorders>
            <w:vAlign w:val="bottom"/>
          </w:tcPr>
          <w:p w14:paraId="0F22E17E"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2.340.000</w:t>
            </w:r>
          </w:p>
        </w:tc>
      </w:tr>
      <w:tr w:rsidR="009E58C2" w:rsidRPr="009E58C2" w14:paraId="1A11EB16" w14:textId="77777777" w:rsidTr="00DD04BC">
        <w:trPr>
          <w:trHeight w:val="300"/>
        </w:trPr>
        <w:tc>
          <w:tcPr>
            <w:tcW w:w="2890" w:type="pct"/>
            <w:tcBorders>
              <w:top w:val="nil"/>
              <w:left w:val="nil"/>
              <w:bottom w:val="nil"/>
              <w:right w:val="nil"/>
            </w:tcBorders>
            <w:shd w:val="clear" w:color="auto" w:fill="auto"/>
            <w:noWrap/>
            <w:vAlign w:val="bottom"/>
            <w:hideMark/>
          </w:tcPr>
          <w:p w14:paraId="28B9E114" w14:textId="77777777" w:rsidR="009E58C2" w:rsidRPr="009E58C2" w:rsidRDefault="009E58C2" w:rsidP="009E58C2">
            <w:pPr>
              <w:spacing w:line="240" w:lineRule="auto"/>
              <w:jc w:val="right"/>
              <w:rPr>
                <w:rFonts w:ascii="Calibri" w:hAnsi="Calibri" w:cs="Calibri"/>
                <w:color w:val="000000"/>
                <w:sz w:val="22"/>
                <w:szCs w:val="22"/>
              </w:rPr>
            </w:pPr>
          </w:p>
        </w:tc>
        <w:tc>
          <w:tcPr>
            <w:tcW w:w="779" w:type="pct"/>
            <w:tcBorders>
              <w:top w:val="nil"/>
              <w:left w:val="nil"/>
              <w:bottom w:val="nil"/>
              <w:right w:val="nil"/>
            </w:tcBorders>
            <w:shd w:val="clear" w:color="auto" w:fill="auto"/>
            <w:noWrap/>
            <w:vAlign w:val="bottom"/>
            <w:hideMark/>
          </w:tcPr>
          <w:p w14:paraId="7DFC7608" w14:textId="77777777" w:rsidR="009E58C2" w:rsidRPr="009E58C2" w:rsidRDefault="009E58C2" w:rsidP="009E58C2">
            <w:pPr>
              <w:spacing w:line="240" w:lineRule="auto"/>
              <w:jc w:val="left"/>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594912D5" w14:textId="77777777" w:rsidR="009E58C2" w:rsidRPr="009E58C2" w:rsidRDefault="009E58C2" w:rsidP="009E58C2">
            <w:pPr>
              <w:spacing w:line="240" w:lineRule="auto"/>
              <w:jc w:val="left"/>
              <w:rPr>
                <w:rFonts w:ascii="Times New Roman" w:hAnsi="Times New Roman"/>
                <w:sz w:val="20"/>
              </w:rPr>
            </w:pPr>
          </w:p>
        </w:tc>
        <w:tc>
          <w:tcPr>
            <w:tcW w:w="666" w:type="pct"/>
            <w:tcBorders>
              <w:top w:val="nil"/>
              <w:left w:val="nil"/>
              <w:bottom w:val="nil"/>
              <w:right w:val="nil"/>
            </w:tcBorders>
            <w:vAlign w:val="bottom"/>
          </w:tcPr>
          <w:p w14:paraId="63644E04" w14:textId="77777777" w:rsidR="009E58C2" w:rsidRPr="009E58C2" w:rsidRDefault="009E58C2" w:rsidP="009E58C2">
            <w:pPr>
              <w:spacing w:line="240" w:lineRule="auto"/>
              <w:jc w:val="left"/>
              <w:rPr>
                <w:rFonts w:ascii="Times New Roman" w:hAnsi="Times New Roman"/>
                <w:sz w:val="20"/>
              </w:rPr>
            </w:pPr>
          </w:p>
        </w:tc>
      </w:tr>
      <w:tr w:rsidR="009E58C2" w:rsidRPr="009E58C2" w14:paraId="77C84264" w14:textId="77777777" w:rsidTr="00DD04BC">
        <w:trPr>
          <w:trHeight w:val="600"/>
        </w:trPr>
        <w:tc>
          <w:tcPr>
            <w:tcW w:w="2890" w:type="pct"/>
            <w:tcBorders>
              <w:top w:val="nil"/>
              <w:left w:val="nil"/>
              <w:bottom w:val="nil"/>
              <w:right w:val="nil"/>
            </w:tcBorders>
            <w:shd w:val="clear" w:color="auto" w:fill="auto"/>
            <w:vAlign w:val="bottom"/>
            <w:hideMark/>
          </w:tcPr>
          <w:p w14:paraId="3C747998"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Isurketara joanen liratekeen HONDAKINEN tratamenduaren ERREFUS tonak</w:t>
            </w:r>
            <w:r>
              <w:rPr>
                <w:color w:val="000000"/>
                <w:sz w:val="22"/>
                <w:rFonts w:ascii="Calibri" w:hAnsi="Calibri"/>
              </w:rPr>
              <w:t xml:space="preserve"> </w:t>
            </w:r>
          </w:p>
        </w:tc>
        <w:tc>
          <w:tcPr>
            <w:tcW w:w="779" w:type="pct"/>
            <w:tcBorders>
              <w:top w:val="nil"/>
              <w:left w:val="nil"/>
              <w:bottom w:val="nil"/>
              <w:right w:val="nil"/>
            </w:tcBorders>
            <w:shd w:val="clear" w:color="auto" w:fill="auto"/>
            <w:noWrap/>
            <w:vAlign w:val="bottom"/>
            <w:hideMark/>
          </w:tcPr>
          <w:p w14:paraId="5B698473"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35.845</w:t>
            </w:r>
          </w:p>
        </w:tc>
        <w:tc>
          <w:tcPr>
            <w:tcW w:w="665" w:type="pct"/>
            <w:tcBorders>
              <w:top w:val="nil"/>
              <w:left w:val="nil"/>
              <w:bottom w:val="nil"/>
              <w:right w:val="nil"/>
            </w:tcBorders>
            <w:shd w:val="clear" w:color="auto" w:fill="auto"/>
            <w:noWrap/>
            <w:vAlign w:val="bottom"/>
            <w:hideMark/>
          </w:tcPr>
          <w:p w14:paraId="7A0B0D82"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35.492</w:t>
            </w:r>
          </w:p>
        </w:tc>
        <w:tc>
          <w:tcPr>
            <w:tcW w:w="666" w:type="pct"/>
            <w:tcBorders>
              <w:top w:val="nil"/>
              <w:left w:val="nil"/>
              <w:bottom w:val="nil"/>
              <w:right w:val="nil"/>
            </w:tcBorders>
            <w:vAlign w:val="bottom"/>
          </w:tcPr>
          <w:p w14:paraId="15123D59"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32.427</w:t>
            </w:r>
          </w:p>
        </w:tc>
      </w:tr>
      <w:tr w:rsidR="009E58C2" w:rsidRPr="009E58C2" w14:paraId="3863FF96" w14:textId="77777777" w:rsidTr="00DD04BC">
        <w:trPr>
          <w:trHeight w:val="315"/>
        </w:trPr>
        <w:tc>
          <w:tcPr>
            <w:tcW w:w="2890" w:type="pct"/>
            <w:tcBorders>
              <w:top w:val="nil"/>
              <w:left w:val="nil"/>
              <w:bottom w:val="single" w:sz="8" w:space="0" w:color="auto"/>
              <w:right w:val="nil"/>
            </w:tcBorders>
            <w:shd w:val="clear" w:color="auto" w:fill="auto"/>
            <w:noWrap/>
            <w:vAlign w:val="bottom"/>
            <w:hideMark/>
          </w:tcPr>
          <w:p w14:paraId="58A7E5F8"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Isurketa zerga, HONDAKINEN ERREFUSari aplikatua, eurotan</w:t>
            </w:r>
            <w:r>
              <w:rPr>
                <w:color w:val="000000"/>
                <w:sz w:val="22"/>
                <w:rFonts w:ascii="Calibri" w:hAnsi="Calibri"/>
              </w:rPr>
              <w:t xml:space="preserve"> </w:t>
            </w:r>
          </w:p>
        </w:tc>
        <w:tc>
          <w:tcPr>
            <w:tcW w:w="779" w:type="pct"/>
            <w:tcBorders>
              <w:top w:val="nil"/>
              <w:left w:val="nil"/>
              <w:bottom w:val="single" w:sz="8" w:space="0" w:color="auto"/>
              <w:right w:val="nil"/>
            </w:tcBorders>
            <w:shd w:val="clear" w:color="000000" w:fill="C6E0B4"/>
            <w:noWrap/>
            <w:vAlign w:val="bottom"/>
            <w:hideMark/>
          </w:tcPr>
          <w:p w14:paraId="3C2E4DCF"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1.045.345</w:t>
            </w:r>
          </w:p>
        </w:tc>
        <w:tc>
          <w:tcPr>
            <w:tcW w:w="665" w:type="pct"/>
            <w:tcBorders>
              <w:top w:val="nil"/>
              <w:left w:val="nil"/>
              <w:bottom w:val="single" w:sz="8" w:space="0" w:color="auto"/>
              <w:right w:val="nil"/>
            </w:tcBorders>
            <w:shd w:val="clear" w:color="000000" w:fill="C6E0B4"/>
            <w:noWrap/>
            <w:vAlign w:val="bottom"/>
            <w:hideMark/>
          </w:tcPr>
          <w:p w14:paraId="576BDB8F"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1.064.770</w:t>
            </w:r>
          </w:p>
        </w:tc>
        <w:tc>
          <w:tcPr>
            <w:tcW w:w="666" w:type="pct"/>
            <w:tcBorders>
              <w:top w:val="nil"/>
              <w:left w:val="nil"/>
              <w:bottom w:val="single" w:sz="8" w:space="0" w:color="auto"/>
              <w:right w:val="nil"/>
            </w:tcBorders>
            <w:shd w:val="clear" w:color="000000" w:fill="C6E0B4"/>
            <w:vAlign w:val="bottom"/>
          </w:tcPr>
          <w:p w14:paraId="5FD2E33A"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972.798</w:t>
            </w:r>
          </w:p>
        </w:tc>
      </w:tr>
      <w:tr w:rsidR="009E58C2" w:rsidRPr="009E58C2" w14:paraId="10E18F66" w14:textId="77777777" w:rsidTr="00DD04BC">
        <w:trPr>
          <w:trHeight w:val="300"/>
        </w:trPr>
        <w:tc>
          <w:tcPr>
            <w:tcW w:w="2890" w:type="pct"/>
            <w:tcBorders>
              <w:top w:val="nil"/>
              <w:left w:val="nil"/>
              <w:bottom w:val="nil"/>
              <w:right w:val="nil"/>
            </w:tcBorders>
            <w:shd w:val="clear" w:color="auto" w:fill="auto"/>
            <w:noWrap/>
            <w:vAlign w:val="bottom"/>
            <w:hideMark/>
          </w:tcPr>
          <w:p w14:paraId="6F50FD53" w14:textId="77777777" w:rsidR="009E58C2" w:rsidRPr="009E58C2" w:rsidRDefault="009E58C2" w:rsidP="009E58C2">
            <w:pPr>
              <w:spacing w:line="240" w:lineRule="auto"/>
              <w:jc w:val="right"/>
              <w:rPr>
                <w:rFonts w:ascii="Calibri" w:hAnsi="Calibri" w:cs="Calibri"/>
                <w:color w:val="000000"/>
                <w:sz w:val="22"/>
                <w:szCs w:val="22"/>
              </w:rPr>
            </w:pPr>
          </w:p>
        </w:tc>
        <w:tc>
          <w:tcPr>
            <w:tcW w:w="779" w:type="pct"/>
            <w:tcBorders>
              <w:top w:val="nil"/>
              <w:left w:val="nil"/>
              <w:bottom w:val="nil"/>
              <w:right w:val="nil"/>
            </w:tcBorders>
            <w:shd w:val="clear" w:color="auto" w:fill="auto"/>
            <w:noWrap/>
            <w:vAlign w:val="bottom"/>
            <w:hideMark/>
          </w:tcPr>
          <w:p w14:paraId="11133F35" w14:textId="77777777" w:rsidR="009E58C2" w:rsidRPr="009E58C2" w:rsidRDefault="009E58C2" w:rsidP="009E58C2">
            <w:pPr>
              <w:spacing w:line="240" w:lineRule="auto"/>
              <w:jc w:val="left"/>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2A6C9704" w14:textId="77777777" w:rsidR="009E58C2" w:rsidRPr="009E58C2" w:rsidRDefault="009E58C2" w:rsidP="009E58C2">
            <w:pPr>
              <w:spacing w:line="240" w:lineRule="auto"/>
              <w:jc w:val="left"/>
              <w:rPr>
                <w:rFonts w:ascii="Times New Roman" w:hAnsi="Times New Roman"/>
                <w:sz w:val="20"/>
              </w:rPr>
            </w:pPr>
          </w:p>
        </w:tc>
        <w:tc>
          <w:tcPr>
            <w:tcW w:w="666" w:type="pct"/>
            <w:tcBorders>
              <w:top w:val="nil"/>
              <w:left w:val="nil"/>
              <w:bottom w:val="nil"/>
              <w:right w:val="nil"/>
            </w:tcBorders>
            <w:vAlign w:val="bottom"/>
          </w:tcPr>
          <w:p w14:paraId="22EA483A" w14:textId="77777777" w:rsidR="009E58C2" w:rsidRPr="009E58C2" w:rsidRDefault="009E58C2" w:rsidP="009E58C2">
            <w:pPr>
              <w:spacing w:line="240" w:lineRule="auto"/>
              <w:jc w:val="left"/>
              <w:rPr>
                <w:rFonts w:ascii="Times New Roman" w:hAnsi="Times New Roman"/>
                <w:sz w:val="20"/>
              </w:rPr>
            </w:pPr>
          </w:p>
        </w:tc>
      </w:tr>
      <w:tr w:rsidR="009E58C2" w:rsidRPr="009E58C2" w14:paraId="73B7D10E" w14:textId="77777777" w:rsidTr="00DD04BC">
        <w:trPr>
          <w:trHeight w:val="315"/>
        </w:trPr>
        <w:tc>
          <w:tcPr>
            <w:tcW w:w="2890" w:type="pct"/>
            <w:tcBorders>
              <w:top w:val="nil"/>
              <w:left w:val="nil"/>
              <w:bottom w:val="single" w:sz="8" w:space="0" w:color="auto"/>
              <w:right w:val="nil"/>
            </w:tcBorders>
            <w:shd w:val="clear" w:color="auto" w:fill="auto"/>
            <w:noWrap/>
            <w:vAlign w:val="bottom"/>
            <w:hideMark/>
          </w:tcPr>
          <w:p w14:paraId="3846E39E" w14:textId="77777777" w:rsidR="009E58C2" w:rsidRPr="009E58C2" w:rsidRDefault="009E58C2" w:rsidP="009E58C2">
            <w:pPr>
              <w:spacing w:line="240" w:lineRule="auto"/>
              <w:jc w:val="left"/>
              <w:rPr>
                <w:b/>
                <w:bCs/>
                <w:color w:val="000000"/>
                <w:sz w:val="22"/>
                <w:szCs w:val="22"/>
                <w:rFonts w:ascii="Calibri" w:hAnsi="Calibri" w:cs="Calibri"/>
              </w:rPr>
            </w:pPr>
            <w:r>
              <w:rPr>
                <w:b/>
                <w:color w:val="000000"/>
                <w:sz w:val="22"/>
                <w:rFonts w:ascii="Calibri" w:hAnsi="Calibri"/>
              </w:rPr>
              <w:t xml:space="preserve">Aldea:</w:t>
            </w:r>
            <w:r>
              <w:rPr>
                <w:b/>
                <w:color w:val="000000"/>
                <w:sz w:val="22"/>
                <w:rFonts w:ascii="Calibri" w:hAnsi="Calibri"/>
              </w:rPr>
              <w:t xml:space="preserve"> </w:t>
            </w:r>
          </w:p>
        </w:tc>
        <w:tc>
          <w:tcPr>
            <w:tcW w:w="779" w:type="pct"/>
            <w:tcBorders>
              <w:top w:val="nil"/>
              <w:left w:val="nil"/>
              <w:bottom w:val="single" w:sz="8" w:space="0" w:color="auto"/>
              <w:right w:val="nil"/>
            </w:tcBorders>
            <w:shd w:val="clear" w:color="auto" w:fill="auto"/>
            <w:noWrap/>
            <w:vAlign w:val="bottom"/>
            <w:hideMark/>
          </w:tcPr>
          <w:p w14:paraId="1296FAA5"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 </w:t>
            </w:r>
          </w:p>
        </w:tc>
        <w:tc>
          <w:tcPr>
            <w:tcW w:w="665" w:type="pct"/>
            <w:tcBorders>
              <w:top w:val="nil"/>
              <w:left w:val="nil"/>
              <w:bottom w:val="single" w:sz="8" w:space="0" w:color="auto"/>
              <w:right w:val="nil"/>
            </w:tcBorders>
            <w:shd w:val="clear" w:color="auto" w:fill="auto"/>
            <w:noWrap/>
            <w:vAlign w:val="bottom"/>
            <w:hideMark/>
          </w:tcPr>
          <w:p w14:paraId="451A420A"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 </w:t>
            </w:r>
          </w:p>
        </w:tc>
        <w:tc>
          <w:tcPr>
            <w:tcW w:w="666" w:type="pct"/>
            <w:tcBorders>
              <w:top w:val="nil"/>
              <w:left w:val="nil"/>
              <w:bottom w:val="single" w:sz="8" w:space="0" w:color="auto"/>
              <w:right w:val="nil"/>
            </w:tcBorders>
            <w:vAlign w:val="bottom"/>
          </w:tcPr>
          <w:p w14:paraId="1B645905" w14:textId="77777777" w:rsidR="009E58C2" w:rsidRPr="009E58C2" w:rsidRDefault="009E58C2" w:rsidP="009E58C2">
            <w:pPr>
              <w:spacing w:line="240" w:lineRule="auto"/>
              <w:jc w:val="left"/>
              <w:rPr>
                <w:rFonts w:ascii="Calibri" w:hAnsi="Calibri" w:cs="Calibri"/>
                <w:color w:val="000000"/>
                <w:sz w:val="22"/>
                <w:szCs w:val="22"/>
              </w:rPr>
            </w:pPr>
          </w:p>
        </w:tc>
      </w:tr>
      <w:tr w:rsidR="009E58C2" w:rsidRPr="009E58C2" w14:paraId="2BE0C496" w14:textId="77777777" w:rsidTr="00DD04BC">
        <w:trPr>
          <w:trHeight w:val="405"/>
        </w:trPr>
        <w:tc>
          <w:tcPr>
            <w:tcW w:w="2890" w:type="pct"/>
            <w:tcBorders>
              <w:top w:val="nil"/>
              <w:left w:val="nil"/>
              <w:bottom w:val="nil"/>
              <w:right w:val="nil"/>
            </w:tcBorders>
            <w:shd w:val="clear" w:color="auto" w:fill="auto"/>
            <w:noWrap/>
            <w:vAlign w:val="bottom"/>
            <w:hideMark/>
          </w:tcPr>
          <w:p w14:paraId="6DDC07C9"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Saihestuko liratekeen isuritako tonak</w:t>
            </w:r>
          </w:p>
        </w:tc>
        <w:tc>
          <w:tcPr>
            <w:tcW w:w="779" w:type="pct"/>
            <w:tcBorders>
              <w:top w:val="nil"/>
              <w:left w:val="nil"/>
              <w:bottom w:val="nil"/>
              <w:right w:val="nil"/>
            </w:tcBorders>
            <w:shd w:val="clear" w:color="auto" w:fill="auto"/>
            <w:noWrap/>
            <w:vAlign w:val="bottom"/>
            <w:hideMark/>
          </w:tcPr>
          <w:p w14:paraId="2D23940B"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28.018</w:t>
            </w:r>
          </w:p>
        </w:tc>
        <w:tc>
          <w:tcPr>
            <w:tcW w:w="665" w:type="pct"/>
            <w:tcBorders>
              <w:top w:val="nil"/>
              <w:left w:val="nil"/>
              <w:bottom w:val="nil"/>
              <w:right w:val="nil"/>
            </w:tcBorders>
            <w:shd w:val="clear" w:color="auto" w:fill="auto"/>
            <w:noWrap/>
            <w:vAlign w:val="bottom"/>
            <w:hideMark/>
          </w:tcPr>
          <w:p w14:paraId="48F344BC"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28.538</w:t>
            </w:r>
          </w:p>
        </w:tc>
        <w:tc>
          <w:tcPr>
            <w:tcW w:w="666" w:type="pct"/>
            <w:tcBorders>
              <w:top w:val="nil"/>
              <w:left w:val="nil"/>
              <w:bottom w:val="nil"/>
              <w:right w:val="nil"/>
            </w:tcBorders>
            <w:vAlign w:val="bottom"/>
          </w:tcPr>
          <w:p w14:paraId="37A0B8DD"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26.073</w:t>
            </w:r>
          </w:p>
        </w:tc>
      </w:tr>
      <w:tr w:rsidR="009E58C2" w:rsidRPr="009E58C2" w14:paraId="1D8FE30A" w14:textId="77777777" w:rsidTr="00DD04BC">
        <w:trPr>
          <w:trHeight w:val="315"/>
        </w:trPr>
        <w:tc>
          <w:tcPr>
            <w:tcW w:w="2890" w:type="pct"/>
            <w:tcBorders>
              <w:top w:val="nil"/>
              <w:left w:val="nil"/>
              <w:bottom w:val="single" w:sz="8" w:space="0" w:color="auto"/>
              <w:right w:val="nil"/>
            </w:tcBorders>
            <w:shd w:val="clear" w:color="auto" w:fill="auto"/>
            <w:noWrap/>
            <w:vAlign w:val="bottom"/>
            <w:hideMark/>
          </w:tcPr>
          <w:p w14:paraId="68E28136" w14:textId="77777777" w:rsidR="009E58C2" w:rsidRPr="009E58C2" w:rsidRDefault="009E58C2" w:rsidP="009E58C2">
            <w:pPr>
              <w:spacing w:line="240" w:lineRule="auto"/>
              <w:jc w:val="left"/>
              <w:rPr>
                <w:color w:val="000000"/>
                <w:sz w:val="22"/>
                <w:szCs w:val="22"/>
                <w:rFonts w:ascii="Calibri" w:hAnsi="Calibri" w:cs="Calibri"/>
              </w:rPr>
            </w:pPr>
            <w:r>
              <w:rPr>
                <w:color w:val="000000"/>
                <w:sz w:val="22"/>
                <w:rFonts w:ascii="Calibri" w:hAnsi="Calibri"/>
              </w:rPr>
              <w:t xml:space="preserve">Isurketa zerga, ez tratatzeagatik aplikatua, eurotan</w:t>
            </w:r>
            <w:r>
              <w:rPr>
                <w:color w:val="000000"/>
                <w:sz w:val="22"/>
                <w:rFonts w:ascii="Calibri" w:hAnsi="Calibri"/>
              </w:rPr>
              <w:t xml:space="preserve"> </w:t>
            </w:r>
          </w:p>
        </w:tc>
        <w:tc>
          <w:tcPr>
            <w:tcW w:w="779" w:type="pct"/>
            <w:tcBorders>
              <w:top w:val="nil"/>
              <w:left w:val="nil"/>
              <w:bottom w:val="single" w:sz="8" w:space="0" w:color="auto"/>
              <w:right w:val="nil"/>
            </w:tcBorders>
            <w:shd w:val="clear" w:color="auto" w:fill="auto"/>
            <w:noWrap/>
            <w:vAlign w:val="bottom"/>
            <w:hideMark/>
          </w:tcPr>
          <w:p w14:paraId="5483E2D6"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1.469.163</w:t>
            </w:r>
          </w:p>
        </w:tc>
        <w:tc>
          <w:tcPr>
            <w:tcW w:w="665" w:type="pct"/>
            <w:tcBorders>
              <w:top w:val="nil"/>
              <w:left w:val="nil"/>
              <w:bottom w:val="single" w:sz="8" w:space="0" w:color="auto"/>
              <w:right w:val="nil"/>
            </w:tcBorders>
            <w:shd w:val="clear" w:color="auto" w:fill="auto"/>
            <w:noWrap/>
            <w:vAlign w:val="bottom"/>
            <w:hideMark/>
          </w:tcPr>
          <w:p w14:paraId="62A20CFF"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1.496.463</w:t>
            </w:r>
          </w:p>
        </w:tc>
        <w:tc>
          <w:tcPr>
            <w:tcW w:w="666" w:type="pct"/>
            <w:tcBorders>
              <w:top w:val="nil"/>
              <w:left w:val="nil"/>
              <w:bottom w:val="single" w:sz="8" w:space="0" w:color="auto"/>
              <w:right w:val="nil"/>
            </w:tcBorders>
            <w:vAlign w:val="bottom"/>
          </w:tcPr>
          <w:p w14:paraId="7DD989FE" w14:textId="77777777" w:rsidR="009E58C2" w:rsidRPr="009E58C2" w:rsidRDefault="009E58C2" w:rsidP="009E58C2">
            <w:pPr>
              <w:spacing w:line="240" w:lineRule="auto"/>
              <w:jc w:val="right"/>
              <w:rPr>
                <w:color w:val="000000"/>
                <w:sz w:val="22"/>
                <w:szCs w:val="22"/>
                <w:rFonts w:ascii="Calibri" w:hAnsi="Calibri" w:cs="Calibri"/>
              </w:rPr>
            </w:pPr>
            <w:r>
              <w:rPr>
                <w:color w:val="000000"/>
                <w:sz w:val="22"/>
                <w:rFonts w:ascii="Calibri" w:hAnsi="Calibri"/>
              </w:rPr>
              <w:t xml:space="preserve">1.367.202</w:t>
            </w:r>
          </w:p>
        </w:tc>
      </w:tr>
    </w:tbl>
    <w:p w14:paraId="3405C396" w14:textId="77777777" w:rsidR="009E58C2" w:rsidRPr="009E58C2" w:rsidRDefault="009E58C2" w:rsidP="009E58C2">
      <w:pPr>
        <w:spacing w:line="240" w:lineRule="auto"/>
        <w:rPr>
          <w:color w:val="000000"/>
          <w:sz w:val="18"/>
          <w:szCs w:val="18"/>
          <w:rFonts w:eastAsia="Arial" w:cs="Arial"/>
        </w:rPr>
      </w:pPr>
      <w:r>
        <w:rPr>
          <w:color w:val="000000"/>
          <w:sz w:val="18"/>
        </w:rPr>
        <w:t xml:space="preserve">*Estimatua</w:t>
      </w:r>
    </w:p>
    <w:p w14:paraId="5C2D19DF" w14:textId="77777777" w:rsidR="009E58C2" w:rsidRPr="009E58C2" w:rsidRDefault="009E58C2" w:rsidP="009E58C2">
      <w:pPr>
        <w:spacing w:line="240" w:lineRule="auto"/>
        <w:ind w:firstLine="723"/>
        <w:rPr>
          <w:rFonts w:eastAsia="Arial" w:cs="Arial"/>
          <w:color w:val="000000"/>
          <w:sz w:val="22"/>
          <w:szCs w:val="22"/>
        </w:rPr>
      </w:pPr>
    </w:p>
    <w:p w14:paraId="49466BAF" w14:textId="77777777" w:rsidR="009E58C2" w:rsidRPr="00D0376E" w:rsidRDefault="009E58C2" w:rsidP="002457D5">
      <w:p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Kalkulua egiteko, balio hauek hartu dira kontuan:</w:t>
      </w:r>
    </w:p>
    <w:p w14:paraId="2D9DF317" w14:textId="77777777"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Bildutako hondakinen frakzioa frakzio haren guztizkoa da urte bakoitzerako.</w:t>
      </w:r>
    </w:p>
    <w:p w14:paraId="1F837D05" w14:textId="72C0314D"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Isurketa zerga kalkulatzeko, tona metriko bakoitzeko 40 euroko kuota erabili da, zuzeneko isurketako udal hondakinak baitira, 14/2018 Foru Legearen 37. artikuluaren arabera (2023ko urtarrilaren 1etik aplikatu behar da).</w:t>
      </w:r>
    </w:p>
    <w:p w14:paraId="125FDD1F" w14:textId="26BF2915"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Proiektuaren datuen arabera lortutako % 55eko errefus ehunekoa hartu da kontuan.</w:t>
      </w:r>
    </w:p>
    <w:p w14:paraId="02B29980" w14:textId="77777777"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Hondakinen errefusari aplikatutako isurketaren gaineko zerga kalkulatzeko, 30 euroko kuota erabili da, arestian adierazitako artikulua aplikatuz.</w:t>
      </w:r>
    </w:p>
    <w:p w14:paraId="18B76F90" w14:textId="77777777"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Nola tonak hala tratamendua ez egiteagatik aplikatutako isurketa zerga aurreko datuen kendura dira.</w:t>
      </w:r>
    </w:p>
    <w:p w14:paraId="503F934C" w14:textId="77777777"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2025ean jasotako errefusaren frakzioaren datua estimazio hutsa da.</w:t>
      </w:r>
    </w:p>
    <w:p w14:paraId="3202ACFE" w14:textId="77777777" w:rsidR="009E58C2" w:rsidRPr="00D0376E" w:rsidRDefault="009E58C2" w:rsidP="00D0376E">
      <w:pPr>
        <w:numPr>
          <w:ilvl w:val="0"/>
          <w:numId w:val="18"/>
        </w:numPr>
        <w:spacing w:after="120" w:line="276" w:lineRule="auto"/>
        <w:rPr>
          <w:color w:val="000000"/>
          <w:sz w:val="22"/>
          <w:szCs w:val="22"/>
          <w:rFonts w:asciiTheme="minorHAnsi" w:eastAsia="Arial" w:hAnsiTheme="minorHAnsi" w:cstheme="minorHAnsi"/>
        </w:rPr>
      </w:pPr>
      <w:r>
        <w:rPr>
          <w:color w:val="000000"/>
          <w:sz w:val="22"/>
          <w:rFonts w:asciiTheme="minorHAnsi" w:hAnsiTheme="minorHAnsi"/>
        </w:rPr>
        <w:t xml:space="preserve">2026ari dagokionez, otsail-martxo inguruan martxan jartzen hastea aurreikusten da.</w:t>
      </w:r>
      <w:r>
        <w:rPr>
          <w:color w:val="000000"/>
          <w:sz w:val="22"/>
          <w:rFonts w:asciiTheme="minorHAnsi" w:hAnsiTheme="minorHAnsi"/>
        </w:rPr>
        <w:t xml:space="preserve"> </w:t>
      </w:r>
      <w:r>
        <w:rPr>
          <w:color w:val="000000"/>
          <w:sz w:val="22"/>
          <w:rFonts w:asciiTheme="minorHAnsi" w:hAnsiTheme="minorHAnsi"/>
        </w:rPr>
        <w:t xml:space="preserve">Gaur egunean, ezin da egin tratatuko den frakzio zatiaren estimaziorik, abiaraztearen araberakoa izanen baita hori.</w:t>
      </w:r>
    </w:p>
    <w:p w14:paraId="2BB352B5" w14:textId="77777777" w:rsidR="00A56CCF" w:rsidRPr="00D0376E" w:rsidRDefault="00A56CCF" w:rsidP="00D0376E">
      <w:pPr>
        <w:spacing w:after="120" w:line="276" w:lineRule="auto"/>
        <w:ind w:firstLine="709"/>
        <w:rPr>
          <w:rFonts w:asciiTheme="minorHAnsi" w:hAnsiTheme="minorHAnsi" w:cstheme="minorHAnsi"/>
          <w:sz w:val="22"/>
          <w:szCs w:val="22"/>
        </w:rPr>
      </w:pPr>
    </w:p>
    <w:p w14:paraId="1978B9B4" w14:textId="77777777" w:rsidR="00A56CCF" w:rsidRPr="00D0376E" w:rsidRDefault="00A56CCF" w:rsidP="002457D5">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 betez.</w:t>
      </w:r>
    </w:p>
    <w:p w14:paraId="0826BDA7" w14:textId="00123EE8" w:rsidR="00934199" w:rsidRPr="00D0376E" w:rsidRDefault="00A56CCF" w:rsidP="00D0376E">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2025ko azaroaren </w:t>
      </w:r>
      <w:r>
        <w:rPr>
          <w:color w:val="000000"/>
          <w:sz w:val="22"/>
          <w:i w:val="false"/>
          <w:iCs w:val="false"/>
          <w:rFonts w:asciiTheme="minorHAnsi" w:hAnsiTheme="minorHAnsi"/>
        </w:rPr>
        <w:t xml:space="preserve">17an</w:t>
      </w:r>
    </w:p>
    <w:p w14:paraId="4A23A51A" w14:textId="2EA73BAF" w:rsidR="00D77C2F" w:rsidRPr="00D0376E" w:rsidRDefault="00D0376E" w:rsidP="002457D5">
      <w:pPr>
        <w:pStyle w:val="Ttulo1"/>
        <w:rPr>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José María Aierdi Fernández de Barrena</w:t>
      </w:r>
    </w:p>
    <w:sectPr w:rsidR="00D77C2F" w:rsidRPr="00D0376E" w:rsidSect="00D0376E">
      <w:headerReference w:type="default" r:id="rId8"/>
      <w:footerReference w:type="even" r:id="rId9"/>
      <w:footerReference w:type="default" r:id="rId10"/>
      <w:pgSz w:w="11906" w:h="16838"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EB60" w14:textId="77777777" w:rsidR="00C81DFD" w:rsidRDefault="00C81DFD" w:rsidP="00381BB8">
      <w:pPr>
        <w:pStyle w:val="Encabezado"/>
      </w:pPr>
      <w:r>
        <w:separator/>
      </w:r>
    </w:p>
  </w:endnote>
  <w:endnote w:type="continuationSeparator" w:id="0">
    <w:p w14:paraId="64173604" w14:textId="77777777" w:rsidR="00C81DFD" w:rsidRDefault="00C81DFD"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427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C81DFD">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2290" w14:textId="56D0147A"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BE4C" w14:textId="77777777" w:rsidR="00C81DFD" w:rsidRDefault="00C81DFD" w:rsidP="00381BB8">
      <w:pPr>
        <w:pStyle w:val="Encabezado"/>
      </w:pPr>
      <w:r>
        <w:separator/>
      </w:r>
    </w:p>
  </w:footnote>
  <w:footnote w:type="continuationSeparator" w:id="0">
    <w:p w14:paraId="6FB434BE" w14:textId="77777777" w:rsidR="00C81DFD" w:rsidRDefault="00C81DFD"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B10" w14:textId="26622CD3"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1EE6E87"/>
    <w:multiLevelType w:val="hybridMultilevel"/>
    <w:tmpl w:val="A6268762"/>
    <w:lvl w:ilvl="0" w:tplc="7C66D5AC">
      <w:start w:val="1"/>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5"/>
  </w:num>
  <w:num w:numId="8">
    <w:abstractNumId w:val="4"/>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FD"/>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7D5"/>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2F6A"/>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58C2"/>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1DF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376E"/>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46E89A"/>
  <w15:chartTrackingRefBased/>
  <w15:docId w15:val="{FA7674AB-7EF8-4693-BB6C-2C71147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0219-D50C-4EE0-8E0A-9AE3D663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PES</Template>
  <TotalTime>8</TotalTime>
  <Pages>2</Pages>
  <Words>397</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3</cp:revision>
  <cp:lastPrinted>2018-10-15T10:28:00Z</cp:lastPrinted>
  <dcterms:created xsi:type="dcterms:W3CDTF">2025-11-18T11:17:00Z</dcterms:created>
  <dcterms:modified xsi:type="dcterms:W3CDTF">2025-11-25T12:49:00Z</dcterms:modified>
</cp:coreProperties>
</file>