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7306" w14:textId="052767D0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26MOC-9</w:t>
      </w:r>
    </w:p>
    <w:p w14:paraId="47F0FA23" w14:textId="669ECE55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Javier Arza Porras, parlamentario adscrito al G.P. EH Bildu</w:t>
      </w:r>
      <w:r w:rsidR="0033215F">
        <w:rPr>
          <w:rFonts w:cstheme="minorHAnsi"/>
        </w:rPr>
        <w:t xml:space="preserve"> </w:t>
      </w:r>
      <w:r w:rsidRPr="00964B70">
        <w:rPr>
          <w:rFonts w:cstheme="minorHAnsi"/>
        </w:rPr>
        <w:t>Nafarroa,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al amparo de lo establecido en el Reglamento de la Cámara, presenta la siguiente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moción para su debate y votación en el Pleno del Parlamento de Navarra.</w:t>
      </w:r>
    </w:p>
    <w:p w14:paraId="02B8EC5B" w14:textId="65311EBE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Exposición de motivos</w:t>
      </w:r>
    </w:p>
    <w:p w14:paraId="23903367" w14:textId="281D07D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El fenómeno del sinhogarismo es amplio y complejo. El caso más extremo,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la punta del iceberg, son las denominadas personas sin techo, las que deben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dormir en el espacio público; pero también están las personas que tienen vivienda,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pero insegura (por ejemplo, bajo amenaza de desahucio); o las que tienen vivienda,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pero inadecuada (por ejemplo, por hacinamiento extremo).</w:t>
      </w:r>
    </w:p>
    <w:p w14:paraId="7FF3CDE1" w14:textId="768D9ECF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En gran parte de Europa, este fenómeno se ha intensificado y ha modificado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sus características, especialmente después de la pandemia. En cuanto a su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magnitud, es complejo obtener datos concretos. No obstante, y aunque sean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parciales, ya que se refieren únicamente a personas atendidas, podemos tener en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cuenta la información procedente de la encuesta sobre personas sin hogar del INE.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En ella se indicaba que, del año 2012 al año 2022, se incrementó un 82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% el número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de personas atendidas, mientras que en el Estado español lo hacía en un 24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%.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 xml:space="preserve">Acercando el foco de análisis, podemos aportar datos sobre la ciudad de </w:t>
      </w:r>
      <w:proofErr w:type="spellStart"/>
      <w:r w:rsidRPr="00964B70">
        <w:rPr>
          <w:rFonts w:cstheme="minorHAnsi"/>
        </w:rPr>
        <w:t>Iruñea</w:t>
      </w:r>
      <w:proofErr w:type="spellEnd"/>
      <w:r w:rsidRPr="00964B7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También son parciales e indirectos, ya que se refieren a la evolución en el número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de plazas de atención. Así, si en el año 2023 había 50 plazas para personas sin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hogar, en la actualidad se ha pasado a 155 plazas estables y otras 50 que se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habilitan en periodos de excepcionalidad climática.</w:t>
      </w:r>
    </w:p>
    <w:p w14:paraId="59347C2B" w14:textId="40E38E31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Ante esta realidad, en el año 2020 el Departamento de Derechos Sociales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encargó un diagnóstico titulado “Orientaciones para la reordenación de los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servicios dirigidos a las personas sin hogar en Navarra”. Este diagnóstico aportó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conclusiones y recomendaciones de gran interés: la necesidad de una estrategia y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un modelo para la prevención y la atención al sinhogarismo; la relevancia de la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prevención; la necesaria adaptación de los servicios a los nuevos perfiles; la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apuesta por un enfoque centrado en la vivienda; o la necesidad de incrementar y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redistribuir territorialmente las plazas de atención.</w:t>
      </w:r>
    </w:p>
    <w:p w14:paraId="25652AE0" w14:textId="2F713AAC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No es hasta el año 2024 que el Departamento de Derechos Sociales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presenta un nuevo informe, en este caso denominado “Hoja de ruta para la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atención a las personas sin hogar en Navarra”. Este segundo informe es coincidente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con el anterior en la mayor parte del diagnóstico y en las recomendaciones, aunque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aporta propuestas más concretas. Uno de los valores añadidos de este informe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consistió en que sus recomendaciones fueron elaboradas en base a un grupo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técnico interinstitucional, del que también formaron parte las entidades sociales.</w:t>
      </w:r>
    </w:p>
    <w:p w14:paraId="54B283DD" w14:textId="64A104C8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Desde EH Bildu consideramos que se han ido incorporando alguna de las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recomendaciones expuestas en estos informes. Sin embargo, y para lograr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responder al amplio consenso existente sobre el diagnóstico y las alternativas de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avance, creemos que se debe potenciar el necesario liderazgo del Gobierno de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Navarra para construir una respuesta suficientemente sólida y eficaz al fenómeno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del sinhogarismo.</w:t>
      </w:r>
    </w:p>
    <w:p w14:paraId="5F799172" w14:textId="52889470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Propuesta de resolución:</w:t>
      </w:r>
    </w:p>
    <w:p w14:paraId="55CDAC49" w14:textId="777777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El Parlamento de Navarra:</w:t>
      </w:r>
    </w:p>
    <w:p w14:paraId="1FA09B49" w14:textId="23A63F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lastRenderedPageBreak/>
        <w:t>1. Insta al Gobierno de Navarra a crear, a partir de la experiencia del grupo técnico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que participó en la elaboración de la Hoja de Ruta, un marco estable de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 xml:space="preserve">coordinación </w:t>
      </w:r>
      <w:proofErr w:type="spellStart"/>
      <w:r w:rsidRPr="00964B70">
        <w:rPr>
          <w:rFonts w:cstheme="minorHAnsi"/>
        </w:rPr>
        <w:t>co-liderado</w:t>
      </w:r>
      <w:proofErr w:type="spellEnd"/>
      <w:r w:rsidRPr="00964B70">
        <w:rPr>
          <w:rFonts w:cstheme="minorHAnsi"/>
        </w:rPr>
        <w:t xml:space="preserve"> entre el Departamento de Vivienda-Políticas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Migratorias y el de Derechos Sociales. En el mismo debe participar la FNMC,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entidades locales (como mínimo, aquellas que tengan más de 20.000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habitantes) y entidades sociales. Desde este marco de coordinación se pueden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abordar objetivos de gran relevancia:</w:t>
      </w:r>
    </w:p>
    <w:p w14:paraId="6F71FA30" w14:textId="777777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 xml:space="preserve">• Seguimiento de las políticas de respuesta al </w:t>
      </w:r>
      <w:r w:rsidRPr="00964B70">
        <w:rPr>
          <w:rFonts w:cstheme="minorHAnsi"/>
          <w:i/>
          <w:iCs/>
        </w:rPr>
        <w:t>sinhogarismo</w:t>
      </w:r>
      <w:r w:rsidRPr="00964B70">
        <w:rPr>
          <w:rFonts w:cstheme="minorHAnsi"/>
        </w:rPr>
        <w:t>.</w:t>
      </w:r>
    </w:p>
    <w:p w14:paraId="0297E5E6" w14:textId="777777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• Construcción de un modelo consensuado de abordaje.</w:t>
      </w:r>
    </w:p>
    <w:p w14:paraId="020F05CB" w14:textId="3CC99EC4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• Impulso de respuestas de servicios comarcales o intermunicipales, en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colaboración con Gobierno de Navarra.</w:t>
      </w:r>
    </w:p>
    <w:p w14:paraId="2D69D24D" w14:textId="065A40BB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• Revisión de la Cartera de Servicios Sociales, de manera que se puedan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hacer propuestas para que los servicios (tanto garantizados como no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 xml:space="preserve">garantizados) se adecúen a los nuevos perfiles del </w:t>
      </w:r>
      <w:r w:rsidRPr="00964B70">
        <w:rPr>
          <w:rFonts w:cstheme="minorHAnsi"/>
          <w:i/>
          <w:iCs/>
        </w:rPr>
        <w:t xml:space="preserve">sinhogarismo </w:t>
      </w:r>
      <w:r w:rsidRPr="00964B70">
        <w:rPr>
          <w:rFonts w:cstheme="minorHAnsi"/>
        </w:rPr>
        <w:t>y a los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nuevos modelos de abordaje.</w:t>
      </w:r>
    </w:p>
    <w:p w14:paraId="239CA077" w14:textId="1C7CC02C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2. Diseñar durante este año un servicio piloto de urgencias sociales que pueda dar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 xml:space="preserve">servicio a </w:t>
      </w:r>
      <w:proofErr w:type="spellStart"/>
      <w:r w:rsidRPr="00964B70">
        <w:rPr>
          <w:rFonts w:cstheme="minorHAnsi"/>
        </w:rPr>
        <w:t>Iruñea</w:t>
      </w:r>
      <w:proofErr w:type="spellEnd"/>
      <w:r w:rsidRPr="00964B70">
        <w:rPr>
          <w:rFonts w:cstheme="minorHAnsi"/>
        </w:rPr>
        <w:t xml:space="preserve"> y Comarca: atención 24-7; información y asesoramiento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telefónico; coordinación con servicios sociales y sanitarios; acompañamiento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social y apoyo emocional; coordinación con el ámbito judicial, policial y</w:t>
      </w:r>
      <w:r>
        <w:rPr>
          <w:rFonts w:cstheme="minorHAnsi"/>
        </w:rPr>
        <w:t xml:space="preserve"> </w:t>
      </w:r>
      <w:r w:rsidRPr="00964B70">
        <w:rPr>
          <w:rFonts w:cstheme="minorHAnsi"/>
        </w:rPr>
        <w:t>penitenciario; alojamiento de emergencia, etc.</w:t>
      </w:r>
    </w:p>
    <w:p w14:paraId="383F3A41" w14:textId="69CFF672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Pamplona/</w:t>
      </w:r>
      <w:proofErr w:type="spellStart"/>
      <w:r w:rsidRPr="00964B70">
        <w:rPr>
          <w:rFonts w:cstheme="minorHAnsi"/>
        </w:rPr>
        <w:t>Iruñea</w:t>
      </w:r>
      <w:proofErr w:type="spellEnd"/>
      <w:r w:rsidRPr="00964B70">
        <w:rPr>
          <w:rFonts w:cstheme="minorHAnsi"/>
        </w:rPr>
        <w:t>, 15 de enero de 2026</w:t>
      </w:r>
    </w:p>
    <w:p w14:paraId="7956A26F" w14:textId="0B3067C2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Javier Arza Porras</w:t>
      </w:r>
    </w:p>
    <w:sectPr w:rsidR="00964B70" w:rsidRPr="00964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70"/>
    <w:rsid w:val="0033215F"/>
    <w:rsid w:val="005F088E"/>
    <w:rsid w:val="009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ADD"/>
  <w15:chartTrackingRefBased/>
  <w15:docId w15:val="{880E2682-EC6A-4FFC-8E90-ABC17ED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3820</Characters>
  <Application>Microsoft Office Word</Application>
  <DocSecurity>0</DocSecurity>
  <Lines>31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2026-01-15T13:11:00Z</dcterms:created>
  <dcterms:modified xsi:type="dcterms:W3CDTF">2026-01-22T07:13:00Z</dcterms:modified>
</cp:coreProperties>
</file>