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5CEE" w14:textId="4E97D8CC" w:rsidR="00E01A8C" w:rsidRPr="00916550" w:rsidRDefault="00E01A8C"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Nafarroako Gorteetako kide eta atxiki gabeko parlamentari María Teresa Nosti Izquierdo andreak 11-25-PES-00396 galdera idatzia egin du, eta honako hau jakinarazten dio Hezkuntzako kontseilariak galderari erantzunez: </w:t>
      </w:r>
    </w:p>
    <w:p w14:paraId="2C019715" w14:textId="77777777" w:rsidR="00C6652D" w:rsidRPr="00916550" w:rsidRDefault="00EE4762"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1. Legeak zehazten du LH Dualeko kasu bakoitzean gutxienez bi tutorek esku hartzen dutela: bat ikastetxekoa eta bestea enpresa edo erakunde laguntzailekoa. </w:t>
      </w:r>
    </w:p>
    <w:p w14:paraId="31FEC537" w14:textId="7777777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Ikastetxeko tutore dualak (LHko ikastegiko tutorea) ardura hauek ditu: enpresarekin koordinatzea, prestakuntza-plana zehaztea, ikaslea enpresan sartzeko prestatzea, enpresako fasean ikasten duela zaintzea, ikaskuntzaren emaitzak aztertzea, eta tratu-berdintasuna, diskriminaziorik eza eta antzeko printzipioak bermatzea. </w:t>
      </w:r>
    </w:p>
    <w:p w14:paraId="6651D69D" w14:textId="7777777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Enpresako edo organismo parekatuko tutore duala (enpresako tutorea) harrera-enpresan dago. Ikastetxeko tutorearekin batera, ziurtatu behar du prestakuntza-plana behar bezala garatzen dela, eta enpresan lortu beharreko ikaskuntzaren emaitzak identifikatu, prestakuntza praktikoa koordinatu, ikasleak tutorizatu, eta aurreikusitako prestakuntza-baldintzak betetzen direla bermatu behar du. </w:t>
      </w:r>
    </w:p>
    <w:p w14:paraId="4DCF5067" w14:textId="16BFC6A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Enpresa txikietan, enpresako tutorea hainbat enpresa edo erakunde parekaturen artean “partekatua” edo “mankomunatua” izaten ahal dela aurreikusten du legeak, ETEek errazago parte hartzeko. </w:t>
      </w:r>
    </w:p>
    <w:p w14:paraId="7CAD0EC9" w14:textId="7777777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Ondorioz, bi tutore horiek (ikastetxea + enpresa) partekatuko dute LH Dualaren berehalako eta eguneroko ikuskatze zeregina. Hau da, haiek dira “jarraipena egiten dutenak”.</w:t>
      </w:r>
    </w:p>
    <w:p w14:paraId="76428379" w14:textId="77777777" w:rsidR="00C5100F"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Beraz, legeak ez du aipatzen Estatuko erakunde zehatz bat prestakuntza-harreman bakoitzerako; aitzitik, enpresaren eta zentroaren artean banatzen du erantzukizuna, haien erantzunkidetasunaren pean.</w:t>
      </w:r>
    </w:p>
    <w:p w14:paraId="44F11BFE" w14:textId="7777777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Legeak LHko sistemaren esparru orokorra ezartzen du: administrazioen, ikastetxeen eta enpresen artean elkarlanean aritzeko betebeharra, eta modalitate instituzionalaren definizioa LH Dualarentzat. </w:t>
      </w:r>
    </w:p>
    <w:p w14:paraId="506CF785" w14:textId="7777777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Hala ere, enpresako prestakuntzaren garapenaren “jarraipen zehatza” (kalitatea, baldintzak betetzea, tutoretza, etab.) tutoreen esku uzten du legeak (ikastetxekoa eta enpresakoa). </w:t>
      </w:r>
    </w:p>
    <w:p w14:paraId="35A85ACA" w14:textId="7777777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Beraz, administrazioak esku hartzen ahal du (adibidez, hezkuntzako ikuskapenen, kontrolen, auditoretzen, egiaztapenen eta abarren bidez), baina legeak ez dio esplizituki esleitzen estatuko/nazioko erakunde bakar bati LH Dualeko enpresa guztien nahitaezko zaintza. Praktikan, autonomia-erkidegoan, hezkuntzako ikuskapen zerbitzuei edo erakunde baliokideei dagozkie eginkizun horiek, autonomia-erkidego bakoitzaren antolaketaren arabera, eta ez zuzenean lege orokorraren arabera.</w:t>
      </w:r>
    </w:p>
    <w:p w14:paraId="7022DE96" w14:textId="77777777" w:rsidR="00C6652D" w:rsidRPr="00916550" w:rsidRDefault="00C6652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Ikuspegi hori “erantzunkidetasun” nozioan oinarritzen da: ikastetxeak + enpresak partekatzen dute ikas-ekinezko ikasleen prestakuntza-erantzukizuna.</w:t>
      </w:r>
    </w:p>
    <w:p w14:paraId="24287889" w14:textId="77777777" w:rsidR="00556D7C" w:rsidRPr="00916550" w:rsidRDefault="00996ADD"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2. Lan-arloari soilik dagozkion kontuetarako (kontratuak, Gizarte Segurantzan alta ematea, ordainsariak, lanaldia, gizarte-segurantza, kontratazioetan iruzurra…), Laneko eta Gizarte Segurantzako Ikuskatzailetzarena da eskumena; Departamentuak Ikuskatzailetza horrek eska dezakeen dokumentazioa eskatzen du, eta, lanaren arloko arauak betetzen ez direla antzematen badu, Lan Ikuskaritzara bidera dezake espedientea. (LH Dualaren gidak oroitarazten du zer dokumentazio eduki behar den Lan Ikuskaritzaren bisita baterako).</w:t>
      </w:r>
    </w:p>
    <w:p w14:paraId="36481002" w14:textId="77777777" w:rsidR="006D0219" w:rsidRPr="00916550" w:rsidRDefault="00556D7C" w:rsidP="00916550">
      <w:pPr>
        <w:spacing w:after="120" w:line="276" w:lineRule="auto"/>
        <w:jc w:val="both"/>
        <w:rPr>
          <w:rFonts w:asciiTheme="minorHAnsi" w:eastAsia="Cambria" w:hAnsiTheme="minorHAnsi" w:cstheme="minorHAnsi"/>
          <w:sz w:val="22"/>
          <w:szCs w:val="22"/>
        </w:rPr>
      </w:pPr>
      <w:r>
        <w:rPr>
          <w:rFonts w:asciiTheme="minorHAnsi" w:hAnsiTheme="minorHAnsi"/>
          <w:sz w:val="22"/>
        </w:rPr>
        <w:t xml:space="preserve">3. Ikasleek LH Dualaren esparruan gertatzen diren laneko gorabeherak edo gehiegikeriak jakinarazteko aurreikusita dagoen prozedura ikastegian gertatutako gorabeherak jakinarazteko erabiltzen den bera </w:t>
      </w:r>
      <w:r>
        <w:rPr>
          <w:rFonts w:asciiTheme="minorHAnsi" w:hAnsiTheme="minorHAnsi"/>
          <w:sz w:val="22"/>
        </w:rPr>
        <w:lastRenderedPageBreak/>
        <w:t>da, ez baitago lan-harremanik ikasleen eta enpresaren artean. Prestakuntza-hitzarmen baten bidezko harremana da.</w:t>
      </w:r>
    </w:p>
    <w:p w14:paraId="2602FE10" w14:textId="77777777" w:rsidR="00996ADD" w:rsidRPr="00916550" w:rsidRDefault="00996ADD" w:rsidP="00916550">
      <w:pPr>
        <w:autoSpaceDE w:val="0"/>
        <w:autoSpaceDN w:val="0"/>
        <w:adjustRightInd w:val="0"/>
        <w:spacing w:after="120" w:line="276" w:lineRule="auto"/>
        <w:jc w:val="both"/>
        <w:rPr>
          <w:rFonts w:asciiTheme="minorHAnsi" w:eastAsia="Cambria" w:hAnsiTheme="minorHAnsi" w:cstheme="minorHAnsi"/>
          <w:sz w:val="22"/>
          <w:szCs w:val="22"/>
        </w:rPr>
      </w:pPr>
      <w:r>
        <w:rPr>
          <w:rFonts w:asciiTheme="minorHAnsi" w:hAnsiTheme="minorHAnsi"/>
          <w:sz w:val="22"/>
        </w:rPr>
        <w:t>4. LH Dualeko baldintzak betetzen ez dituzten enpresei baliorik gabe utziko zaie prestakuntza-hitzarmena.</w:t>
      </w:r>
    </w:p>
    <w:p w14:paraId="355BDE22" w14:textId="6D1E3918" w:rsidR="006D0219" w:rsidRPr="00916550" w:rsidRDefault="00E23377" w:rsidP="00916550">
      <w:pPr>
        <w:spacing w:after="120" w:line="276" w:lineRule="auto"/>
        <w:jc w:val="both"/>
        <w:rPr>
          <w:rFonts w:asciiTheme="minorHAnsi" w:hAnsiTheme="minorHAnsi" w:cstheme="minorHAnsi"/>
          <w:sz w:val="22"/>
          <w:szCs w:val="22"/>
        </w:rPr>
      </w:pPr>
      <w:r>
        <w:rPr>
          <w:rFonts w:asciiTheme="minorHAnsi" w:hAnsiTheme="minorHAnsi"/>
          <w:sz w:val="22"/>
        </w:rPr>
        <w:t>Iruñean, 2025eko abenduaren 17an</w:t>
      </w:r>
    </w:p>
    <w:p w14:paraId="3E61D08B" w14:textId="733EE9BB" w:rsidR="0007750E" w:rsidRPr="00916550" w:rsidRDefault="00916550" w:rsidP="00916550">
      <w:pPr>
        <w:spacing w:after="120" w:line="276" w:lineRule="auto"/>
        <w:jc w:val="both"/>
        <w:rPr>
          <w:rFonts w:asciiTheme="minorHAnsi" w:hAnsiTheme="minorHAnsi" w:cstheme="minorHAnsi"/>
          <w:sz w:val="22"/>
          <w:szCs w:val="22"/>
        </w:rPr>
      </w:pPr>
      <w:r>
        <w:rPr>
          <w:rFonts w:asciiTheme="minorHAnsi" w:hAnsiTheme="minorHAnsi"/>
          <w:sz w:val="22"/>
        </w:rPr>
        <w:t>Hezkuntzako kontseilaria: Carlos Gimeno Gurpegui</w:t>
      </w:r>
    </w:p>
    <w:sectPr w:rsidR="0007750E" w:rsidRPr="00916550" w:rsidSect="00916550">
      <w:headerReference w:type="default" r:id="rId6"/>
      <w:footerReference w:type="default" r:id="rId7"/>
      <w:headerReference w:type="first" r:id="rId8"/>
      <w:footerReference w:type="first" r:id="rId9"/>
      <w:pgSz w:w="11906" w:h="16838" w:code="9"/>
      <w:pgMar w:top="1418"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2FD5" w14:textId="77777777" w:rsidR="00940FDA" w:rsidRDefault="00940FDA">
      <w:r>
        <w:separator/>
      </w:r>
    </w:p>
  </w:endnote>
  <w:endnote w:type="continuationSeparator" w:id="0">
    <w:p w14:paraId="0770127D" w14:textId="77777777" w:rsidR="00940FDA" w:rsidRDefault="0094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E57" w14:textId="77777777" w:rsidR="006D0219" w:rsidRPr="00A2145B" w:rsidRDefault="006D0219" w:rsidP="00A2145B">
    <w:pPr>
      <w:pStyle w:val="Piedepgina"/>
      <w:jc w:val="right"/>
      <w:rPr>
        <w:rFonts w:ascii="Courier New" w:hAnsi="Courier New" w:cs="Courier New"/>
        <w:sz w:val="18"/>
        <w:szCs w:val="18"/>
      </w:rPr>
    </w:pPr>
    <w:r>
      <w:rPr>
        <w:rFonts w:ascii="Courier New" w:hAnsi="Courier New"/>
        <w:sz w:val="18"/>
      </w:rPr>
      <w:t>Orrialdea:</w:t>
    </w:r>
    <w:r>
      <w:t xml:space="preserve"> </w:t>
    </w:r>
    <w:r w:rsidRPr="00A2145B">
      <w:rPr>
        <w:rStyle w:val="Nmerodepgina"/>
        <w:rFonts w:ascii="Courier New" w:hAnsi="Courier New" w:cs="Courier New"/>
        <w:sz w:val="18"/>
      </w:rPr>
      <w:fldChar w:fldCharType="begin"/>
    </w:r>
    <w:r w:rsidRPr="00A2145B">
      <w:rPr>
        <w:rStyle w:val="Nmerodepgina"/>
        <w:rFonts w:ascii="Courier New" w:hAnsi="Courier New" w:cs="Courier New"/>
        <w:sz w:val="18"/>
      </w:rPr>
      <w:instrText xml:space="preserve"> PAGE </w:instrText>
    </w:r>
    <w:r w:rsidRPr="00A2145B">
      <w:rPr>
        <w:rStyle w:val="Nmerodepgina"/>
        <w:rFonts w:ascii="Courier New" w:hAnsi="Courier New" w:cs="Courier New"/>
        <w:sz w:val="18"/>
      </w:rPr>
      <w:fldChar w:fldCharType="separate"/>
    </w:r>
    <w:r w:rsidR="00E23377">
      <w:rPr>
        <w:rStyle w:val="Nmerodepgina"/>
        <w:rFonts w:ascii="Courier New" w:hAnsi="Courier New" w:cs="Courier New"/>
        <w:sz w:val="18"/>
      </w:rPr>
      <w:t>5</w:t>
    </w:r>
    <w:r w:rsidRPr="00A2145B">
      <w:rPr>
        <w:rStyle w:val="Nmerodepgina"/>
        <w:rFonts w:ascii="Courier New" w:hAnsi="Courier New" w:cs="Courier New"/>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939F" w14:textId="52937D9C"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B8A0" w14:textId="77777777" w:rsidR="00940FDA" w:rsidRDefault="00940FDA">
      <w:r>
        <w:separator/>
      </w:r>
    </w:p>
  </w:footnote>
  <w:footnote w:type="continuationSeparator" w:id="0">
    <w:p w14:paraId="0AC4B426" w14:textId="77777777" w:rsidR="00940FDA" w:rsidRDefault="0094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27C0" w14:textId="77777777" w:rsidR="006D0219" w:rsidRPr="007250F0" w:rsidRDefault="00A8247E"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7A9655D5" wp14:editId="7467BFC4">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4" name="Imagen 14"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1DEA" w14:textId="20D4F426" w:rsidR="006D0219" w:rsidRDefault="006D0219"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750E"/>
    <w:rsid w:val="0009463A"/>
    <w:rsid w:val="0009478D"/>
    <w:rsid w:val="000B64A1"/>
    <w:rsid w:val="00151DE5"/>
    <w:rsid w:val="00186789"/>
    <w:rsid w:val="00192C26"/>
    <w:rsid w:val="002168BE"/>
    <w:rsid w:val="00220E57"/>
    <w:rsid w:val="002753ED"/>
    <w:rsid w:val="00277C9A"/>
    <w:rsid w:val="00286C7D"/>
    <w:rsid w:val="002E34DF"/>
    <w:rsid w:val="003379E1"/>
    <w:rsid w:val="003A2069"/>
    <w:rsid w:val="003F1206"/>
    <w:rsid w:val="004031A8"/>
    <w:rsid w:val="00417B66"/>
    <w:rsid w:val="00426486"/>
    <w:rsid w:val="004451E3"/>
    <w:rsid w:val="004C58DB"/>
    <w:rsid w:val="004F4088"/>
    <w:rsid w:val="00524782"/>
    <w:rsid w:val="005367EB"/>
    <w:rsid w:val="00556D7C"/>
    <w:rsid w:val="00562E58"/>
    <w:rsid w:val="00597336"/>
    <w:rsid w:val="005B095B"/>
    <w:rsid w:val="005B44C4"/>
    <w:rsid w:val="005D2BBC"/>
    <w:rsid w:val="005D696B"/>
    <w:rsid w:val="005E7890"/>
    <w:rsid w:val="00610AAA"/>
    <w:rsid w:val="00624077"/>
    <w:rsid w:val="006764C1"/>
    <w:rsid w:val="00683E68"/>
    <w:rsid w:val="006961BD"/>
    <w:rsid w:val="00696F6F"/>
    <w:rsid w:val="006A5952"/>
    <w:rsid w:val="006B5062"/>
    <w:rsid w:val="006D0219"/>
    <w:rsid w:val="006E1512"/>
    <w:rsid w:val="007250F0"/>
    <w:rsid w:val="0072622D"/>
    <w:rsid w:val="00780CA4"/>
    <w:rsid w:val="007875AC"/>
    <w:rsid w:val="00793F61"/>
    <w:rsid w:val="007D1861"/>
    <w:rsid w:val="007E640E"/>
    <w:rsid w:val="00832136"/>
    <w:rsid w:val="00833265"/>
    <w:rsid w:val="008805D6"/>
    <w:rsid w:val="00893924"/>
    <w:rsid w:val="008D149F"/>
    <w:rsid w:val="008E31D6"/>
    <w:rsid w:val="00913684"/>
    <w:rsid w:val="00916550"/>
    <w:rsid w:val="009226EF"/>
    <w:rsid w:val="00940FDA"/>
    <w:rsid w:val="009900F7"/>
    <w:rsid w:val="00994342"/>
    <w:rsid w:val="00996ADD"/>
    <w:rsid w:val="009D73FA"/>
    <w:rsid w:val="009E202F"/>
    <w:rsid w:val="009E381E"/>
    <w:rsid w:val="009F3320"/>
    <w:rsid w:val="00A117E7"/>
    <w:rsid w:val="00A2145B"/>
    <w:rsid w:val="00A44E77"/>
    <w:rsid w:val="00A70704"/>
    <w:rsid w:val="00A80764"/>
    <w:rsid w:val="00A8247E"/>
    <w:rsid w:val="00B15FAE"/>
    <w:rsid w:val="00B16942"/>
    <w:rsid w:val="00B17CCC"/>
    <w:rsid w:val="00B46857"/>
    <w:rsid w:val="00B57B14"/>
    <w:rsid w:val="00BD4394"/>
    <w:rsid w:val="00BD6A02"/>
    <w:rsid w:val="00C043AC"/>
    <w:rsid w:val="00C11908"/>
    <w:rsid w:val="00C4100A"/>
    <w:rsid w:val="00C5100F"/>
    <w:rsid w:val="00C6652D"/>
    <w:rsid w:val="00C7645D"/>
    <w:rsid w:val="00CA2943"/>
    <w:rsid w:val="00CA556D"/>
    <w:rsid w:val="00CC186C"/>
    <w:rsid w:val="00CE434F"/>
    <w:rsid w:val="00D84E78"/>
    <w:rsid w:val="00DA6D6E"/>
    <w:rsid w:val="00DB1639"/>
    <w:rsid w:val="00DF6784"/>
    <w:rsid w:val="00E01A8C"/>
    <w:rsid w:val="00E21BF7"/>
    <w:rsid w:val="00E23377"/>
    <w:rsid w:val="00ED5CA9"/>
    <w:rsid w:val="00EE4762"/>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58D523"/>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0963">
      <w:bodyDiv w:val="1"/>
      <w:marLeft w:val="0"/>
      <w:marRight w:val="0"/>
      <w:marTop w:val="0"/>
      <w:marBottom w:val="0"/>
      <w:divBdr>
        <w:top w:val="none" w:sz="0" w:space="0" w:color="auto"/>
        <w:left w:val="none" w:sz="0" w:space="0" w:color="auto"/>
        <w:bottom w:val="none" w:sz="0" w:space="0" w:color="auto"/>
        <w:right w:val="none" w:sz="0" w:space="0" w:color="auto"/>
      </w:divBdr>
    </w:div>
    <w:div w:id="696397119">
      <w:bodyDiv w:val="1"/>
      <w:marLeft w:val="0"/>
      <w:marRight w:val="0"/>
      <w:marTop w:val="0"/>
      <w:marBottom w:val="0"/>
      <w:divBdr>
        <w:top w:val="none" w:sz="0" w:space="0" w:color="auto"/>
        <w:left w:val="none" w:sz="0" w:space="0" w:color="auto"/>
        <w:bottom w:val="none" w:sz="0" w:space="0" w:color="auto"/>
        <w:right w:val="none" w:sz="0" w:space="0" w:color="auto"/>
      </w:divBdr>
    </w:div>
    <w:div w:id="745804506">
      <w:bodyDiv w:val="1"/>
      <w:marLeft w:val="0"/>
      <w:marRight w:val="0"/>
      <w:marTop w:val="0"/>
      <w:marBottom w:val="0"/>
      <w:divBdr>
        <w:top w:val="none" w:sz="0" w:space="0" w:color="auto"/>
        <w:left w:val="none" w:sz="0" w:space="0" w:color="auto"/>
        <w:bottom w:val="none" w:sz="0" w:space="0" w:color="auto"/>
        <w:right w:val="none" w:sz="0" w:space="0" w:color="auto"/>
      </w:divBdr>
    </w:div>
    <w:div w:id="756825608">
      <w:bodyDiv w:val="1"/>
      <w:marLeft w:val="0"/>
      <w:marRight w:val="0"/>
      <w:marTop w:val="0"/>
      <w:marBottom w:val="0"/>
      <w:divBdr>
        <w:top w:val="none" w:sz="0" w:space="0" w:color="auto"/>
        <w:left w:val="none" w:sz="0" w:space="0" w:color="auto"/>
        <w:bottom w:val="none" w:sz="0" w:space="0" w:color="auto"/>
        <w:right w:val="none" w:sz="0" w:space="0" w:color="auto"/>
      </w:divBdr>
    </w:div>
    <w:div w:id="986592150">
      <w:bodyDiv w:val="1"/>
      <w:marLeft w:val="0"/>
      <w:marRight w:val="0"/>
      <w:marTop w:val="0"/>
      <w:marBottom w:val="0"/>
      <w:divBdr>
        <w:top w:val="none" w:sz="0" w:space="0" w:color="auto"/>
        <w:left w:val="none" w:sz="0" w:space="0" w:color="auto"/>
        <w:bottom w:val="none" w:sz="0" w:space="0" w:color="auto"/>
        <w:right w:val="none" w:sz="0" w:space="0" w:color="auto"/>
      </w:divBdr>
    </w:div>
    <w:div w:id="1267344452">
      <w:bodyDiv w:val="1"/>
      <w:marLeft w:val="0"/>
      <w:marRight w:val="0"/>
      <w:marTop w:val="0"/>
      <w:marBottom w:val="0"/>
      <w:divBdr>
        <w:top w:val="none" w:sz="0" w:space="0" w:color="auto"/>
        <w:left w:val="none" w:sz="0" w:space="0" w:color="auto"/>
        <w:bottom w:val="none" w:sz="0" w:space="0" w:color="auto"/>
        <w:right w:val="none" w:sz="0" w:space="0" w:color="auto"/>
      </w:divBdr>
    </w:div>
    <w:div w:id="1452481706">
      <w:bodyDiv w:val="1"/>
      <w:marLeft w:val="0"/>
      <w:marRight w:val="0"/>
      <w:marTop w:val="0"/>
      <w:marBottom w:val="0"/>
      <w:divBdr>
        <w:top w:val="none" w:sz="0" w:space="0" w:color="auto"/>
        <w:left w:val="none" w:sz="0" w:space="0" w:color="auto"/>
        <w:bottom w:val="none" w:sz="0" w:space="0" w:color="auto"/>
        <w:right w:val="none" w:sz="0" w:space="0" w:color="auto"/>
      </w:divBdr>
    </w:div>
    <w:div w:id="1464613750">
      <w:bodyDiv w:val="1"/>
      <w:marLeft w:val="0"/>
      <w:marRight w:val="0"/>
      <w:marTop w:val="0"/>
      <w:marBottom w:val="0"/>
      <w:divBdr>
        <w:top w:val="none" w:sz="0" w:space="0" w:color="auto"/>
        <w:left w:val="none" w:sz="0" w:space="0" w:color="auto"/>
        <w:bottom w:val="none" w:sz="0" w:space="0" w:color="auto"/>
        <w:right w:val="none" w:sz="0" w:space="0" w:color="auto"/>
      </w:divBdr>
    </w:div>
    <w:div w:id="1678268207">
      <w:bodyDiv w:val="1"/>
      <w:marLeft w:val="0"/>
      <w:marRight w:val="0"/>
      <w:marTop w:val="0"/>
      <w:marBottom w:val="0"/>
      <w:divBdr>
        <w:top w:val="none" w:sz="0" w:space="0" w:color="auto"/>
        <w:left w:val="none" w:sz="0" w:space="0" w:color="auto"/>
        <w:bottom w:val="none" w:sz="0" w:space="0" w:color="auto"/>
        <w:right w:val="none" w:sz="0" w:space="0" w:color="auto"/>
      </w:divBdr>
    </w:div>
    <w:div w:id="21317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Martin Cestao, Nerea</cp:lastModifiedBy>
  <cp:revision>12</cp:revision>
  <cp:lastPrinted>2015-10-05T06:52:00Z</cp:lastPrinted>
  <dcterms:created xsi:type="dcterms:W3CDTF">2025-12-16T08:57:00Z</dcterms:created>
  <dcterms:modified xsi:type="dcterms:W3CDTF">2026-01-29T06:26:00Z</dcterms:modified>
</cp:coreProperties>
</file>