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97DA" w14:textId="72A0FFC5" w:rsidR="003847ED" w:rsidRPr="005B5DD7" w:rsidRDefault="003847ED" w:rsidP="005B5DD7">
      <w:pPr>
        <w:spacing w:after="120" w:line="276" w:lineRule="auto"/>
        <w:jc w:val="both"/>
        <w:rPr>
          <w:rFonts w:asciiTheme="minorHAnsi" w:hAnsiTheme="minorHAnsi" w:cstheme="minorHAnsi"/>
          <w:sz w:val="22"/>
          <w:szCs w:val="24"/>
        </w:rPr>
      </w:pPr>
      <w:r>
        <w:rPr>
          <w:rFonts w:asciiTheme="minorHAnsi" w:hAnsiTheme="minorHAnsi"/>
          <w:sz w:val="22"/>
        </w:rPr>
        <w:t>EH Bildu Nafarroa talde parlamentarioari atxikitako foru</w:t>
      </w:r>
      <w:r w:rsidR="00FE2C75">
        <w:rPr>
          <w:rFonts w:asciiTheme="minorHAnsi" w:hAnsiTheme="minorHAnsi"/>
          <w:sz w:val="22"/>
        </w:rPr>
        <w:t>-</w:t>
      </w:r>
      <w:r>
        <w:rPr>
          <w:rFonts w:asciiTheme="minorHAnsi" w:hAnsiTheme="minorHAnsi"/>
          <w:sz w:val="22"/>
        </w:rPr>
        <w:t>parlamentari Javier Arza Porras jaunak 11-25/PES-00461 galdera egin du, idatziz erantzun dakion. Hona Nafarroako Gobernuko Eskubide Sozialetako, Ekonomia Sozialeko eta Enpleguko kontseilariak horri buruz ematen duen informazioa:</w:t>
      </w:r>
    </w:p>
    <w:p w14:paraId="2EDB4906" w14:textId="2C58DD5C" w:rsidR="005C558F" w:rsidRDefault="005C558F" w:rsidP="005B5DD7">
      <w:pPr>
        <w:spacing w:after="120" w:line="276" w:lineRule="auto"/>
        <w:jc w:val="both"/>
        <w:rPr>
          <w:rFonts w:asciiTheme="minorHAnsi" w:hAnsiTheme="minorHAnsi" w:cstheme="minorHAnsi"/>
          <w:sz w:val="22"/>
          <w:szCs w:val="24"/>
        </w:rPr>
      </w:pPr>
      <w:r>
        <w:rPr>
          <w:rFonts w:asciiTheme="minorHAnsi" w:hAnsiTheme="minorHAnsi"/>
          <w:sz w:val="22"/>
        </w:rPr>
        <w:t>“Zein toki-erakundek itzuli behar izan dituzte zenbatekoak arrazoi horrengatik? Eta zer zenbateko?” galderei dagokienez, adierazi behar da justifikazioa berrikusteko eta dirua itzultzeko prozesuak zabalik daudela oraindik. Hala ere, 2023ko eta 2024ko datuak atxiki dira. Gaur-gaurkoz, ez dauzkagu 2025. urteko zenbatekoak, toki-erakundeak justifikatzeko eta memoriak aurkezteko prozesuan baitaude —martxoaren 1ean amaituko da horretarako epea—.</w:t>
      </w:r>
    </w:p>
    <w:p w14:paraId="6830CC90" w14:textId="77777777" w:rsidR="005B5DD7" w:rsidRPr="005B5DD7" w:rsidRDefault="005B5DD7" w:rsidP="005B5DD7">
      <w:pPr>
        <w:spacing w:after="120" w:line="276" w:lineRule="auto"/>
        <w:jc w:val="both"/>
        <w:rPr>
          <w:rFonts w:asciiTheme="minorHAnsi" w:hAnsiTheme="minorHAnsi" w:cstheme="minorHAnsi"/>
          <w:sz w:val="22"/>
          <w:szCs w:val="24"/>
        </w:rPr>
      </w:pPr>
    </w:p>
    <w:tbl>
      <w:tblPr>
        <w:tblStyle w:val="Tablaconcuadrcula"/>
        <w:tblW w:w="8563" w:type="dxa"/>
        <w:tblLook w:val="04A0" w:firstRow="1" w:lastRow="0" w:firstColumn="1" w:lastColumn="0" w:noHBand="0" w:noVBand="1"/>
      </w:tblPr>
      <w:tblGrid>
        <w:gridCol w:w="3209"/>
        <w:gridCol w:w="1378"/>
        <w:gridCol w:w="1840"/>
        <w:gridCol w:w="2136"/>
      </w:tblGrid>
      <w:tr w:rsidR="005C558F" w14:paraId="7F40B543" w14:textId="77777777" w:rsidTr="005C558F">
        <w:tc>
          <w:tcPr>
            <w:tcW w:w="4079" w:type="dxa"/>
          </w:tcPr>
          <w:p w14:paraId="2D8D246D" w14:textId="77777777" w:rsidR="005C558F" w:rsidRPr="0033398C" w:rsidRDefault="005C558F" w:rsidP="0033398C">
            <w:pPr>
              <w:spacing w:line="276" w:lineRule="auto"/>
              <w:jc w:val="center"/>
              <w:rPr>
                <w:rFonts w:ascii="Arial" w:hAnsi="Arial" w:cs="Arial"/>
                <w:b/>
                <w:sz w:val="22"/>
                <w:szCs w:val="24"/>
              </w:rPr>
            </w:pPr>
            <w:r>
              <w:rPr>
                <w:rFonts w:ascii="Arial" w:hAnsi="Arial"/>
                <w:b/>
                <w:sz w:val="22"/>
              </w:rPr>
              <w:t>2023</w:t>
            </w:r>
          </w:p>
        </w:tc>
        <w:tc>
          <w:tcPr>
            <w:tcW w:w="236" w:type="dxa"/>
          </w:tcPr>
          <w:p w14:paraId="1ABB3ABF" w14:textId="77777777" w:rsidR="005C558F" w:rsidRPr="0033398C" w:rsidRDefault="005C558F" w:rsidP="0033398C">
            <w:pPr>
              <w:spacing w:line="276" w:lineRule="auto"/>
              <w:jc w:val="center"/>
              <w:rPr>
                <w:rFonts w:ascii="Arial" w:hAnsi="Arial" w:cs="Arial"/>
                <w:b/>
                <w:sz w:val="22"/>
                <w:szCs w:val="24"/>
              </w:rPr>
            </w:pPr>
            <w:r>
              <w:rPr>
                <w:rFonts w:ascii="Arial" w:hAnsi="Arial"/>
                <w:b/>
                <w:sz w:val="22"/>
              </w:rPr>
              <w:t>Justifikatu beharreko gutxieneko gastua</w:t>
            </w:r>
          </w:p>
        </w:tc>
        <w:tc>
          <w:tcPr>
            <w:tcW w:w="2124" w:type="dxa"/>
          </w:tcPr>
          <w:p w14:paraId="1BC9805D" w14:textId="77777777" w:rsidR="005C558F" w:rsidRPr="0033398C" w:rsidRDefault="005C558F" w:rsidP="0033398C">
            <w:pPr>
              <w:spacing w:line="276" w:lineRule="auto"/>
              <w:jc w:val="center"/>
              <w:rPr>
                <w:rFonts w:ascii="Arial" w:hAnsi="Arial" w:cs="Arial"/>
                <w:b/>
                <w:sz w:val="22"/>
                <w:szCs w:val="24"/>
              </w:rPr>
            </w:pPr>
            <w:r>
              <w:rPr>
                <w:rFonts w:ascii="Arial" w:hAnsi="Arial"/>
                <w:b/>
                <w:sz w:val="22"/>
              </w:rPr>
              <w:t>Itzuli beharreko zenbatekoa</w:t>
            </w:r>
          </w:p>
        </w:tc>
        <w:tc>
          <w:tcPr>
            <w:tcW w:w="2124" w:type="dxa"/>
          </w:tcPr>
          <w:p w14:paraId="1C4E347F" w14:textId="77777777" w:rsidR="005C558F" w:rsidRPr="0033398C" w:rsidRDefault="005C558F" w:rsidP="0033398C">
            <w:pPr>
              <w:spacing w:line="276" w:lineRule="auto"/>
              <w:jc w:val="center"/>
              <w:rPr>
                <w:rFonts w:ascii="Arial" w:hAnsi="Arial" w:cs="Arial"/>
                <w:b/>
                <w:sz w:val="22"/>
                <w:szCs w:val="24"/>
              </w:rPr>
            </w:pPr>
            <w:r>
              <w:rPr>
                <w:rFonts w:ascii="Arial" w:hAnsi="Arial"/>
                <w:b/>
                <w:sz w:val="22"/>
              </w:rPr>
              <w:t>Egikaritzearen ehunekoa, FDren finantzaketarekiko</w:t>
            </w:r>
          </w:p>
        </w:tc>
      </w:tr>
      <w:tr w:rsidR="005C558F" w14:paraId="2821478F" w14:textId="77777777" w:rsidTr="005C558F">
        <w:tc>
          <w:tcPr>
            <w:tcW w:w="4079" w:type="dxa"/>
          </w:tcPr>
          <w:p w14:paraId="7076D654" w14:textId="77777777" w:rsidR="005C558F" w:rsidRPr="0033398C" w:rsidRDefault="005C558F" w:rsidP="0033398C">
            <w:pPr>
              <w:spacing w:line="276" w:lineRule="auto"/>
              <w:jc w:val="center"/>
              <w:rPr>
                <w:rFonts w:ascii="Arial" w:hAnsi="Arial" w:cs="Arial"/>
                <w:sz w:val="22"/>
                <w:szCs w:val="22"/>
              </w:rPr>
            </w:pPr>
            <w:r>
              <w:rPr>
                <w:rFonts w:ascii="Arial" w:hAnsi="Arial"/>
                <w:sz w:val="22"/>
              </w:rPr>
              <w:t>Alloko, Arellanoko, Arroizko, Deikazteluko eta Leringo Gizarte Zerbitzuen Mankomunitatea</w:t>
            </w:r>
          </w:p>
        </w:tc>
        <w:tc>
          <w:tcPr>
            <w:tcW w:w="236" w:type="dxa"/>
            <w:vAlign w:val="center"/>
          </w:tcPr>
          <w:p w14:paraId="1A09529F"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13.565,56</w:t>
            </w:r>
          </w:p>
        </w:tc>
        <w:tc>
          <w:tcPr>
            <w:tcW w:w="2124" w:type="dxa"/>
            <w:vAlign w:val="center"/>
          </w:tcPr>
          <w:p w14:paraId="72B36C35"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65,85</w:t>
            </w:r>
          </w:p>
        </w:tc>
        <w:tc>
          <w:tcPr>
            <w:tcW w:w="2124" w:type="dxa"/>
            <w:vAlign w:val="center"/>
          </w:tcPr>
          <w:p w14:paraId="684B3446" w14:textId="70736FEC"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 19,90</w:t>
            </w:r>
          </w:p>
        </w:tc>
      </w:tr>
      <w:tr w:rsidR="005C558F" w14:paraId="1B0F5C8B" w14:textId="77777777" w:rsidTr="005C558F">
        <w:tc>
          <w:tcPr>
            <w:tcW w:w="4079" w:type="dxa"/>
            <w:vAlign w:val="center"/>
          </w:tcPr>
          <w:p w14:paraId="1FC30288" w14:textId="77777777" w:rsidR="005C558F" w:rsidRPr="0033398C" w:rsidRDefault="005C558F" w:rsidP="0033398C">
            <w:pPr>
              <w:spacing w:line="276" w:lineRule="auto"/>
              <w:jc w:val="center"/>
              <w:rPr>
                <w:rFonts w:ascii="Arial" w:hAnsi="Arial" w:cs="Arial"/>
                <w:color w:val="000000"/>
                <w:sz w:val="22"/>
                <w:szCs w:val="22"/>
              </w:rPr>
            </w:pPr>
            <w:r>
              <w:rPr>
                <w:rFonts w:ascii="Arial" w:hAnsi="Arial"/>
                <w:color w:val="000000"/>
                <w:sz w:val="22"/>
              </w:rPr>
              <w:t>Antzin-Ameskoako Oinarrizko Gizarte Zerbitzuen Mankomunitatea</w:t>
            </w:r>
          </w:p>
        </w:tc>
        <w:tc>
          <w:tcPr>
            <w:tcW w:w="236" w:type="dxa"/>
            <w:vAlign w:val="center"/>
          </w:tcPr>
          <w:p w14:paraId="1744DD1F"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8.583,39</w:t>
            </w:r>
          </w:p>
        </w:tc>
        <w:tc>
          <w:tcPr>
            <w:tcW w:w="2124" w:type="dxa"/>
            <w:vAlign w:val="center"/>
          </w:tcPr>
          <w:p w14:paraId="47E3AD34"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3.298,18</w:t>
            </w:r>
          </w:p>
        </w:tc>
        <w:tc>
          <w:tcPr>
            <w:tcW w:w="2124" w:type="dxa"/>
            <w:vAlign w:val="center"/>
          </w:tcPr>
          <w:p w14:paraId="04786D8D" w14:textId="1799A0FB"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 12,31</w:t>
            </w:r>
          </w:p>
        </w:tc>
      </w:tr>
      <w:tr w:rsidR="005C558F" w14:paraId="7E641E24" w14:textId="77777777" w:rsidTr="005C558F">
        <w:tc>
          <w:tcPr>
            <w:tcW w:w="4079" w:type="dxa"/>
            <w:vAlign w:val="center"/>
          </w:tcPr>
          <w:p w14:paraId="375DFB51" w14:textId="77777777" w:rsidR="005C558F" w:rsidRPr="0033398C" w:rsidRDefault="005C558F" w:rsidP="0033398C">
            <w:pPr>
              <w:spacing w:line="276" w:lineRule="auto"/>
              <w:jc w:val="center"/>
              <w:rPr>
                <w:rFonts w:ascii="Arial" w:hAnsi="Arial" w:cs="Arial"/>
                <w:color w:val="000000"/>
                <w:sz w:val="22"/>
                <w:szCs w:val="22"/>
              </w:rPr>
            </w:pPr>
            <w:r>
              <w:rPr>
                <w:rFonts w:ascii="Arial" w:hAnsi="Arial"/>
                <w:color w:val="000000"/>
                <w:sz w:val="22"/>
              </w:rPr>
              <w:t>Buñuel Barrutiko Oinarrizko Gizarte Zerbitzuen Mankomunitatea.</w:t>
            </w:r>
          </w:p>
        </w:tc>
        <w:tc>
          <w:tcPr>
            <w:tcW w:w="236" w:type="dxa"/>
            <w:vAlign w:val="center"/>
          </w:tcPr>
          <w:p w14:paraId="2B7F1C75"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16.288,40</w:t>
            </w:r>
          </w:p>
        </w:tc>
        <w:tc>
          <w:tcPr>
            <w:tcW w:w="2124" w:type="dxa"/>
            <w:vAlign w:val="center"/>
          </w:tcPr>
          <w:p w14:paraId="467379AA"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3.849,84</w:t>
            </w:r>
          </w:p>
        </w:tc>
        <w:tc>
          <w:tcPr>
            <w:tcW w:w="2124" w:type="dxa"/>
            <w:vAlign w:val="center"/>
          </w:tcPr>
          <w:p w14:paraId="570F3B55" w14:textId="7BC1748D"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 15,27</w:t>
            </w:r>
          </w:p>
        </w:tc>
      </w:tr>
      <w:tr w:rsidR="005C558F" w14:paraId="217193ED" w14:textId="77777777" w:rsidTr="005C558F">
        <w:tc>
          <w:tcPr>
            <w:tcW w:w="4079" w:type="dxa"/>
            <w:vAlign w:val="center"/>
          </w:tcPr>
          <w:p w14:paraId="61E54B5B" w14:textId="77777777" w:rsidR="005C558F" w:rsidRPr="0033398C" w:rsidRDefault="005C558F" w:rsidP="0033398C">
            <w:pPr>
              <w:spacing w:line="276" w:lineRule="auto"/>
              <w:jc w:val="center"/>
              <w:rPr>
                <w:rFonts w:ascii="Arial" w:hAnsi="Arial" w:cs="Arial"/>
                <w:color w:val="000000"/>
                <w:sz w:val="22"/>
                <w:szCs w:val="22"/>
              </w:rPr>
            </w:pPr>
            <w:r>
              <w:rPr>
                <w:rFonts w:ascii="Arial" w:hAnsi="Arial"/>
                <w:color w:val="000000"/>
                <w:sz w:val="22"/>
              </w:rPr>
              <w:t>Lizarrako Udala</w:t>
            </w:r>
          </w:p>
        </w:tc>
        <w:tc>
          <w:tcPr>
            <w:tcW w:w="236" w:type="dxa"/>
            <w:vAlign w:val="center"/>
          </w:tcPr>
          <w:p w14:paraId="3488BAB3"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17.343,10</w:t>
            </w:r>
          </w:p>
        </w:tc>
        <w:tc>
          <w:tcPr>
            <w:tcW w:w="2124" w:type="dxa"/>
            <w:vAlign w:val="center"/>
          </w:tcPr>
          <w:p w14:paraId="7C6F3A4B"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6.092,56</w:t>
            </w:r>
          </w:p>
        </w:tc>
        <w:tc>
          <w:tcPr>
            <w:tcW w:w="2124" w:type="dxa"/>
            <w:vAlign w:val="center"/>
          </w:tcPr>
          <w:p w14:paraId="521C4435" w14:textId="47A14E5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 12,97</w:t>
            </w:r>
          </w:p>
        </w:tc>
      </w:tr>
      <w:tr w:rsidR="005C558F" w14:paraId="4626A5F5" w14:textId="77777777" w:rsidTr="005C558F">
        <w:tc>
          <w:tcPr>
            <w:tcW w:w="4079" w:type="dxa"/>
            <w:vAlign w:val="center"/>
          </w:tcPr>
          <w:p w14:paraId="1D44A971" w14:textId="77777777" w:rsidR="005C558F" w:rsidRPr="0033398C" w:rsidRDefault="005C558F" w:rsidP="0033398C">
            <w:pPr>
              <w:spacing w:line="276" w:lineRule="auto"/>
              <w:jc w:val="center"/>
              <w:rPr>
                <w:rFonts w:ascii="Arial" w:hAnsi="Arial" w:cs="Arial"/>
                <w:color w:val="000000"/>
                <w:sz w:val="22"/>
                <w:szCs w:val="22"/>
              </w:rPr>
            </w:pPr>
            <w:r>
              <w:rPr>
                <w:rFonts w:ascii="Arial" w:hAnsi="Arial"/>
                <w:color w:val="000000"/>
                <w:sz w:val="22"/>
              </w:rPr>
              <w:t>Los Arcos Barrutiko Gizarte Zerbitzuen Mankomunitatea</w:t>
            </w:r>
          </w:p>
        </w:tc>
        <w:tc>
          <w:tcPr>
            <w:tcW w:w="236" w:type="dxa"/>
            <w:vAlign w:val="center"/>
          </w:tcPr>
          <w:p w14:paraId="6E250C52"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11.757,24</w:t>
            </w:r>
          </w:p>
        </w:tc>
        <w:tc>
          <w:tcPr>
            <w:tcW w:w="2124" w:type="dxa"/>
            <w:vAlign w:val="center"/>
          </w:tcPr>
          <w:p w14:paraId="1E568F71"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7.541,23</w:t>
            </w:r>
          </w:p>
        </w:tc>
        <w:tc>
          <w:tcPr>
            <w:tcW w:w="2124" w:type="dxa"/>
            <w:vAlign w:val="center"/>
          </w:tcPr>
          <w:p w14:paraId="79C99A05" w14:textId="12474908"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 7,17</w:t>
            </w:r>
          </w:p>
        </w:tc>
      </w:tr>
      <w:tr w:rsidR="005C558F" w14:paraId="03420A70" w14:textId="77777777" w:rsidTr="005C558F">
        <w:tc>
          <w:tcPr>
            <w:tcW w:w="4079" w:type="dxa"/>
            <w:vAlign w:val="center"/>
          </w:tcPr>
          <w:p w14:paraId="53B97075" w14:textId="77777777" w:rsidR="005C558F" w:rsidRPr="0033398C" w:rsidRDefault="005C558F" w:rsidP="0033398C">
            <w:pPr>
              <w:spacing w:line="276" w:lineRule="auto"/>
              <w:jc w:val="center"/>
              <w:rPr>
                <w:rFonts w:ascii="Arial" w:hAnsi="Arial" w:cs="Arial"/>
                <w:color w:val="000000"/>
                <w:sz w:val="22"/>
                <w:szCs w:val="22"/>
              </w:rPr>
            </w:pPr>
            <w:r>
              <w:rPr>
                <w:rFonts w:ascii="Arial" w:hAnsi="Arial"/>
                <w:color w:val="000000"/>
                <w:sz w:val="22"/>
              </w:rPr>
              <w:t>Tuterako Udala</w:t>
            </w:r>
          </w:p>
        </w:tc>
        <w:tc>
          <w:tcPr>
            <w:tcW w:w="236" w:type="dxa"/>
            <w:vAlign w:val="center"/>
          </w:tcPr>
          <w:p w14:paraId="0C1C2B26"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42.079,52</w:t>
            </w:r>
          </w:p>
        </w:tc>
        <w:tc>
          <w:tcPr>
            <w:tcW w:w="2124" w:type="dxa"/>
            <w:vAlign w:val="center"/>
          </w:tcPr>
          <w:p w14:paraId="2FB000D6"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11.229,13</w:t>
            </w:r>
          </w:p>
        </w:tc>
        <w:tc>
          <w:tcPr>
            <w:tcW w:w="2124" w:type="dxa"/>
            <w:vAlign w:val="center"/>
          </w:tcPr>
          <w:p w14:paraId="0E1CD5C8" w14:textId="53C9812F"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 14,66</w:t>
            </w:r>
          </w:p>
        </w:tc>
      </w:tr>
      <w:tr w:rsidR="005C558F" w14:paraId="0252A970" w14:textId="77777777" w:rsidTr="005C558F">
        <w:tc>
          <w:tcPr>
            <w:tcW w:w="4079" w:type="dxa"/>
            <w:vAlign w:val="center"/>
          </w:tcPr>
          <w:p w14:paraId="179727AF" w14:textId="77777777" w:rsidR="005C558F" w:rsidRPr="0033398C" w:rsidRDefault="005C558F" w:rsidP="0033398C">
            <w:pPr>
              <w:spacing w:line="276" w:lineRule="auto"/>
              <w:jc w:val="center"/>
              <w:rPr>
                <w:rFonts w:ascii="Arial" w:hAnsi="Arial" w:cs="Arial"/>
                <w:color w:val="000000"/>
                <w:sz w:val="22"/>
                <w:szCs w:val="22"/>
              </w:rPr>
            </w:pPr>
            <w:r>
              <w:rPr>
                <w:rFonts w:ascii="Arial" w:hAnsi="Arial"/>
                <w:color w:val="000000"/>
                <w:sz w:val="22"/>
              </w:rPr>
              <w:t>Arguedas, Valtierra, Villafranca, Milagro eta Cadreitako Oinarrizko Gizarte Zerbitzuen Mankomunitatea</w:t>
            </w:r>
          </w:p>
        </w:tc>
        <w:tc>
          <w:tcPr>
            <w:tcW w:w="236" w:type="dxa"/>
            <w:vAlign w:val="center"/>
          </w:tcPr>
          <w:p w14:paraId="1CDA1283"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20.306,77</w:t>
            </w:r>
          </w:p>
        </w:tc>
        <w:tc>
          <w:tcPr>
            <w:tcW w:w="2124" w:type="dxa"/>
            <w:vAlign w:val="center"/>
          </w:tcPr>
          <w:p w14:paraId="7504DCF7" w14:textId="77777777"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2.383,93</w:t>
            </w:r>
          </w:p>
        </w:tc>
        <w:tc>
          <w:tcPr>
            <w:tcW w:w="2124" w:type="dxa"/>
            <w:vAlign w:val="center"/>
          </w:tcPr>
          <w:p w14:paraId="569DE478" w14:textId="746DDAA3" w:rsidR="005C558F" w:rsidRPr="0033398C" w:rsidRDefault="005C558F" w:rsidP="0033398C">
            <w:pPr>
              <w:spacing w:line="276" w:lineRule="auto"/>
              <w:jc w:val="center"/>
              <w:rPr>
                <w:rFonts w:ascii="Arial" w:hAnsi="Arial" w:cs="Arial"/>
                <w:bCs/>
                <w:color w:val="000000"/>
                <w:sz w:val="22"/>
                <w:szCs w:val="22"/>
              </w:rPr>
            </w:pPr>
            <w:r>
              <w:rPr>
                <w:rFonts w:ascii="Arial" w:hAnsi="Arial"/>
                <w:color w:val="000000"/>
                <w:sz w:val="22"/>
              </w:rPr>
              <w:t>% 17,65</w:t>
            </w:r>
          </w:p>
        </w:tc>
      </w:tr>
    </w:tbl>
    <w:p w14:paraId="383AD8FF" w14:textId="77777777" w:rsidR="005C558F" w:rsidRDefault="005C558F" w:rsidP="003847ED">
      <w:pPr>
        <w:spacing w:line="360" w:lineRule="auto"/>
        <w:jc w:val="both"/>
        <w:rPr>
          <w:rFonts w:ascii="Arial" w:hAnsi="Arial" w:cs="Arial"/>
          <w:sz w:val="22"/>
          <w:szCs w:val="24"/>
        </w:rPr>
      </w:pPr>
    </w:p>
    <w:tbl>
      <w:tblPr>
        <w:tblStyle w:val="Tablaconcuadrcula"/>
        <w:tblW w:w="8642" w:type="dxa"/>
        <w:jc w:val="center"/>
        <w:tblLook w:val="04A0" w:firstRow="1" w:lastRow="0" w:firstColumn="1" w:lastColumn="0" w:noHBand="0" w:noVBand="1"/>
      </w:tblPr>
      <w:tblGrid>
        <w:gridCol w:w="3315"/>
        <w:gridCol w:w="1378"/>
        <w:gridCol w:w="1813"/>
        <w:gridCol w:w="2136"/>
      </w:tblGrid>
      <w:tr w:rsidR="005C558F" w14:paraId="7EBEF255" w14:textId="77777777" w:rsidTr="0033398C">
        <w:trPr>
          <w:jc w:val="center"/>
        </w:trPr>
        <w:tc>
          <w:tcPr>
            <w:tcW w:w="3576" w:type="dxa"/>
          </w:tcPr>
          <w:p w14:paraId="44A38807" w14:textId="77777777" w:rsidR="005C558F" w:rsidRPr="0033398C" w:rsidRDefault="005C558F" w:rsidP="0033398C">
            <w:pPr>
              <w:spacing w:line="276" w:lineRule="auto"/>
              <w:jc w:val="center"/>
              <w:rPr>
                <w:rFonts w:ascii="Arial" w:hAnsi="Arial" w:cs="Arial"/>
                <w:b/>
                <w:sz w:val="22"/>
                <w:szCs w:val="24"/>
              </w:rPr>
            </w:pPr>
            <w:r>
              <w:rPr>
                <w:rFonts w:ascii="Arial" w:hAnsi="Arial"/>
                <w:b/>
                <w:sz w:val="22"/>
              </w:rPr>
              <w:t>2024</w:t>
            </w:r>
          </w:p>
        </w:tc>
        <w:tc>
          <w:tcPr>
            <w:tcW w:w="1195" w:type="dxa"/>
          </w:tcPr>
          <w:p w14:paraId="50A659C5" w14:textId="77777777" w:rsidR="005C558F" w:rsidRPr="0033398C" w:rsidRDefault="005C558F" w:rsidP="0033398C">
            <w:pPr>
              <w:spacing w:line="276" w:lineRule="auto"/>
              <w:jc w:val="center"/>
              <w:rPr>
                <w:rFonts w:ascii="Arial" w:hAnsi="Arial" w:cs="Arial"/>
                <w:b/>
                <w:sz w:val="22"/>
                <w:szCs w:val="24"/>
              </w:rPr>
            </w:pPr>
            <w:r>
              <w:rPr>
                <w:rFonts w:ascii="Arial" w:hAnsi="Arial"/>
                <w:b/>
                <w:sz w:val="22"/>
              </w:rPr>
              <w:t>Justifikatu beharreko gutxieneko gastua</w:t>
            </w:r>
          </w:p>
        </w:tc>
        <w:tc>
          <w:tcPr>
            <w:tcW w:w="1887" w:type="dxa"/>
          </w:tcPr>
          <w:p w14:paraId="18CEC39E" w14:textId="77777777" w:rsidR="005C558F" w:rsidRPr="0033398C" w:rsidRDefault="005C558F" w:rsidP="0033398C">
            <w:pPr>
              <w:spacing w:line="276" w:lineRule="auto"/>
              <w:jc w:val="center"/>
              <w:rPr>
                <w:rFonts w:ascii="Arial" w:hAnsi="Arial" w:cs="Arial"/>
                <w:b/>
                <w:sz w:val="22"/>
                <w:szCs w:val="24"/>
              </w:rPr>
            </w:pPr>
            <w:r>
              <w:rPr>
                <w:rFonts w:ascii="Arial" w:hAnsi="Arial"/>
                <w:b/>
                <w:sz w:val="22"/>
              </w:rPr>
              <w:t>Itzuli beharreko zenbatekoa</w:t>
            </w:r>
          </w:p>
        </w:tc>
        <w:tc>
          <w:tcPr>
            <w:tcW w:w="1984" w:type="dxa"/>
          </w:tcPr>
          <w:p w14:paraId="4F335133" w14:textId="77777777" w:rsidR="005C558F" w:rsidRPr="0033398C" w:rsidRDefault="005C558F" w:rsidP="0033398C">
            <w:pPr>
              <w:spacing w:line="276" w:lineRule="auto"/>
              <w:jc w:val="center"/>
              <w:rPr>
                <w:rFonts w:ascii="Arial" w:hAnsi="Arial" w:cs="Arial"/>
                <w:b/>
                <w:sz w:val="22"/>
                <w:szCs w:val="24"/>
              </w:rPr>
            </w:pPr>
            <w:r>
              <w:rPr>
                <w:rFonts w:ascii="Arial" w:hAnsi="Arial"/>
                <w:b/>
                <w:sz w:val="22"/>
              </w:rPr>
              <w:t>Egikaritzearen ehunekoa, FDren finantzaketarekiko</w:t>
            </w:r>
          </w:p>
        </w:tc>
      </w:tr>
      <w:tr w:rsidR="005C558F" w14:paraId="7F91EB6B" w14:textId="77777777" w:rsidTr="0033398C">
        <w:trPr>
          <w:jc w:val="center"/>
        </w:trPr>
        <w:tc>
          <w:tcPr>
            <w:tcW w:w="3576" w:type="dxa"/>
          </w:tcPr>
          <w:p w14:paraId="7E639ACA" w14:textId="77777777" w:rsidR="005C558F" w:rsidRPr="005C558F" w:rsidRDefault="005C558F" w:rsidP="0033398C">
            <w:pPr>
              <w:spacing w:line="276" w:lineRule="auto"/>
              <w:jc w:val="center"/>
              <w:rPr>
                <w:rFonts w:ascii="Arial" w:hAnsi="Arial" w:cs="Arial"/>
                <w:sz w:val="22"/>
                <w:szCs w:val="24"/>
              </w:rPr>
            </w:pPr>
            <w:r>
              <w:rPr>
                <w:rFonts w:ascii="Arial" w:hAnsi="Arial"/>
                <w:sz w:val="22"/>
              </w:rPr>
              <w:t>Altsasu, Olazti eta Ziordiko Oinarrizko Gizarte Zerbitzuen Mankomunitatea</w:t>
            </w:r>
          </w:p>
        </w:tc>
        <w:tc>
          <w:tcPr>
            <w:tcW w:w="1195" w:type="dxa"/>
          </w:tcPr>
          <w:p w14:paraId="4E363796" w14:textId="77777777" w:rsidR="005C558F" w:rsidRPr="005C558F" w:rsidRDefault="005C558F" w:rsidP="0033398C">
            <w:pPr>
              <w:spacing w:line="276" w:lineRule="auto"/>
              <w:jc w:val="center"/>
              <w:rPr>
                <w:rFonts w:ascii="Arial" w:hAnsi="Arial" w:cs="Arial"/>
                <w:sz w:val="22"/>
                <w:szCs w:val="24"/>
              </w:rPr>
            </w:pPr>
            <w:r>
              <w:rPr>
                <w:rFonts w:ascii="Arial" w:hAnsi="Arial"/>
                <w:sz w:val="22"/>
              </w:rPr>
              <w:t>9.456,36</w:t>
            </w:r>
          </w:p>
        </w:tc>
        <w:tc>
          <w:tcPr>
            <w:tcW w:w="1887" w:type="dxa"/>
          </w:tcPr>
          <w:p w14:paraId="10FF473E" w14:textId="77777777" w:rsidR="005C558F" w:rsidRPr="005C558F" w:rsidRDefault="005C558F" w:rsidP="0033398C">
            <w:pPr>
              <w:spacing w:line="276" w:lineRule="auto"/>
              <w:jc w:val="center"/>
              <w:rPr>
                <w:rFonts w:ascii="Arial" w:hAnsi="Arial" w:cs="Arial"/>
                <w:sz w:val="22"/>
                <w:szCs w:val="24"/>
              </w:rPr>
            </w:pPr>
            <w:r>
              <w:rPr>
                <w:rFonts w:ascii="Arial" w:hAnsi="Arial"/>
                <w:sz w:val="22"/>
              </w:rPr>
              <w:t>596,69</w:t>
            </w:r>
          </w:p>
        </w:tc>
        <w:tc>
          <w:tcPr>
            <w:tcW w:w="1984" w:type="dxa"/>
          </w:tcPr>
          <w:p w14:paraId="2C5CCF85" w14:textId="35699501" w:rsidR="005C558F" w:rsidRPr="005C558F" w:rsidRDefault="005C558F" w:rsidP="0033398C">
            <w:pPr>
              <w:spacing w:line="276" w:lineRule="auto"/>
              <w:jc w:val="center"/>
              <w:rPr>
                <w:rFonts w:ascii="Arial" w:hAnsi="Arial" w:cs="Arial"/>
                <w:sz w:val="22"/>
                <w:szCs w:val="24"/>
              </w:rPr>
            </w:pPr>
            <w:r>
              <w:rPr>
                <w:rFonts w:ascii="Arial" w:hAnsi="Arial"/>
                <w:sz w:val="22"/>
              </w:rPr>
              <w:t>% 18,74</w:t>
            </w:r>
          </w:p>
        </w:tc>
      </w:tr>
      <w:tr w:rsidR="005C558F" w14:paraId="2545B66D" w14:textId="77777777" w:rsidTr="0033398C">
        <w:trPr>
          <w:jc w:val="center"/>
        </w:trPr>
        <w:tc>
          <w:tcPr>
            <w:tcW w:w="3576" w:type="dxa"/>
          </w:tcPr>
          <w:p w14:paraId="1C015A5D" w14:textId="77777777" w:rsidR="005C558F" w:rsidRPr="005C558F" w:rsidRDefault="005C558F" w:rsidP="0033398C">
            <w:pPr>
              <w:spacing w:line="276" w:lineRule="auto"/>
              <w:jc w:val="center"/>
              <w:rPr>
                <w:rFonts w:ascii="Arial" w:hAnsi="Arial" w:cs="Arial"/>
                <w:sz w:val="22"/>
                <w:szCs w:val="24"/>
              </w:rPr>
            </w:pPr>
            <w:r>
              <w:rPr>
                <w:rFonts w:ascii="Arial" w:hAnsi="Arial"/>
                <w:sz w:val="22"/>
              </w:rPr>
              <w:t>Antzin-Ameskoako Oinarrizko Gizarte Zerbitzuen Mankomunitatea</w:t>
            </w:r>
          </w:p>
        </w:tc>
        <w:tc>
          <w:tcPr>
            <w:tcW w:w="1195" w:type="dxa"/>
          </w:tcPr>
          <w:p w14:paraId="7AF46A3D" w14:textId="77777777" w:rsidR="005C558F" w:rsidRPr="005C558F" w:rsidRDefault="005C558F" w:rsidP="0033398C">
            <w:pPr>
              <w:spacing w:line="276" w:lineRule="auto"/>
              <w:jc w:val="center"/>
              <w:rPr>
                <w:rFonts w:ascii="Arial" w:hAnsi="Arial" w:cs="Arial"/>
                <w:sz w:val="22"/>
                <w:szCs w:val="24"/>
              </w:rPr>
            </w:pPr>
            <w:r>
              <w:rPr>
                <w:rFonts w:ascii="Arial" w:hAnsi="Arial"/>
                <w:sz w:val="22"/>
              </w:rPr>
              <w:t>8.032,55</w:t>
            </w:r>
          </w:p>
        </w:tc>
        <w:tc>
          <w:tcPr>
            <w:tcW w:w="1887" w:type="dxa"/>
          </w:tcPr>
          <w:p w14:paraId="0D9C98CE" w14:textId="77777777" w:rsidR="005C558F" w:rsidRPr="005C558F" w:rsidRDefault="005C558F" w:rsidP="0033398C">
            <w:pPr>
              <w:spacing w:line="276" w:lineRule="auto"/>
              <w:jc w:val="center"/>
              <w:rPr>
                <w:rFonts w:ascii="Arial" w:hAnsi="Arial" w:cs="Arial"/>
                <w:sz w:val="22"/>
                <w:szCs w:val="24"/>
              </w:rPr>
            </w:pPr>
            <w:r>
              <w:rPr>
                <w:rFonts w:ascii="Arial" w:hAnsi="Arial"/>
                <w:sz w:val="22"/>
              </w:rPr>
              <w:t>4.436,81</w:t>
            </w:r>
          </w:p>
        </w:tc>
        <w:tc>
          <w:tcPr>
            <w:tcW w:w="1984" w:type="dxa"/>
          </w:tcPr>
          <w:p w14:paraId="4B9EC704" w14:textId="2E860F85" w:rsidR="005C558F" w:rsidRPr="005C558F" w:rsidRDefault="005C558F" w:rsidP="0033398C">
            <w:pPr>
              <w:spacing w:line="276" w:lineRule="auto"/>
              <w:jc w:val="center"/>
              <w:rPr>
                <w:rFonts w:ascii="Arial" w:hAnsi="Arial" w:cs="Arial"/>
                <w:sz w:val="22"/>
                <w:szCs w:val="24"/>
              </w:rPr>
            </w:pPr>
            <w:r>
              <w:rPr>
                <w:rFonts w:ascii="Arial" w:hAnsi="Arial"/>
                <w:sz w:val="22"/>
              </w:rPr>
              <w:t>% 8,95</w:t>
            </w:r>
          </w:p>
        </w:tc>
      </w:tr>
      <w:tr w:rsidR="005C558F" w14:paraId="46B4C343" w14:textId="77777777" w:rsidTr="0033398C">
        <w:trPr>
          <w:jc w:val="center"/>
        </w:trPr>
        <w:tc>
          <w:tcPr>
            <w:tcW w:w="3576" w:type="dxa"/>
          </w:tcPr>
          <w:p w14:paraId="7E74427E" w14:textId="77777777" w:rsidR="005C558F" w:rsidRDefault="005C558F" w:rsidP="0033398C">
            <w:pPr>
              <w:spacing w:line="276" w:lineRule="auto"/>
              <w:jc w:val="center"/>
              <w:rPr>
                <w:rFonts w:ascii="Arial" w:hAnsi="Arial" w:cs="Arial"/>
                <w:sz w:val="22"/>
                <w:szCs w:val="24"/>
              </w:rPr>
            </w:pPr>
            <w:r>
              <w:rPr>
                <w:rFonts w:ascii="Arial" w:hAnsi="Arial"/>
                <w:sz w:val="22"/>
              </w:rPr>
              <w:lastRenderedPageBreak/>
              <w:t>Buñuel Barrutiko Oinarrizko Gizarte Zerbitzuen Mankomunitatea.</w:t>
            </w:r>
          </w:p>
        </w:tc>
        <w:tc>
          <w:tcPr>
            <w:tcW w:w="1195" w:type="dxa"/>
          </w:tcPr>
          <w:p w14:paraId="4D27E63E" w14:textId="77777777" w:rsidR="005C558F" w:rsidRDefault="005C558F" w:rsidP="0033398C">
            <w:pPr>
              <w:spacing w:line="276" w:lineRule="auto"/>
              <w:jc w:val="center"/>
              <w:rPr>
                <w:rFonts w:ascii="Arial" w:hAnsi="Arial" w:cs="Arial"/>
                <w:sz w:val="22"/>
                <w:szCs w:val="24"/>
              </w:rPr>
            </w:pPr>
            <w:r>
              <w:rPr>
                <w:rFonts w:ascii="Arial" w:hAnsi="Arial"/>
                <w:sz w:val="22"/>
              </w:rPr>
              <w:t>16.694,81</w:t>
            </w:r>
          </w:p>
        </w:tc>
        <w:tc>
          <w:tcPr>
            <w:tcW w:w="1887" w:type="dxa"/>
          </w:tcPr>
          <w:p w14:paraId="0EB8A5C7" w14:textId="77777777" w:rsidR="005C558F" w:rsidRDefault="005C558F" w:rsidP="0033398C">
            <w:pPr>
              <w:spacing w:line="276" w:lineRule="auto"/>
              <w:jc w:val="center"/>
              <w:rPr>
                <w:rFonts w:ascii="Arial" w:hAnsi="Arial" w:cs="Arial"/>
                <w:sz w:val="22"/>
                <w:szCs w:val="24"/>
              </w:rPr>
            </w:pPr>
            <w:r>
              <w:rPr>
                <w:rFonts w:ascii="Arial" w:hAnsi="Arial"/>
                <w:sz w:val="22"/>
              </w:rPr>
              <w:t>161,29</w:t>
            </w:r>
          </w:p>
        </w:tc>
        <w:tc>
          <w:tcPr>
            <w:tcW w:w="1984" w:type="dxa"/>
          </w:tcPr>
          <w:p w14:paraId="5CBC812F" w14:textId="680E3815" w:rsidR="005C558F" w:rsidRDefault="005C558F" w:rsidP="0033398C">
            <w:pPr>
              <w:spacing w:line="276" w:lineRule="auto"/>
              <w:jc w:val="center"/>
              <w:rPr>
                <w:rFonts w:ascii="Arial" w:hAnsi="Arial" w:cs="Arial"/>
                <w:sz w:val="22"/>
                <w:szCs w:val="24"/>
              </w:rPr>
            </w:pPr>
            <w:r>
              <w:rPr>
                <w:rFonts w:ascii="Arial" w:hAnsi="Arial"/>
                <w:sz w:val="22"/>
              </w:rPr>
              <w:t>% 19,81</w:t>
            </w:r>
          </w:p>
        </w:tc>
      </w:tr>
      <w:tr w:rsidR="005C558F" w14:paraId="5F580707" w14:textId="77777777" w:rsidTr="0033398C">
        <w:trPr>
          <w:jc w:val="center"/>
        </w:trPr>
        <w:tc>
          <w:tcPr>
            <w:tcW w:w="3576" w:type="dxa"/>
          </w:tcPr>
          <w:p w14:paraId="1FB3BD5B" w14:textId="77777777" w:rsidR="005C558F" w:rsidRDefault="005C558F" w:rsidP="0033398C">
            <w:pPr>
              <w:spacing w:line="276" w:lineRule="auto"/>
              <w:jc w:val="center"/>
              <w:rPr>
                <w:rFonts w:ascii="Arial" w:hAnsi="Arial" w:cs="Arial"/>
                <w:sz w:val="22"/>
                <w:szCs w:val="24"/>
              </w:rPr>
            </w:pPr>
            <w:r>
              <w:rPr>
                <w:rFonts w:ascii="Arial" w:hAnsi="Arial"/>
                <w:sz w:val="22"/>
              </w:rPr>
              <w:t>Erronkari Ibaxaren Batzordea</w:t>
            </w:r>
          </w:p>
        </w:tc>
        <w:tc>
          <w:tcPr>
            <w:tcW w:w="1195" w:type="dxa"/>
          </w:tcPr>
          <w:p w14:paraId="4D7401A2" w14:textId="77777777" w:rsidR="005C558F" w:rsidRDefault="005C558F" w:rsidP="0033398C">
            <w:pPr>
              <w:spacing w:line="276" w:lineRule="auto"/>
              <w:jc w:val="center"/>
              <w:rPr>
                <w:rFonts w:ascii="Arial" w:hAnsi="Arial" w:cs="Arial"/>
                <w:sz w:val="22"/>
                <w:szCs w:val="24"/>
              </w:rPr>
            </w:pPr>
            <w:r>
              <w:rPr>
                <w:rFonts w:ascii="Arial" w:hAnsi="Arial"/>
                <w:sz w:val="22"/>
              </w:rPr>
              <w:t>5.112,37</w:t>
            </w:r>
          </w:p>
        </w:tc>
        <w:tc>
          <w:tcPr>
            <w:tcW w:w="1887" w:type="dxa"/>
          </w:tcPr>
          <w:p w14:paraId="766F78D1" w14:textId="77777777" w:rsidR="005C558F" w:rsidRDefault="005C558F" w:rsidP="0033398C">
            <w:pPr>
              <w:spacing w:line="276" w:lineRule="auto"/>
              <w:jc w:val="center"/>
              <w:rPr>
                <w:rFonts w:ascii="Arial" w:hAnsi="Arial" w:cs="Arial"/>
                <w:sz w:val="22"/>
                <w:szCs w:val="24"/>
              </w:rPr>
            </w:pPr>
            <w:r>
              <w:rPr>
                <w:rFonts w:ascii="Arial" w:hAnsi="Arial"/>
                <w:sz w:val="22"/>
              </w:rPr>
              <w:t>221,54</w:t>
            </w:r>
          </w:p>
        </w:tc>
        <w:tc>
          <w:tcPr>
            <w:tcW w:w="1984" w:type="dxa"/>
          </w:tcPr>
          <w:p w14:paraId="2D7AE961" w14:textId="048A6482" w:rsidR="005C558F" w:rsidRDefault="005C558F" w:rsidP="0033398C">
            <w:pPr>
              <w:spacing w:line="276" w:lineRule="auto"/>
              <w:jc w:val="center"/>
              <w:rPr>
                <w:rFonts w:ascii="Arial" w:hAnsi="Arial" w:cs="Arial"/>
                <w:sz w:val="22"/>
                <w:szCs w:val="24"/>
              </w:rPr>
            </w:pPr>
            <w:r>
              <w:rPr>
                <w:rFonts w:ascii="Arial" w:hAnsi="Arial"/>
                <w:sz w:val="22"/>
              </w:rPr>
              <w:t>% 19,13</w:t>
            </w:r>
          </w:p>
        </w:tc>
      </w:tr>
      <w:tr w:rsidR="005C558F" w14:paraId="63CA76D4" w14:textId="77777777" w:rsidTr="0033398C">
        <w:trPr>
          <w:jc w:val="center"/>
        </w:trPr>
        <w:tc>
          <w:tcPr>
            <w:tcW w:w="3576" w:type="dxa"/>
          </w:tcPr>
          <w:p w14:paraId="4F127ABF" w14:textId="77777777" w:rsidR="005C558F" w:rsidRDefault="005C558F" w:rsidP="0033398C">
            <w:pPr>
              <w:spacing w:line="276" w:lineRule="auto"/>
              <w:jc w:val="center"/>
              <w:rPr>
                <w:rFonts w:ascii="Arial" w:hAnsi="Arial" w:cs="Arial"/>
                <w:sz w:val="22"/>
                <w:szCs w:val="24"/>
              </w:rPr>
            </w:pPr>
            <w:r>
              <w:rPr>
                <w:rFonts w:ascii="Arial" w:hAnsi="Arial"/>
                <w:sz w:val="22"/>
              </w:rPr>
              <w:t>Los Arcos Barrutiko Gizarte Zerbitzuen Mankomunitatea</w:t>
            </w:r>
          </w:p>
        </w:tc>
        <w:tc>
          <w:tcPr>
            <w:tcW w:w="1195" w:type="dxa"/>
          </w:tcPr>
          <w:p w14:paraId="12FBDE1C" w14:textId="77777777" w:rsidR="005C558F" w:rsidRDefault="005C558F" w:rsidP="0033398C">
            <w:pPr>
              <w:spacing w:line="276" w:lineRule="auto"/>
              <w:jc w:val="center"/>
              <w:rPr>
                <w:rFonts w:ascii="Arial" w:hAnsi="Arial" w:cs="Arial"/>
                <w:sz w:val="22"/>
                <w:szCs w:val="24"/>
              </w:rPr>
            </w:pPr>
            <w:r>
              <w:rPr>
                <w:rFonts w:ascii="Arial" w:hAnsi="Arial"/>
                <w:sz w:val="22"/>
              </w:rPr>
              <w:t>11.320,25</w:t>
            </w:r>
          </w:p>
        </w:tc>
        <w:tc>
          <w:tcPr>
            <w:tcW w:w="1887" w:type="dxa"/>
          </w:tcPr>
          <w:p w14:paraId="6384A126" w14:textId="77777777" w:rsidR="005C558F" w:rsidRDefault="005C558F" w:rsidP="0033398C">
            <w:pPr>
              <w:spacing w:line="276" w:lineRule="auto"/>
              <w:jc w:val="center"/>
              <w:rPr>
                <w:rFonts w:ascii="Arial" w:hAnsi="Arial" w:cs="Arial"/>
                <w:sz w:val="22"/>
                <w:szCs w:val="24"/>
              </w:rPr>
            </w:pPr>
            <w:r>
              <w:rPr>
                <w:rFonts w:ascii="Arial" w:hAnsi="Arial"/>
                <w:sz w:val="22"/>
              </w:rPr>
              <w:t>5.289,82</w:t>
            </w:r>
          </w:p>
        </w:tc>
        <w:tc>
          <w:tcPr>
            <w:tcW w:w="1984" w:type="dxa"/>
          </w:tcPr>
          <w:p w14:paraId="72272BDB" w14:textId="4C3E91C3" w:rsidR="005C558F" w:rsidRDefault="005C558F" w:rsidP="0033398C">
            <w:pPr>
              <w:spacing w:line="276" w:lineRule="auto"/>
              <w:jc w:val="center"/>
              <w:rPr>
                <w:rFonts w:ascii="Arial" w:hAnsi="Arial" w:cs="Arial"/>
                <w:sz w:val="22"/>
                <w:szCs w:val="24"/>
              </w:rPr>
            </w:pPr>
            <w:r>
              <w:rPr>
                <w:rFonts w:ascii="Arial" w:hAnsi="Arial"/>
                <w:sz w:val="22"/>
              </w:rPr>
              <w:t>% 10,65</w:t>
            </w:r>
          </w:p>
        </w:tc>
      </w:tr>
      <w:tr w:rsidR="005C558F" w14:paraId="7A7D98D2" w14:textId="77777777" w:rsidTr="0033398C">
        <w:trPr>
          <w:jc w:val="center"/>
        </w:trPr>
        <w:tc>
          <w:tcPr>
            <w:tcW w:w="3576" w:type="dxa"/>
          </w:tcPr>
          <w:p w14:paraId="693D9009" w14:textId="77777777" w:rsidR="005C558F" w:rsidRDefault="005C558F" w:rsidP="0033398C">
            <w:pPr>
              <w:spacing w:line="276" w:lineRule="auto"/>
              <w:jc w:val="center"/>
              <w:rPr>
                <w:rFonts w:ascii="Arial" w:hAnsi="Arial" w:cs="Arial"/>
                <w:sz w:val="22"/>
                <w:szCs w:val="24"/>
              </w:rPr>
            </w:pPr>
            <w:r>
              <w:rPr>
                <w:rFonts w:ascii="Arial" w:hAnsi="Arial"/>
                <w:sz w:val="22"/>
              </w:rPr>
              <w:t>Erriberriko Barrutiko Oinarrizko Gizarte Zerbitzuen Mankomunitatea</w:t>
            </w:r>
          </w:p>
        </w:tc>
        <w:tc>
          <w:tcPr>
            <w:tcW w:w="1195" w:type="dxa"/>
          </w:tcPr>
          <w:p w14:paraId="79CB8E1F" w14:textId="77777777" w:rsidR="005C558F" w:rsidRDefault="005C558F" w:rsidP="0033398C">
            <w:pPr>
              <w:spacing w:line="276" w:lineRule="auto"/>
              <w:jc w:val="center"/>
              <w:rPr>
                <w:rFonts w:ascii="Arial" w:hAnsi="Arial" w:cs="Arial"/>
                <w:sz w:val="22"/>
                <w:szCs w:val="24"/>
              </w:rPr>
            </w:pPr>
            <w:r>
              <w:rPr>
                <w:rFonts w:ascii="Arial" w:hAnsi="Arial"/>
                <w:sz w:val="22"/>
              </w:rPr>
              <w:t>12.783,07</w:t>
            </w:r>
          </w:p>
        </w:tc>
        <w:tc>
          <w:tcPr>
            <w:tcW w:w="1887" w:type="dxa"/>
          </w:tcPr>
          <w:p w14:paraId="111827D6" w14:textId="77777777" w:rsidR="005C558F" w:rsidRDefault="005C558F" w:rsidP="0033398C">
            <w:pPr>
              <w:spacing w:line="276" w:lineRule="auto"/>
              <w:jc w:val="center"/>
              <w:rPr>
                <w:rFonts w:ascii="Arial" w:hAnsi="Arial" w:cs="Arial"/>
                <w:sz w:val="22"/>
                <w:szCs w:val="24"/>
              </w:rPr>
            </w:pPr>
            <w:r>
              <w:rPr>
                <w:rFonts w:ascii="Arial" w:hAnsi="Arial"/>
                <w:sz w:val="22"/>
              </w:rPr>
              <w:t>3.646,62</w:t>
            </w:r>
          </w:p>
        </w:tc>
        <w:tc>
          <w:tcPr>
            <w:tcW w:w="1984" w:type="dxa"/>
          </w:tcPr>
          <w:p w14:paraId="66BCF7DC" w14:textId="176ACB12" w:rsidR="005C558F" w:rsidRDefault="0033398C" w:rsidP="0033398C">
            <w:pPr>
              <w:spacing w:line="276" w:lineRule="auto"/>
              <w:jc w:val="center"/>
              <w:rPr>
                <w:rFonts w:ascii="Arial" w:hAnsi="Arial" w:cs="Arial"/>
                <w:sz w:val="22"/>
                <w:szCs w:val="24"/>
              </w:rPr>
            </w:pPr>
            <w:r>
              <w:rPr>
                <w:rFonts w:ascii="Arial" w:hAnsi="Arial"/>
                <w:sz w:val="22"/>
              </w:rPr>
              <w:t>% 14,29</w:t>
            </w:r>
          </w:p>
        </w:tc>
      </w:tr>
    </w:tbl>
    <w:p w14:paraId="3F5CB1B1" w14:textId="77777777" w:rsidR="005C558F" w:rsidRPr="005C558F" w:rsidRDefault="005C558F" w:rsidP="005C558F">
      <w:pPr>
        <w:spacing w:line="360" w:lineRule="auto"/>
        <w:rPr>
          <w:rFonts w:ascii="Arial" w:hAnsi="Arial" w:cs="Arial"/>
          <w:sz w:val="32"/>
          <w:szCs w:val="24"/>
        </w:rPr>
      </w:pPr>
    </w:p>
    <w:p w14:paraId="6219A173" w14:textId="77777777" w:rsidR="005C558F" w:rsidRPr="005B5DD7" w:rsidRDefault="0033398C" w:rsidP="005B5DD7">
      <w:pPr>
        <w:spacing w:after="120" w:line="276" w:lineRule="auto"/>
        <w:jc w:val="both"/>
        <w:rPr>
          <w:rFonts w:asciiTheme="minorHAnsi" w:hAnsiTheme="minorHAnsi" w:cstheme="minorHAnsi"/>
          <w:sz w:val="22"/>
          <w:szCs w:val="22"/>
        </w:rPr>
      </w:pPr>
      <w:r>
        <w:rPr>
          <w:rFonts w:asciiTheme="minorHAnsi" w:hAnsiTheme="minorHAnsi"/>
          <w:sz w:val="22"/>
        </w:rPr>
        <w:t>“Ez-betetze hori eragiten duten arrazoiei” dagokienez, hau nabarmendu behar da:</w:t>
      </w:r>
    </w:p>
    <w:p w14:paraId="7FC48B31" w14:textId="77777777" w:rsidR="0033398C" w:rsidRPr="005B5DD7" w:rsidRDefault="0033398C" w:rsidP="005B5DD7">
      <w:pPr>
        <w:spacing w:after="120" w:line="276" w:lineRule="auto"/>
        <w:jc w:val="both"/>
        <w:rPr>
          <w:rFonts w:asciiTheme="minorHAnsi" w:hAnsiTheme="minorHAnsi" w:cstheme="minorHAnsi"/>
          <w:sz w:val="22"/>
          <w:szCs w:val="22"/>
        </w:rPr>
      </w:pPr>
      <w:r>
        <w:rPr>
          <w:rFonts w:asciiTheme="minorHAnsi" w:hAnsiTheme="minorHAnsi"/>
          <w:sz w:val="22"/>
        </w:rPr>
        <w:t xml:space="preserve">2020ko uztailaren 15eko 48/2020 Foru Dekretuan ezarritako zenbatekoa kalkulu bati dagokio, eta ez eremu bakoitzaren errealitate espezifikoari. Beraz, urteko estaldura-premia errealek ez dute zertan bat etorri zenbatetsitako zenbatekoarekin. </w:t>
      </w:r>
    </w:p>
    <w:p w14:paraId="1870E787" w14:textId="77777777" w:rsidR="0033398C" w:rsidRPr="005B5DD7" w:rsidRDefault="0033398C" w:rsidP="005B5DD7">
      <w:pPr>
        <w:spacing w:after="120" w:line="276" w:lineRule="auto"/>
        <w:jc w:val="both"/>
        <w:rPr>
          <w:rFonts w:asciiTheme="minorHAnsi" w:hAnsiTheme="minorHAnsi" w:cstheme="minorHAnsi"/>
          <w:sz w:val="22"/>
          <w:szCs w:val="22"/>
        </w:rPr>
      </w:pPr>
      <w:r>
        <w:rPr>
          <w:rFonts w:asciiTheme="minorHAnsi" w:hAnsiTheme="minorHAnsi"/>
          <w:sz w:val="22"/>
        </w:rPr>
        <w:t>Bestalde, gizarte-inklusioko eta/edo gizarte-larrialdiko prozesuetara bideratutako laguntzak beharrizanak estaltzeko sistema zabaldu batean integratzen dira. Sistema horrek barnean hartzen ditu, besteak beste, prestazio hauek: errenta bermatua, bizitzeko gutxieneko diru-sarrera, oinarrizko laguntza materialaren programa, gizarteratzeko aparteko laguntzak eta abar.</w:t>
      </w:r>
    </w:p>
    <w:p w14:paraId="401118AB" w14:textId="77777777" w:rsidR="0033398C" w:rsidRPr="005B5DD7" w:rsidRDefault="0033398C" w:rsidP="005B5DD7">
      <w:pPr>
        <w:spacing w:after="120" w:line="276" w:lineRule="auto"/>
        <w:jc w:val="both"/>
        <w:rPr>
          <w:rFonts w:asciiTheme="minorHAnsi" w:hAnsiTheme="minorHAnsi" w:cstheme="minorHAnsi"/>
          <w:sz w:val="22"/>
          <w:szCs w:val="22"/>
        </w:rPr>
      </w:pPr>
      <w:r>
        <w:rPr>
          <w:rFonts w:asciiTheme="minorHAnsi" w:hAnsiTheme="minorHAnsi"/>
          <w:sz w:val="22"/>
        </w:rPr>
        <w:t>Gizarteratze-prozesuetara eta/edo gizarte-larrialdiko prozesuetara bideratutako laguntzak gizarteratze-prozesuekin lotzen dira, eta gizarte-zerbitzuetako profesionalen balorazio sozialaren mende daude; beraz, zenbatetsitako zenbatekoa ez justifikatzeak esan nahi du eremu horretako premiak oinarrizko beharrizanak estaltzeko sistemak bete dituela.</w:t>
      </w:r>
    </w:p>
    <w:p w14:paraId="7F2EFF9A" w14:textId="58522DB4" w:rsidR="0033398C" w:rsidRPr="005B5DD7" w:rsidRDefault="0033398C" w:rsidP="005B5DD7">
      <w:pPr>
        <w:spacing w:after="120" w:line="276" w:lineRule="auto"/>
        <w:jc w:val="both"/>
        <w:rPr>
          <w:rFonts w:asciiTheme="minorHAnsi" w:hAnsiTheme="minorHAnsi" w:cstheme="minorHAnsi"/>
          <w:sz w:val="22"/>
          <w:szCs w:val="22"/>
        </w:rPr>
      </w:pPr>
      <w:r>
        <w:rPr>
          <w:rFonts w:asciiTheme="minorHAnsi" w:hAnsiTheme="minorHAnsi"/>
          <w:sz w:val="22"/>
        </w:rPr>
        <w:t>Eta, azkenik, 48/2020 Foru Dekretuak hitzarmenetan gizarteratzeko eta larrialdi sozialeko laguntzen finantzaketa zuzena sartu zuen, aurreko dirulaguntzen eredua gainditu ondotik. Ezartzen denez (23.3 artikulua) foru-ekarpenaren gutxienez % 20 justifikatu behar da kontzeptu espezifikoetan (adierazi den bezala, zenbateko hori gutxi gorabeherakoa baino ez da), urte anitzeko hitzarmenen I. eranskineko baldintzek diotenaren arabera (</w:t>
      </w:r>
      <w:hyperlink w:anchor="anexo" w:history="1">
        <w:r>
          <w:rPr>
            <w:rStyle w:val="Hipervnculo"/>
            <w:rFonts w:asciiTheme="minorHAnsi" w:hAnsiTheme="minorHAnsi"/>
            <w:sz w:val="22"/>
          </w:rPr>
          <w:t>Eranskina</w:t>
        </w:r>
      </w:hyperlink>
      <w:r>
        <w:rPr>
          <w:rFonts w:asciiTheme="minorHAnsi" w:hAnsiTheme="minorHAnsi"/>
          <w:sz w:val="22"/>
        </w:rPr>
        <w:t>). Udalerriek irizpide horiek beren ordenantzen bidez zabaltzen ahal dituztenez, ohikoa da gizarte-laguntzetako benetako gastua handiagoa izatea dekretu honen bidez justifikatutakoa baino.</w:t>
      </w:r>
    </w:p>
    <w:p w14:paraId="1E9D1D98" w14:textId="63B046FA" w:rsidR="0033398C" w:rsidRPr="005B5DD7" w:rsidRDefault="0033398C" w:rsidP="005B5DD7">
      <w:pPr>
        <w:spacing w:after="120" w:line="276" w:lineRule="auto"/>
        <w:jc w:val="both"/>
        <w:rPr>
          <w:rFonts w:asciiTheme="minorHAnsi" w:hAnsiTheme="minorHAnsi" w:cstheme="minorHAnsi"/>
          <w:sz w:val="22"/>
          <w:szCs w:val="22"/>
        </w:rPr>
      </w:pPr>
      <w:r>
        <w:rPr>
          <w:rFonts w:asciiTheme="minorHAnsi" w:hAnsiTheme="minorHAnsi"/>
          <w:sz w:val="22"/>
        </w:rPr>
        <w:t>Azkenik, “ez-betetze hori zuzentzera bideratutako neurriei” dagokienez, berriz esan behar da gizarteratzeko eta gizarte-larrialdietarako laguntzak gizarte-babeseko sistema zabalago batean txertatzen direla, eta sistema hori loturik dagoela banakako inklusio-prozesuekin eta profesional publikoen balorazio teknikoarekin. Era berean, % 20ko atalasea gutxi gorabeherakoa denez, desbideratzea administratiboa baino ez da. Beraz, Departamentuak zorrotz jarraituko du 48/2020 Foru Dekretua betetzen.</w:t>
      </w:r>
    </w:p>
    <w:p w14:paraId="6AE4CEF1" w14:textId="438FEA87" w:rsidR="00F26538" w:rsidRPr="005B5DD7" w:rsidRDefault="00F26538" w:rsidP="005B5DD7">
      <w:pPr>
        <w:spacing w:after="120" w:line="276" w:lineRule="auto"/>
        <w:jc w:val="both"/>
        <w:rPr>
          <w:rFonts w:asciiTheme="minorHAnsi" w:hAnsiTheme="minorHAnsi" w:cstheme="minorHAnsi"/>
          <w:sz w:val="22"/>
          <w:szCs w:val="24"/>
        </w:rPr>
      </w:pPr>
    </w:p>
    <w:p w14:paraId="54722F50" w14:textId="77777777" w:rsidR="00F26538" w:rsidRPr="005B5DD7" w:rsidRDefault="00F26538" w:rsidP="005B5DD7">
      <w:pPr>
        <w:spacing w:after="120" w:line="276" w:lineRule="auto"/>
        <w:ind w:right="-1"/>
        <w:jc w:val="both"/>
        <w:rPr>
          <w:rFonts w:asciiTheme="minorHAnsi" w:eastAsiaTheme="minorHAnsi" w:hAnsiTheme="minorHAnsi" w:cstheme="minorHAnsi"/>
          <w:sz w:val="22"/>
          <w:szCs w:val="22"/>
        </w:rPr>
      </w:pPr>
      <w:r>
        <w:rPr>
          <w:rFonts w:asciiTheme="minorHAnsi" w:hAnsiTheme="minorHAnsi"/>
          <w:sz w:val="22"/>
        </w:rPr>
        <w:t>ERANSKI</w:t>
      </w:r>
      <w:bookmarkStart w:id="0" w:name="anexo"/>
      <w:bookmarkEnd w:id="0"/>
      <w:r>
        <w:rPr>
          <w:rFonts w:asciiTheme="minorHAnsi" w:hAnsiTheme="minorHAnsi"/>
          <w:sz w:val="22"/>
        </w:rPr>
        <w:t>NA</w:t>
      </w:r>
    </w:p>
    <w:p w14:paraId="3B8DE4BB" w14:textId="0767F55B" w:rsidR="00F26538" w:rsidRPr="005B5DD7" w:rsidRDefault="00A31BD8" w:rsidP="005B5DD7">
      <w:pPr>
        <w:spacing w:after="120" w:line="276" w:lineRule="auto"/>
        <w:jc w:val="both"/>
        <w:rPr>
          <w:rFonts w:asciiTheme="minorHAnsi" w:hAnsiTheme="minorHAnsi" w:cstheme="minorHAnsi"/>
          <w:b/>
          <w:sz w:val="22"/>
          <w:szCs w:val="22"/>
        </w:rPr>
      </w:pPr>
      <w:r>
        <w:rPr>
          <w:rFonts w:asciiTheme="minorHAnsi" w:hAnsiTheme="minorHAnsi"/>
          <w:b/>
          <w:sz w:val="22"/>
        </w:rPr>
        <w:t>Bosgarren klausularen 2.1.c) apartatuak ezartzen duenari jarraikiz, toki-erakundeek gizarteratze-prozesuetarako eta/edo gizarte-larrialdietarako ematen dituzten laguntzek gastua justifikatzeko bete behar dituzten baldintzak</w:t>
      </w:r>
    </w:p>
    <w:p w14:paraId="4D8CBD83" w14:textId="77777777" w:rsidR="00F26538" w:rsidRPr="005B5DD7" w:rsidRDefault="00F26538" w:rsidP="005B5DD7">
      <w:pPr>
        <w:spacing w:after="120" w:line="276" w:lineRule="auto"/>
        <w:jc w:val="both"/>
        <w:rPr>
          <w:rFonts w:asciiTheme="minorHAnsi" w:hAnsiTheme="minorHAnsi" w:cstheme="minorHAnsi"/>
          <w:sz w:val="22"/>
          <w:szCs w:val="22"/>
        </w:rPr>
      </w:pPr>
      <w:r>
        <w:rPr>
          <w:rFonts w:asciiTheme="minorHAnsi" w:hAnsiTheme="minorHAnsi"/>
          <w:sz w:val="22"/>
        </w:rPr>
        <w:lastRenderedPageBreak/>
        <w:t>Gizarteratzera eta/edo gizarte-larrialdiko prozesuetara bideratzeko laguntzatzat hartzen dira Nafarroako Foru Komunitateko oinarrizko gizarte-zerbitzuen titular diren toki-entitateek kudeatzen dituzten laguntzak, kalteberatasun sozialeko egoeran dauden pertsonetara bideratuak, helburu gisa harturik gizarteratze-prozesuetan laguntzea eta premiazko gizarte-premien estaldura berehala bermatzea beren udalerrietan bizi diren eta balorazio teknikoaren arabera laguntza behar duten familia-unitateei.</w:t>
      </w:r>
    </w:p>
    <w:p w14:paraId="2B4F33CA" w14:textId="77777777" w:rsidR="00F26538" w:rsidRPr="005B5DD7" w:rsidRDefault="00F26538" w:rsidP="005B5DD7">
      <w:pPr>
        <w:numPr>
          <w:ilvl w:val="0"/>
          <w:numId w:val="2"/>
        </w:numPr>
        <w:spacing w:after="120" w:line="276" w:lineRule="auto"/>
        <w:ind w:left="426" w:hanging="424"/>
        <w:jc w:val="both"/>
        <w:rPr>
          <w:rFonts w:asciiTheme="minorHAnsi" w:hAnsiTheme="minorHAnsi" w:cstheme="minorHAnsi"/>
          <w:b/>
          <w:bCs/>
          <w:color w:val="333333"/>
          <w:sz w:val="22"/>
          <w:szCs w:val="22"/>
          <w:u w:val="single"/>
        </w:rPr>
      </w:pPr>
      <w:r>
        <w:rPr>
          <w:rFonts w:asciiTheme="minorHAnsi" w:hAnsiTheme="minorHAnsi"/>
          <w:b/>
          <w:color w:val="333333"/>
          <w:sz w:val="22"/>
          <w:u w:val="single"/>
        </w:rPr>
        <w:t>Definizioak</w:t>
      </w:r>
    </w:p>
    <w:p w14:paraId="675228D3" w14:textId="77777777" w:rsidR="00F26538" w:rsidRPr="005B5DD7" w:rsidRDefault="00F26538" w:rsidP="005B5DD7">
      <w:pPr>
        <w:numPr>
          <w:ilvl w:val="0"/>
          <w:numId w:val="3"/>
        </w:numPr>
        <w:spacing w:after="120" w:line="276" w:lineRule="auto"/>
        <w:ind w:left="426" w:firstLine="708"/>
        <w:jc w:val="both"/>
        <w:rPr>
          <w:rFonts w:asciiTheme="minorHAnsi" w:hAnsiTheme="minorHAnsi" w:cstheme="minorHAnsi"/>
          <w:color w:val="333333"/>
          <w:sz w:val="22"/>
          <w:szCs w:val="22"/>
        </w:rPr>
      </w:pPr>
      <w:r>
        <w:rPr>
          <w:rFonts w:asciiTheme="minorHAnsi" w:hAnsiTheme="minorHAnsi"/>
          <w:b/>
          <w:i/>
          <w:color w:val="333333"/>
          <w:sz w:val="22"/>
        </w:rPr>
        <w:t>Gizarteratzera eta/edo gizarte-larrialdietarako prozesuetara bideratutako laguntza</w:t>
      </w:r>
      <w:r>
        <w:rPr>
          <w:rFonts w:asciiTheme="minorHAnsi" w:hAnsiTheme="minorHAnsi"/>
          <w:color w:val="333333"/>
          <w:sz w:val="22"/>
        </w:rPr>
        <w:t>: ordainketa bakarreko prestazio ekonomikoa, gizarte-bazterkeriako egoerak prebenitzeko, saihesteko edo arintzeko beharrezkoak diren gastu espezifikoei —izan ohikoak, izan apartekoak— aurre egiteko baliabide ekonomiko nahikorik ez duten familia-unitateei zuzendua.</w:t>
      </w:r>
    </w:p>
    <w:p w14:paraId="55F51B51"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Prestazio horiek ezaugarri hauek dituzte:</w:t>
      </w:r>
    </w:p>
    <w:p w14:paraId="3725C526"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Xede jakin baterako dira; beraz, eman diren helbururako bakarrik bideratu behar dira.</w:t>
      </w:r>
    </w:p>
    <w:p w14:paraId="58EAD6A6"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Pertsonalak eta besterenezinak dira, familia-unitateari zuzenduak diren heinean.</w:t>
      </w:r>
    </w:p>
    <w:p w14:paraId="443995AA"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Berehala tramitatzen dira, kudeaketa horrek laguntza ahalik eta lasterren eskuratzea errazten baitu.</w:t>
      </w:r>
    </w:p>
    <w:p w14:paraId="69A12BD8"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Lanbide-ekintzaren osagarria da, Oinarrizko Gizarte Zerbitzuak familia-unitatearekin garatutako esku-hartzeari laguntzeko neurri gisa ulertzen baita.</w:t>
      </w:r>
    </w:p>
    <w:p w14:paraId="35449F29" w14:textId="77777777" w:rsidR="00F26538" w:rsidRPr="005B5DD7" w:rsidRDefault="00F26538" w:rsidP="005B5DD7">
      <w:pPr>
        <w:numPr>
          <w:ilvl w:val="0"/>
          <w:numId w:val="3"/>
        </w:numPr>
        <w:spacing w:after="120" w:line="276" w:lineRule="auto"/>
        <w:ind w:left="426" w:firstLine="708"/>
        <w:jc w:val="both"/>
        <w:rPr>
          <w:rFonts w:asciiTheme="minorHAnsi" w:hAnsiTheme="minorHAnsi" w:cstheme="minorHAnsi"/>
          <w:color w:val="333333"/>
          <w:sz w:val="22"/>
          <w:szCs w:val="22"/>
        </w:rPr>
      </w:pPr>
      <w:r>
        <w:rPr>
          <w:rFonts w:asciiTheme="minorHAnsi" w:hAnsiTheme="minorHAnsi"/>
          <w:b/>
          <w:i/>
          <w:color w:val="333333"/>
          <w:sz w:val="22"/>
        </w:rPr>
        <w:t>Bizikidetzako familia-unitatea</w:t>
      </w:r>
      <w:r>
        <w:rPr>
          <w:rFonts w:asciiTheme="minorHAnsi" w:hAnsiTheme="minorHAnsi"/>
          <w:color w:val="333333"/>
          <w:sz w:val="22"/>
        </w:rPr>
        <w:t>: aurreikusitako ondorioetarako, eskatzailea eta, kasuaren arabera, eskatzailearekin bizi diren pertsona bat edo gehiago sartzen dira, izan lotura hori ezkontza-ahaidetasunekoa edo harreman horren tankerako harreman afektibokoa, izan odolkidetasun-harremana, bigarren mailaraino edo lehen mailaraino bitartekoa.</w:t>
      </w:r>
    </w:p>
    <w:p w14:paraId="249ABE4A" w14:textId="77777777" w:rsidR="00F26538" w:rsidRPr="005B5DD7" w:rsidRDefault="00F26538" w:rsidP="005B5DD7">
      <w:pPr>
        <w:numPr>
          <w:ilvl w:val="0"/>
          <w:numId w:val="3"/>
        </w:numPr>
        <w:spacing w:after="120" w:line="276" w:lineRule="auto"/>
        <w:ind w:left="426" w:firstLine="708"/>
        <w:jc w:val="both"/>
        <w:rPr>
          <w:rFonts w:asciiTheme="minorHAnsi" w:hAnsiTheme="minorHAnsi" w:cstheme="minorHAnsi"/>
          <w:color w:val="333333"/>
          <w:sz w:val="22"/>
          <w:szCs w:val="22"/>
        </w:rPr>
      </w:pPr>
      <w:r>
        <w:rPr>
          <w:rFonts w:asciiTheme="minorHAnsi" w:hAnsiTheme="minorHAnsi"/>
          <w:b/>
          <w:i/>
          <w:color w:val="333333"/>
          <w:sz w:val="22"/>
        </w:rPr>
        <w:t>Familia-unitatearen baliabide ekonomikoak</w:t>
      </w:r>
      <w:r>
        <w:rPr>
          <w:rFonts w:asciiTheme="minorHAnsi" w:hAnsiTheme="minorHAnsi"/>
          <w:color w:val="333333"/>
          <w:sz w:val="22"/>
        </w:rPr>
        <w:t>: familia-unitateari egozten ahal zaizkion diru-sarrerak eta ondarea (ondasun higigarriak eta ondasun higiezinak).</w:t>
      </w:r>
    </w:p>
    <w:p w14:paraId="3AFB6E83" w14:textId="77777777" w:rsidR="00F26538" w:rsidRPr="005B5DD7" w:rsidRDefault="00F26538" w:rsidP="005B5DD7">
      <w:pPr>
        <w:spacing w:after="120" w:line="276" w:lineRule="auto"/>
        <w:ind w:left="426"/>
        <w:jc w:val="both"/>
        <w:rPr>
          <w:rFonts w:asciiTheme="minorHAnsi" w:hAnsiTheme="minorHAnsi" w:cstheme="minorHAnsi"/>
          <w:color w:val="333333"/>
          <w:sz w:val="22"/>
          <w:szCs w:val="22"/>
        </w:rPr>
      </w:pPr>
      <w:r>
        <w:rPr>
          <w:rFonts w:asciiTheme="minorHAnsi" w:hAnsiTheme="minorHAnsi"/>
          <w:color w:val="333333"/>
          <w:sz w:val="22"/>
        </w:rPr>
        <w:t xml:space="preserve">Familia-unitatearen diru-sarreratzat hartuko dira haren edozein kidek eskuratutakoak, eskaerakoak barne, kontzeptu hauetako edozeinetan: </w:t>
      </w:r>
    </w:p>
    <w:p w14:paraId="4B386A35"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 xml:space="preserve">Besteren konturako edo enpresa- eta lanbide-jardueretako lan-errendimenduak (zenbateko gordinak, Gizarte Segurantzaren kotizazioa eta eskubide pasiboengatik, nahitaezko mutualitateengatik edo antzekoengatik ordaindutako zenbatekoak kenduta), prestazioak eta pentsioak eta beste edozein hileko diru-sarrera. </w:t>
      </w:r>
    </w:p>
    <w:p w14:paraId="554A2C80"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 xml:space="preserve">Ohiko erabilerako etxebizitzaz bestelako ondasun higiezinen etekin garbiak (alokairuak, errentamenduak...). </w:t>
      </w:r>
    </w:p>
    <w:p w14:paraId="7B4BCF9A" w14:textId="77777777" w:rsidR="00F26538" w:rsidRPr="005B5DD7" w:rsidRDefault="00F26538" w:rsidP="005B5DD7">
      <w:pPr>
        <w:spacing w:after="120" w:line="276" w:lineRule="auto"/>
        <w:ind w:left="708" w:firstLine="426"/>
        <w:jc w:val="both"/>
        <w:rPr>
          <w:rFonts w:asciiTheme="minorHAnsi" w:hAnsiTheme="minorHAnsi" w:cstheme="minorHAnsi"/>
          <w:color w:val="FF0000"/>
          <w:sz w:val="22"/>
          <w:szCs w:val="22"/>
        </w:rPr>
      </w:pPr>
      <w:r>
        <w:rPr>
          <w:rFonts w:asciiTheme="minorHAnsi" w:hAnsiTheme="minorHAnsi"/>
          <w:sz w:val="22"/>
        </w:rPr>
        <w:t>Ondasun higigarriak eta ondasun higiezinak 2 d) eta e) apartatuetan ezarritakoaren arabera baloratuko dira.</w:t>
      </w:r>
    </w:p>
    <w:p w14:paraId="0705EB02" w14:textId="77777777" w:rsidR="00F26538" w:rsidRPr="005B5DD7" w:rsidRDefault="00F26538" w:rsidP="005B5DD7">
      <w:pPr>
        <w:numPr>
          <w:ilvl w:val="0"/>
          <w:numId w:val="2"/>
        </w:numPr>
        <w:spacing w:after="120" w:line="276" w:lineRule="auto"/>
        <w:ind w:left="426" w:hanging="424"/>
        <w:jc w:val="both"/>
        <w:rPr>
          <w:rFonts w:asciiTheme="minorHAnsi" w:hAnsiTheme="minorHAnsi" w:cstheme="minorHAnsi"/>
          <w:b/>
          <w:bCs/>
          <w:color w:val="333333"/>
          <w:sz w:val="22"/>
          <w:szCs w:val="22"/>
          <w:u w:val="single"/>
        </w:rPr>
      </w:pPr>
      <w:r>
        <w:rPr>
          <w:rFonts w:asciiTheme="minorHAnsi" w:hAnsiTheme="minorHAnsi"/>
          <w:b/>
          <w:color w:val="333333"/>
          <w:sz w:val="22"/>
          <w:u w:val="single"/>
        </w:rPr>
        <w:lastRenderedPageBreak/>
        <w:t>Familia-unitate onuradunen betekizunak</w:t>
      </w:r>
    </w:p>
    <w:p w14:paraId="12CFCCA1" w14:textId="77777777" w:rsidR="00F26538" w:rsidRPr="005B5DD7" w:rsidRDefault="00F26538" w:rsidP="005B5DD7">
      <w:pPr>
        <w:spacing w:after="120" w:line="276" w:lineRule="auto"/>
        <w:jc w:val="both"/>
        <w:rPr>
          <w:rFonts w:asciiTheme="minorHAnsi" w:hAnsiTheme="minorHAnsi" w:cstheme="minorHAnsi"/>
          <w:color w:val="333333"/>
          <w:sz w:val="22"/>
          <w:szCs w:val="22"/>
        </w:rPr>
      </w:pPr>
      <w:r>
        <w:rPr>
          <w:rFonts w:asciiTheme="minorHAnsi" w:hAnsiTheme="minorHAnsi"/>
          <w:color w:val="333333"/>
          <w:sz w:val="22"/>
        </w:rPr>
        <w:t>Oinarrizko Gizarte Zerbitzuek egiaztatu beharko dute baldintza hauek betetzen dituztela familia-unitateen gizarteratze- eta/edo larrialdi-prozesuetarako laguntzak eskuratzeko:</w:t>
      </w:r>
    </w:p>
    <w:p w14:paraId="48E9E9BF" w14:textId="77777777" w:rsidR="00F26538" w:rsidRPr="005B5DD7" w:rsidRDefault="00F26538" w:rsidP="005B5DD7">
      <w:pPr>
        <w:numPr>
          <w:ilvl w:val="0"/>
          <w:numId w:val="4"/>
        </w:numPr>
        <w:spacing w:after="120" w:line="276" w:lineRule="auto"/>
        <w:ind w:firstLine="414"/>
        <w:jc w:val="both"/>
        <w:rPr>
          <w:rFonts w:asciiTheme="minorHAnsi" w:hAnsiTheme="minorHAnsi" w:cstheme="minorHAnsi"/>
          <w:color w:val="333333"/>
          <w:sz w:val="22"/>
          <w:szCs w:val="22"/>
        </w:rPr>
      </w:pPr>
      <w:r>
        <w:rPr>
          <w:rFonts w:asciiTheme="minorHAnsi" w:hAnsiTheme="minorHAnsi"/>
          <w:color w:val="333333"/>
          <w:sz w:val="22"/>
        </w:rPr>
        <w:t xml:space="preserve">Eskatzailea 18 urtetik gorakoa izatea edo bere ardurapean adingabeak dituen adingabe emantzipatua. </w:t>
      </w:r>
    </w:p>
    <w:p w14:paraId="50B91323" w14:textId="77777777" w:rsidR="00F26538" w:rsidRPr="005B5DD7" w:rsidRDefault="00F26538" w:rsidP="005B5DD7">
      <w:pPr>
        <w:numPr>
          <w:ilvl w:val="0"/>
          <w:numId w:val="4"/>
        </w:numPr>
        <w:spacing w:after="120" w:line="276" w:lineRule="auto"/>
        <w:ind w:firstLine="414"/>
        <w:jc w:val="both"/>
        <w:rPr>
          <w:rFonts w:asciiTheme="minorHAnsi" w:hAnsiTheme="minorHAnsi" w:cstheme="minorHAnsi"/>
          <w:color w:val="333333"/>
          <w:sz w:val="22"/>
          <w:szCs w:val="22"/>
        </w:rPr>
      </w:pPr>
      <w:r>
        <w:rPr>
          <w:rFonts w:asciiTheme="minorHAnsi" w:hAnsiTheme="minorHAnsi"/>
          <w:color w:val="333333"/>
          <w:sz w:val="22"/>
        </w:rPr>
        <w:t>Familia-unitateak Nafarroako Foru Komunitateko edozein herritan erroldatuta egon beharko du.</w:t>
      </w:r>
    </w:p>
    <w:p w14:paraId="671FFBE1" w14:textId="3FEB8B79" w:rsidR="00F26538" w:rsidRPr="005B5DD7" w:rsidRDefault="00F26538" w:rsidP="005B5DD7">
      <w:pPr>
        <w:numPr>
          <w:ilvl w:val="0"/>
          <w:numId w:val="4"/>
        </w:numPr>
        <w:spacing w:after="120" w:line="276" w:lineRule="auto"/>
        <w:ind w:firstLine="414"/>
        <w:jc w:val="both"/>
        <w:rPr>
          <w:rFonts w:asciiTheme="minorHAnsi" w:hAnsiTheme="minorHAnsi" w:cstheme="minorHAnsi"/>
          <w:color w:val="333333"/>
          <w:sz w:val="22"/>
          <w:szCs w:val="22"/>
        </w:rPr>
      </w:pPr>
      <w:r>
        <w:rPr>
          <w:rFonts w:asciiTheme="minorHAnsi" w:hAnsiTheme="minorHAnsi"/>
          <w:color w:val="333333"/>
          <w:sz w:val="22"/>
        </w:rPr>
        <w:t>Familia-unitateko kide guztien hileko diru-sarrerak,</w:t>
      </w:r>
      <w:r>
        <w:rPr>
          <w:rFonts w:asciiTheme="minorHAnsi" w:hAnsiTheme="minorHAnsi"/>
          <w:sz w:val="22"/>
        </w:rPr>
        <w:t xml:space="preserve"> 1.c puntuan adierazitakoaren arabera, </w:t>
      </w:r>
      <w:r>
        <w:rPr>
          <w:rFonts w:asciiTheme="minorHAnsi" w:hAnsiTheme="minorHAnsi"/>
          <w:color w:val="333333"/>
          <w:sz w:val="22"/>
        </w:rPr>
        <w:t>ez dira izanen familia-unitateko kide-kopuruaren araberako eskala progresibo honetan jasotakoak baino handiagoak:</w:t>
      </w:r>
    </w:p>
    <w:p w14:paraId="4A527B78" w14:textId="77777777" w:rsidR="005B5DD7" w:rsidRPr="00F26538" w:rsidRDefault="005B5DD7" w:rsidP="005B5DD7">
      <w:pPr>
        <w:spacing w:after="240" w:line="360" w:lineRule="auto"/>
        <w:ind w:left="1134"/>
        <w:jc w:val="both"/>
        <w:rPr>
          <w:rFonts w:ascii="Arial" w:hAnsi="Arial" w:cs="Arial"/>
          <w:color w:val="333333"/>
          <w:sz w:val="22"/>
          <w:szCs w:val="22"/>
        </w:rPr>
      </w:pP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4008"/>
      </w:tblGrid>
      <w:tr w:rsidR="00F26538" w:rsidRPr="00F26538" w14:paraId="01E2CF71" w14:textId="77777777" w:rsidTr="00DF00D9">
        <w:trPr>
          <w:trHeight w:val="640"/>
        </w:trPr>
        <w:tc>
          <w:tcPr>
            <w:tcW w:w="4073" w:type="dxa"/>
            <w:vAlign w:val="center"/>
          </w:tcPr>
          <w:p w14:paraId="510EE298" w14:textId="77777777" w:rsidR="00F26538" w:rsidRPr="00F26538" w:rsidRDefault="00F26538" w:rsidP="00F26538">
            <w:pPr>
              <w:spacing w:line="360" w:lineRule="auto"/>
              <w:jc w:val="center"/>
              <w:rPr>
                <w:rFonts w:ascii="Arial" w:hAnsi="Arial" w:cs="Arial"/>
                <w:b/>
                <w:bCs/>
                <w:color w:val="333333"/>
                <w:sz w:val="22"/>
                <w:szCs w:val="22"/>
              </w:rPr>
            </w:pPr>
            <w:r>
              <w:rPr>
                <w:rFonts w:ascii="Arial" w:hAnsi="Arial"/>
                <w:b/>
                <w:color w:val="333333"/>
                <w:sz w:val="22"/>
              </w:rPr>
              <w:t>FAMILIA-UNITATEKO KIDEEN KOPURUA:</w:t>
            </w:r>
          </w:p>
        </w:tc>
        <w:tc>
          <w:tcPr>
            <w:tcW w:w="4008" w:type="dxa"/>
            <w:vAlign w:val="center"/>
          </w:tcPr>
          <w:p w14:paraId="4317C4B9" w14:textId="77777777" w:rsidR="00F26538" w:rsidRPr="00F26538" w:rsidRDefault="00F26538" w:rsidP="00F26538">
            <w:pPr>
              <w:spacing w:line="360" w:lineRule="auto"/>
              <w:jc w:val="center"/>
              <w:rPr>
                <w:rFonts w:ascii="Arial" w:hAnsi="Arial" w:cs="Arial"/>
                <w:b/>
                <w:bCs/>
                <w:color w:val="333333"/>
                <w:sz w:val="22"/>
                <w:szCs w:val="22"/>
              </w:rPr>
            </w:pPr>
            <w:r>
              <w:rPr>
                <w:rFonts w:ascii="Arial" w:hAnsi="Arial"/>
                <w:b/>
                <w:color w:val="333333"/>
                <w:sz w:val="22"/>
              </w:rPr>
              <w:t xml:space="preserve">HILEKO DIRU-SARREREN GEHIENEKO ZENBATEKOA </w:t>
            </w:r>
          </w:p>
        </w:tc>
      </w:tr>
      <w:tr w:rsidR="00F26538" w:rsidRPr="00F26538" w14:paraId="1B63AC8D" w14:textId="77777777" w:rsidTr="00DF00D9">
        <w:trPr>
          <w:trHeight w:val="304"/>
        </w:trPr>
        <w:tc>
          <w:tcPr>
            <w:tcW w:w="4073" w:type="dxa"/>
            <w:vAlign w:val="center"/>
          </w:tcPr>
          <w:p w14:paraId="753CDA8B"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1</w:t>
            </w:r>
          </w:p>
        </w:tc>
        <w:tc>
          <w:tcPr>
            <w:tcW w:w="4008" w:type="dxa"/>
            <w:vAlign w:val="center"/>
          </w:tcPr>
          <w:p w14:paraId="3A99050E"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1.255 € x familia-unitatea</w:t>
            </w:r>
          </w:p>
        </w:tc>
      </w:tr>
      <w:tr w:rsidR="00F26538" w:rsidRPr="00F26538" w14:paraId="638677F7" w14:textId="77777777" w:rsidTr="00DF00D9">
        <w:trPr>
          <w:trHeight w:val="320"/>
        </w:trPr>
        <w:tc>
          <w:tcPr>
            <w:tcW w:w="4073" w:type="dxa"/>
            <w:vAlign w:val="center"/>
          </w:tcPr>
          <w:p w14:paraId="59DF551E"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2</w:t>
            </w:r>
          </w:p>
        </w:tc>
        <w:tc>
          <w:tcPr>
            <w:tcW w:w="4008" w:type="dxa"/>
            <w:vAlign w:val="center"/>
          </w:tcPr>
          <w:p w14:paraId="67D14D11"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1.506 € x familia-unitatea</w:t>
            </w:r>
          </w:p>
        </w:tc>
      </w:tr>
      <w:tr w:rsidR="00F26538" w:rsidRPr="00F26538" w14:paraId="0C988A34" w14:textId="77777777" w:rsidTr="00DF00D9">
        <w:trPr>
          <w:trHeight w:val="320"/>
        </w:trPr>
        <w:tc>
          <w:tcPr>
            <w:tcW w:w="4073" w:type="dxa"/>
            <w:vAlign w:val="center"/>
          </w:tcPr>
          <w:p w14:paraId="38B5230F"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 xml:space="preserve">3 </w:t>
            </w:r>
          </w:p>
        </w:tc>
        <w:tc>
          <w:tcPr>
            <w:tcW w:w="4008" w:type="dxa"/>
            <w:vAlign w:val="center"/>
          </w:tcPr>
          <w:p w14:paraId="180ED89C"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sz w:val="22"/>
              </w:rPr>
              <w:t>1.631 € x familia-unitatea</w:t>
            </w:r>
          </w:p>
        </w:tc>
      </w:tr>
      <w:tr w:rsidR="00F26538" w:rsidRPr="00F26538" w14:paraId="38378312" w14:textId="77777777" w:rsidTr="00DF00D9">
        <w:trPr>
          <w:trHeight w:val="304"/>
        </w:trPr>
        <w:tc>
          <w:tcPr>
            <w:tcW w:w="4073" w:type="dxa"/>
            <w:vAlign w:val="center"/>
          </w:tcPr>
          <w:p w14:paraId="52FAA2D7"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4</w:t>
            </w:r>
          </w:p>
        </w:tc>
        <w:tc>
          <w:tcPr>
            <w:tcW w:w="4008" w:type="dxa"/>
            <w:vAlign w:val="center"/>
          </w:tcPr>
          <w:p w14:paraId="7445E38D"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sz w:val="22"/>
              </w:rPr>
              <w:t>1.757 € x familia-unitatea</w:t>
            </w:r>
          </w:p>
        </w:tc>
      </w:tr>
      <w:tr w:rsidR="00F26538" w:rsidRPr="00F26538" w14:paraId="4CC6E7B9" w14:textId="77777777" w:rsidTr="00DF00D9">
        <w:trPr>
          <w:trHeight w:val="320"/>
        </w:trPr>
        <w:tc>
          <w:tcPr>
            <w:tcW w:w="4073" w:type="dxa"/>
            <w:vAlign w:val="center"/>
          </w:tcPr>
          <w:p w14:paraId="44AC2447"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5</w:t>
            </w:r>
          </w:p>
        </w:tc>
        <w:tc>
          <w:tcPr>
            <w:tcW w:w="4008" w:type="dxa"/>
            <w:vAlign w:val="center"/>
          </w:tcPr>
          <w:p w14:paraId="1AF8905C" w14:textId="77777777" w:rsidR="00F26538" w:rsidRPr="00F26538" w:rsidRDefault="00F26538" w:rsidP="00F26538">
            <w:pPr>
              <w:spacing w:line="360" w:lineRule="auto"/>
              <w:jc w:val="center"/>
              <w:rPr>
                <w:rFonts w:ascii="Arial" w:hAnsi="Arial" w:cs="Arial"/>
                <w:sz w:val="22"/>
                <w:szCs w:val="22"/>
              </w:rPr>
            </w:pPr>
            <w:r>
              <w:rPr>
                <w:rFonts w:ascii="Arial" w:hAnsi="Arial"/>
                <w:sz w:val="22"/>
              </w:rPr>
              <w:t>1.882 € x familia-unitatea</w:t>
            </w:r>
          </w:p>
        </w:tc>
      </w:tr>
      <w:tr w:rsidR="00F26538" w:rsidRPr="00F26538" w14:paraId="6C6D14AE" w14:textId="77777777" w:rsidTr="00DF00D9">
        <w:trPr>
          <w:trHeight w:val="304"/>
        </w:trPr>
        <w:tc>
          <w:tcPr>
            <w:tcW w:w="4073" w:type="dxa"/>
            <w:vAlign w:val="center"/>
          </w:tcPr>
          <w:p w14:paraId="05B476EF"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6 edo gehiago</w:t>
            </w:r>
          </w:p>
        </w:tc>
        <w:tc>
          <w:tcPr>
            <w:tcW w:w="4008" w:type="dxa"/>
            <w:vAlign w:val="center"/>
          </w:tcPr>
          <w:p w14:paraId="77435050" w14:textId="77777777" w:rsidR="00F26538" w:rsidRPr="00F26538" w:rsidRDefault="00F26538" w:rsidP="00F26538">
            <w:pPr>
              <w:spacing w:line="360" w:lineRule="auto"/>
              <w:jc w:val="center"/>
              <w:rPr>
                <w:rFonts w:ascii="Arial" w:hAnsi="Arial" w:cs="Arial"/>
                <w:sz w:val="22"/>
                <w:szCs w:val="22"/>
              </w:rPr>
            </w:pPr>
            <w:r>
              <w:rPr>
                <w:rFonts w:ascii="Arial" w:hAnsi="Arial"/>
                <w:sz w:val="22"/>
              </w:rPr>
              <w:t>2.008 € x familia-unitatea</w:t>
            </w:r>
          </w:p>
        </w:tc>
      </w:tr>
    </w:tbl>
    <w:p w14:paraId="2FBF4EB9" w14:textId="77777777" w:rsidR="00F26538" w:rsidRPr="00F26538" w:rsidRDefault="00F26538" w:rsidP="00F26538">
      <w:pPr>
        <w:spacing w:after="240" w:line="360" w:lineRule="auto"/>
        <w:ind w:firstLine="851"/>
        <w:jc w:val="both"/>
        <w:rPr>
          <w:rFonts w:ascii="Arial" w:hAnsi="Arial" w:cs="Arial"/>
          <w:color w:val="333333"/>
          <w:sz w:val="22"/>
          <w:szCs w:val="22"/>
        </w:rPr>
      </w:pPr>
    </w:p>
    <w:p w14:paraId="593BDE41" w14:textId="77777777" w:rsidR="00F26538" w:rsidRPr="005B5DD7" w:rsidRDefault="00F26538" w:rsidP="005B5DD7">
      <w:pPr>
        <w:numPr>
          <w:ilvl w:val="0"/>
          <w:numId w:val="4"/>
        </w:numPr>
        <w:spacing w:after="120" w:line="276" w:lineRule="auto"/>
        <w:ind w:firstLine="851"/>
        <w:jc w:val="both"/>
        <w:rPr>
          <w:rFonts w:asciiTheme="minorHAnsi" w:hAnsiTheme="minorHAnsi" w:cstheme="minorHAnsi"/>
          <w:sz w:val="22"/>
          <w:szCs w:val="22"/>
        </w:rPr>
      </w:pPr>
      <w:r>
        <w:rPr>
          <w:rFonts w:asciiTheme="minorHAnsi" w:hAnsiTheme="minorHAnsi"/>
          <w:sz w:val="22"/>
        </w:rPr>
        <w:t>Familia-unitateko kide guztien ondasun higigarriek ez dituzte gainditu behar Gizarteratzeko eta Errenta Bermaturako eskubideak arautzen dituen azaroaren 11ko 15/2016 Foru Legean ezarritako ondasun higigarri konputagarriak.</w:t>
      </w:r>
    </w:p>
    <w:p w14:paraId="68CA55A7" w14:textId="183A3592" w:rsidR="00F26538" w:rsidRPr="005B5DD7" w:rsidRDefault="00F26538" w:rsidP="005B5DD7">
      <w:pPr>
        <w:numPr>
          <w:ilvl w:val="0"/>
          <w:numId w:val="4"/>
        </w:numPr>
        <w:spacing w:after="120" w:line="276" w:lineRule="auto"/>
        <w:ind w:firstLine="851"/>
        <w:jc w:val="both"/>
        <w:rPr>
          <w:rFonts w:asciiTheme="minorHAnsi" w:hAnsiTheme="minorHAnsi" w:cstheme="minorHAnsi"/>
          <w:sz w:val="22"/>
          <w:szCs w:val="22"/>
        </w:rPr>
      </w:pPr>
      <w:r>
        <w:rPr>
          <w:rFonts w:asciiTheme="minorHAnsi" w:hAnsiTheme="minorHAnsi"/>
          <w:sz w:val="22"/>
        </w:rPr>
        <w:t>Familia-unitateko kide guztien ondasun higiezinen katastro-balioak, ohiko etxebizitzarena izan ezik, ez du gainditzen ahalko 10 aldiz kide bakarreko familia-unitate batentzat bermatutako errenta, urteko zenbatekoan. Baldintza hori ez da bete beharko ondare hori inguratzea ezinezkoa dela justifikatzen bada.</w:t>
      </w:r>
    </w:p>
    <w:p w14:paraId="3544D30B" w14:textId="77777777" w:rsidR="00F26538" w:rsidRPr="005B5DD7" w:rsidRDefault="00F26538" w:rsidP="005B5DD7">
      <w:pPr>
        <w:numPr>
          <w:ilvl w:val="0"/>
          <w:numId w:val="4"/>
        </w:numPr>
        <w:spacing w:after="120" w:line="276" w:lineRule="auto"/>
        <w:ind w:firstLine="851"/>
        <w:jc w:val="both"/>
        <w:rPr>
          <w:rFonts w:asciiTheme="minorHAnsi" w:hAnsiTheme="minorHAnsi" w:cstheme="minorHAnsi"/>
          <w:sz w:val="22"/>
          <w:szCs w:val="22"/>
        </w:rPr>
      </w:pPr>
      <w:r>
        <w:rPr>
          <w:rFonts w:asciiTheme="minorHAnsi" w:hAnsiTheme="minorHAnsi"/>
          <w:sz w:val="22"/>
        </w:rPr>
        <w:t>Gastu espezifikoei aurre egitea zailtzen duen egoera bat izatea, kontuan izanik gastu horiek ordaintzea beharrezkoa dela gizarte-bazterkeriako egoerak prebenitzeko, saihesteko edo arintzeko.</w:t>
      </w:r>
    </w:p>
    <w:p w14:paraId="2C610BA3" w14:textId="77777777" w:rsidR="00F26538" w:rsidRPr="005B5DD7" w:rsidRDefault="00F26538" w:rsidP="005B5DD7">
      <w:pPr>
        <w:spacing w:after="120" w:line="276" w:lineRule="auto"/>
        <w:jc w:val="both"/>
        <w:rPr>
          <w:rFonts w:asciiTheme="minorHAnsi" w:hAnsiTheme="minorHAnsi" w:cstheme="minorHAnsi"/>
          <w:sz w:val="22"/>
          <w:szCs w:val="22"/>
        </w:rPr>
      </w:pPr>
      <w:r>
        <w:rPr>
          <w:rFonts w:asciiTheme="minorHAnsi" w:hAnsiTheme="minorHAnsi"/>
          <w:sz w:val="22"/>
        </w:rPr>
        <w:t>Familia-unitate eskatzaileek errenta bermatua jasotzen badute, ulertuko da betetzen dituztela c), d) eta e) puntuak.</w:t>
      </w:r>
    </w:p>
    <w:p w14:paraId="3199E296" w14:textId="77777777" w:rsidR="00F26538" w:rsidRPr="005B5DD7" w:rsidRDefault="00F26538" w:rsidP="005B5DD7">
      <w:pPr>
        <w:numPr>
          <w:ilvl w:val="0"/>
          <w:numId w:val="2"/>
        </w:numPr>
        <w:spacing w:after="120" w:line="276" w:lineRule="auto"/>
        <w:ind w:left="426" w:hanging="424"/>
        <w:jc w:val="both"/>
        <w:rPr>
          <w:rFonts w:asciiTheme="minorHAnsi" w:hAnsiTheme="minorHAnsi" w:cstheme="minorHAnsi"/>
          <w:b/>
          <w:bCs/>
          <w:color w:val="333333"/>
          <w:sz w:val="22"/>
          <w:szCs w:val="22"/>
          <w:u w:val="single"/>
        </w:rPr>
      </w:pPr>
      <w:r>
        <w:rPr>
          <w:rFonts w:asciiTheme="minorHAnsi" w:hAnsiTheme="minorHAnsi"/>
          <w:b/>
          <w:color w:val="333333"/>
          <w:sz w:val="22"/>
          <w:u w:val="single"/>
        </w:rPr>
        <w:t xml:space="preserve">Toki-erakundearen aurrekontu-baliabideak </w:t>
      </w:r>
    </w:p>
    <w:p w14:paraId="61F3BA76" w14:textId="0C25CE07" w:rsidR="00F26538" w:rsidRPr="005B5DD7" w:rsidRDefault="00F26538" w:rsidP="005B5DD7">
      <w:pPr>
        <w:spacing w:after="120" w:line="276" w:lineRule="auto"/>
        <w:jc w:val="both"/>
        <w:rPr>
          <w:rFonts w:asciiTheme="minorHAnsi" w:hAnsiTheme="minorHAnsi" w:cstheme="minorHAnsi"/>
          <w:sz w:val="22"/>
          <w:szCs w:val="22"/>
        </w:rPr>
      </w:pPr>
      <w:r>
        <w:rPr>
          <w:rFonts w:asciiTheme="minorHAnsi" w:hAnsiTheme="minorHAnsi"/>
          <w:sz w:val="22"/>
        </w:rPr>
        <w:t xml:space="preserve">Hitzarmen honen indarraldiko urte bakoitzeko gastuen aurrekontuan, </w:t>
      </w:r>
      <w:r>
        <w:rPr>
          <w:rFonts w:asciiTheme="minorHAnsi" w:hAnsiTheme="minorHAnsi"/>
          <w:color w:val="333333"/>
          <w:sz w:val="22"/>
        </w:rPr>
        <w:t>toki-erakundeak</w:t>
      </w:r>
      <w:r>
        <w:rPr>
          <w:rFonts w:asciiTheme="minorHAnsi" w:hAnsiTheme="minorHAnsi"/>
          <w:sz w:val="22"/>
        </w:rPr>
        <w:t xml:space="preserve"> gutxienez Nafarroako Gobernuak kostu espezifiko gisa finantzatutako zenbatekoaren % 20 bideratu beharko du. Zenbateko hori bi aldeek urtero sinatuko duten hitzarmenaren </w:t>
      </w:r>
      <w:r>
        <w:rPr>
          <w:rFonts w:asciiTheme="minorHAnsi" w:hAnsiTheme="minorHAnsi"/>
          <w:sz w:val="22"/>
        </w:rPr>
        <w:lastRenderedPageBreak/>
        <w:t>eranskinean zehaztuko da, eta horrek ez du galaraziko, dena den, beren eskumenak gauzatzean aurrekontu-zuzkidura handiagoa izatea.</w:t>
      </w:r>
    </w:p>
    <w:p w14:paraId="1F9F3B14" w14:textId="77777777" w:rsidR="00F26538" w:rsidRPr="005B5DD7" w:rsidRDefault="00F26538" w:rsidP="005B5DD7">
      <w:pPr>
        <w:numPr>
          <w:ilvl w:val="0"/>
          <w:numId w:val="2"/>
        </w:numPr>
        <w:spacing w:after="120" w:line="276" w:lineRule="auto"/>
        <w:ind w:left="426" w:hanging="424"/>
        <w:jc w:val="both"/>
        <w:rPr>
          <w:rFonts w:asciiTheme="minorHAnsi" w:hAnsiTheme="minorHAnsi" w:cstheme="minorHAnsi"/>
          <w:b/>
          <w:bCs/>
          <w:color w:val="333333"/>
          <w:sz w:val="22"/>
          <w:szCs w:val="22"/>
          <w:u w:val="single"/>
        </w:rPr>
      </w:pPr>
      <w:r>
        <w:rPr>
          <w:rFonts w:asciiTheme="minorHAnsi" w:hAnsiTheme="minorHAnsi"/>
          <w:b/>
          <w:color w:val="333333"/>
          <w:sz w:val="22"/>
          <w:u w:val="single"/>
        </w:rPr>
        <w:t>Toki-erakundeak hitzarmen honen ondorioetarako justifikatzen ahal dituen gastuak</w:t>
      </w:r>
    </w:p>
    <w:p w14:paraId="2E94E866" w14:textId="77777777" w:rsidR="00F26538" w:rsidRPr="005B5DD7" w:rsidRDefault="00F26538" w:rsidP="005B5DD7">
      <w:pPr>
        <w:spacing w:after="120" w:line="276" w:lineRule="auto"/>
        <w:jc w:val="both"/>
        <w:rPr>
          <w:rFonts w:asciiTheme="minorHAnsi" w:hAnsiTheme="minorHAnsi" w:cstheme="minorHAnsi"/>
          <w:sz w:val="22"/>
          <w:szCs w:val="22"/>
        </w:rPr>
      </w:pPr>
      <w:r>
        <w:rPr>
          <w:rFonts w:asciiTheme="minorHAnsi" w:hAnsiTheme="minorHAnsi"/>
          <w:color w:val="333333"/>
          <w:sz w:val="22"/>
        </w:rPr>
        <w:t>Gastu justifikagarritzat jotzen dira laguntzen izaerari erantzuten diotenak, behar-beharrezkoak direnak</w:t>
      </w:r>
      <w:r>
        <w:rPr>
          <w:rFonts w:asciiTheme="minorHAnsi" w:hAnsiTheme="minorHAnsi"/>
          <w:sz w:val="22"/>
        </w:rPr>
        <w:t>, pertsonen gizarteratze-prozesuak bultzatzen dituztenak eta Hitzarmen honen indarraldiko urte bakoitzeko urtarrilaren 1etik abenduaren 31ra bitartean egiten direnak.</w:t>
      </w:r>
    </w:p>
    <w:p w14:paraId="21A46A99" w14:textId="77777777" w:rsidR="00F26538" w:rsidRPr="005B5DD7" w:rsidRDefault="00F26538" w:rsidP="005B5DD7">
      <w:pPr>
        <w:spacing w:after="120" w:line="276" w:lineRule="auto"/>
        <w:jc w:val="both"/>
        <w:rPr>
          <w:rFonts w:asciiTheme="minorHAnsi" w:hAnsiTheme="minorHAnsi" w:cstheme="minorHAnsi"/>
          <w:sz w:val="22"/>
          <w:szCs w:val="22"/>
        </w:rPr>
      </w:pPr>
      <w:r>
        <w:rPr>
          <w:rFonts w:asciiTheme="minorHAnsi" w:hAnsiTheme="minorHAnsi"/>
          <w:sz w:val="22"/>
        </w:rPr>
        <w:t xml:space="preserve">Kategoria edo azpikategoria bakoitzean ezarritako gehieneko zenbatekora arte justifikatzen ahalko da, eta familia-unitate bakoitzeko urteko 3.000 euroko gehieneko muga izanen du. </w:t>
      </w:r>
    </w:p>
    <w:p w14:paraId="3B9A2562" w14:textId="77777777" w:rsidR="00F26538" w:rsidRPr="005B5DD7" w:rsidRDefault="00F26538" w:rsidP="005B5DD7">
      <w:pPr>
        <w:spacing w:after="120" w:line="276" w:lineRule="auto"/>
        <w:jc w:val="both"/>
        <w:rPr>
          <w:rFonts w:asciiTheme="minorHAnsi" w:hAnsiTheme="minorHAnsi" w:cstheme="minorHAnsi"/>
          <w:color w:val="333333"/>
          <w:sz w:val="22"/>
          <w:szCs w:val="22"/>
        </w:rPr>
      </w:pPr>
      <w:r>
        <w:rPr>
          <w:rFonts w:asciiTheme="minorHAnsi" w:hAnsiTheme="minorHAnsi"/>
          <w:color w:val="333333"/>
          <w:sz w:val="22"/>
        </w:rPr>
        <w:t>Gastu justifikagarriek kategoria hauetakoren batean egon beharko dute sartuta:</w:t>
      </w:r>
    </w:p>
    <w:p w14:paraId="2398E41D" w14:textId="77777777" w:rsidR="00F26538" w:rsidRPr="005B5DD7" w:rsidRDefault="00F26538" w:rsidP="005B5DD7">
      <w:pPr>
        <w:pBdr>
          <w:top w:val="single" w:sz="4" w:space="1" w:color="auto"/>
          <w:left w:val="single" w:sz="4" w:space="4" w:color="auto"/>
          <w:bottom w:val="single" w:sz="4" w:space="1" w:color="auto"/>
          <w:right w:val="single" w:sz="4" w:space="4" w:color="auto"/>
        </w:pBdr>
        <w:spacing w:after="120" w:line="276" w:lineRule="auto"/>
        <w:ind w:firstLine="851"/>
        <w:jc w:val="both"/>
        <w:rPr>
          <w:rFonts w:asciiTheme="minorHAnsi" w:hAnsiTheme="minorHAnsi" w:cstheme="minorHAnsi"/>
          <w:color w:val="333333"/>
          <w:sz w:val="22"/>
          <w:szCs w:val="22"/>
        </w:rPr>
      </w:pPr>
      <w:r>
        <w:rPr>
          <w:rFonts w:asciiTheme="minorHAnsi" w:hAnsiTheme="minorHAnsi"/>
          <w:b/>
          <w:color w:val="333333"/>
          <w:sz w:val="22"/>
        </w:rPr>
        <w:t>a) Ostatua</w:t>
      </w:r>
    </w:p>
    <w:p w14:paraId="3B73F943"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a.1) Etxebizitzaren alokairua ordaintzea, etxebizitzaren hipoteka-maileguaren kuota ordaintzea, etxebizitza partekatuko logela ordaintzea, beste bizitoki-mota bat ordaintzea (pentsioa, hotela...), auzo-komunitatearen gastuak ordaintzea.</w:t>
      </w:r>
    </w:p>
    <w:p w14:paraId="6B2E592D"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Pr>
          <w:rFonts w:asciiTheme="minorHAnsi" w:hAnsiTheme="minorHAnsi"/>
          <w:sz w:val="22"/>
        </w:rPr>
        <w:t>Kontzeptu horrengatik gehienez 3.000 euro emanen dira urtean familia-unitate bakoitzeko.</w:t>
      </w:r>
    </w:p>
    <w:p w14:paraId="6C200B61"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Pr>
          <w:rFonts w:asciiTheme="minorHAnsi" w:hAnsiTheme="minorHAnsi"/>
          <w:sz w:val="22"/>
        </w:rPr>
        <w:t xml:space="preserve">a.2) Alokairuko etxebizitza berriaren kontratua, etxebizitza eskatzen duenaren ohiko bizileku erreal eta eraginkorra izanen dena, baldin eta hasieran aparteko ordainketa bat eskatzen badu eta bere baliabide ekonomikoekin bermatzen ahal badu etxebizitzaren ohiko ordainketa. </w:t>
      </w:r>
    </w:p>
    <w:p w14:paraId="24618825"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Pr>
          <w:rFonts w:asciiTheme="minorHAnsi" w:hAnsiTheme="minorHAnsi"/>
          <w:sz w:val="22"/>
        </w:rPr>
        <w:t>Kontzeptu horrengatik gehienez 2.000 euro emanen dira urtean familia-unitate bakoitzeko.</w:t>
      </w:r>
    </w:p>
    <w:p w14:paraId="4CB0A950"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Pr>
          <w:rFonts w:asciiTheme="minorHAnsi" w:hAnsiTheme="minorHAnsi"/>
          <w:sz w:val="22"/>
        </w:rPr>
        <w:t>Justifikazioaren ondorioetarako, ez da egozten ahalko kontzeptu horrengatik emandako laguntzen gastua, baldin eta familia-unitateek eskabidea egiteko unean jasotzen dituzten xede bererako laguntzak Nafarroan Etxebizitzarako Eskubide Subjektiboa arautzen duen 2018ko abenduaren 26ko 28/2018 Foru Legeak erregulatuak badira.</w:t>
      </w:r>
    </w:p>
    <w:p w14:paraId="305C52E8" w14:textId="77777777" w:rsidR="00F26538" w:rsidRPr="005B5DD7" w:rsidRDefault="00F26538" w:rsidP="005B5DD7">
      <w:pPr>
        <w:pBdr>
          <w:top w:val="single" w:sz="4" w:space="1" w:color="auto"/>
          <w:left w:val="single" w:sz="4" w:space="4" w:color="auto"/>
          <w:bottom w:val="single" w:sz="4" w:space="1" w:color="auto"/>
          <w:right w:val="single" w:sz="4" w:space="4" w:color="auto"/>
        </w:pBdr>
        <w:spacing w:after="120" w:line="276" w:lineRule="auto"/>
        <w:ind w:firstLine="851"/>
        <w:jc w:val="both"/>
        <w:rPr>
          <w:rFonts w:asciiTheme="minorHAnsi" w:hAnsiTheme="minorHAnsi" w:cstheme="minorHAnsi"/>
          <w:b/>
          <w:color w:val="333333"/>
          <w:sz w:val="22"/>
          <w:szCs w:val="22"/>
        </w:rPr>
      </w:pPr>
      <w:r>
        <w:rPr>
          <w:rFonts w:asciiTheme="minorHAnsi" w:hAnsiTheme="minorHAnsi"/>
          <w:b/>
          <w:color w:val="333333"/>
          <w:sz w:val="22"/>
        </w:rPr>
        <w:t>b) Oinarrizko hornidurak</w:t>
      </w:r>
    </w:p>
    <w:p w14:paraId="60E556E3"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b.1) Ur hotza eta beste zerbitzu batzuk banatzeko gastuak (estolderia, zaborra biltzea...).</w:t>
      </w:r>
    </w:p>
    <w:p w14:paraId="59431CAD"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b.2) Elektrizitatea, gasa, berokuntza eta ur bero zentrala, eta beste erregai batzuen gastuak (egurra, ikatza, berokuntzarako gasolioa eta abar).</w:t>
      </w:r>
    </w:p>
    <w:p w14:paraId="7EB00D5C"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b.1) eta b.2) kontzeptuengatik gehienez 800 euro emanen dira urtean familia-unitate bakoitzeko.</w:t>
      </w:r>
    </w:p>
    <w:p w14:paraId="42FD6D92"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b.3) Ohiko etxebizitzaren oinarrizko hornidura-kontratuen alten kasuan, altaren kostuaren zenbatekoa emanen da gehienez.</w:t>
      </w:r>
    </w:p>
    <w:p w14:paraId="0F614A4A"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Kontzeptu horrengatik</w:t>
      </w:r>
      <w:r>
        <w:rPr>
          <w:rFonts w:asciiTheme="minorHAnsi" w:hAnsiTheme="minorHAnsi"/>
          <w:sz w:val="22"/>
        </w:rPr>
        <w:t xml:space="preserve"> gehienez 2.000 euro emanen dira </w:t>
      </w:r>
      <w:r>
        <w:rPr>
          <w:rFonts w:asciiTheme="minorHAnsi" w:hAnsiTheme="minorHAnsi"/>
          <w:color w:val="333333"/>
          <w:sz w:val="22"/>
        </w:rPr>
        <w:t>urtean familia-unitate bakoitzeko.</w:t>
      </w:r>
    </w:p>
    <w:p w14:paraId="226BC0F7"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Ez dira kontuan hartzen komunikazio- eta informazio-gastuak.</w:t>
      </w:r>
    </w:p>
    <w:p w14:paraId="1AD69388" w14:textId="77777777" w:rsidR="00F26538" w:rsidRPr="005B5DD7" w:rsidRDefault="00F26538" w:rsidP="005B5DD7">
      <w:pPr>
        <w:pBdr>
          <w:top w:val="single" w:sz="4" w:space="1" w:color="auto"/>
          <w:left w:val="single" w:sz="4" w:space="4" w:color="auto"/>
          <w:bottom w:val="single" w:sz="4" w:space="1" w:color="auto"/>
          <w:right w:val="single" w:sz="4" w:space="4" w:color="auto"/>
        </w:pBdr>
        <w:spacing w:after="120" w:line="276" w:lineRule="auto"/>
        <w:ind w:firstLine="851"/>
        <w:jc w:val="both"/>
        <w:rPr>
          <w:rFonts w:asciiTheme="minorHAnsi" w:hAnsiTheme="minorHAnsi" w:cstheme="minorHAnsi"/>
          <w:b/>
          <w:color w:val="FF0000"/>
          <w:sz w:val="22"/>
          <w:szCs w:val="22"/>
        </w:rPr>
      </w:pPr>
      <w:r>
        <w:rPr>
          <w:rFonts w:asciiTheme="minorHAnsi" w:hAnsiTheme="minorHAnsi"/>
          <w:b/>
          <w:color w:val="333333"/>
          <w:sz w:val="22"/>
        </w:rPr>
        <w:lastRenderedPageBreak/>
        <w:t xml:space="preserve">c) </w:t>
      </w:r>
      <w:r>
        <w:rPr>
          <w:rFonts w:asciiTheme="minorHAnsi" w:hAnsiTheme="minorHAnsi"/>
          <w:b/>
          <w:sz w:val="22"/>
        </w:rPr>
        <w:t>Nutrizioa eta higienea</w:t>
      </w:r>
    </w:p>
    <w:p w14:paraId="34E68D0B"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c.1) Familia-unitatea osatzen duten pertsonen eguneroko elikadura eta higienerako gastuak (higiene pertsonalerako eta etxeko higienerako oinarrizko elementuak).</w:t>
      </w:r>
    </w:p>
    <w:p w14:paraId="0BBDA129" w14:textId="6E830D08"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Hau izanen da kontzeptu horretarako urteko gehieneko zenbatekoa, familia-unitateko kide-kopuruaren arabera:</w:t>
      </w:r>
    </w:p>
    <w:p w14:paraId="3497D82E" w14:textId="77777777" w:rsidR="00F26538" w:rsidRPr="00F26538" w:rsidRDefault="00F26538" w:rsidP="00F26538">
      <w:pPr>
        <w:spacing w:after="240" w:line="360" w:lineRule="auto"/>
        <w:ind w:firstLine="851"/>
        <w:jc w:val="both"/>
        <w:rPr>
          <w:rFonts w:ascii="Arial" w:hAnsi="Arial" w:cs="Arial"/>
          <w:color w:val="333333"/>
          <w:sz w:val="22"/>
          <w:szCs w:val="22"/>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3583"/>
      </w:tblGrid>
      <w:tr w:rsidR="00F26538" w:rsidRPr="00F26538" w14:paraId="177807B5" w14:textId="77777777" w:rsidTr="00DF00D9">
        <w:tc>
          <w:tcPr>
            <w:tcW w:w="3505" w:type="dxa"/>
            <w:vAlign w:val="center"/>
          </w:tcPr>
          <w:p w14:paraId="04DC6449" w14:textId="77777777" w:rsidR="00F26538" w:rsidRPr="00F26538" w:rsidRDefault="00F26538" w:rsidP="00F26538">
            <w:pPr>
              <w:spacing w:line="360" w:lineRule="auto"/>
              <w:jc w:val="center"/>
              <w:rPr>
                <w:rFonts w:ascii="Arial" w:hAnsi="Arial" w:cs="Arial"/>
                <w:b/>
                <w:bCs/>
                <w:color w:val="333333"/>
                <w:sz w:val="22"/>
                <w:szCs w:val="22"/>
              </w:rPr>
            </w:pPr>
            <w:r>
              <w:rPr>
                <w:rFonts w:ascii="Arial" w:hAnsi="Arial"/>
                <w:b/>
                <w:color w:val="333333"/>
                <w:sz w:val="22"/>
              </w:rPr>
              <w:t>FAMILIA-UNITATEKO KIDEAK</w:t>
            </w:r>
          </w:p>
        </w:tc>
        <w:tc>
          <w:tcPr>
            <w:tcW w:w="3583" w:type="dxa"/>
            <w:vAlign w:val="center"/>
          </w:tcPr>
          <w:p w14:paraId="15FFF573" w14:textId="77777777" w:rsidR="00F26538" w:rsidRPr="00F26538" w:rsidRDefault="00F26538" w:rsidP="00F26538">
            <w:pPr>
              <w:spacing w:line="360" w:lineRule="auto"/>
              <w:jc w:val="center"/>
              <w:rPr>
                <w:rFonts w:ascii="Arial" w:hAnsi="Arial" w:cs="Arial"/>
                <w:b/>
                <w:bCs/>
                <w:color w:val="333333"/>
                <w:sz w:val="22"/>
                <w:szCs w:val="22"/>
              </w:rPr>
            </w:pPr>
            <w:r>
              <w:rPr>
                <w:rFonts w:ascii="Arial" w:hAnsi="Arial"/>
                <w:b/>
                <w:color w:val="333333"/>
                <w:sz w:val="22"/>
              </w:rPr>
              <w:t>URTEKO GEHIENEKO MUGAK</w:t>
            </w:r>
          </w:p>
        </w:tc>
      </w:tr>
      <w:tr w:rsidR="00F26538" w:rsidRPr="00F26538" w14:paraId="1918C47D" w14:textId="77777777" w:rsidTr="00DF00D9">
        <w:tc>
          <w:tcPr>
            <w:tcW w:w="3505" w:type="dxa"/>
            <w:vAlign w:val="center"/>
          </w:tcPr>
          <w:p w14:paraId="72CC76CE"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1 pertsona</w:t>
            </w:r>
          </w:p>
        </w:tc>
        <w:tc>
          <w:tcPr>
            <w:tcW w:w="3583" w:type="dxa"/>
            <w:vAlign w:val="center"/>
          </w:tcPr>
          <w:p w14:paraId="28F6A4B0"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500 euro/urte familia-unitateko</w:t>
            </w:r>
          </w:p>
        </w:tc>
      </w:tr>
      <w:tr w:rsidR="00F26538" w:rsidRPr="00F26538" w14:paraId="0A7ADF59" w14:textId="77777777" w:rsidTr="00DF00D9">
        <w:tc>
          <w:tcPr>
            <w:tcW w:w="3505" w:type="dxa"/>
            <w:vAlign w:val="center"/>
          </w:tcPr>
          <w:p w14:paraId="6636AD00"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2 pertsona</w:t>
            </w:r>
          </w:p>
        </w:tc>
        <w:tc>
          <w:tcPr>
            <w:tcW w:w="3583" w:type="dxa"/>
            <w:vAlign w:val="center"/>
          </w:tcPr>
          <w:p w14:paraId="5A97BEAD"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700 euro/urte familia-unitateko</w:t>
            </w:r>
          </w:p>
        </w:tc>
      </w:tr>
      <w:tr w:rsidR="00F26538" w:rsidRPr="00F26538" w14:paraId="24C6BD87" w14:textId="77777777" w:rsidTr="00DF00D9">
        <w:tc>
          <w:tcPr>
            <w:tcW w:w="3505" w:type="dxa"/>
            <w:vAlign w:val="center"/>
          </w:tcPr>
          <w:p w14:paraId="26D70D69"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3 pertsona</w:t>
            </w:r>
          </w:p>
        </w:tc>
        <w:tc>
          <w:tcPr>
            <w:tcW w:w="3583" w:type="dxa"/>
            <w:vAlign w:val="center"/>
          </w:tcPr>
          <w:p w14:paraId="232A31D7"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940 euro/urte familia-unitateko</w:t>
            </w:r>
          </w:p>
        </w:tc>
      </w:tr>
      <w:tr w:rsidR="00F26538" w:rsidRPr="00F26538" w14:paraId="46BEEBF8" w14:textId="77777777" w:rsidTr="00DF00D9">
        <w:tc>
          <w:tcPr>
            <w:tcW w:w="3505" w:type="dxa"/>
            <w:vAlign w:val="center"/>
          </w:tcPr>
          <w:p w14:paraId="7761B543"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4 pertsona</w:t>
            </w:r>
          </w:p>
        </w:tc>
        <w:tc>
          <w:tcPr>
            <w:tcW w:w="3583" w:type="dxa"/>
            <w:vAlign w:val="center"/>
          </w:tcPr>
          <w:p w14:paraId="7A73C7A5"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1.220 euro/urte familia-unitateko</w:t>
            </w:r>
          </w:p>
        </w:tc>
      </w:tr>
    </w:tbl>
    <w:p w14:paraId="256F59A5" w14:textId="77777777" w:rsidR="00F26538" w:rsidRPr="00F26538" w:rsidRDefault="00F26538" w:rsidP="00F26538">
      <w:pPr>
        <w:spacing w:after="240" w:line="360" w:lineRule="auto"/>
        <w:ind w:firstLine="851"/>
        <w:jc w:val="both"/>
        <w:rPr>
          <w:rFonts w:ascii="Arial" w:hAnsi="Arial" w:cs="Arial"/>
          <w:sz w:val="22"/>
          <w:szCs w:val="22"/>
        </w:rPr>
      </w:pPr>
    </w:p>
    <w:p w14:paraId="3BCECC88"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Pr>
          <w:rFonts w:asciiTheme="minorHAnsi" w:hAnsiTheme="minorHAnsi"/>
          <w:sz w:val="22"/>
        </w:rPr>
        <w:t>Justifikazioaren ondorioetarako, ez da egozten ahalko kontzeptu horrengatik emandako laguntzen gastua, baldin eta familia-unitateek eskabidea egiteko unean jasotzen duten errenta bermatua azaroaren 11ko 15/2016 Foru Legeak erregulatua bada.</w:t>
      </w:r>
    </w:p>
    <w:p w14:paraId="07896316" w14:textId="77777777" w:rsidR="00F26538" w:rsidRPr="005B5DD7" w:rsidRDefault="00F26538" w:rsidP="005B5DD7">
      <w:pPr>
        <w:pBdr>
          <w:top w:val="single" w:sz="4" w:space="1" w:color="auto"/>
          <w:left w:val="single" w:sz="4" w:space="4" w:color="auto"/>
          <w:bottom w:val="single" w:sz="4" w:space="1" w:color="auto"/>
          <w:right w:val="single" w:sz="4" w:space="4" w:color="auto"/>
        </w:pBdr>
        <w:spacing w:after="120" w:line="276" w:lineRule="auto"/>
        <w:ind w:firstLine="851"/>
        <w:jc w:val="both"/>
        <w:rPr>
          <w:rFonts w:asciiTheme="minorHAnsi" w:hAnsiTheme="minorHAnsi" w:cstheme="minorHAnsi"/>
          <w:b/>
          <w:color w:val="FF0000"/>
          <w:sz w:val="22"/>
          <w:szCs w:val="22"/>
        </w:rPr>
      </w:pPr>
      <w:r>
        <w:rPr>
          <w:rFonts w:asciiTheme="minorHAnsi" w:hAnsiTheme="minorHAnsi"/>
          <w:b/>
          <w:color w:val="333333"/>
          <w:sz w:val="22"/>
        </w:rPr>
        <w:t>d</w:t>
      </w:r>
      <w:r>
        <w:rPr>
          <w:rFonts w:asciiTheme="minorHAnsi" w:hAnsiTheme="minorHAnsi"/>
          <w:b/>
          <w:sz w:val="22"/>
        </w:rPr>
        <w:t>) Prestakuntza eta gizarteratze eta laneratzea</w:t>
      </w:r>
    </w:p>
    <w:p w14:paraId="3CAB0920"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d.1) Gizarteratze-prozesuaren barruan, gaikuntza pertsonalerako prestakuntza-jarduera arautu gabeetan eta/edo jarduera soziolaboraletan parte hartzeko gastuak.</w:t>
      </w:r>
    </w:p>
    <w:p w14:paraId="0889EB11"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 xml:space="preserve">Gehienez 800 euro urtean familia-unitate bakoitzeko </w:t>
      </w:r>
    </w:p>
    <w:p w14:paraId="2E0BA7DE" w14:textId="77777777" w:rsidR="00F26538" w:rsidRPr="005B5DD7" w:rsidRDefault="00F26538" w:rsidP="005B5DD7">
      <w:pPr>
        <w:pBdr>
          <w:top w:val="single" w:sz="4" w:space="1" w:color="auto"/>
          <w:left w:val="single" w:sz="4" w:space="4" w:color="auto"/>
          <w:bottom w:val="single" w:sz="4" w:space="1" w:color="auto"/>
          <w:right w:val="single" w:sz="4" w:space="4" w:color="auto"/>
        </w:pBdr>
        <w:spacing w:after="120" w:line="276" w:lineRule="auto"/>
        <w:ind w:firstLine="851"/>
        <w:jc w:val="both"/>
        <w:rPr>
          <w:rFonts w:asciiTheme="minorHAnsi" w:hAnsiTheme="minorHAnsi" w:cstheme="minorHAnsi"/>
          <w:color w:val="333333"/>
          <w:sz w:val="22"/>
          <w:szCs w:val="22"/>
        </w:rPr>
      </w:pPr>
      <w:r>
        <w:rPr>
          <w:rFonts w:asciiTheme="minorHAnsi" w:hAnsiTheme="minorHAnsi"/>
          <w:b/>
          <w:color w:val="333333"/>
          <w:sz w:val="22"/>
        </w:rPr>
        <w:t>e) Bestelako oinarrizko beharrak</w:t>
      </w:r>
    </w:p>
    <w:p w14:paraId="1033CE70"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Pr>
          <w:rFonts w:asciiTheme="minorHAnsi" w:hAnsiTheme="minorHAnsi"/>
          <w:sz w:val="22"/>
        </w:rPr>
        <w:t>Atal honetan aurrekoetan zehaztu gabeko laguntzak jasoko dira, betiere Oinarrizko Gizarte Zerbitzuen balorazio teknikoaren bidez justifikatzen bada laguntza horiek emateko beharra.</w:t>
      </w:r>
    </w:p>
    <w:p w14:paraId="2E83498C" w14:textId="17AC346C"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Pr>
          <w:rFonts w:asciiTheme="minorHAnsi" w:hAnsiTheme="minorHAnsi"/>
          <w:color w:val="333333"/>
          <w:sz w:val="22"/>
        </w:rPr>
        <w:t>Hau izanen da kontzeptu horretarako urteko gehieneko zenbatekoa, familia-unitateko kide-kopuruaren arabera:</w:t>
      </w:r>
    </w:p>
    <w:p w14:paraId="4463D758" w14:textId="77777777" w:rsidR="005B5DD7" w:rsidRPr="00F26538" w:rsidRDefault="005B5DD7" w:rsidP="00F26538">
      <w:pPr>
        <w:spacing w:after="240" w:line="360" w:lineRule="auto"/>
        <w:ind w:firstLine="851"/>
        <w:jc w:val="both"/>
        <w:rPr>
          <w:rFonts w:ascii="Arial" w:hAnsi="Arial" w:cs="Arial"/>
          <w:color w:val="333333"/>
          <w:sz w:val="22"/>
          <w:szCs w:val="22"/>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3583"/>
      </w:tblGrid>
      <w:tr w:rsidR="00F26538" w:rsidRPr="00F26538" w14:paraId="0C449F41" w14:textId="77777777" w:rsidTr="00DF00D9">
        <w:tc>
          <w:tcPr>
            <w:tcW w:w="3505" w:type="dxa"/>
            <w:vAlign w:val="center"/>
          </w:tcPr>
          <w:p w14:paraId="7DA955CC" w14:textId="77777777" w:rsidR="00F26538" w:rsidRPr="00F26538" w:rsidRDefault="00F26538" w:rsidP="00F26538">
            <w:pPr>
              <w:spacing w:line="360" w:lineRule="auto"/>
              <w:jc w:val="center"/>
              <w:rPr>
                <w:rFonts w:ascii="Arial" w:hAnsi="Arial" w:cs="Arial"/>
                <w:b/>
                <w:bCs/>
                <w:color w:val="333333"/>
                <w:sz w:val="22"/>
                <w:szCs w:val="22"/>
              </w:rPr>
            </w:pPr>
            <w:r>
              <w:rPr>
                <w:rFonts w:ascii="Arial" w:hAnsi="Arial"/>
                <w:b/>
                <w:color w:val="333333"/>
                <w:sz w:val="22"/>
              </w:rPr>
              <w:t>FAMILIA-UNITATEKO KIDEAK</w:t>
            </w:r>
          </w:p>
        </w:tc>
        <w:tc>
          <w:tcPr>
            <w:tcW w:w="3583" w:type="dxa"/>
            <w:vAlign w:val="center"/>
          </w:tcPr>
          <w:p w14:paraId="644D806C" w14:textId="77777777" w:rsidR="00F26538" w:rsidRPr="00F26538" w:rsidRDefault="00F26538" w:rsidP="00F26538">
            <w:pPr>
              <w:spacing w:line="360" w:lineRule="auto"/>
              <w:jc w:val="center"/>
              <w:rPr>
                <w:rFonts w:ascii="Arial" w:hAnsi="Arial" w:cs="Arial"/>
                <w:b/>
                <w:bCs/>
                <w:color w:val="333333"/>
                <w:sz w:val="22"/>
                <w:szCs w:val="22"/>
              </w:rPr>
            </w:pPr>
            <w:r>
              <w:rPr>
                <w:rFonts w:ascii="Arial" w:hAnsi="Arial"/>
                <w:b/>
                <w:color w:val="333333"/>
                <w:sz w:val="22"/>
              </w:rPr>
              <w:t>URTEKO GEHIENEKO MUGAK</w:t>
            </w:r>
          </w:p>
        </w:tc>
      </w:tr>
      <w:tr w:rsidR="00F26538" w:rsidRPr="00F26538" w14:paraId="4D807CFD" w14:textId="77777777" w:rsidTr="00DF00D9">
        <w:tc>
          <w:tcPr>
            <w:tcW w:w="3505" w:type="dxa"/>
            <w:vAlign w:val="center"/>
          </w:tcPr>
          <w:p w14:paraId="3F9E494B"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1 pertsona</w:t>
            </w:r>
          </w:p>
        </w:tc>
        <w:tc>
          <w:tcPr>
            <w:tcW w:w="3583" w:type="dxa"/>
            <w:vAlign w:val="center"/>
          </w:tcPr>
          <w:p w14:paraId="366EA36E"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500 euro/urte familia-unitateko</w:t>
            </w:r>
          </w:p>
        </w:tc>
      </w:tr>
      <w:tr w:rsidR="00F26538" w:rsidRPr="00F26538" w14:paraId="38C108D2" w14:textId="77777777" w:rsidTr="00DF00D9">
        <w:tc>
          <w:tcPr>
            <w:tcW w:w="3505" w:type="dxa"/>
            <w:vAlign w:val="center"/>
          </w:tcPr>
          <w:p w14:paraId="5547E16E"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2 pertsona</w:t>
            </w:r>
          </w:p>
        </w:tc>
        <w:tc>
          <w:tcPr>
            <w:tcW w:w="3583" w:type="dxa"/>
            <w:vAlign w:val="center"/>
          </w:tcPr>
          <w:p w14:paraId="41A02BE7"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700 euro/urte familia-unitateko</w:t>
            </w:r>
          </w:p>
        </w:tc>
      </w:tr>
      <w:tr w:rsidR="00F26538" w:rsidRPr="00F26538" w14:paraId="402DF7AD" w14:textId="77777777" w:rsidTr="00DF00D9">
        <w:tc>
          <w:tcPr>
            <w:tcW w:w="3505" w:type="dxa"/>
            <w:vAlign w:val="center"/>
          </w:tcPr>
          <w:p w14:paraId="607C3A34"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3 pertsona</w:t>
            </w:r>
          </w:p>
        </w:tc>
        <w:tc>
          <w:tcPr>
            <w:tcW w:w="3583" w:type="dxa"/>
            <w:vAlign w:val="center"/>
          </w:tcPr>
          <w:p w14:paraId="18D1B589"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940 euro/urte familia-unitateko</w:t>
            </w:r>
          </w:p>
        </w:tc>
      </w:tr>
      <w:tr w:rsidR="00F26538" w:rsidRPr="00F26538" w14:paraId="16E24477" w14:textId="77777777" w:rsidTr="00DF00D9">
        <w:tc>
          <w:tcPr>
            <w:tcW w:w="3505" w:type="dxa"/>
            <w:vAlign w:val="center"/>
          </w:tcPr>
          <w:p w14:paraId="3E837673"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4 pertsona</w:t>
            </w:r>
          </w:p>
        </w:tc>
        <w:tc>
          <w:tcPr>
            <w:tcW w:w="3583" w:type="dxa"/>
            <w:vAlign w:val="center"/>
          </w:tcPr>
          <w:p w14:paraId="5463E202" w14:textId="77777777" w:rsidR="00F26538" w:rsidRPr="00F26538" w:rsidRDefault="00F26538" w:rsidP="00F26538">
            <w:pPr>
              <w:spacing w:line="360" w:lineRule="auto"/>
              <w:jc w:val="center"/>
              <w:rPr>
                <w:rFonts w:ascii="Arial" w:hAnsi="Arial" w:cs="Arial"/>
                <w:bCs/>
                <w:color w:val="333333"/>
                <w:sz w:val="22"/>
                <w:szCs w:val="22"/>
              </w:rPr>
            </w:pPr>
            <w:r>
              <w:rPr>
                <w:rFonts w:ascii="Arial" w:hAnsi="Arial"/>
                <w:color w:val="333333"/>
                <w:sz w:val="22"/>
              </w:rPr>
              <w:t>1.220 euro/urte familia-unitateko</w:t>
            </w:r>
          </w:p>
        </w:tc>
      </w:tr>
    </w:tbl>
    <w:p w14:paraId="016945A0" w14:textId="77777777" w:rsidR="00F26538" w:rsidRPr="00F26538" w:rsidRDefault="00F26538" w:rsidP="00F26538">
      <w:pPr>
        <w:spacing w:line="360" w:lineRule="auto"/>
        <w:ind w:firstLine="851"/>
        <w:rPr>
          <w:rFonts w:ascii="Arial" w:hAnsi="Arial" w:cs="Arial"/>
          <w:b/>
          <w:bCs/>
          <w:color w:val="333333"/>
          <w:sz w:val="22"/>
          <w:szCs w:val="22"/>
        </w:rPr>
      </w:pPr>
    </w:p>
    <w:p w14:paraId="65A3B891" w14:textId="77777777" w:rsidR="003847ED" w:rsidRPr="005B5DD7" w:rsidRDefault="003847ED" w:rsidP="005B5DD7">
      <w:pPr>
        <w:spacing w:after="120" w:line="276" w:lineRule="auto"/>
        <w:jc w:val="both"/>
        <w:rPr>
          <w:rFonts w:asciiTheme="minorHAnsi" w:hAnsiTheme="minorHAnsi" w:cstheme="minorHAnsi"/>
          <w:sz w:val="22"/>
          <w:szCs w:val="24"/>
        </w:rPr>
      </w:pPr>
      <w:r>
        <w:rPr>
          <w:rFonts w:asciiTheme="minorHAnsi" w:hAnsiTheme="minorHAnsi"/>
          <w:sz w:val="22"/>
        </w:rPr>
        <w:t>Hori guztia jakinarazten dizut, Nafarroako Parlamentuko Erregelamenduaren 215. artikuluan xedatzen duena betez.</w:t>
      </w:r>
    </w:p>
    <w:p w14:paraId="10EB8903" w14:textId="77777777" w:rsidR="003847ED" w:rsidRPr="005B5DD7" w:rsidRDefault="003847ED" w:rsidP="005B5DD7">
      <w:pPr>
        <w:spacing w:after="120" w:line="276" w:lineRule="auto"/>
        <w:jc w:val="both"/>
        <w:rPr>
          <w:rFonts w:asciiTheme="minorHAnsi" w:hAnsiTheme="minorHAnsi" w:cstheme="minorHAnsi"/>
          <w:sz w:val="22"/>
          <w:szCs w:val="24"/>
        </w:rPr>
      </w:pPr>
      <w:r>
        <w:rPr>
          <w:rFonts w:asciiTheme="minorHAnsi" w:hAnsiTheme="minorHAnsi"/>
          <w:sz w:val="22"/>
        </w:rPr>
        <w:lastRenderedPageBreak/>
        <w:t>Iruñean, 2026ko otsailaren 4an</w:t>
      </w:r>
    </w:p>
    <w:p w14:paraId="418BE465" w14:textId="12EFA228" w:rsidR="002D6AAC" w:rsidRPr="005B5DD7" w:rsidRDefault="005B5DD7" w:rsidP="005B5DD7">
      <w:pPr>
        <w:spacing w:after="120" w:line="276" w:lineRule="auto"/>
        <w:jc w:val="both"/>
        <w:rPr>
          <w:rFonts w:asciiTheme="minorHAnsi" w:hAnsiTheme="minorHAnsi" w:cstheme="minorHAnsi"/>
        </w:rPr>
      </w:pPr>
      <w:r>
        <w:rPr>
          <w:rFonts w:asciiTheme="minorHAnsi" w:hAnsiTheme="minorHAnsi"/>
          <w:sz w:val="22"/>
        </w:rPr>
        <w:t>Eskubide Sozialetako, Ekonomia Sozialeko eta Enpleguko kontseilaria: María Carmen Maeztu Villafranca</w:t>
      </w:r>
    </w:p>
    <w:sectPr w:rsidR="002D6AAC" w:rsidRPr="005B5DD7" w:rsidSect="005C558F">
      <w:footerReference w:type="default" r:id="rId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A64E" w14:textId="77777777" w:rsidR="00F63B57" w:rsidRDefault="00F63B57" w:rsidP="003847ED">
      <w:r>
        <w:separator/>
      </w:r>
    </w:p>
  </w:endnote>
  <w:endnote w:type="continuationSeparator" w:id="0">
    <w:p w14:paraId="4B7A78E8" w14:textId="77777777" w:rsidR="00F63B57" w:rsidRDefault="00F63B57" w:rsidP="0038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5B57" w14:textId="77777777" w:rsidR="005C558F" w:rsidRDefault="005C558F" w:rsidP="005C558F">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0F90" w14:textId="77777777" w:rsidR="00F63B57" w:rsidRDefault="00F63B57" w:rsidP="003847ED">
      <w:r>
        <w:separator/>
      </w:r>
    </w:p>
  </w:footnote>
  <w:footnote w:type="continuationSeparator" w:id="0">
    <w:p w14:paraId="49BC32FF" w14:textId="77777777" w:rsidR="00F63B57" w:rsidRDefault="00F63B57" w:rsidP="0038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7034"/>
    <w:multiLevelType w:val="hybridMultilevel"/>
    <w:tmpl w:val="54B4E1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8C535E"/>
    <w:multiLevelType w:val="hybridMultilevel"/>
    <w:tmpl w:val="ECEA644C"/>
    <w:lvl w:ilvl="0" w:tplc="8D36DCE8">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B3F0B38"/>
    <w:multiLevelType w:val="hybridMultilevel"/>
    <w:tmpl w:val="F2786FD6"/>
    <w:lvl w:ilvl="0" w:tplc="EABCC21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572D13"/>
    <w:multiLevelType w:val="hybridMultilevel"/>
    <w:tmpl w:val="B7CE092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869611844">
    <w:abstractNumId w:val="3"/>
  </w:num>
  <w:num w:numId="2" w16cid:durableId="418647516">
    <w:abstractNumId w:val="1"/>
  </w:num>
  <w:num w:numId="3" w16cid:durableId="1968732958">
    <w:abstractNumId w:val="2"/>
  </w:num>
  <w:num w:numId="4" w16cid:durableId="166135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3"/>
    <w:rsid w:val="000D1539"/>
    <w:rsid w:val="001605C8"/>
    <w:rsid w:val="002D6AAC"/>
    <w:rsid w:val="0033398C"/>
    <w:rsid w:val="003847ED"/>
    <w:rsid w:val="005B5DD7"/>
    <w:rsid w:val="005C558F"/>
    <w:rsid w:val="00865F4C"/>
    <w:rsid w:val="00A31BD8"/>
    <w:rsid w:val="00B22A93"/>
    <w:rsid w:val="00BE045E"/>
    <w:rsid w:val="00C17DF6"/>
    <w:rsid w:val="00C73E2D"/>
    <w:rsid w:val="00D72721"/>
    <w:rsid w:val="00D80D0A"/>
    <w:rsid w:val="00F26538"/>
    <w:rsid w:val="00F63B57"/>
    <w:rsid w:val="00FE2C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6027"/>
  <w15:chartTrackingRefBased/>
  <w15:docId w15:val="{CE6E3A25-CB8C-4F3F-B556-C1CD2E73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E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47E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847ED"/>
  </w:style>
  <w:style w:type="paragraph" w:styleId="Piedepgina">
    <w:name w:val="footer"/>
    <w:basedOn w:val="Normal"/>
    <w:link w:val="PiedepginaCar"/>
    <w:unhideWhenUsed/>
    <w:rsid w:val="003847E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3847ED"/>
  </w:style>
  <w:style w:type="paragraph" w:styleId="Textoindependiente">
    <w:name w:val="Body Text"/>
    <w:basedOn w:val="Normal"/>
    <w:link w:val="TextoindependienteCar"/>
    <w:rsid w:val="003847ED"/>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3847ED"/>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3847ED"/>
  </w:style>
  <w:style w:type="table" w:styleId="Tablaconcuadrcula">
    <w:name w:val="Table Grid"/>
    <w:basedOn w:val="Tablanormal"/>
    <w:uiPriority w:val="39"/>
    <w:rsid w:val="005C5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605C8"/>
    <w:rPr>
      <w:sz w:val="16"/>
      <w:szCs w:val="16"/>
    </w:rPr>
  </w:style>
  <w:style w:type="paragraph" w:styleId="Textocomentario">
    <w:name w:val="annotation text"/>
    <w:basedOn w:val="Normal"/>
    <w:link w:val="TextocomentarioCar"/>
    <w:uiPriority w:val="99"/>
    <w:semiHidden/>
    <w:unhideWhenUsed/>
    <w:rsid w:val="001605C8"/>
  </w:style>
  <w:style w:type="character" w:customStyle="1" w:styleId="TextocomentarioCar">
    <w:name w:val="Texto comentario Car"/>
    <w:basedOn w:val="Fuentedeprrafopredeter"/>
    <w:link w:val="Textocomentario"/>
    <w:uiPriority w:val="99"/>
    <w:semiHidden/>
    <w:rsid w:val="001605C8"/>
    <w:rPr>
      <w:rFonts w:ascii="Times New Roman" w:eastAsia="Times New Roman" w:hAnsi="Times New Roman" w:cs="Times New Roman"/>
      <w:sz w:val="20"/>
      <w:szCs w:val="20"/>
      <w:lang w:val="eu-ES" w:eastAsia="es-ES"/>
    </w:rPr>
  </w:style>
  <w:style w:type="paragraph" w:styleId="Asuntodelcomentario">
    <w:name w:val="annotation subject"/>
    <w:basedOn w:val="Textocomentario"/>
    <w:next w:val="Textocomentario"/>
    <w:link w:val="AsuntodelcomentarioCar"/>
    <w:uiPriority w:val="99"/>
    <w:semiHidden/>
    <w:unhideWhenUsed/>
    <w:rsid w:val="001605C8"/>
    <w:rPr>
      <w:b/>
      <w:bCs/>
    </w:rPr>
  </w:style>
  <w:style w:type="character" w:customStyle="1" w:styleId="AsuntodelcomentarioCar">
    <w:name w:val="Asunto del comentario Car"/>
    <w:basedOn w:val="TextocomentarioCar"/>
    <w:link w:val="Asuntodelcomentario"/>
    <w:uiPriority w:val="99"/>
    <w:semiHidden/>
    <w:rsid w:val="001605C8"/>
    <w:rPr>
      <w:rFonts w:ascii="Times New Roman" w:eastAsia="Times New Roman" w:hAnsi="Times New Roman" w:cs="Times New Roman"/>
      <w:b/>
      <w:bCs/>
      <w:sz w:val="20"/>
      <w:szCs w:val="20"/>
      <w:lang w:val="eu-ES" w:eastAsia="es-ES"/>
    </w:rPr>
  </w:style>
  <w:style w:type="paragraph" w:styleId="Textodeglobo">
    <w:name w:val="Balloon Text"/>
    <w:basedOn w:val="Normal"/>
    <w:link w:val="TextodegloboCar"/>
    <w:uiPriority w:val="99"/>
    <w:semiHidden/>
    <w:unhideWhenUsed/>
    <w:rsid w:val="001605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5C8"/>
    <w:rPr>
      <w:rFonts w:ascii="Segoe UI" w:eastAsia="Times New Roman" w:hAnsi="Segoe UI" w:cs="Segoe UI"/>
      <w:sz w:val="18"/>
      <w:szCs w:val="18"/>
      <w:lang w:val="eu-ES" w:eastAsia="es-ES"/>
    </w:rPr>
  </w:style>
  <w:style w:type="character" w:styleId="Hipervnculo">
    <w:name w:val="Hyperlink"/>
    <w:basedOn w:val="Fuentedeprrafopredeter"/>
    <w:unhideWhenUsed/>
    <w:rsid w:val="00F26538"/>
    <w:rPr>
      <w:color w:val="0563C1" w:themeColor="hyperlink"/>
      <w:u w:val="single"/>
    </w:rPr>
  </w:style>
  <w:style w:type="character" w:styleId="Hipervnculovisitado">
    <w:name w:val="FollowedHyperlink"/>
    <w:basedOn w:val="Fuentedeprrafopredeter"/>
    <w:uiPriority w:val="99"/>
    <w:semiHidden/>
    <w:unhideWhenUsed/>
    <w:rsid w:val="00F26538"/>
    <w:rPr>
      <w:color w:val="954F72" w:themeColor="followedHyperlink"/>
      <w:u w:val="single"/>
    </w:rPr>
  </w:style>
  <w:style w:type="paragraph" w:styleId="Prrafodelista">
    <w:name w:val="List Paragraph"/>
    <w:basedOn w:val="Normal"/>
    <w:uiPriority w:val="34"/>
    <w:qFormat/>
    <w:rsid w:val="00F26538"/>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128B-C173-49B5-A27A-43FF06DB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1993</Words>
  <Characters>11223</Characters>
  <Application>Microsoft Office Word</Application>
  <DocSecurity>0</DocSecurity>
  <Lines>1870</Lines>
  <Paragraphs>1887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6</cp:revision>
  <dcterms:created xsi:type="dcterms:W3CDTF">2026-02-04T13:44:00Z</dcterms:created>
  <dcterms:modified xsi:type="dcterms:W3CDTF">2026-03-12T09:52:00Z</dcterms:modified>
</cp:coreProperties>
</file>