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A758" w14:textId="762D25CB" w:rsidR="00BB5B3F" w:rsidRDefault="00806B6F" w:rsidP="00BB5B3F">
      <w:pPr>
        <w:spacing w:after="120" w:line="276" w:lineRule="auto"/>
        <w:jc w:val="both"/>
      </w:pPr>
      <w:r>
        <w:t>26PES-83</w:t>
      </w:r>
    </w:p>
    <w:p w14:paraId="48D51B88" w14:textId="03A2CFCD" w:rsidR="00806B6F" w:rsidRDefault="00806B6F" w:rsidP="00806B6F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727D4D69" w14:textId="0B331E47" w:rsidR="00806B6F" w:rsidRDefault="00806B6F" w:rsidP="00806B6F">
      <w:pPr>
        <w:spacing w:after="120" w:line="276" w:lineRule="auto"/>
        <w:jc w:val="both"/>
      </w:pPr>
      <w:r>
        <w:t>¿Por qué, según denuncia la Cámara de Comptos, no consta información de</w:t>
      </w:r>
      <w:r>
        <w:t xml:space="preserve"> </w:t>
      </w:r>
      <w:r>
        <w:t>los motivos de la inclusión de la fundación IDISNA en el sector público</w:t>
      </w:r>
      <w:r>
        <w:t xml:space="preserve"> </w:t>
      </w:r>
      <w:r>
        <w:t>fundacional de la ACFN?</w:t>
      </w:r>
    </w:p>
    <w:p w14:paraId="4C0F9906" w14:textId="54A1A7C7" w:rsidR="00806B6F" w:rsidRDefault="00806B6F" w:rsidP="00806B6F">
      <w:pPr>
        <w:spacing w:after="120" w:line="276" w:lineRule="auto"/>
        <w:jc w:val="both"/>
      </w:pPr>
      <w:r>
        <w:t>Pamplona, 18 de marzo de 2026</w:t>
      </w:r>
    </w:p>
    <w:p w14:paraId="3D0FE591" w14:textId="525B6A2A" w:rsidR="00806B6F" w:rsidRDefault="00806B6F" w:rsidP="00806B6F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80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806B6F"/>
    <w:rsid w:val="008835C3"/>
    <w:rsid w:val="00901A6D"/>
    <w:rsid w:val="00926C4B"/>
    <w:rsid w:val="00BB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2026-03-18T15:08:00Z</dcterms:created>
  <dcterms:modified xsi:type="dcterms:W3CDTF">2026-03-18T15:09:00Z</dcterms:modified>
</cp:coreProperties>
</file>