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3B0E" w14:textId="7ABA5CD6" w:rsidR="00786F3E" w:rsidRPr="00786F3E" w:rsidRDefault="00786F3E" w:rsidP="00786F3E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2026ko apirilaren 14a</w:t>
      </w:r>
    </w:p>
    <w:p w14:paraId="6809A9C9" w14:textId="763EB415" w:rsidR="00751AB8" w:rsidRPr="00786F3E" w:rsidRDefault="00751AB8" w:rsidP="00786F3E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M.ª Teresa Nosti Izquierdo atxiki gabeko parlamentariak, Nafarroako errepide sarearen egoerari eta mantentze-lanei buruzko 11-26/PES-00077 galdera egin zuen, idatziz erantzun zekion. Bada, Nafarroako Gobernuko Lurralde Kohesiorako kontseilariak honako hau jakinarazi du:</w:t>
      </w:r>
    </w:p>
    <w:p w14:paraId="55C384AC" w14:textId="77777777" w:rsidR="00A7597C" w:rsidRPr="00786F3E" w:rsidRDefault="00A7597C" w:rsidP="00786F3E">
      <w:pPr>
        <w:spacing w:before="240" w:after="120"/>
        <w:contextualSpacing/>
        <w:jc w:val="both"/>
        <w:rPr>
          <w:b/>
          <w:rFonts w:cstheme="minorHAnsi"/>
        </w:rPr>
      </w:pPr>
      <w:r>
        <w:rPr>
          <w:b/>
        </w:rPr>
        <w:t xml:space="preserve">Zein izan da azken hamar urteotako bakoitzean Nafarroako errepide-sarea mantendu eta zaintzera bideratu den aurrekontua?</w:t>
      </w:r>
    </w:p>
    <w:p w14:paraId="5E22EDF8" w14:textId="4345C686" w:rsidR="00194C87" w:rsidRPr="00786F3E" w:rsidRDefault="00194C87" w:rsidP="00786F3E">
      <w:pPr>
        <w:spacing w:before="240" w:after="120"/>
        <w:contextualSpacing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Nafarroako Aurrekontu Orokorretan Nafarroako errepide sarea mantentzeko eta kontserbatzeko urtero bideratzen den aurrekontuaz gain, erantsitako datuak osatzen dituzten parametro hauek gehitzen dira: Nafarroako Foru Komunitateko errepide sareko zubien egitura berrikusteko laguntza teknikoa, 2025-2028 urteak; A-12 Autobidearen (Donejakue Bideko Autobia) Ustiapen Zuzendaritzari laguntza ematea, 2024-2027 urteak; A-21 Autobidearen (Pirinioetako Autobia) Ustiapen Zuzendaritzarako laguntza ematea, 2024-2027 urteetan; Trafiko Edukieraren Plana; Bide Segurtasuneko Azterlanak idaztea; Bide Segurtasuneko Azterlanak egitea; segurtasun hesia ezartzea, birjartzea, mantentzea eta goratzea, eta Nafarroako errepide sarean bide markak pintatzea eta berriz pintatzea.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Iparraldeko Taldea, Nafarroako errepide sareko bide markak pintatzea eta berriz pintatzea.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Mendebaldeko Taldea, Nafarroako errepide sareko bide markak pintatzea eta berriz pintatzea.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Hegoaldeko Taldea, Seinaleztapen bertikala kontserbatzea Nafarroako Foru Komunitateko errepideetan (I. taldea); Seinaleztapen bertikala kontserbatzea Nafarroako Foru Komunitateko errepideetan (II. taldea), eta laguntza teknikoa eta zerbitzuak ematea Errepideak Zaintzeko Kontrol Zentroari.</w:t>
      </w:r>
    </w:p>
    <w:p w14:paraId="7D1039ED" w14:textId="77777777" w:rsidR="00A7597C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2017 - 31.433.546,15</w:t>
      </w:r>
    </w:p>
    <w:p w14:paraId="728B3C72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2018 - 30.739.134,61</w:t>
      </w:r>
      <w:r>
        <w:rPr>
          <w:color w:val="000000" w:themeColor="text1"/>
          <w:sz w:val="22"/>
          <w:rFonts w:asciiTheme="minorHAnsi" w:hAnsiTheme="minorHAnsi"/>
        </w:rPr>
        <w:tab/>
      </w:r>
    </w:p>
    <w:p w14:paraId="629ACB49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2019 - 34.870.138,09</w:t>
      </w:r>
      <w:r>
        <w:rPr>
          <w:color w:val="000000" w:themeColor="text1"/>
          <w:sz w:val="22"/>
          <w:rFonts w:asciiTheme="minorHAnsi" w:hAnsiTheme="minorHAnsi"/>
        </w:rPr>
        <w:tab/>
      </w:r>
    </w:p>
    <w:p w14:paraId="6775A2AF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2020 - 38.010.553,38</w:t>
      </w:r>
    </w:p>
    <w:p w14:paraId="26EEF462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2021 - 38.239.727,91</w:t>
      </w:r>
      <w:r>
        <w:rPr>
          <w:color w:val="000000" w:themeColor="text1"/>
          <w:sz w:val="22"/>
          <w:rFonts w:asciiTheme="minorHAnsi" w:hAnsiTheme="minorHAnsi"/>
        </w:rPr>
        <w:tab/>
      </w:r>
    </w:p>
    <w:p w14:paraId="38222127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2022 - 39.678.846,19</w:t>
      </w:r>
    </w:p>
    <w:p w14:paraId="105EAEEF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2023 - 41.137.898,84</w:t>
      </w:r>
    </w:p>
    <w:p w14:paraId="1B69D188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2024 - 62.970.847,13</w:t>
      </w:r>
      <w:r>
        <w:rPr>
          <w:color w:val="000000" w:themeColor="text1"/>
          <w:sz w:val="22"/>
          <w:rFonts w:asciiTheme="minorHAnsi" w:hAnsiTheme="minorHAnsi"/>
        </w:rPr>
        <w:tab/>
      </w:r>
    </w:p>
    <w:p w14:paraId="4598058E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2025 - 47.058.837,91</w:t>
      </w:r>
      <w:r>
        <w:rPr>
          <w:color w:val="000000" w:themeColor="text1"/>
          <w:sz w:val="22"/>
          <w:rFonts w:asciiTheme="minorHAnsi" w:hAnsiTheme="minorHAnsi"/>
        </w:rPr>
        <w:tab/>
      </w:r>
    </w:p>
    <w:p w14:paraId="7419E66F" w14:textId="77777777" w:rsidR="006B740B" w:rsidRPr="00786F3E" w:rsidRDefault="006B740B" w:rsidP="00786F3E">
      <w:pPr>
        <w:pStyle w:val="Prrafodelista"/>
        <w:numPr>
          <w:ilvl w:val="0"/>
          <w:numId w:val="11"/>
        </w:numPr>
        <w:spacing w:before="240" w:after="120" w:line="276" w:lineRule="auto"/>
        <w:jc w:val="both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rFonts w:asciiTheme="minorHAnsi" w:hAnsiTheme="minorHAnsi"/>
        </w:rPr>
        <w:t xml:space="preserve">2026 - 50.166.528,44</w:t>
      </w:r>
      <w:r>
        <w:rPr>
          <w:color w:val="000000" w:themeColor="text1"/>
          <w:sz w:val="22"/>
          <w:rFonts w:asciiTheme="minorHAnsi" w:hAnsiTheme="minorHAnsi"/>
        </w:rPr>
        <w:tab/>
      </w:r>
    </w:p>
    <w:p w14:paraId="3A7F2F1A" w14:textId="77777777" w:rsidR="00A7597C" w:rsidRPr="00786F3E" w:rsidRDefault="00A7597C" w:rsidP="00786F3E">
      <w:pPr>
        <w:spacing w:before="240" w:after="120"/>
        <w:contextualSpacing/>
        <w:jc w:val="both"/>
        <w:rPr>
          <w:b/>
          <w:rFonts w:cstheme="minorHAnsi"/>
        </w:rPr>
      </w:pPr>
      <w:r>
        <w:rPr>
          <w:b/>
        </w:rPr>
        <w:t xml:space="preserve">Urte horietako bakoitzean, zenbat kilometrotan egin dira bide-zorua berritzeko edo sendotzeko lanak?</w:t>
      </w:r>
    </w:p>
    <w:p w14:paraId="3C3EBF07" w14:textId="77777777" w:rsidR="00A7597C" w:rsidRPr="00786F3E" w:rsidRDefault="00A62898" w:rsidP="00786F3E">
      <w:pPr>
        <w:spacing w:before="240" w:after="120"/>
        <w:contextualSpacing/>
        <w:jc w:val="both"/>
        <w:rPr>
          <w:color w:val="FF0000"/>
          <w:rFonts w:cstheme="minorHAnsi"/>
        </w:rPr>
      </w:pPr>
      <w:r>
        <w:rPr>
          <w:color w:val="000000" w:themeColor="text1"/>
        </w:rPr>
        <w:t xml:space="preserve">Nafarroako Errepide Sareko 3.957,36 kilometroetan etengabeko mantentze- eta kontserbazio-lanak egiten dira.</w:t>
      </w:r>
      <w:r>
        <w:rPr>
          <w:color w:val="000000" w:themeColor="text1"/>
        </w:rPr>
        <w:t xml:space="preserve"> </w:t>
      </w:r>
    </w:p>
    <w:p w14:paraId="212E3F4B" w14:textId="77777777" w:rsidR="00A7597C" w:rsidRPr="00786F3E" w:rsidRDefault="00A7597C" w:rsidP="00786F3E">
      <w:pPr>
        <w:spacing w:before="240" w:after="120"/>
        <w:contextualSpacing/>
        <w:jc w:val="both"/>
        <w:rPr>
          <w:b/>
          <w:rFonts w:cstheme="minorHAnsi"/>
        </w:rPr>
      </w:pPr>
      <w:r>
        <w:rPr>
          <w:b/>
        </w:rPr>
        <w:t xml:space="preserve">Nafarroako errepide-sarearen zer portzentajetan egiten dira gaur egun prebentziozko mantentze-lanak ohiko kontserbazio-programen barruan?</w:t>
      </w:r>
    </w:p>
    <w:p w14:paraId="063EDAEB" w14:textId="66DDD5B3" w:rsidR="00A7597C" w:rsidRPr="00786F3E" w:rsidRDefault="00A7597C" w:rsidP="00786F3E">
      <w:pPr>
        <w:spacing w:before="240" w:after="120"/>
        <w:contextualSpacing/>
        <w:jc w:val="both"/>
        <w:rPr>
          <w:rFonts w:cstheme="minorHAnsi"/>
        </w:rPr>
      </w:pPr>
      <w:r>
        <w:t xml:space="preserve">Nafarroako errepide sareko errepide guzti-guztietan funtzionaltasuna ziurtatzeko jarduketak egiten dira; era, kostu eta exekuzio anitzetako jarduketak dira.</w:t>
      </w:r>
    </w:p>
    <w:p w14:paraId="0DE713A3" w14:textId="77777777" w:rsidR="00A7597C" w:rsidRPr="00786F3E" w:rsidRDefault="00A7597C" w:rsidP="00786F3E">
      <w:pPr>
        <w:spacing w:before="240" w:after="120"/>
        <w:contextualSpacing/>
        <w:jc w:val="both"/>
        <w:rPr>
          <w:b/>
          <w:rFonts w:cstheme="minorHAnsi"/>
        </w:rPr>
      </w:pPr>
      <w:r>
        <w:rPr>
          <w:b/>
        </w:rPr>
        <w:t xml:space="preserve">Nafarroako Gobernuak ba al du bide-sareko zorua kontserbatzeko eta berritzeko urte anitzeko plan eguneraturik?</w:t>
      </w:r>
      <w:r>
        <w:rPr>
          <w:b/>
        </w:rPr>
        <w:t xml:space="preserve"> </w:t>
      </w:r>
      <w:r>
        <w:rPr>
          <w:b/>
        </w:rPr>
        <w:t xml:space="preserve">Erantzuna baiezkoa bada, adierazi horren helburu nagusiak, jarduera-egutegia eta aurreikusitako aurrekontu-zuzkidura.</w:t>
      </w:r>
    </w:p>
    <w:p w14:paraId="74E8F9AD" w14:textId="77777777" w:rsidR="00A7597C" w:rsidRPr="00786F3E" w:rsidRDefault="00194C87" w:rsidP="00786F3E">
      <w:pPr>
        <w:spacing w:before="240" w:after="120"/>
        <w:contextualSpacing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Nafarroako errepide sareaz arduratzen diren zazpi Kontserbazio Zentroek eremu bakoitzaren beharren araberako jarduketa aurreikuspenak ematen dituzte, eta, ondorioz, zaintza-lanetan aritzen diren langileen eguneroko lanean detektatutako beharren arabera jokatzen du Herri-lanen eta Azpiegituren Zuzendaritza Nagusiko Kontserbazio Zerbitzuak.</w:t>
      </w:r>
    </w:p>
    <w:p w14:paraId="5018EA5E" w14:textId="77777777" w:rsidR="00AF4FED" w:rsidRPr="00786F3E" w:rsidRDefault="00A7597C" w:rsidP="00786F3E">
      <w:pPr>
        <w:spacing w:before="240" w:after="120"/>
        <w:contextualSpacing/>
        <w:jc w:val="both"/>
        <w:rPr>
          <w:b/>
          <w:rFonts w:cstheme="minorHAnsi"/>
        </w:rPr>
      </w:pPr>
      <w:r>
        <w:rPr>
          <w:b/>
        </w:rPr>
        <w:t xml:space="preserve">Nafarroako Gobernuaren ustez, nahikoa al da errepideen mantentze-lanetarako egungo inbertsio-maila, egoera txarrean edo oso txarrean dauden tarteen kopurua handitu ez dadin?</w:t>
      </w:r>
    </w:p>
    <w:p w14:paraId="66E3F402" w14:textId="77777777" w:rsidR="00A7597C" w:rsidRPr="00786F3E" w:rsidRDefault="00A7597C" w:rsidP="00786F3E">
      <w:pPr>
        <w:spacing w:before="240" w:after="120"/>
        <w:contextualSpacing/>
        <w:jc w:val="both"/>
        <w:rPr>
          <w:rFonts w:cstheme="minorHAnsi"/>
        </w:rPr>
      </w:pPr>
      <w:r>
        <w:t xml:space="preserve">Herri-lanen eta Azpiegituren Zuzendaritza Nagusiak 43.643.233 euroko aurrekontua du Nafarroako errepide sarea mantentzeko eta kontserbatzeko lanetarako.</w:t>
      </w:r>
      <w:r>
        <w:t xml:space="preserve"> </w:t>
      </w:r>
      <w:r>
        <w:t xml:space="preserve">Aurrekontuko partida hori Nafarroako 2026ko Aurrekontu Orokorren parte da.</w:t>
      </w:r>
    </w:p>
    <w:p w14:paraId="06A58092" w14:textId="77777777" w:rsidR="00AF4FED" w:rsidRPr="00786F3E" w:rsidRDefault="00751AB8" w:rsidP="00786F3E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16421305" w14:textId="77777777" w:rsidR="00130061" w:rsidRPr="00786F3E" w:rsidRDefault="00130061" w:rsidP="00786F3E">
      <w:pPr>
        <w:spacing w:after="120"/>
        <w:jc w:val="both"/>
        <w:rPr>
          <w:rFonts w:cstheme="minorHAnsi"/>
        </w:rPr>
      </w:pPr>
      <w:r>
        <w:t xml:space="preserve">Iruñean, 2026ko apirilaren 13an</w:t>
      </w:r>
    </w:p>
    <w:p w14:paraId="3B9B12F8" w14:textId="1D42B7E6" w:rsidR="00130061" w:rsidRPr="00786F3E" w:rsidRDefault="00786F3E" w:rsidP="00786F3E">
      <w:pPr>
        <w:spacing w:after="120"/>
        <w:jc w:val="both"/>
        <w:rPr>
          <w:rFonts w:cstheme="minorHAnsi"/>
        </w:rPr>
      </w:pPr>
      <w:r>
        <w:t xml:space="preserve">Lurralde Kohesiorako kontseilaria: Óscar Chivite Cornago</w:t>
      </w:r>
    </w:p>
    <w:sectPr w:rsidR="00130061" w:rsidRPr="00786F3E" w:rsidSect="00A56B2D">
      <w:headerReference w:type="default" r:id="rId7"/>
      <w:headerReference w:type="first" r:id="rId8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6D58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61AF8359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7FC7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301AE1E2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8C2" w14:textId="0623E2C4" w:rsidR="0002772D" w:rsidRPr="007250F0" w:rsidRDefault="00786F3E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49C1" w14:textId="0DA1768F" w:rsidR="0002772D" w:rsidRDefault="00786F3E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8F6"/>
    <w:multiLevelType w:val="hybridMultilevel"/>
    <w:tmpl w:val="FBE2B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B35"/>
    <w:multiLevelType w:val="hybridMultilevel"/>
    <w:tmpl w:val="06E4C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812077"/>
    <w:multiLevelType w:val="hybridMultilevel"/>
    <w:tmpl w:val="3F0E7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014D5"/>
    <w:rsid w:val="00130061"/>
    <w:rsid w:val="0013415E"/>
    <w:rsid w:val="00194C87"/>
    <w:rsid w:val="001978E9"/>
    <w:rsid w:val="001D131B"/>
    <w:rsid w:val="001D5EC3"/>
    <w:rsid w:val="001E17AA"/>
    <w:rsid w:val="001E6F21"/>
    <w:rsid w:val="001F0355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62500"/>
    <w:rsid w:val="003908CB"/>
    <w:rsid w:val="003A2312"/>
    <w:rsid w:val="003B5DDC"/>
    <w:rsid w:val="003C1B22"/>
    <w:rsid w:val="003C2019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5C58A1"/>
    <w:rsid w:val="005F7906"/>
    <w:rsid w:val="00605C2D"/>
    <w:rsid w:val="00663272"/>
    <w:rsid w:val="00686A5F"/>
    <w:rsid w:val="006B740B"/>
    <w:rsid w:val="006D34A8"/>
    <w:rsid w:val="006E59AA"/>
    <w:rsid w:val="0074101C"/>
    <w:rsid w:val="00751AB8"/>
    <w:rsid w:val="00762F1B"/>
    <w:rsid w:val="007853C4"/>
    <w:rsid w:val="00786F3E"/>
    <w:rsid w:val="007A0C8E"/>
    <w:rsid w:val="007C1B35"/>
    <w:rsid w:val="007E75F5"/>
    <w:rsid w:val="00805732"/>
    <w:rsid w:val="00820191"/>
    <w:rsid w:val="008A7A3C"/>
    <w:rsid w:val="009137CC"/>
    <w:rsid w:val="00917145"/>
    <w:rsid w:val="0092426B"/>
    <w:rsid w:val="00980AB4"/>
    <w:rsid w:val="009C7C36"/>
    <w:rsid w:val="009D0B41"/>
    <w:rsid w:val="009E6DE0"/>
    <w:rsid w:val="009F1954"/>
    <w:rsid w:val="00A53C30"/>
    <w:rsid w:val="00A62898"/>
    <w:rsid w:val="00A7597C"/>
    <w:rsid w:val="00A919C9"/>
    <w:rsid w:val="00AA6A10"/>
    <w:rsid w:val="00AC3D71"/>
    <w:rsid w:val="00AE47EF"/>
    <w:rsid w:val="00AF0AB4"/>
    <w:rsid w:val="00AF4FED"/>
    <w:rsid w:val="00B0456A"/>
    <w:rsid w:val="00B1666C"/>
    <w:rsid w:val="00B221B9"/>
    <w:rsid w:val="00B71E8F"/>
    <w:rsid w:val="00BD4011"/>
    <w:rsid w:val="00BE4CF1"/>
    <w:rsid w:val="00BE5E92"/>
    <w:rsid w:val="00C22203"/>
    <w:rsid w:val="00C315BC"/>
    <w:rsid w:val="00C367B3"/>
    <w:rsid w:val="00C72C75"/>
    <w:rsid w:val="00CA3BE3"/>
    <w:rsid w:val="00CF3D60"/>
    <w:rsid w:val="00D20CC2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CA0C5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23</cp:revision>
  <cp:lastPrinted>2026-04-13T13:27:00Z</cp:lastPrinted>
  <dcterms:created xsi:type="dcterms:W3CDTF">2024-12-11T15:07:00Z</dcterms:created>
  <dcterms:modified xsi:type="dcterms:W3CDTF">2026-04-20T11:44:00Z</dcterms:modified>
</cp:coreProperties>
</file>