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8942" w14:textId="51282975" w:rsidR="00E408FA" w:rsidRPr="00E408FA" w:rsidRDefault="00E408FA" w:rsidP="00E408F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408FA">
        <w:rPr>
          <w:rFonts w:asciiTheme="minorHAnsi" w:hAnsiTheme="minorHAnsi" w:cstheme="minorHAnsi"/>
          <w:color w:val="000000"/>
          <w:lang w:eastAsia="es-ES_tradnl"/>
        </w:rPr>
        <w:t>23 de abril de 2026</w:t>
      </w:r>
    </w:p>
    <w:p w14:paraId="776234AB" w14:textId="29E26DAF" w:rsidR="00E408FA" w:rsidRPr="00E408FA" w:rsidRDefault="00E408FA" w:rsidP="00E408F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lang w:eastAsia="es-ES_tradnl"/>
        </w:rPr>
      </w:pPr>
      <w:r w:rsidRPr="00E408FA">
        <w:rPr>
          <w:rFonts w:asciiTheme="minorHAnsi" w:hAnsiTheme="minorHAnsi" w:cstheme="minorHAnsi"/>
          <w:b/>
          <w:bCs/>
          <w:color w:val="000000"/>
          <w:lang w:eastAsia="es-ES_tradnl"/>
        </w:rPr>
        <w:t>Contestación del Consejero de Presidencia e Igualdad</w:t>
      </w:r>
    </w:p>
    <w:p w14:paraId="602445F2" w14:textId="1A3317FD" w:rsidR="005E6F98" w:rsidRPr="00E408FA" w:rsidRDefault="005E6F98" w:rsidP="00E408F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El </w:t>
      </w:r>
      <w:r w:rsidR="00E408FA" w:rsidRPr="00E408FA">
        <w:rPr>
          <w:rFonts w:asciiTheme="minorHAnsi" w:hAnsiTheme="minorHAnsi" w:cstheme="minorHAnsi"/>
          <w:color w:val="000000"/>
          <w:lang w:eastAsia="es-ES_tradnl"/>
        </w:rPr>
        <w:t xml:space="preserve">Consejero </w:t>
      </w: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de Presidencia e Igualdad del Gobierno de Navarra, en relación con la pregunta escrita formulada por D. </w:t>
      </w:r>
      <w:r w:rsidR="003C099D" w:rsidRPr="00E408FA">
        <w:rPr>
          <w:rFonts w:asciiTheme="minorHAnsi" w:hAnsiTheme="minorHAnsi" w:cstheme="minorHAnsi"/>
          <w:color w:val="000000"/>
          <w:lang w:eastAsia="es-ES_tradnl"/>
        </w:rPr>
        <w:t>Oihan Mendo Goñi</w:t>
      </w: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, miembro del Grupo Parlamentario </w:t>
      </w:r>
      <w:r w:rsidR="001E7D1B" w:rsidRPr="00E408FA">
        <w:rPr>
          <w:rFonts w:asciiTheme="minorHAnsi" w:hAnsiTheme="minorHAnsi" w:cstheme="minorHAnsi"/>
          <w:color w:val="000000"/>
          <w:lang w:eastAsia="es-ES_tradnl"/>
        </w:rPr>
        <w:t>EH Bildu</w:t>
      </w:r>
      <w:r w:rsidR="00E408FA">
        <w:rPr>
          <w:rFonts w:asciiTheme="minorHAnsi" w:hAnsiTheme="minorHAnsi" w:cstheme="minorHAnsi"/>
          <w:color w:val="000000"/>
          <w:lang w:eastAsia="es-ES_tradnl"/>
        </w:rPr>
        <w:t xml:space="preserve"> </w:t>
      </w:r>
      <w:r w:rsidR="001E7D1B" w:rsidRPr="00E408FA">
        <w:rPr>
          <w:rFonts w:asciiTheme="minorHAnsi" w:hAnsiTheme="minorHAnsi" w:cstheme="minorHAnsi"/>
          <w:color w:val="000000"/>
          <w:lang w:eastAsia="es-ES_tradnl"/>
        </w:rPr>
        <w:t>Nafarroa</w:t>
      </w: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, sobre </w:t>
      </w:r>
      <w:r w:rsidR="003C099D" w:rsidRPr="00E408FA">
        <w:rPr>
          <w:rFonts w:asciiTheme="minorHAnsi" w:hAnsiTheme="minorHAnsi" w:cstheme="minorHAnsi"/>
          <w:color w:val="000000"/>
          <w:lang w:eastAsia="es-ES_tradnl"/>
        </w:rPr>
        <w:t>qu</w:t>
      </w:r>
      <w:r w:rsidR="00E408FA">
        <w:rPr>
          <w:rFonts w:asciiTheme="minorHAnsi" w:hAnsiTheme="minorHAnsi" w:cstheme="minorHAnsi"/>
          <w:color w:val="000000"/>
          <w:lang w:eastAsia="es-ES_tradnl"/>
        </w:rPr>
        <w:t>é</w:t>
      </w:r>
      <w:r w:rsidR="003C099D" w:rsidRPr="00E408FA">
        <w:rPr>
          <w:rFonts w:asciiTheme="minorHAnsi" w:hAnsiTheme="minorHAnsi" w:cstheme="minorHAnsi"/>
          <w:color w:val="000000"/>
          <w:lang w:eastAsia="es-ES_tradnl"/>
        </w:rPr>
        <w:t xml:space="preserve"> ayudas o subvenciones por inversiones estructurales o tecnológicas, implantación o desarrollo de sistemas por energías renovables, creación de empleo, relevo generacional, formación, sistemas de prevención, apoyo a I+D+I, elaboración o desarrollo del Plan de Igualdad, o por cualquier otro concepto ha percibido en los últimos diez años la empresa NTV Solutions de Imárcoain</w:t>
      </w: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; señala lo siguiente: </w:t>
      </w:r>
    </w:p>
    <w:p w14:paraId="07D0F039" w14:textId="3CEED4C5" w:rsidR="008E33F9" w:rsidRPr="00E408FA" w:rsidRDefault="00E11111" w:rsidP="00E408FA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408FA">
        <w:rPr>
          <w:rFonts w:asciiTheme="minorHAnsi" w:hAnsiTheme="minorHAnsi" w:cstheme="minorHAnsi"/>
          <w:color w:val="000000"/>
          <w:lang w:eastAsia="es-ES_tradnl"/>
        </w:rPr>
        <w:t>En contestación a su iniciativa, se informa que mediante Resolución 455E/2022, de 12 de diciembre, de la Directora Gerente del Instituto Navarro para la Igualdad/Nafarroako Berdintasunerako Institutua, por la que se resuelve el abono de las subvenciones concedidas en el marco de la “Convocatoria de subvenciones del Instituto Navarro para la Igualdad/Nafarroako Berdintasunerako Institutua en el año 2022, a empresas y entidades sin ánimo de lucro con actividad en la Comunidad Foral de Navarra, para la implantación de sus Planes de Igualdad entre mujeres y hombres”</w:t>
      </w:r>
      <w:r w:rsidR="00E408FA">
        <w:rPr>
          <w:rFonts w:asciiTheme="minorHAnsi" w:hAnsiTheme="minorHAnsi" w:cstheme="minorHAnsi"/>
          <w:color w:val="000000"/>
          <w:lang w:eastAsia="es-ES_tradnl"/>
        </w:rPr>
        <w:t>,</w:t>
      </w: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 se </w:t>
      </w:r>
      <w:r w:rsidR="003A5FF8" w:rsidRPr="00E408FA">
        <w:rPr>
          <w:rFonts w:asciiTheme="minorHAnsi" w:hAnsiTheme="minorHAnsi" w:cstheme="minorHAnsi"/>
          <w:color w:val="000000"/>
          <w:lang w:eastAsia="es-ES_tradnl"/>
        </w:rPr>
        <w:t>concedió</w:t>
      </w: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 a la empresa NTV Logística S. A. con CIF A31614662 una subvención de 1.294</w:t>
      </w:r>
      <w:r w:rsidR="003A5FF8" w:rsidRPr="00E408FA">
        <w:rPr>
          <w:rFonts w:asciiTheme="minorHAnsi" w:hAnsiTheme="minorHAnsi" w:cstheme="minorHAnsi"/>
          <w:color w:val="000000"/>
          <w:lang w:eastAsia="es-ES_tradnl"/>
        </w:rPr>
        <w:t xml:space="preserve"> € para la elaboración del Plan de Igualdad.</w:t>
      </w:r>
    </w:p>
    <w:p w14:paraId="0FCE1522" w14:textId="77777777" w:rsidR="008E33F9" w:rsidRPr="00E408FA" w:rsidRDefault="00A95220" w:rsidP="00E408F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Es cuanto tengo el honor de informar en cumplimiento de lo dispuesto en el artículo </w:t>
      </w:r>
      <w:r w:rsidR="00DA7EB4" w:rsidRPr="00E408FA">
        <w:rPr>
          <w:rFonts w:asciiTheme="minorHAnsi" w:hAnsiTheme="minorHAnsi" w:cstheme="minorHAnsi"/>
          <w:color w:val="000000"/>
          <w:lang w:eastAsia="es-ES_tradnl"/>
        </w:rPr>
        <w:t>215</w:t>
      </w: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 del Regla</w:t>
      </w:r>
      <w:r w:rsidR="003A5FF8" w:rsidRPr="00E408FA">
        <w:rPr>
          <w:rFonts w:asciiTheme="minorHAnsi" w:hAnsiTheme="minorHAnsi" w:cstheme="minorHAnsi"/>
          <w:color w:val="000000"/>
          <w:lang w:eastAsia="es-ES_tradnl"/>
        </w:rPr>
        <w:t>mento del Parlamento de Navarra.</w:t>
      </w:r>
    </w:p>
    <w:p w14:paraId="5053B8D2" w14:textId="5402C0CF" w:rsidR="00A95220" w:rsidRPr="00E408FA" w:rsidRDefault="00A95220" w:rsidP="00E408F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408FA">
        <w:rPr>
          <w:rFonts w:asciiTheme="minorHAnsi" w:hAnsiTheme="minorHAnsi" w:cstheme="minorHAnsi"/>
          <w:color w:val="000000"/>
          <w:lang w:eastAsia="es-ES_tradnl"/>
        </w:rPr>
        <w:t>Pamplona-</w:t>
      </w:r>
      <w:r w:rsidR="00D012F5" w:rsidRPr="00E408FA">
        <w:rPr>
          <w:rFonts w:asciiTheme="minorHAnsi" w:hAnsiTheme="minorHAnsi" w:cstheme="minorHAnsi"/>
          <w:color w:val="000000"/>
          <w:lang w:eastAsia="es-ES_tradnl"/>
        </w:rPr>
        <w:t>Iruña</w:t>
      </w: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, </w:t>
      </w:r>
      <w:r w:rsidR="000F0988" w:rsidRPr="00E408FA">
        <w:rPr>
          <w:rFonts w:asciiTheme="minorHAnsi" w:hAnsiTheme="minorHAnsi" w:cstheme="minorHAnsi"/>
          <w:color w:val="000000"/>
          <w:lang w:eastAsia="es-ES_tradnl"/>
        </w:rPr>
        <w:t>23</w:t>
      </w: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 de </w:t>
      </w:r>
      <w:r w:rsidR="001E7D1B" w:rsidRPr="00E408FA">
        <w:rPr>
          <w:rFonts w:asciiTheme="minorHAnsi" w:hAnsiTheme="minorHAnsi" w:cstheme="minorHAnsi"/>
          <w:color w:val="000000"/>
          <w:lang w:eastAsia="es-ES_tradnl"/>
        </w:rPr>
        <w:t>abril</w:t>
      </w:r>
      <w:r w:rsidRPr="00E408FA">
        <w:rPr>
          <w:rFonts w:asciiTheme="minorHAnsi" w:hAnsiTheme="minorHAnsi" w:cstheme="minorHAnsi"/>
          <w:color w:val="000000"/>
          <w:lang w:eastAsia="es-ES_tradnl"/>
        </w:rPr>
        <w:t xml:space="preserve"> de 2026</w:t>
      </w:r>
    </w:p>
    <w:p w14:paraId="352AB694" w14:textId="6BE6D22D" w:rsidR="00A95220" w:rsidRPr="00E408FA" w:rsidRDefault="00E408FA" w:rsidP="00E408F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408FA">
        <w:rPr>
          <w:rFonts w:asciiTheme="minorHAnsi" w:hAnsiTheme="minorHAnsi" w:cstheme="minorHAnsi"/>
          <w:color w:val="000000"/>
          <w:lang w:eastAsia="es-ES_tradnl"/>
        </w:rPr>
        <w:t>El Consejero de Presidencia e Igualdad</w:t>
      </w:r>
      <w:r>
        <w:rPr>
          <w:rFonts w:asciiTheme="minorHAnsi" w:hAnsiTheme="minorHAnsi" w:cstheme="minorHAnsi"/>
          <w:color w:val="000000"/>
          <w:lang w:eastAsia="es-ES_tradnl"/>
        </w:rPr>
        <w:t xml:space="preserve">: </w:t>
      </w:r>
      <w:r w:rsidR="00A95220" w:rsidRPr="00E408FA">
        <w:rPr>
          <w:rFonts w:asciiTheme="minorHAnsi" w:hAnsiTheme="minorHAnsi" w:cstheme="minorHAnsi"/>
          <w:color w:val="000000"/>
          <w:lang w:eastAsia="es-ES_tradnl"/>
        </w:rPr>
        <w:t>Javier Remírez Apesteguia</w:t>
      </w:r>
    </w:p>
    <w:p w14:paraId="2793FD43" w14:textId="24477CDB" w:rsidR="00E408FA" w:rsidRPr="00E408FA" w:rsidRDefault="00E408FA" w:rsidP="00E408FA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08FA">
        <w:rPr>
          <w:rFonts w:asciiTheme="minorHAnsi" w:hAnsiTheme="minorHAnsi" w:cstheme="minorHAnsi"/>
          <w:b/>
          <w:bCs/>
          <w:sz w:val="22"/>
          <w:szCs w:val="22"/>
        </w:rPr>
        <w:t>Contestación del Consejero de Industria y de Transición Ecológica y Digital Empresarial</w:t>
      </w:r>
    </w:p>
    <w:p w14:paraId="424695DD" w14:textId="449B84B1" w:rsidR="00E408FA" w:rsidRPr="00E408FA" w:rsidRDefault="00E408FA" w:rsidP="00E408FA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08FA">
        <w:rPr>
          <w:rFonts w:asciiTheme="minorHAnsi" w:hAnsiTheme="minorHAnsi" w:cstheme="minorHAnsi"/>
          <w:sz w:val="22"/>
          <w:szCs w:val="22"/>
        </w:rPr>
        <w:t xml:space="preserve">El consejero de Industria y de Transición Ecológica y Digital Empresarial del Gobierno de Navarra, en relación con la pregunta para su contestación por escrito formulada por </w:t>
      </w:r>
      <w:r w:rsidR="00FC071A">
        <w:rPr>
          <w:rFonts w:asciiTheme="minorHAnsi" w:hAnsiTheme="minorHAnsi" w:cstheme="minorHAnsi"/>
          <w:sz w:val="22"/>
          <w:szCs w:val="22"/>
        </w:rPr>
        <w:t>el</w:t>
      </w:r>
      <w:r w:rsidRPr="00E408FA">
        <w:rPr>
          <w:rFonts w:asciiTheme="minorHAnsi" w:hAnsiTheme="minorHAnsi" w:cstheme="minorHAnsi"/>
          <w:sz w:val="22"/>
          <w:szCs w:val="22"/>
        </w:rPr>
        <w:t xml:space="preserve"> Parlamentari</w:t>
      </w:r>
      <w:r w:rsidR="00FC071A">
        <w:rPr>
          <w:rFonts w:asciiTheme="minorHAnsi" w:hAnsiTheme="minorHAnsi" w:cstheme="minorHAnsi"/>
          <w:sz w:val="22"/>
          <w:szCs w:val="22"/>
        </w:rPr>
        <w:t>o</w:t>
      </w:r>
      <w:r w:rsidRPr="00E408FA">
        <w:rPr>
          <w:rFonts w:asciiTheme="minorHAnsi" w:hAnsiTheme="minorHAnsi" w:cstheme="minorHAnsi"/>
          <w:sz w:val="22"/>
          <w:szCs w:val="22"/>
        </w:rPr>
        <w:t xml:space="preserve"> Foral Ilm</w:t>
      </w:r>
      <w:r w:rsidR="00FC071A">
        <w:rPr>
          <w:rFonts w:asciiTheme="minorHAnsi" w:hAnsiTheme="minorHAnsi" w:cstheme="minorHAnsi"/>
          <w:sz w:val="22"/>
          <w:szCs w:val="22"/>
        </w:rPr>
        <w:t>o</w:t>
      </w:r>
      <w:r w:rsidRPr="00E408FA">
        <w:rPr>
          <w:rFonts w:asciiTheme="minorHAnsi" w:hAnsiTheme="minorHAnsi" w:cstheme="minorHAnsi"/>
          <w:sz w:val="22"/>
          <w:szCs w:val="22"/>
        </w:rPr>
        <w:t>. Sr. 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408FA">
        <w:rPr>
          <w:rFonts w:asciiTheme="minorHAnsi" w:hAnsiTheme="minorHAnsi" w:cstheme="minorHAnsi"/>
          <w:sz w:val="22"/>
          <w:szCs w:val="22"/>
        </w:rPr>
        <w:t xml:space="preserve"> </w:t>
      </w:r>
      <w:r w:rsidR="00FC071A">
        <w:rPr>
          <w:rFonts w:asciiTheme="minorHAnsi" w:hAnsiTheme="minorHAnsi" w:cstheme="minorHAnsi"/>
          <w:sz w:val="22"/>
          <w:szCs w:val="22"/>
        </w:rPr>
        <w:t>Oihan Mendo Goñi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408FA">
        <w:rPr>
          <w:rFonts w:asciiTheme="minorHAnsi" w:hAnsiTheme="minorHAnsi" w:cstheme="minorHAnsi"/>
          <w:sz w:val="22"/>
          <w:szCs w:val="22"/>
        </w:rPr>
        <w:t xml:space="preserve"> adscrit</w:t>
      </w:r>
      <w:r w:rsidR="00FC071A">
        <w:rPr>
          <w:rFonts w:asciiTheme="minorHAnsi" w:hAnsiTheme="minorHAnsi" w:cstheme="minorHAnsi"/>
          <w:sz w:val="22"/>
          <w:szCs w:val="22"/>
        </w:rPr>
        <w:t>o</w:t>
      </w:r>
      <w:r w:rsidRPr="00E408FA">
        <w:rPr>
          <w:rFonts w:asciiTheme="minorHAnsi" w:hAnsiTheme="minorHAnsi" w:cstheme="minorHAnsi"/>
          <w:sz w:val="22"/>
          <w:szCs w:val="22"/>
        </w:rPr>
        <w:t xml:space="preserve"> al Grupo Parlamentario </w:t>
      </w:r>
      <w:r w:rsidR="00FC071A">
        <w:rPr>
          <w:rFonts w:asciiTheme="minorHAnsi" w:hAnsiTheme="minorHAnsi" w:cstheme="minorHAnsi"/>
          <w:sz w:val="22"/>
          <w:szCs w:val="22"/>
        </w:rPr>
        <w:t>EH Bildu Nafarroa</w:t>
      </w:r>
      <w:r w:rsidRPr="00E408FA">
        <w:rPr>
          <w:rFonts w:asciiTheme="minorHAnsi" w:hAnsiTheme="minorHAnsi" w:cstheme="minorHAnsi"/>
          <w:sz w:val="22"/>
          <w:szCs w:val="22"/>
        </w:rPr>
        <w:t>, sobre las subvenciones recibidas por la empresa NTV Solutions (</w:t>
      </w:r>
      <w:r w:rsidRPr="00E408F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Pr="00E408F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04472">
        <w:rPr>
          <w:rFonts w:asciiTheme="minorHAnsi" w:hAnsiTheme="minorHAnsi" w:cstheme="minorHAnsi"/>
          <w:sz w:val="22"/>
          <w:szCs w:val="22"/>
        </w:rPr>
      </w:r>
      <w:r w:rsidR="00F04472">
        <w:rPr>
          <w:rFonts w:asciiTheme="minorHAnsi" w:hAnsiTheme="minorHAnsi" w:cstheme="minorHAnsi"/>
          <w:sz w:val="22"/>
          <w:szCs w:val="22"/>
        </w:rPr>
        <w:fldChar w:fldCharType="separate"/>
      </w:r>
      <w:r w:rsidRPr="00E408FA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E408FA">
        <w:rPr>
          <w:rFonts w:asciiTheme="minorHAnsi" w:hAnsiTheme="minorHAnsi" w:cstheme="minorHAnsi"/>
          <w:sz w:val="22"/>
          <w:szCs w:val="22"/>
        </w:rPr>
        <w:t>11-26/PES-00088), informa lo siguiente:</w:t>
      </w:r>
    </w:p>
    <w:p w14:paraId="1D097D6C" w14:textId="77777777" w:rsidR="00E408FA" w:rsidRPr="00E408FA" w:rsidRDefault="00E408FA" w:rsidP="00E408FA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08FA">
        <w:rPr>
          <w:rFonts w:asciiTheme="minorHAnsi" w:hAnsiTheme="minorHAnsi" w:cstheme="minorHAnsi"/>
          <w:sz w:val="22"/>
          <w:szCs w:val="22"/>
        </w:rPr>
        <w:t xml:space="preserve">En el departamento de Industria y de Transición Ecológica y Digital Empresarial consta la siguiente información: </w:t>
      </w:r>
    </w:p>
    <w:tbl>
      <w:tblPr>
        <w:tblW w:w="10555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1256"/>
        <w:gridCol w:w="920"/>
        <w:gridCol w:w="1819"/>
        <w:gridCol w:w="749"/>
        <w:gridCol w:w="2318"/>
        <w:gridCol w:w="1171"/>
        <w:gridCol w:w="1432"/>
      </w:tblGrid>
      <w:tr w:rsidR="00E408FA" w:rsidRPr="00634BE4" w14:paraId="4A382B43" w14:textId="77777777" w:rsidTr="00E408FA">
        <w:trPr>
          <w:trHeight w:val="233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03BC7C9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Ejercicio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06C5817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Número expediente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77C3DAC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Importe en moneda local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456EF16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Texto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61F05B8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Centro gestor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F2B3EE2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Clave referencia 3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918322E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Clase de documento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2049CC87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Fecha compensación</w:t>
            </w:r>
          </w:p>
        </w:tc>
      </w:tr>
      <w:tr w:rsidR="00E408FA" w:rsidRPr="00634BE4" w14:paraId="5C6586E9" w14:textId="77777777" w:rsidTr="00E408FA">
        <w:trPr>
          <w:trHeight w:val="23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08979" w14:textId="77777777" w:rsidR="00E408FA" w:rsidRPr="00634BE4" w:rsidRDefault="00E408FA" w:rsidP="0074149E">
            <w:pPr>
              <w:jc w:val="center"/>
              <w:rPr>
                <w:color w:val="000000"/>
              </w:rPr>
            </w:pPr>
            <w:r w:rsidRPr="00634BE4">
              <w:rPr>
                <w:color w:val="000000"/>
              </w:rPr>
              <w:t>2022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6C285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CONTA 2022 0080005559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140CF" w14:textId="77777777" w:rsidR="00E408FA" w:rsidRPr="00634BE4" w:rsidRDefault="00E408FA" w:rsidP="0074149E">
            <w:pPr>
              <w:jc w:val="right"/>
              <w:rPr>
                <w:color w:val="000000"/>
              </w:rPr>
            </w:pPr>
            <w:r w:rsidRPr="00634BE4">
              <w:rPr>
                <w:color w:val="000000"/>
              </w:rPr>
              <w:t>1.076,23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00C89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Sobrecoste energía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D9440" w14:textId="77777777" w:rsidR="00E408FA" w:rsidRPr="00634BE4" w:rsidRDefault="00E408FA" w:rsidP="0074149E">
            <w:pPr>
              <w:jc w:val="center"/>
              <w:rPr>
                <w:color w:val="000000"/>
              </w:rPr>
            </w:pPr>
            <w:r w:rsidRPr="00634BE4">
              <w:rPr>
                <w:color w:val="000000"/>
              </w:rPr>
              <w:t>81100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D22BC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G/810001/4701/422204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A44B6" w14:textId="77777777" w:rsidR="00E408FA" w:rsidRPr="00634BE4" w:rsidRDefault="00E408FA" w:rsidP="0074149E">
            <w:pPr>
              <w:jc w:val="center"/>
              <w:rPr>
                <w:color w:val="000000"/>
              </w:rPr>
            </w:pPr>
            <w:r w:rsidRPr="00634BE4">
              <w:rPr>
                <w:color w:val="000000"/>
              </w:rPr>
              <w:t>O6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FADFB9" w14:textId="77777777" w:rsidR="00E408FA" w:rsidRPr="00634BE4" w:rsidRDefault="00E408FA" w:rsidP="0074149E">
            <w:pPr>
              <w:jc w:val="right"/>
              <w:rPr>
                <w:color w:val="000000"/>
              </w:rPr>
            </w:pPr>
            <w:r w:rsidRPr="00634BE4">
              <w:rPr>
                <w:color w:val="000000"/>
              </w:rPr>
              <w:t>04/01/2023</w:t>
            </w:r>
          </w:p>
        </w:tc>
      </w:tr>
      <w:tr w:rsidR="00E408FA" w:rsidRPr="00634BE4" w14:paraId="78E46093" w14:textId="77777777" w:rsidTr="00E408FA">
        <w:trPr>
          <w:trHeight w:val="73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DF57628" w14:textId="77777777" w:rsidR="00E408FA" w:rsidRPr="00634BE4" w:rsidRDefault="00E408FA" w:rsidP="0074149E">
            <w:pPr>
              <w:jc w:val="center"/>
              <w:rPr>
                <w:color w:val="000000"/>
              </w:rPr>
            </w:pPr>
            <w:r w:rsidRPr="00634BE4">
              <w:rPr>
                <w:color w:val="000000"/>
              </w:rPr>
              <w:t>2018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CC2AA63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CONTA 2018 0080002990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30F40E1" w14:textId="77777777" w:rsidR="00E408FA" w:rsidRPr="00634BE4" w:rsidRDefault="00E408FA" w:rsidP="0074149E">
            <w:pPr>
              <w:jc w:val="right"/>
              <w:rPr>
                <w:color w:val="000000"/>
              </w:rPr>
            </w:pPr>
            <w:r w:rsidRPr="00634BE4">
              <w:rPr>
                <w:color w:val="000000"/>
              </w:rPr>
              <w:t>1.125,00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B38B1F6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SUBVENCIÓN PARA EL FOMENTO DE LA RESPONSABILIDAD SOCIAL PARA EL AÑO 2018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90FE303" w14:textId="77777777" w:rsidR="00E408FA" w:rsidRPr="00634BE4" w:rsidRDefault="00E408FA" w:rsidP="0074149E">
            <w:pPr>
              <w:jc w:val="center"/>
              <w:rPr>
                <w:color w:val="000000"/>
              </w:rPr>
            </w:pPr>
            <w:r w:rsidRPr="00634BE4">
              <w:rPr>
                <w:color w:val="000000"/>
              </w:rPr>
              <w:t>81500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184D038" w14:textId="77777777" w:rsidR="00E408FA" w:rsidRPr="00634BE4" w:rsidRDefault="00E408FA" w:rsidP="0074149E">
            <w:pPr>
              <w:rPr>
                <w:color w:val="000000"/>
              </w:rPr>
            </w:pPr>
            <w:r w:rsidRPr="00634BE4">
              <w:rPr>
                <w:color w:val="000000"/>
              </w:rPr>
              <w:t>G/810012/4709/494112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F34BDEB" w14:textId="77777777" w:rsidR="00E408FA" w:rsidRPr="00634BE4" w:rsidRDefault="00E408FA" w:rsidP="0074149E">
            <w:pPr>
              <w:jc w:val="center"/>
              <w:rPr>
                <w:color w:val="000000"/>
              </w:rPr>
            </w:pPr>
            <w:r w:rsidRPr="00634BE4">
              <w:rPr>
                <w:color w:val="000000"/>
              </w:rPr>
              <w:t>O3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66EED0" w14:textId="77777777" w:rsidR="00E408FA" w:rsidRPr="00634BE4" w:rsidRDefault="00E408FA" w:rsidP="0074149E">
            <w:pPr>
              <w:jc w:val="right"/>
              <w:rPr>
                <w:color w:val="000000"/>
              </w:rPr>
            </w:pPr>
            <w:r w:rsidRPr="00634BE4">
              <w:rPr>
                <w:color w:val="000000"/>
              </w:rPr>
              <w:t>28/11/2018</w:t>
            </w:r>
          </w:p>
        </w:tc>
      </w:tr>
    </w:tbl>
    <w:p w14:paraId="6C59DE63" w14:textId="77777777" w:rsidR="00E408FA" w:rsidRPr="00DE00F1" w:rsidRDefault="00E408FA" w:rsidP="00E408FA">
      <w:pPr>
        <w:pStyle w:val="Default"/>
        <w:rPr>
          <w:rFonts w:ascii="DejaVu Serif Condensed" w:hAnsi="DejaVu Serif Condensed"/>
        </w:rPr>
      </w:pPr>
    </w:p>
    <w:p w14:paraId="4EB566E3" w14:textId="77777777" w:rsidR="00E408FA" w:rsidRPr="00E408FA" w:rsidRDefault="00E408FA" w:rsidP="00E408FA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08FA">
        <w:rPr>
          <w:rFonts w:asciiTheme="minorHAnsi" w:hAnsiTheme="minorHAnsi" w:cstheme="minorHAnsi"/>
          <w:sz w:val="22"/>
          <w:szCs w:val="22"/>
        </w:rPr>
        <w:t xml:space="preserve">Además, se hace constar que el consejo de administración de Sodena, en sesión celebrada el 5 de junio de 2020, aprobó la concesión a NTV Logística, S.A. (cuyo nombre comercial es NTV Solutions) la </w:t>
      </w:r>
      <w:r w:rsidRPr="00E408FA">
        <w:rPr>
          <w:rFonts w:asciiTheme="minorHAnsi" w:hAnsiTheme="minorHAnsi" w:cstheme="minorHAnsi"/>
          <w:sz w:val="22"/>
          <w:szCs w:val="22"/>
        </w:rPr>
        <w:lastRenderedPageBreak/>
        <w:t>concesión de un préstamo por importe de 325.000 euros a un plazo de 6 años para superar los problemas de tesorería originados por la pandemia de COVID-19.</w:t>
      </w:r>
    </w:p>
    <w:p w14:paraId="43F9308F" w14:textId="77777777" w:rsidR="00E408FA" w:rsidRPr="00E408FA" w:rsidRDefault="00E408FA" w:rsidP="00E408FA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08FA">
        <w:rPr>
          <w:rFonts w:asciiTheme="minorHAnsi" w:hAnsiTheme="minorHAnsi" w:cstheme="minorHAnsi"/>
          <w:sz w:val="22"/>
          <w:szCs w:val="22"/>
        </w:rPr>
        <w:t>El préstamo se formalizó el 25 de junio de 2020 y tras el estricto cumplimiento de todas las cuotas de amortización, a fecha de este informe quedan pendientes de vencimiento las dos últimas cuotas trimestrales, por un importe total de 32.500 euros”.</w:t>
      </w:r>
    </w:p>
    <w:p w14:paraId="33315E36" w14:textId="77777777" w:rsidR="00E408FA" w:rsidRPr="00E408FA" w:rsidRDefault="00E408FA" w:rsidP="00E408FA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08FA">
        <w:rPr>
          <w:rFonts w:asciiTheme="minorHAnsi" w:hAnsiTheme="minorHAnsi" w:cstheme="minorHAnsi"/>
          <w:sz w:val="22"/>
          <w:szCs w:val="22"/>
        </w:rPr>
        <w:t>Es cuanto informo en cumplimiento de lo dispuesto en el artículo 215 del Reglamento del Parlamento de Navarra.</w:t>
      </w:r>
    </w:p>
    <w:p w14:paraId="54272F7C" w14:textId="77EECB64" w:rsidR="00E408FA" w:rsidRPr="00E408FA" w:rsidRDefault="00E408FA" w:rsidP="00E408FA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408FA">
        <w:rPr>
          <w:rFonts w:asciiTheme="minorHAnsi" w:hAnsiTheme="minorHAnsi" w:cstheme="minorHAnsi"/>
        </w:rPr>
        <w:t>Pamplona-</w:t>
      </w:r>
      <w:r w:rsidR="00D012F5" w:rsidRPr="00E408FA">
        <w:rPr>
          <w:rFonts w:asciiTheme="minorHAnsi" w:hAnsiTheme="minorHAnsi" w:cstheme="minorHAnsi"/>
        </w:rPr>
        <w:t>Iruña</w:t>
      </w:r>
      <w:r w:rsidRPr="00E408FA">
        <w:rPr>
          <w:rFonts w:asciiTheme="minorHAnsi" w:hAnsiTheme="minorHAnsi" w:cstheme="minorHAnsi"/>
        </w:rPr>
        <w:t xml:space="preserve">, </w:t>
      </w:r>
      <w:r w:rsidR="00F04472">
        <w:rPr>
          <w:rFonts w:asciiTheme="minorHAnsi" w:hAnsiTheme="minorHAnsi" w:cstheme="minorHAnsi"/>
        </w:rPr>
        <w:t>23 de abril de 2026</w:t>
      </w:r>
    </w:p>
    <w:p w14:paraId="4780BC1C" w14:textId="760ACA88" w:rsidR="00E408FA" w:rsidRPr="00E408FA" w:rsidRDefault="00E408FA" w:rsidP="00E408FA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408FA">
        <w:rPr>
          <w:rFonts w:asciiTheme="minorHAnsi" w:hAnsiTheme="minorHAnsi" w:cstheme="minorHAnsi"/>
        </w:rPr>
        <w:t>El Consejero de Industria y de Transición Ecológica y Digital Empresarial</w:t>
      </w:r>
      <w:r>
        <w:rPr>
          <w:rFonts w:asciiTheme="minorHAnsi" w:hAnsiTheme="minorHAnsi" w:cstheme="minorHAnsi"/>
        </w:rPr>
        <w:t xml:space="preserve">: </w:t>
      </w:r>
      <w:r w:rsidRPr="00E408FA">
        <w:rPr>
          <w:rFonts w:asciiTheme="minorHAnsi" w:hAnsiTheme="minorHAnsi" w:cstheme="minorHAnsi"/>
        </w:rPr>
        <w:t>Mikel Irujo Amezaga</w:t>
      </w:r>
    </w:p>
    <w:p w14:paraId="1E72EB8A" w14:textId="05F8B5CE" w:rsidR="00E408FA" w:rsidRPr="00E408FA" w:rsidRDefault="00E408FA" w:rsidP="00E408FA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E408FA">
        <w:rPr>
          <w:rFonts w:asciiTheme="minorHAnsi" w:hAnsiTheme="minorHAnsi" w:cstheme="minorHAnsi"/>
          <w:b/>
          <w:bCs/>
        </w:rPr>
        <w:t>Contestación de la Consejera de Derechos Sociales, Economía Social y Empleo</w:t>
      </w:r>
    </w:p>
    <w:p w14:paraId="2D459722" w14:textId="4D37279D" w:rsidR="00E408FA" w:rsidRPr="00E408FA" w:rsidRDefault="00E408FA" w:rsidP="00E408FA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408FA">
        <w:rPr>
          <w:rFonts w:asciiTheme="minorHAnsi" w:hAnsiTheme="minorHAnsi" w:cstheme="minorHAnsi"/>
        </w:rPr>
        <w:t xml:space="preserve">La consejera de Derechos Sociales, Economía Social y Empleo del Gobierno de Navarra, en relación con la pregunta </w:t>
      </w:r>
      <w:r w:rsidR="00FC071A" w:rsidRPr="00E408FA">
        <w:rPr>
          <w:rFonts w:asciiTheme="minorHAnsi" w:hAnsiTheme="minorHAnsi" w:cstheme="minorHAnsi"/>
        </w:rPr>
        <w:t>(11-26/PES-00088)</w:t>
      </w:r>
      <w:r w:rsidR="00FC071A">
        <w:rPr>
          <w:rFonts w:asciiTheme="minorHAnsi" w:hAnsiTheme="minorHAnsi" w:cstheme="minorHAnsi"/>
        </w:rPr>
        <w:t xml:space="preserve"> </w:t>
      </w:r>
      <w:r w:rsidRPr="00E408FA">
        <w:rPr>
          <w:rFonts w:asciiTheme="minorHAnsi" w:hAnsiTheme="minorHAnsi" w:cstheme="minorHAnsi"/>
        </w:rPr>
        <w:t>para su contestación por escrito formulada por el Parlamentario Foral Ilmo. Sr. D. Oihan Mendo Goñi, adscrito al Grupo Parlamentario EH Bildu Nafarroa,</w:t>
      </w:r>
      <w:r w:rsidR="00FC071A">
        <w:rPr>
          <w:rFonts w:asciiTheme="minorHAnsi" w:hAnsiTheme="minorHAnsi" w:cstheme="minorHAnsi"/>
        </w:rPr>
        <w:t xml:space="preserve"> t</w:t>
      </w:r>
      <w:r w:rsidRPr="00E408FA">
        <w:rPr>
          <w:rFonts w:asciiTheme="minorHAnsi" w:hAnsiTheme="minorHAnsi" w:cstheme="minorHAnsi"/>
        </w:rPr>
        <w:t>iene a bien informar lo siguiente:</w:t>
      </w:r>
    </w:p>
    <w:p w14:paraId="2FCBE0AA" w14:textId="1147D80E" w:rsidR="00E408FA" w:rsidRDefault="00E408FA" w:rsidP="00E408FA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408FA">
        <w:rPr>
          <w:rFonts w:asciiTheme="minorHAnsi" w:hAnsiTheme="minorHAnsi" w:cstheme="minorHAnsi"/>
        </w:rPr>
        <w:t>Se adjunta Resolución 599E/2018, de 8 de noviembre, de la Directora General de Política Económica y Empresarial y Trabajo, por la que se procede al abono de subvención para el fomento de la responsabilidad social por un importe de 1.125 euros.</w:t>
      </w:r>
    </w:p>
    <w:p w14:paraId="0C3851D4" w14:textId="77777777" w:rsidR="00E408FA" w:rsidRDefault="00E408F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C4054F7" w14:textId="4E84D5BA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4B0C9831" wp14:editId="3D3760F3">
            <wp:simplePos x="0" y="0"/>
            <wp:positionH relativeFrom="margin">
              <wp:align>right</wp:align>
            </wp:positionH>
            <wp:positionV relativeFrom="paragraph">
              <wp:posOffset>-102870</wp:posOffset>
            </wp:positionV>
            <wp:extent cx="5400040" cy="7635240"/>
            <wp:effectExtent l="0" t="0" r="0" b="3810"/>
            <wp:wrapNone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87ECA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0FF4FD5A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44A823D0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0172AC4C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274888E6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24B89641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58691184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51D1EB9A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7D4851A7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5A716449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4B211EA8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50A20093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71FCF6AB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108FF436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7D987948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5D71ABCD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6CD8BFFF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524A8263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0F78E769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2C5259A6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6E45F91D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0D72B623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04C22613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273B53B6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2A07386C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720C4FC3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5D5CE572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4FDB3F1F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29117A01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1E8247DD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070BB86A" w14:textId="77777777" w:rsidR="00E408FA" w:rsidRDefault="00E408FA" w:rsidP="00E408FA">
      <w:pPr>
        <w:spacing w:line="360" w:lineRule="auto"/>
        <w:jc w:val="both"/>
        <w:rPr>
          <w:rFonts w:ascii="Arial" w:hAnsi="Arial" w:cs="Arial"/>
          <w:szCs w:val="24"/>
        </w:rPr>
      </w:pPr>
    </w:p>
    <w:p w14:paraId="28AA3AA3" w14:textId="77777777" w:rsidR="00E408FA" w:rsidRPr="00E408FA" w:rsidRDefault="00E408FA" w:rsidP="00E408F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408FA">
        <w:rPr>
          <w:rFonts w:asciiTheme="minorHAnsi" w:hAnsiTheme="minorHAnsi" w:cstheme="minorHAnsi"/>
          <w:szCs w:val="24"/>
        </w:rPr>
        <w:t>Es cuanto informo en cumplimiento de lo dispuesto en el artículo 215 del Reglamento del Parlamento de Navarra.</w:t>
      </w:r>
    </w:p>
    <w:p w14:paraId="5C982E0E" w14:textId="6F10EE86" w:rsidR="00E408FA" w:rsidRPr="00E408FA" w:rsidRDefault="00E408FA" w:rsidP="00E408F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408FA">
        <w:rPr>
          <w:rFonts w:asciiTheme="minorHAnsi" w:hAnsiTheme="minorHAnsi" w:cstheme="minorHAnsi"/>
          <w:szCs w:val="24"/>
        </w:rPr>
        <w:t>Pamplona-</w:t>
      </w:r>
      <w:r w:rsidR="00D012F5" w:rsidRPr="00E408FA">
        <w:rPr>
          <w:rFonts w:asciiTheme="minorHAnsi" w:hAnsiTheme="minorHAnsi" w:cstheme="minorHAnsi"/>
          <w:szCs w:val="24"/>
        </w:rPr>
        <w:t>Iruña</w:t>
      </w:r>
      <w:r w:rsidRPr="00E408FA">
        <w:rPr>
          <w:rFonts w:asciiTheme="minorHAnsi" w:hAnsiTheme="minorHAnsi" w:cstheme="minorHAnsi"/>
          <w:szCs w:val="24"/>
        </w:rPr>
        <w:t>, 22 de abril de 2026</w:t>
      </w:r>
    </w:p>
    <w:p w14:paraId="51B67729" w14:textId="2B52AB53" w:rsidR="00E408FA" w:rsidRPr="00E408FA" w:rsidRDefault="00FC071A" w:rsidP="00E408FA">
      <w:pPr>
        <w:spacing w:after="120" w:line="276" w:lineRule="auto"/>
        <w:jc w:val="both"/>
        <w:rPr>
          <w:rFonts w:asciiTheme="minorHAnsi" w:hAnsiTheme="minorHAnsi" w:cstheme="minorHAnsi"/>
          <w:szCs w:val="24"/>
        </w:rPr>
      </w:pPr>
      <w:r w:rsidRPr="00E408FA">
        <w:rPr>
          <w:rFonts w:asciiTheme="minorHAnsi" w:hAnsiTheme="minorHAnsi" w:cstheme="minorHAnsi"/>
          <w:szCs w:val="24"/>
        </w:rPr>
        <w:t>La Consejera de Derechos Sociales,</w:t>
      </w:r>
      <w:r>
        <w:rPr>
          <w:rFonts w:asciiTheme="minorHAnsi" w:hAnsiTheme="minorHAnsi" w:cstheme="minorHAnsi"/>
          <w:szCs w:val="24"/>
        </w:rPr>
        <w:t xml:space="preserve"> </w:t>
      </w:r>
      <w:r w:rsidRPr="00E408FA">
        <w:rPr>
          <w:rFonts w:asciiTheme="minorHAnsi" w:hAnsiTheme="minorHAnsi" w:cstheme="minorHAnsi"/>
          <w:szCs w:val="24"/>
        </w:rPr>
        <w:t>Economía Social y Empleo</w:t>
      </w:r>
      <w:r>
        <w:rPr>
          <w:rFonts w:asciiTheme="minorHAnsi" w:hAnsiTheme="minorHAnsi" w:cstheme="minorHAnsi"/>
          <w:szCs w:val="24"/>
        </w:rPr>
        <w:t xml:space="preserve">: </w:t>
      </w:r>
      <w:r w:rsidRPr="00E408FA">
        <w:rPr>
          <w:rFonts w:asciiTheme="minorHAnsi" w:hAnsiTheme="minorHAnsi" w:cstheme="minorHAnsi"/>
          <w:szCs w:val="24"/>
        </w:rPr>
        <w:t>María Carmen Maeztu Villafranca</w:t>
      </w:r>
    </w:p>
    <w:sectPr w:rsidR="00E408FA" w:rsidRPr="00E408FA" w:rsidSect="00E408FA">
      <w:headerReference w:type="first" r:id="rId8"/>
      <w:footerReference w:type="first" r:id="rId9"/>
      <w:pgSz w:w="11901" w:h="16817" w:code="9"/>
      <w:pgMar w:top="1701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0FB1" w14:textId="77777777" w:rsidR="00FA3322" w:rsidRDefault="00FA3322">
      <w:r>
        <w:separator/>
      </w:r>
    </w:p>
  </w:endnote>
  <w:endnote w:type="continuationSeparator" w:id="0">
    <w:p w14:paraId="32EF2429" w14:textId="77777777" w:rsidR="00FA3322" w:rsidRDefault="00FA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Título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23D9" w14:textId="77777777" w:rsidR="00FA3322" w:rsidRPr="00A2145B" w:rsidRDefault="00FA3322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94DB" w14:textId="77777777" w:rsidR="00FA3322" w:rsidRDefault="00FA3322">
      <w:r>
        <w:separator/>
      </w:r>
    </w:p>
  </w:footnote>
  <w:footnote w:type="continuationSeparator" w:id="0">
    <w:p w14:paraId="1CD10934" w14:textId="77777777" w:rsidR="00FA3322" w:rsidRDefault="00FA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6F36" w14:textId="77777777" w:rsidR="00FA3322" w:rsidRDefault="00A26127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18F2BA" wp14:editId="4B24763A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1A21"/>
    <w:multiLevelType w:val="hybridMultilevel"/>
    <w:tmpl w:val="03A05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619CA"/>
    <w:multiLevelType w:val="hybridMultilevel"/>
    <w:tmpl w:val="485EACE0"/>
    <w:lvl w:ilvl="0" w:tplc="BABC36F8">
      <w:start w:val="1"/>
      <w:numFmt w:val="bullet"/>
      <w:lvlText w:val="-"/>
      <w:lvlJc w:val="left"/>
      <w:pPr>
        <w:ind w:left="720" w:hanging="360"/>
      </w:pPr>
      <w:rPr>
        <w:rFonts w:ascii="Calibri (Título)" w:eastAsia="Times New Roman" w:hAnsi="Calibri (Título)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3392E"/>
    <w:multiLevelType w:val="hybridMultilevel"/>
    <w:tmpl w:val="176CD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27"/>
    <w:rsid w:val="000512D7"/>
    <w:rsid w:val="000606C0"/>
    <w:rsid w:val="000F0988"/>
    <w:rsid w:val="001E0C8C"/>
    <w:rsid w:val="001E7D1B"/>
    <w:rsid w:val="002B57D0"/>
    <w:rsid w:val="002B7284"/>
    <w:rsid w:val="002F65A5"/>
    <w:rsid w:val="003A5FF8"/>
    <w:rsid w:val="003C099D"/>
    <w:rsid w:val="00412CE6"/>
    <w:rsid w:val="00453353"/>
    <w:rsid w:val="004E0B06"/>
    <w:rsid w:val="004E2DB6"/>
    <w:rsid w:val="00592B08"/>
    <w:rsid w:val="005A6EE9"/>
    <w:rsid w:val="005E6F98"/>
    <w:rsid w:val="00681052"/>
    <w:rsid w:val="006F5F31"/>
    <w:rsid w:val="007C4E93"/>
    <w:rsid w:val="00865F6F"/>
    <w:rsid w:val="008E33F9"/>
    <w:rsid w:val="00904EAD"/>
    <w:rsid w:val="00995755"/>
    <w:rsid w:val="009C6DC0"/>
    <w:rsid w:val="00A01A60"/>
    <w:rsid w:val="00A26127"/>
    <w:rsid w:val="00A27664"/>
    <w:rsid w:val="00A95220"/>
    <w:rsid w:val="00BD243E"/>
    <w:rsid w:val="00C6274A"/>
    <w:rsid w:val="00C73688"/>
    <w:rsid w:val="00D012F5"/>
    <w:rsid w:val="00D96177"/>
    <w:rsid w:val="00DA7EB4"/>
    <w:rsid w:val="00DF1330"/>
    <w:rsid w:val="00DF521C"/>
    <w:rsid w:val="00E11111"/>
    <w:rsid w:val="00E25262"/>
    <w:rsid w:val="00E270FE"/>
    <w:rsid w:val="00E408FA"/>
    <w:rsid w:val="00F04472"/>
    <w:rsid w:val="00FA3322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F33F"/>
  <w15:chartTrackingRefBased/>
  <w15:docId w15:val="{9C21E662-015F-4021-B5C1-1CF537B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27"/>
    <w:pPr>
      <w:spacing w:after="0" w:line="240" w:lineRule="auto"/>
    </w:pPr>
    <w:rPr>
      <w:rFonts w:ascii="Calibri" w:eastAsia="Times New Roman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6127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261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A26127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A2612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2612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95755"/>
    <w:pPr>
      <w:ind w:left="720"/>
      <w:contextualSpacing/>
    </w:pPr>
  </w:style>
  <w:style w:type="paragraph" w:customStyle="1" w:styleId="Default">
    <w:name w:val="Default"/>
    <w:rsid w:val="00E408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408FA"/>
    <w:pPr>
      <w:tabs>
        <w:tab w:val="left" w:pos="720"/>
        <w:tab w:val="center" w:pos="3888"/>
      </w:tabs>
      <w:spacing w:line="360" w:lineRule="atLeast"/>
      <w:jc w:val="both"/>
    </w:pPr>
    <w:rPr>
      <w:rFonts w:ascii="Times New Roman" w:hAnsi="Times New Roman" w:cs="Times New Roman"/>
      <w:sz w:val="26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408FA"/>
    <w:rPr>
      <w:rFonts w:ascii="Times New Roman" w:eastAsia="Times New Roman" w:hAnsi="Times New Roman" w:cs="Times New Roman"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703</Words>
  <Characters>3632</Characters>
  <Application>Microsoft Office Word</Application>
  <DocSecurity>0</DocSecurity>
  <Lines>66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Betelu Pastor, Cristian (Jefe de Gabinete UITD)</dc:creator>
  <cp:keywords/>
  <dc:description/>
  <cp:lastModifiedBy>Fernández Pérez, Beatriz</cp:lastModifiedBy>
  <cp:revision>4</cp:revision>
  <dcterms:created xsi:type="dcterms:W3CDTF">2026-04-23T11:42:00Z</dcterms:created>
  <dcterms:modified xsi:type="dcterms:W3CDTF">2026-05-21T11:51:00Z</dcterms:modified>
</cp:coreProperties>
</file>