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610D7" w14:textId="39358D7D" w:rsidR="0029508A" w:rsidRPr="00387819" w:rsidRDefault="0029508A" w:rsidP="00387819">
      <w:pPr>
        <w:spacing w:after="120" w:line="276" w:lineRule="auto"/>
        <w:jc w:val="both"/>
        <w:rPr>
          <w:rFonts w:asciiTheme="minorHAnsi" w:hAnsiTheme="minorHAnsi" w:cstheme="minorHAnsi"/>
          <w:sz w:val="22"/>
          <w:szCs w:val="22"/>
        </w:rPr>
      </w:pPr>
      <w:r w:rsidRPr="00387819">
        <w:rPr>
          <w:rFonts w:asciiTheme="minorHAnsi" w:hAnsiTheme="minorHAnsi" w:cstheme="minorHAnsi"/>
          <w:sz w:val="22"/>
          <w:szCs w:val="22"/>
        </w:rPr>
        <w:t xml:space="preserve">La consejera de Derechos Sociales, Economía Social y Empleo del Gobierno de Navarra, en relación con la pregunta </w:t>
      </w:r>
      <w:r w:rsidR="00387819" w:rsidRPr="00387819">
        <w:rPr>
          <w:rFonts w:asciiTheme="minorHAnsi" w:hAnsiTheme="minorHAnsi" w:cstheme="minorHAnsi"/>
          <w:sz w:val="22"/>
          <w:szCs w:val="22"/>
        </w:rPr>
        <w:t>(11-26/PES-00094)</w:t>
      </w:r>
      <w:r w:rsidR="00387819">
        <w:rPr>
          <w:rFonts w:asciiTheme="minorHAnsi" w:hAnsiTheme="minorHAnsi" w:cstheme="minorHAnsi"/>
          <w:sz w:val="22"/>
          <w:szCs w:val="22"/>
        </w:rPr>
        <w:t xml:space="preserve"> </w:t>
      </w:r>
      <w:r w:rsidRPr="00387819">
        <w:rPr>
          <w:rFonts w:asciiTheme="minorHAnsi" w:hAnsiTheme="minorHAnsi" w:cstheme="minorHAnsi"/>
          <w:sz w:val="22"/>
          <w:szCs w:val="22"/>
        </w:rPr>
        <w:t>para su contestación por escrito formulada por la Parlamentaria Foral Ilma. Sra. D</w:t>
      </w:r>
      <w:r w:rsidR="00387819">
        <w:rPr>
          <w:rFonts w:asciiTheme="minorHAnsi" w:hAnsiTheme="minorHAnsi" w:cstheme="minorHAnsi"/>
          <w:sz w:val="22"/>
          <w:szCs w:val="22"/>
        </w:rPr>
        <w:t>.</w:t>
      </w:r>
      <w:r w:rsidRPr="00387819">
        <w:rPr>
          <w:rFonts w:asciiTheme="minorHAnsi" w:hAnsiTheme="minorHAnsi" w:cstheme="minorHAnsi"/>
          <w:sz w:val="22"/>
          <w:szCs w:val="22"/>
        </w:rPr>
        <w:t xml:space="preserve">ª Cristina López Mañero, adscrita al Grupo Parlamentario Unión del Pueblo Navarro, </w:t>
      </w:r>
      <w:r w:rsidR="00387819">
        <w:rPr>
          <w:rFonts w:asciiTheme="minorHAnsi" w:hAnsiTheme="minorHAnsi" w:cstheme="minorHAnsi"/>
          <w:sz w:val="22"/>
          <w:szCs w:val="22"/>
        </w:rPr>
        <w:t>t</w:t>
      </w:r>
      <w:r w:rsidRPr="00387819">
        <w:rPr>
          <w:rFonts w:asciiTheme="minorHAnsi" w:hAnsiTheme="minorHAnsi" w:cstheme="minorHAnsi"/>
          <w:sz w:val="22"/>
          <w:szCs w:val="22"/>
        </w:rPr>
        <w:t>iene a bien informar lo siguiente:</w:t>
      </w:r>
    </w:p>
    <w:p w14:paraId="102647EA" w14:textId="77777777" w:rsidR="001E5C59" w:rsidRPr="00387819" w:rsidRDefault="00825A77" w:rsidP="00387819">
      <w:pPr>
        <w:spacing w:after="120" w:line="276" w:lineRule="auto"/>
        <w:jc w:val="both"/>
        <w:rPr>
          <w:rFonts w:asciiTheme="minorHAnsi" w:hAnsiTheme="minorHAnsi" w:cstheme="minorHAnsi"/>
          <w:sz w:val="22"/>
          <w:szCs w:val="22"/>
        </w:rPr>
      </w:pPr>
      <w:r w:rsidRPr="00387819">
        <w:rPr>
          <w:rFonts w:asciiTheme="minorHAnsi" w:hAnsiTheme="minorHAnsi" w:cstheme="minorHAnsi"/>
          <w:sz w:val="22"/>
          <w:szCs w:val="22"/>
        </w:rPr>
        <w:t>No podemos dar el dato del número de menores migrantes que ingresan en COA Etxegaray</w:t>
      </w:r>
      <w:r w:rsidR="001E5C59" w:rsidRPr="00387819">
        <w:rPr>
          <w:rFonts w:asciiTheme="minorHAnsi" w:hAnsiTheme="minorHAnsi" w:cstheme="minorHAnsi"/>
          <w:sz w:val="22"/>
          <w:szCs w:val="22"/>
        </w:rPr>
        <w:t xml:space="preserve"> procedentes de otros recursos porque la base de datos no está categorizada según este criterio por lo que no podemos extraer esta información.</w:t>
      </w:r>
    </w:p>
    <w:p w14:paraId="7C80346A" w14:textId="77777777" w:rsidR="00825A77" w:rsidRPr="00387819" w:rsidRDefault="00825A77" w:rsidP="00387819">
      <w:pPr>
        <w:spacing w:after="120" w:line="276" w:lineRule="auto"/>
        <w:jc w:val="both"/>
        <w:rPr>
          <w:rFonts w:asciiTheme="minorHAnsi" w:hAnsiTheme="minorHAnsi" w:cstheme="minorHAnsi"/>
          <w:sz w:val="22"/>
          <w:szCs w:val="22"/>
        </w:rPr>
      </w:pPr>
      <w:r w:rsidRPr="00387819">
        <w:rPr>
          <w:rFonts w:asciiTheme="minorHAnsi" w:hAnsiTheme="minorHAnsi" w:cstheme="minorHAnsi"/>
          <w:sz w:val="22"/>
          <w:szCs w:val="22"/>
        </w:rPr>
        <w:t>El Centro de Observación y Acogida Etxegaray, está autorizado por el Servicio de Inspección del Departamento de Derechos Sociales, Economía Social y Empleo, para 14 plazas y se abrió en el mes de marzo de 2025. Los días en los que ha superado dicha ocupación desde dicha fecha han sido los siguientes:</w:t>
      </w:r>
    </w:p>
    <w:p w14:paraId="5D67B6C0" w14:textId="7DD31FCC" w:rsidR="00825A77" w:rsidRPr="00387819" w:rsidRDefault="00825A77" w:rsidP="00387819">
      <w:pPr>
        <w:pStyle w:val="Prrafodelista"/>
        <w:numPr>
          <w:ilvl w:val="0"/>
          <w:numId w:val="1"/>
        </w:numPr>
        <w:spacing w:after="120" w:line="276" w:lineRule="auto"/>
        <w:jc w:val="both"/>
        <w:rPr>
          <w:rFonts w:asciiTheme="minorHAnsi" w:hAnsiTheme="minorHAnsi" w:cstheme="minorHAnsi"/>
          <w:sz w:val="22"/>
          <w:szCs w:val="22"/>
        </w:rPr>
      </w:pPr>
      <w:r w:rsidRPr="00387819">
        <w:rPr>
          <w:rFonts w:asciiTheme="minorHAnsi" w:hAnsiTheme="minorHAnsi" w:cstheme="minorHAnsi"/>
          <w:sz w:val="22"/>
          <w:szCs w:val="22"/>
        </w:rPr>
        <w:t>15, 27 y 28 de abril de 2025</w:t>
      </w:r>
      <w:r w:rsidR="007B4D39">
        <w:rPr>
          <w:rFonts w:asciiTheme="minorHAnsi" w:hAnsiTheme="minorHAnsi" w:cstheme="minorHAnsi"/>
          <w:sz w:val="22"/>
          <w:szCs w:val="22"/>
        </w:rPr>
        <w:t>.</w:t>
      </w:r>
    </w:p>
    <w:p w14:paraId="6EDAC17C" w14:textId="0D96F8BD" w:rsidR="00825A77" w:rsidRPr="00387819" w:rsidRDefault="00825A77" w:rsidP="00387819">
      <w:pPr>
        <w:pStyle w:val="Prrafodelista"/>
        <w:numPr>
          <w:ilvl w:val="0"/>
          <w:numId w:val="1"/>
        </w:numPr>
        <w:spacing w:after="120" w:line="276" w:lineRule="auto"/>
        <w:jc w:val="both"/>
        <w:rPr>
          <w:rFonts w:asciiTheme="minorHAnsi" w:hAnsiTheme="minorHAnsi" w:cstheme="minorHAnsi"/>
          <w:sz w:val="22"/>
          <w:szCs w:val="22"/>
        </w:rPr>
      </w:pPr>
      <w:r w:rsidRPr="00387819">
        <w:rPr>
          <w:rFonts w:asciiTheme="minorHAnsi" w:hAnsiTheme="minorHAnsi" w:cstheme="minorHAnsi"/>
          <w:sz w:val="22"/>
          <w:szCs w:val="22"/>
        </w:rPr>
        <w:t>18, 19 y 20 de mayo de 2025</w:t>
      </w:r>
      <w:r w:rsidR="007B4D39">
        <w:rPr>
          <w:rFonts w:asciiTheme="minorHAnsi" w:hAnsiTheme="minorHAnsi" w:cstheme="minorHAnsi"/>
          <w:sz w:val="22"/>
          <w:szCs w:val="22"/>
        </w:rPr>
        <w:t>.</w:t>
      </w:r>
    </w:p>
    <w:p w14:paraId="593D94CD" w14:textId="73D12A1F" w:rsidR="00825A77" w:rsidRPr="00387819" w:rsidRDefault="00825A77" w:rsidP="00387819">
      <w:pPr>
        <w:pStyle w:val="Prrafodelista"/>
        <w:numPr>
          <w:ilvl w:val="0"/>
          <w:numId w:val="1"/>
        </w:numPr>
        <w:spacing w:after="120" w:line="276" w:lineRule="auto"/>
        <w:jc w:val="both"/>
        <w:rPr>
          <w:rFonts w:asciiTheme="minorHAnsi" w:hAnsiTheme="minorHAnsi" w:cstheme="minorHAnsi"/>
          <w:sz w:val="22"/>
          <w:szCs w:val="22"/>
        </w:rPr>
      </w:pPr>
      <w:r w:rsidRPr="00387819">
        <w:rPr>
          <w:rFonts w:asciiTheme="minorHAnsi" w:hAnsiTheme="minorHAnsi" w:cstheme="minorHAnsi"/>
          <w:sz w:val="22"/>
          <w:szCs w:val="22"/>
        </w:rPr>
        <w:t>22 de julio de 2025</w:t>
      </w:r>
      <w:r w:rsidR="007B4D39">
        <w:rPr>
          <w:rFonts w:asciiTheme="minorHAnsi" w:hAnsiTheme="minorHAnsi" w:cstheme="minorHAnsi"/>
          <w:sz w:val="22"/>
          <w:szCs w:val="22"/>
        </w:rPr>
        <w:t>.</w:t>
      </w:r>
    </w:p>
    <w:p w14:paraId="2A8265E6" w14:textId="3A49E1B2" w:rsidR="00825A77" w:rsidRPr="00387819" w:rsidRDefault="00825A77" w:rsidP="00387819">
      <w:pPr>
        <w:pStyle w:val="Prrafodelista"/>
        <w:numPr>
          <w:ilvl w:val="0"/>
          <w:numId w:val="1"/>
        </w:numPr>
        <w:spacing w:after="120" w:line="276" w:lineRule="auto"/>
        <w:jc w:val="both"/>
        <w:rPr>
          <w:rFonts w:asciiTheme="minorHAnsi" w:hAnsiTheme="minorHAnsi" w:cstheme="minorHAnsi"/>
          <w:sz w:val="22"/>
          <w:szCs w:val="22"/>
        </w:rPr>
      </w:pPr>
      <w:r w:rsidRPr="00387819">
        <w:rPr>
          <w:rFonts w:asciiTheme="minorHAnsi" w:hAnsiTheme="minorHAnsi" w:cstheme="minorHAnsi"/>
          <w:sz w:val="22"/>
          <w:szCs w:val="22"/>
        </w:rPr>
        <w:t>5, 6, 19, 28 y 29 de marzo de 2026</w:t>
      </w:r>
      <w:r w:rsidR="007B4D39">
        <w:rPr>
          <w:rFonts w:asciiTheme="minorHAnsi" w:hAnsiTheme="minorHAnsi" w:cstheme="minorHAnsi"/>
          <w:sz w:val="22"/>
          <w:szCs w:val="22"/>
        </w:rPr>
        <w:t>.</w:t>
      </w:r>
    </w:p>
    <w:p w14:paraId="678BF1D5" w14:textId="77777777" w:rsidR="00825A77" w:rsidRPr="00387819" w:rsidRDefault="00825A77" w:rsidP="00387819">
      <w:pPr>
        <w:pStyle w:val="Prrafodelista"/>
        <w:numPr>
          <w:ilvl w:val="0"/>
          <w:numId w:val="1"/>
        </w:numPr>
        <w:spacing w:after="120" w:line="276" w:lineRule="auto"/>
        <w:jc w:val="both"/>
        <w:rPr>
          <w:rFonts w:asciiTheme="minorHAnsi" w:hAnsiTheme="minorHAnsi" w:cstheme="minorHAnsi"/>
          <w:sz w:val="22"/>
          <w:szCs w:val="22"/>
        </w:rPr>
      </w:pPr>
      <w:r w:rsidRPr="00387819">
        <w:rPr>
          <w:rFonts w:asciiTheme="minorHAnsi" w:hAnsiTheme="minorHAnsi" w:cstheme="minorHAnsi"/>
          <w:sz w:val="22"/>
          <w:szCs w:val="22"/>
        </w:rPr>
        <w:t>Del 20 al 23 de abril y del 25 de abril al 1 de mayo de 2026. Concretamente en este mes, el número de menores registrados en el COA en esas fechas concretas osciló entre 15 y 16 chicos/as, pero debido a las situaciones de fuga, no llegaron a coincidir en el centro más de 11 chicos/as.</w:t>
      </w:r>
    </w:p>
    <w:p w14:paraId="10189557" w14:textId="77777777" w:rsidR="00825A77" w:rsidRPr="00387819" w:rsidRDefault="00825A77" w:rsidP="00387819">
      <w:pPr>
        <w:spacing w:after="120" w:line="276" w:lineRule="auto"/>
        <w:jc w:val="both"/>
        <w:rPr>
          <w:rFonts w:asciiTheme="minorHAnsi" w:hAnsiTheme="minorHAnsi" w:cstheme="minorHAnsi"/>
          <w:sz w:val="22"/>
          <w:szCs w:val="22"/>
        </w:rPr>
      </w:pPr>
      <w:r w:rsidRPr="00387819">
        <w:rPr>
          <w:rFonts w:asciiTheme="minorHAnsi" w:hAnsiTheme="minorHAnsi" w:cstheme="minorHAnsi"/>
          <w:sz w:val="22"/>
          <w:szCs w:val="22"/>
        </w:rPr>
        <w:t>Los ingresos en COA se producen bien por indicación de la Subdirección de Infancia, Adolescencia y Familia (la mayoría) o bien por situaciones de urgencia. La necesidad de traslado desde otros centros del sistema de protección viene determinada por situaciones de desajuste personal de los chichos/as que no se han podido reconducir en sus centros de procedencia y suponen un riesgo para su integridad y para la de terceros, fundamentalmente para los y las menores con los que convive. El COA Etxegaray dispone de los espacios precisos y el personal necesario para poder abordar estas situaciones.</w:t>
      </w:r>
    </w:p>
    <w:p w14:paraId="3CDEF99B" w14:textId="77777777" w:rsidR="00825A77" w:rsidRPr="00387819" w:rsidRDefault="00825A77" w:rsidP="00387819">
      <w:pPr>
        <w:spacing w:after="120" w:line="276" w:lineRule="auto"/>
        <w:jc w:val="both"/>
        <w:rPr>
          <w:rFonts w:asciiTheme="minorHAnsi" w:hAnsiTheme="minorHAnsi" w:cstheme="minorHAnsi"/>
          <w:sz w:val="22"/>
          <w:szCs w:val="22"/>
        </w:rPr>
      </w:pPr>
      <w:r w:rsidRPr="00387819">
        <w:rPr>
          <w:rFonts w:asciiTheme="minorHAnsi" w:hAnsiTheme="minorHAnsi" w:cstheme="minorHAnsi"/>
          <w:sz w:val="22"/>
          <w:szCs w:val="22"/>
        </w:rPr>
        <w:t xml:space="preserve">El trabajo que se realiza con estos chicos/as es un trabajo de ajuste a través de la intervención educativa, posibilitando en ocasiones, por la aplicación de medidas restrictivas. Se intenta mantener, en la medida de lo posible, sus rutinas de vida (formación, salidas, etc.) atendiendo a aquello que sea más beneficios para la persona menor de edad. </w:t>
      </w:r>
      <w:r w:rsidR="00F01C90" w:rsidRPr="00387819">
        <w:rPr>
          <w:rFonts w:asciiTheme="minorHAnsi" w:hAnsiTheme="minorHAnsi" w:cstheme="minorHAnsi"/>
          <w:sz w:val="22"/>
          <w:szCs w:val="22"/>
        </w:rPr>
        <w:t>Se aborda con las personas derivadas de las causas de salida del recurso y la necesidad de adoptar medidas para evitar y reparar los daños. Desde la Subdirección de Infancia, Adolescencia y Familia se valora la medida más adecuada, buscando el recurso más idóneo para la persona menor con el fin de continuar con el trabajo educativo y terapéutico.</w:t>
      </w:r>
    </w:p>
    <w:p w14:paraId="040071FA" w14:textId="77777777" w:rsidR="00F01C90" w:rsidRPr="00387819" w:rsidRDefault="00F01C90" w:rsidP="00387819">
      <w:pPr>
        <w:spacing w:after="120" w:line="276" w:lineRule="auto"/>
        <w:jc w:val="both"/>
        <w:rPr>
          <w:rFonts w:asciiTheme="minorHAnsi" w:hAnsiTheme="minorHAnsi" w:cstheme="minorHAnsi"/>
          <w:sz w:val="22"/>
          <w:szCs w:val="22"/>
        </w:rPr>
      </w:pPr>
      <w:r w:rsidRPr="00387819">
        <w:rPr>
          <w:rFonts w:asciiTheme="minorHAnsi" w:hAnsiTheme="minorHAnsi" w:cstheme="minorHAnsi"/>
          <w:sz w:val="22"/>
          <w:szCs w:val="22"/>
        </w:rPr>
        <w:t>Los chicos y chicas que llegan al COA Etxegaray con graves desajustes conductuales (bien sea para valoración inicial o procedentes de otros centros) se ubican en la planta baja del edificio, habilitado para atender mejor estas situaciones. Cuenta con una zona de seguridad para poder atender de forma más adecuada las posibles situaciones de desajuste conductual, así como personal de seguridad que puede intervenir cuando se detecta una situación de riesgo para sí mismo o para terceros.</w:t>
      </w:r>
    </w:p>
    <w:p w14:paraId="37081CA0" w14:textId="77777777" w:rsidR="00F01C90" w:rsidRPr="00387819" w:rsidRDefault="00F01C90" w:rsidP="00387819">
      <w:pPr>
        <w:spacing w:after="120" w:line="276" w:lineRule="auto"/>
        <w:jc w:val="both"/>
        <w:rPr>
          <w:rFonts w:asciiTheme="minorHAnsi" w:hAnsiTheme="minorHAnsi" w:cstheme="minorHAnsi"/>
          <w:sz w:val="22"/>
          <w:szCs w:val="22"/>
        </w:rPr>
      </w:pPr>
      <w:r w:rsidRPr="00387819">
        <w:rPr>
          <w:rFonts w:asciiTheme="minorHAnsi" w:hAnsiTheme="minorHAnsi" w:cstheme="minorHAnsi"/>
          <w:sz w:val="22"/>
          <w:szCs w:val="22"/>
        </w:rPr>
        <w:lastRenderedPageBreak/>
        <w:t>Así mismo, esta zona está equipada con mayor ratio educativo (2 figuras educativas mañana-noche para 4 personas menores de edad), con lo que la intervención y acompañamiento educativo puede ser más intenso.</w:t>
      </w:r>
    </w:p>
    <w:p w14:paraId="02FA4EE9" w14:textId="4D39BA44" w:rsidR="00F01C90" w:rsidRPr="00387819" w:rsidRDefault="00F01C90" w:rsidP="00387819">
      <w:pPr>
        <w:spacing w:after="120" w:line="276" w:lineRule="auto"/>
        <w:jc w:val="both"/>
        <w:rPr>
          <w:rFonts w:asciiTheme="minorHAnsi" w:hAnsiTheme="minorHAnsi" w:cstheme="minorHAnsi"/>
          <w:sz w:val="22"/>
          <w:szCs w:val="22"/>
        </w:rPr>
      </w:pPr>
      <w:r w:rsidRPr="00387819">
        <w:rPr>
          <w:rFonts w:asciiTheme="minorHAnsi" w:hAnsiTheme="minorHAnsi" w:cstheme="minorHAnsi"/>
          <w:sz w:val="22"/>
          <w:szCs w:val="22"/>
        </w:rPr>
        <w:t>Por último, señalar que cuando</w:t>
      </w:r>
      <w:r w:rsidR="00387819">
        <w:rPr>
          <w:rFonts w:asciiTheme="minorHAnsi" w:hAnsiTheme="minorHAnsi" w:cstheme="minorHAnsi"/>
          <w:sz w:val="22"/>
          <w:szCs w:val="22"/>
        </w:rPr>
        <w:t>,</w:t>
      </w:r>
      <w:r w:rsidRPr="00387819">
        <w:rPr>
          <w:rFonts w:asciiTheme="minorHAnsi" w:hAnsiTheme="minorHAnsi" w:cstheme="minorHAnsi"/>
          <w:sz w:val="22"/>
          <w:szCs w:val="22"/>
        </w:rPr>
        <w:t xml:space="preserve"> a criterio de la persona coordinadora y del equipo técnico</w:t>
      </w:r>
      <w:r w:rsidR="00387819">
        <w:rPr>
          <w:rFonts w:asciiTheme="minorHAnsi" w:hAnsiTheme="minorHAnsi" w:cstheme="minorHAnsi"/>
          <w:sz w:val="22"/>
          <w:szCs w:val="22"/>
        </w:rPr>
        <w:t>,</w:t>
      </w:r>
      <w:r w:rsidRPr="00387819">
        <w:rPr>
          <w:rFonts w:asciiTheme="minorHAnsi" w:hAnsiTheme="minorHAnsi" w:cstheme="minorHAnsi"/>
          <w:sz w:val="22"/>
          <w:szCs w:val="22"/>
        </w:rPr>
        <w:t xml:space="preserve"> prevén posibles situaciones de mayor riesgo por el estado de los menores del centro, se incrementa la ratio de personal de seguridad. Así mismo, se proporciona a los profesionales pautas y herramientas metodológicas tanto en las reuniones periódicas del equipo como en formaciones organizadas directamente por Fundación Gizain.</w:t>
      </w:r>
    </w:p>
    <w:p w14:paraId="2ACD5D26" w14:textId="77777777" w:rsidR="0029508A" w:rsidRPr="00387819" w:rsidRDefault="0029508A" w:rsidP="00387819">
      <w:pPr>
        <w:spacing w:after="120" w:line="276" w:lineRule="auto"/>
        <w:jc w:val="both"/>
        <w:rPr>
          <w:rFonts w:asciiTheme="minorHAnsi" w:hAnsiTheme="minorHAnsi" w:cstheme="minorHAnsi"/>
          <w:sz w:val="22"/>
          <w:szCs w:val="22"/>
        </w:rPr>
      </w:pPr>
      <w:r w:rsidRPr="00387819">
        <w:rPr>
          <w:rFonts w:asciiTheme="minorHAnsi" w:hAnsiTheme="minorHAnsi" w:cstheme="minorHAnsi"/>
          <w:sz w:val="22"/>
          <w:szCs w:val="22"/>
        </w:rPr>
        <w:t>Es cuanto informo en cumplimiento de lo dispuesto en el artículo 215 del Reglamento del Parlamento de Navarra.</w:t>
      </w:r>
    </w:p>
    <w:p w14:paraId="4C9C18ED" w14:textId="77777777" w:rsidR="0029508A" w:rsidRPr="00387819" w:rsidRDefault="0029508A" w:rsidP="00387819">
      <w:pPr>
        <w:spacing w:after="120" w:line="276" w:lineRule="auto"/>
        <w:jc w:val="both"/>
        <w:rPr>
          <w:rFonts w:asciiTheme="minorHAnsi" w:hAnsiTheme="minorHAnsi" w:cstheme="minorHAnsi"/>
          <w:sz w:val="22"/>
          <w:szCs w:val="22"/>
        </w:rPr>
      </w:pPr>
      <w:r w:rsidRPr="00387819">
        <w:rPr>
          <w:rFonts w:asciiTheme="minorHAnsi" w:hAnsiTheme="minorHAnsi" w:cstheme="minorHAnsi"/>
          <w:sz w:val="22"/>
          <w:szCs w:val="22"/>
        </w:rPr>
        <w:t>Pamplona-Iruñea</w:t>
      </w:r>
      <w:r w:rsidR="00DC2AED" w:rsidRPr="00387819">
        <w:rPr>
          <w:rFonts w:asciiTheme="minorHAnsi" w:hAnsiTheme="minorHAnsi" w:cstheme="minorHAnsi"/>
          <w:sz w:val="22"/>
          <w:szCs w:val="22"/>
        </w:rPr>
        <w:t>, 8</w:t>
      </w:r>
      <w:r w:rsidRPr="00387819">
        <w:rPr>
          <w:rFonts w:asciiTheme="minorHAnsi" w:hAnsiTheme="minorHAnsi" w:cstheme="minorHAnsi"/>
          <w:sz w:val="22"/>
          <w:szCs w:val="22"/>
        </w:rPr>
        <w:t xml:space="preserve"> de mayo de 2026</w:t>
      </w:r>
    </w:p>
    <w:p w14:paraId="727EDBF9" w14:textId="3BB35CE9" w:rsidR="0029508A" w:rsidRPr="00387819" w:rsidRDefault="00387819" w:rsidP="00387819">
      <w:pPr>
        <w:spacing w:after="120" w:line="276" w:lineRule="auto"/>
        <w:jc w:val="both"/>
        <w:rPr>
          <w:rFonts w:asciiTheme="minorHAnsi" w:hAnsiTheme="minorHAnsi" w:cstheme="minorHAnsi"/>
          <w:sz w:val="22"/>
          <w:szCs w:val="22"/>
        </w:rPr>
      </w:pPr>
      <w:r w:rsidRPr="00387819">
        <w:rPr>
          <w:rFonts w:asciiTheme="minorHAnsi" w:hAnsiTheme="minorHAnsi" w:cstheme="minorHAnsi"/>
          <w:sz w:val="22"/>
          <w:szCs w:val="22"/>
        </w:rPr>
        <w:t>La Consejera de Derechos Sociales,</w:t>
      </w:r>
      <w:r>
        <w:rPr>
          <w:rFonts w:asciiTheme="minorHAnsi" w:hAnsiTheme="minorHAnsi" w:cstheme="minorHAnsi"/>
          <w:sz w:val="22"/>
          <w:szCs w:val="22"/>
        </w:rPr>
        <w:t xml:space="preserve"> </w:t>
      </w:r>
      <w:r w:rsidRPr="00387819">
        <w:rPr>
          <w:rFonts w:asciiTheme="minorHAnsi" w:hAnsiTheme="minorHAnsi" w:cstheme="minorHAnsi"/>
          <w:sz w:val="22"/>
          <w:szCs w:val="22"/>
        </w:rPr>
        <w:t>Economía Social y Empleo</w:t>
      </w:r>
      <w:r>
        <w:rPr>
          <w:rFonts w:asciiTheme="minorHAnsi" w:hAnsiTheme="minorHAnsi" w:cstheme="minorHAnsi"/>
          <w:sz w:val="22"/>
          <w:szCs w:val="22"/>
        </w:rPr>
        <w:t>:</w:t>
      </w:r>
      <w:r w:rsidRPr="00387819">
        <w:rPr>
          <w:rFonts w:asciiTheme="minorHAnsi" w:hAnsiTheme="minorHAnsi" w:cstheme="minorHAnsi"/>
          <w:sz w:val="22"/>
          <w:szCs w:val="22"/>
        </w:rPr>
        <w:t xml:space="preserve"> María Carmen Maeztu Villafranca</w:t>
      </w:r>
    </w:p>
    <w:sectPr w:rsidR="0029508A" w:rsidRPr="00387819" w:rsidSect="00825A77">
      <w:footerReference w:type="default" r:id="rId7"/>
      <w:pgSz w:w="11906" w:h="16838"/>
      <w:pgMar w:top="1417" w:right="1701" w:bottom="1417" w:left="1701"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A1197" w14:textId="77777777" w:rsidR="00825A77" w:rsidRDefault="00825A77" w:rsidP="0029508A">
      <w:r>
        <w:separator/>
      </w:r>
    </w:p>
  </w:endnote>
  <w:endnote w:type="continuationSeparator" w:id="0">
    <w:p w14:paraId="0778241C" w14:textId="77777777" w:rsidR="00825A77" w:rsidRDefault="00825A77" w:rsidP="00295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08007" w14:textId="77777777" w:rsidR="00825A77" w:rsidRDefault="00825A77" w:rsidP="00825A77">
    <w:pPr>
      <w:pStyle w:val="Piedepgina"/>
      <w:tabs>
        <w:tab w:val="clear" w:pos="4252"/>
        <w:tab w:val="clear" w:pos="8504"/>
        <w:tab w:val="left" w:pos="37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54D28" w14:textId="77777777" w:rsidR="00825A77" w:rsidRDefault="00825A77" w:rsidP="0029508A">
      <w:r>
        <w:separator/>
      </w:r>
    </w:p>
  </w:footnote>
  <w:footnote w:type="continuationSeparator" w:id="0">
    <w:p w14:paraId="2331B27B" w14:textId="77777777" w:rsidR="00825A77" w:rsidRDefault="00825A77" w:rsidP="00295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20626"/>
    <w:multiLevelType w:val="hybridMultilevel"/>
    <w:tmpl w:val="FA264DEC"/>
    <w:lvl w:ilvl="0" w:tplc="94BEBA9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6A6"/>
    <w:rsid w:val="001E5C59"/>
    <w:rsid w:val="0029508A"/>
    <w:rsid w:val="002D6AAC"/>
    <w:rsid w:val="00387819"/>
    <w:rsid w:val="007376A6"/>
    <w:rsid w:val="007B4D39"/>
    <w:rsid w:val="00825A77"/>
    <w:rsid w:val="00C73E2D"/>
    <w:rsid w:val="00DC2AED"/>
    <w:rsid w:val="00F01C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1BD92"/>
  <w15:chartTrackingRefBased/>
  <w15:docId w15:val="{7F87AF91-33F3-4607-8053-29D473246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08A"/>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508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29508A"/>
  </w:style>
  <w:style w:type="paragraph" w:styleId="Piedepgina">
    <w:name w:val="footer"/>
    <w:basedOn w:val="Normal"/>
    <w:link w:val="PiedepginaCar"/>
    <w:unhideWhenUsed/>
    <w:rsid w:val="0029508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29508A"/>
  </w:style>
  <w:style w:type="paragraph" w:styleId="Textoindependiente">
    <w:name w:val="Body Text"/>
    <w:basedOn w:val="Normal"/>
    <w:link w:val="TextoindependienteCar"/>
    <w:rsid w:val="0029508A"/>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29508A"/>
    <w:rPr>
      <w:rFonts w:ascii="Times New Roman" w:eastAsia="Times New Roman" w:hAnsi="Times New Roman" w:cs="Times New Roman"/>
      <w:sz w:val="26"/>
      <w:szCs w:val="20"/>
      <w:lang w:val="es-ES_tradnl" w:eastAsia="es-ES"/>
    </w:rPr>
  </w:style>
  <w:style w:type="character" w:styleId="Nmerodepgina">
    <w:name w:val="page number"/>
    <w:basedOn w:val="Fuentedeprrafopredeter"/>
    <w:rsid w:val="0029508A"/>
  </w:style>
  <w:style w:type="paragraph" w:styleId="Prrafodelista">
    <w:name w:val="List Paragraph"/>
    <w:basedOn w:val="Normal"/>
    <w:uiPriority w:val="34"/>
    <w:qFormat/>
    <w:rsid w:val="00825A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602</Words>
  <Characters>3316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Cigudosa González, Vega (Secretaria de Gabinete Derechos Sociale</dc:creator>
  <cp:keywords/>
  <dc:description/>
  <cp:lastModifiedBy>Fernández Pérez, Beatriz</cp:lastModifiedBy>
  <cp:revision>3</cp:revision>
  <dcterms:created xsi:type="dcterms:W3CDTF">2026-05-11T05:29:00Z</dcterms:created>
  <dcterms:modified xsi:type="dcterms:W3CDTF">2026-05-22T10:32:00Z</dcterms:modified>
</cp:coreProperties>
</file>