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8942" w14:textId="51282975" w:rsidR="00E408FA" w:rsidRPr="00E408FA" w:rsidRDefault="00E408FA" w:rsidP="00E408FA">
      <w:pPr>
        <w:autoSpaceDE w:val="0"/>
        <w:autoSpaceDN w:val="0"/>
        <w:adjustRightInd w:val="0"/>
        <w:spacing w:after="120" w:line="276" w:lineRule="auto"/>
        <w:jc w:val="both"/>
        <w:rPr>
          <w:rFonts w:asciiTheme="minorHAnsi" w:hAnsiTheme="minorHAnsi" w:cstheme="minorHAnsi"/>
          <w:color w:val="000000"/>
        </w:rPr>
      </w:pPr>
      <w:r>
        <w:rPr>
          <w:rFonts w:asciiTheme="minorHAnsi" w:hAnsiTheme="minorHAnsi"/>
          <w:color w:val="000000"/>
        </w:rPr>
        <w:t>2026-04-23</w:t>
      </w:r>
    </w:p>
    <w:p w14:paraId="776234AB" w14:textId="29E26DAF" w:rsidR="00E408FA" w:rsidRPr="00E408FA" w:rsidRDefault="00E408FA" w:rsidP="00E408FA">
      <w:pPr>
        <w:autoSpaceDE w:val="0"/>
        <w:autoSpaceDN w:val="0"/>
        <w:adjustRightInd w:val="0"/>
        <w:spacing w:after="120" w:line="276" w:lineRule="auto"/>
        <w:jc w:val="both"/>
        <w:rPr>
          <w:rFonts w:asciiTheme="minorHAnsi" w:hAnsiTheme="minorHAnsi" w:cstheme="minorHAnsi"/>
          <w:b/>
          <w:bCs/>
          <w:color w:val="000000"/>
        </w:rPr>
      </w:pPr>
      <w:r>
        <w:rPr>
          <w:rFonts w:asciiTheme="minorHAnsi" w:hAnsiTheme="minorHAnsi"/>
          <w:b/>
          <w:color w:val="000000"/>
        </w:rPr>
        <w:t>Lehendakaritzako eta Berdintasuneko kontseilariaren erantzuna</w:t>
      </w:r>
    </w:p>
    <w:p w14:paraId="602445F2" w14:textId="1A3317FD" w:rsidR="005E6F98" w:rsidRPr="00E408FA" w:rsidRDefault="005E6F98" w:rsidP="00E408FA">
      <w:pPr>
        <w:autoSpaceDE w:val="0"/>
        <w:autoSpaceDN w:val="0"/>
        <w:adjustRightInd w:val="0"/>
        <w:spacing w:after="120" w:line="276" w:lineRule="auto"/>
        <w:jc w:val="both"/>
        <w:rPr>
          <w:rFonts w:asciiTheme="minorHAnsi" w:hAnsiTheme="minorHAnsi" w:cstheme="minorHAnsi"/>
          <w:color w:val="000000"/>
        </w:rPr>
      </w:pPr>
      <w:r>
        <w:rPr>
          <w:rFonts w:asciiTheme="minorHAnsi" w:hAnsiTheme="minorHAnsi"/>
          <w:color w:val="000000"/>
        </w:rPr>
        <w:t xml:space="preserve">EH Bildu Nafarroa talde parlamentarioko kide Oihan </w:t>
      </w:r>
      <w:proofErr w:type="spellStart"/>
      <w:r>
        <w:rPr>
          <w:rFonts w:asciiTheme="minorHAnsi" w:hAnsiTheme="minorHAnsi"/>
          <w:color w:val="000000"/>
        </w:rPr>
        <w:t>Mendo</w:t>
      </w:r>
      <w:proofErr w:type="spellEnd"/>
      <w:r>
        <w:rPr>
          <w:rFonts w:asciiTheme="minorHAnsi" w:hAnsiTheme="minorHAnsi"/>
          <w:color w:val="000000"/>
        </w:rPr>
        <w:t xml:space="preserve"> Goñi jaunak galdera bat egin zuen idatziz. Galdera horren bitartez jakin nahi zuen Imarkoaineko NTV </w:t>
      </w:r>
      <w:proofErr w:type="spellStart"/>
      <w:r>
        <w:rPr>
          <w:rFonts w:asciiTheme="minorHAnsi" w:hAnsiTheme="minorHAnsi"/>
          <w:color w:val="000000"/>
        </w:rPr>
        <w:t>Solutions</w:t>
      </w:r>
      <w:proofErr w:type="spellEnd"/>
      <w:r>
        <w:rPr>
          <w:rFonts w:asciiTheme="minorHAnsi" w:hAnsiTheme="minorHAnsi"/>
          <w:color w:val="000000"/>
        </w:rPr>
        <w:t xml:space="preserve"> enpresak zer laguntza edo dirulaguntza jaso dituen azken hamar urteotan egitura edo teknologia inbertsioengatik, energia berriztagarrien sistemak ezarri edo garatzeagatik, enplegua sortzeagatik, belaunaldien arteko erreleboagatik, prestakuntzagatik, prebentzio sistemengatik, </w:t>
      </w:r>
      <w:proofErr w:type="spellStart"/>
      <w:r>
        <w:rPr>
          <w:rFonts w:asciiTheme="minorHAnsi" w:hAnsiTheme="minorHAnsi"/>
          <w:color w:val="000000"/>
        </w:rPr>
        <w:t>I+G+b</w:t>
      </w:r>
      <w:proofErr w:type="spellEnd"/>
      <w:r>
        <w:rPr>
          <w:rFonts w:asciiTheme="minorHAnsi" w:hAnsiTheme="minorHAnsi"/>
          <w:color w:val="000000"/>
        </w:rPr>
        <w:t xml:space="preserve"> arloari laguntzeagatik, Berdintasun Plana egin edo garatzeagatik, edo beste edozein kontzepturengatik. Galdera horri dagokionez, Nafarroako Gobernuko Lehendakaritza eta Berdintasuneko kontseilariak honako hau adierazi du: </w:t>
      </w:r>
    </w:p>
    <w:p w14:paraId="07D0F039" w14:textId="3CEED4C5" w:rsidR="008E33F9" w:rsidRPr="00E408FA" w:rsidRDefault="00E11111" w:rsidP="00E408FA">
      <w:pPr>
        <w:spacing w:after="120" w:line="276" w:lineRule="auto"/>
        <w:jc w:val="both"/>
        <w:rPr>
          <w:rFonts w:asciiTheme="minorHAnsi" w:hAnsiTheme="minorHAnsi" w:cstheme="minorHAnsi"/>
          <w:color w:val="000000"/>
        </w:rPr>
      </w:pPr>
      <w:r>
        <w:rPr>
          <w:rFonts w:asciiTheme="minorHAnsi" w:hAnsiTheme="minorHAnsi"/>
          <w:color w:val="000000"/>
        </w:rPr>
        <w:t xml:space="preserve">Ekimen horri erantzunez, jakinarazten dugu Nafarroako Berdintasunerako Institutuko zuzendari kudeatzailearen abenduaren 12ko 455E/2022 Ebazpenaren bidez 1.294 euroko dirulaguntza eman zitzaiola NTV </w:t>
      </w:r>
      <w:proofErr w:type="spellStart"/>
      <w:r>
        <w:rPr>
          <w:rFonts w:asciiTheme="minorHAnsi" w:hAnsiTheme="minorHAnsi"/>
          <w:color w:val="000000"/>
        </w:rPr>
        <w:t>Logística</w:t>
      </w:r>
      <w:proofErr w:type="spellEnd"/>
      <w:r>
        <w:rPr>
          <w:rFonts w:asciiTheme="minorHAnsi" w:hAnsiTheme="minorHAnsi"/>
          <w:color w:val="000000"/>
        </w:rPr>
        <w:t xml:space="preserve"> SA enpresari (IFK: A31614662), Berdintasun Plana egiteko. Ebazpen horren bidez, “2022an Nafarroako Berdintasunerako Institutuak Nafarroako Foru Komunitatean jarduten duten irabazi asmorik gabeko erakundeei eta enpresei emakumeen eta gizonen arteko berdintasun planak ezartzeko dirulaguntzen deialdiaren” esparruan emandako dirulaguntzen ordainketa ebazten da.</w:t>
      </w:r>
    </w:p>
    <w:p w14:paraId="0FCE1522" w14:textId="77777777" w:rsidR="008E33F9" w:rsidRPr="00E408FA" w:rsidRDefault="00A95220" w:rsidP="00E408FA">
      <w:pPr>
        <w:autoSpaceDE w:val="0"/>
        <w:autoSpaceDN w:val="0"/>
        <w:adjustRightInd w:val="0"/>
        <w:spacing w:after="120" w:line="276" w:lineRule="auto"/>
        <w:jc w:val="both"/>
        <w:rPr>
          <w:rFonts w:asciiTheme="minorHAnsi" w:hAnsiTheme="minorHAnsi" w:cstheme="minorHAnsi"/>
          <w:color w:val="000000"/>
        </w:rPr>
      </w:pPr>
      <w:r>
        <w:rPr>
          <w:rFonts w:asciiTheme="minorHAnsi" w:hAnsiTheme="minorHAnsi"/>
          <w:color w:val="000000"/>
        </w:rPr>
        <w:t>Hori guztia jakinarazten dizut, Nafarroako Parlamentuko Erregelamenduaren 215. artikuluan xedatutakoa betez.</w:t>
      </w:r>
    </w:p>
    <w:p w14:paraId="5053B8D2" w14:textId="5402C0CF" w:rsidR="00A95220" w:rsidRPr="00E408FA" w:rsidRDefault="00A95220" w:rsidP="00E408FA">
      <w:pPr>
        <w:autoSpaceDE w:val="0"/>
        <w:autoSpaceDN w:val="0"/>
        <w:adjustRightInd w:val="0"/>
        <w:spacing w:after="120" w:line="276" w:lineRule="auto"/>
        <w:jc w:val="both"/>
        <w:rPr>
          <w:rFonts w:asciiTheme="minorHAnsi" w:hAnsiTheme="minorHAnsi" w:cstheme="minorHAnsi"/>
          <w:color w:val="000000"/>
        </w:rPr>
      </w:pPr>
      <w:r>
        <w:rPr>
          <w:rFonts w:asciiTheme="minorHAnsi" w:hAnsiTheme="minorHAnsi"/>
          <w:color w:val="000000"/>
        </w:rPr>
        <w:t>Iruñean, 2026ko apirilaren 23an</w:t>
      </w:r>
    </w:p>
    <w:p w14:paraId="352AB694" w14:textId="6BE6D22D" w:rsidR="00A95220" w:rsidRPr="00E408FA" w:rsidRDefault="00E408FA" w:rsidP="00E408FA">
      <w:pPr>
        <w:autoSpaceDE w:val="0"/>
        <w:autoSpaceDN w:val="0"/>
        <w:adjustRightInd w:val="0"/>
        <w:spacing w:after="120" w:line="276" w:lineRule="auto"/>
        <w:jc w:val="both"/>
        <w:rPr>
          <w:rFonts w:asciiTheme="minorHAnsi" w:hAnsiTheme="minorHAnsi" w:cstheme="minorHAnsi"/>
          <w:color w:val="000000"/>
        </w:rPr>
      </w:pPr>
      <w:r>
        <w:rPr>
          <w:rFonts w:asciiTheme="minorHAnsi" w:hAnsiTheme="minorHAnsi"/>
          <w:color w:val="000000"/>
        </w:rPr>
        <w:t xml:space="preserve">Lehendakaritza eta Berdintasuneko kontseilaria: Javier </w:t>
      </w:r>
      <w:proofErr w:type="spellStart"/>
      <w:r>
        <w:rPr>
          <w:rFonts w:asciiTheme="minorHAnsi" w:hAnsiTheme="minorHAnsi"/>
          <w:color w:val="000000"/>
        </w:rPr>
        <w:t>Remírez</w:t>
      </w:r>
      <w:proofErr w:type="spellEnd"/>
      <w:r>
        <w:rPr>
          <w:rFonts w:asciiTheme="minorHAnsi" w:hAnsiTheme="minorHAnsi"/>
          <w:color w:val="000000"/>
        </w:rPr>
        <w:t xml:space="preserve"> </w:t>
      </w:r>
      <w:proofErr w:type="spellStart"/>
      <w:r>
        <w:rPr>
          <w:rFonts w:asciiTheme="minorHAnsi" w:hAnsiTheme="minorHAnsi"/>
          <w:color w:val="000000"/>
        </w:rPr>
        <w:t>Apesteguia</w:t>
      </w:r>
      <w:proofErr w:type="spellEnd"/>
    </w:p>
    <w:p w14:paraId="2793FD43" w14:textId="24477CDB" w:rsidR="00E408FA" w:rsidRPr="00E408FA" w:rsidRDefault="00E408FA" w:rsidP="00E408FA">
      <w:pPr>
        <w:pStyle w:val="Default"/>
        <w:spacing w:after="120" w:line="276" w:lineRule="auto"/>
        <w:jc w:val="both"/>
        <w:rPr>
          <w:rFonts w:asciiTheme="minorHAnsi" w:hAnsiTheme="minorHAnsi" w:cstheme="minorHAnsi"/>
          <w:b/>
          <w:bCs/>
          <w:sz w:val="22"/>
          <w:szCs w:val="22"/>
        </w:rPr>
      </w:pPr>
      <w:r>
        <w:rPr>
          <w:rFonts w:asciiTheme="minorHAnsi" w:hAnsiTheme="minorHAnsi"/>
          <w:b/>
          <w:sz w:val="22"/>
        </w:rPr>
        <w:t>Industriako eta Enpresen Trantsizio Ekologiko eta Digitalerako kontseilariaren erantzuna</w:t>
      </w:r>
    </w:p>
    <w:p w14:paraId="424695DD" w14:textId="5011EE60" w:rsidR="00E408FA" w:rsidRPr="00E408FA" w:rsidRDefault="00E408FA" w:rsidP="00E408FA">
      <w:pPr>
        <w:pStyle w:val="Default"/>
        <w:spacing w:after="120" w:line="276" w:lineRule="auto"/>
        <w:jc w:val="both"/>
        <w:rPr>
          <w:rFonts w:asciiTheme="minorHAnsi" w:hAnsiTheme="minorHAnsi" w:cstheme="minorHAnsi"/>
          <w:sz w:val="22"/>
          <w:szCs w:val="22"/>
        </w:rPr>
      </w:pPr>
      <w:r>
        <w:rPr>
          <w:rFonts w:asciiTheme="minorHAnsi" w:hAnsiTheme="minorHAnsi"/>
          <w:sz w:val="22"/>
        </w:rPr>
        <w:t>EH Bildu Nafarroa talde parlamentarioari atxikitako foru</w:t>
      </w:r>
      <w:r w:rsidR="00480AB7">
        <w:rPr>
          <w:rFonts w:asciiTheme="minorHAnsi" w:hAnsiTheme="minorHAnsi"/>
          <w:sz w:val="22"/>
        </w:rPr>
        <w:t>-</w:t>
      </w:r>
      <w:r>
        <w:rPr>
          <w:rFonts w:asciiTheme="minorHAnsi" w:hAnsiTheme="minorHAnsi"/>
          <w:sz w:val="22"/>
        </w:rPr>
        <w:t xml:space="preserve">parlamentari Oihan </w:t>
      </w:r>
      <w:proofErr w:type="spellStart"/>
      <w:r>
        <w:rPr>
          <w:rFonts w:asciiTheme="minorHAnsi" w:hAnsiTheme="minorHAnsi"/>
          <w:sz w:val="22"/>
        </w:rPr>
        <w:t>Mendo</w:t>
      </w:r>
      <w:proofErr w:type="spellEnd"/>
      <w:r>
        <w:rPr>
          <w:rFonts w:asciiTheme="minorHAnsi" w:hAnsiTheme="minorHAnsi"/>
          <w:sz w:val="22"/>
        </w:rPr>
        <w:t xml:space="preserve"> Goñi jaunak idatziz erantzuteko galdera egin zuen NTV </w:t>
      </w:r>
      <w:proofErr w:type="spellStart"/>
      <w:r>
        <w:rPr>
          <w:rFonts w:asciiTheme="minorHAnsi" w:hAnsiTheme="minorHAnsi"/>
          <w:sz w:val="22"/>
        </w:rPr>
        <w:t>Solutions</w:t>
      </w:r>
      <w:proofErr w:type="spellEnd"/>
      <w:r>
        <w:rPr>
          <w:rFonts w:asciiTheme="minorHAnsi" w:hAnsiTheme="minorHAnsi"/>
          <w:sz w:val="22"/>
        </w:rPr>
        <w:t xml:space="preserve"> enpresak jasotako dirulaguntzei buruz (</w:t>
      </w:r>
      <w:r w:rsidRPr="00E408FA">
        <w:rPr>
          <w:rFonts w:asciiTheme="minorHAnsi" w:hAnsiTheme="minorHAnsi" w:cstheme="minorHAnsi"/>
          <w:sz w:val="22"/>
        </w:rPr>
        <w:fldChar w:fldCharType="begin" w:fldLock="1">
          <w:ffData>
            <w:name w:val="Texto5"/>
            <w:enabled/>
            <w:calcOnExit w:val="0"/>
            <w:textInput/>
          </w:ffData>
        </w:fldChar>
      </w:r>
      <w:bookmarkStart w:id="0" w:name="Texto5"/>
      <w:r w:rsidRPr="00E408FA">
        <w:rPr>
          <w:rFonts w:asciiTheme="minorHAnsi" w:hAnsiTheme="minorHAnsi" w:cstheme="minorHAnsi"/>
          <w:sz w:val="22"/>
        </w:rPr>
        <w:instrText xml:space="preserve"> FORMTEXT </w:instrText>
      </w:r>
      <w:r w:rsidRPr="00E408FA">
        <w:rPr>
          <w:rFonts w:asciiTheme="minorHAnsi" w:hAnsiTheme="minorHAnsi" w:cstheme="minorHAnsi"/>
          <w:sz w:val="22"/>
        </w:rPr>
      </w:r>
      <w:r w:rsidRPr="00E408FA">
        <w:rPr>
          <w:rFonts w:asciiTheme="minorHAnsi" w:hAnsiTheme="minorHAnsi" w:cstheme="minorHAnsi"/>
          <w:sz w:val="22"/>
        </w:rPr>
        <w:fldChar w:fldCharType="separate"/>
      </w:r>
      <w:r w:rsidRPr="00E408FA">
        <w:rPr>
          <w:rFonts w:asciiTheme="minorHAnsi" w:hAnsiTheme="minorHAnsi" w:cstheme="minorHAnsi"/>
          <w:sz w:val="22"/>
        </w:rPr>
        <w:fldChar w:fldCharType="end"/>
      </w:r>
      <w:bookmarkEnd w:id="0"/>
      <w:r>
        <w:rPr>
          <w:rFonts w:asciiTheme="minorHAnsi" w:hAnsiTheme="minorHAnsi"/>
          <w:sz w:val="22"/>
        </w:rPr>
        <w:t>11-26/PES-00088). Hona hemen Nafarroako Gobernuko Industriako eta Enpresen Trantsizio Ekologiko eta Digitalerako kontseilariak horri dagokionez ematen dion informazioa:</w:t>
      </w:r>
    </w:p>
    <w:p w14:paraId="1D097D6C" w14:textId="77777777" w:rsidR="00E408FA" w:rsidRPr="00E408FA" w:rsidRDefault="00E408FA" w:rsidP="00E408FA">
      <w:pPr>
        <w:pStyle w:val="Default"/>
        <w:spacing w:after="120" w:line="276" w:lineRule="auto"/>
        <w:jc w:val="both"/>
        <w:rPr>
          <w:rFonts w:asciiTheme="minorHAnsi" w:hAnsiTheme="minorHAnsi" w:cstheme="minorHAnsi"/>
          <w:sz w:val="22"/>
          <w:szCs w:val="22"/>
        </w:rPr>
      </w:pPr>
      <w:r>
        <w:rPr>
          <w:rFonts w:asciiTheme="minorHAnsi" w:hAnsiTheme="minorHAnsi"/>
          <w:sz w:val="22"/>
        </w:rPr>
        <w:t xml:space="preserve">Industriako eta Enpresen Trantsizio Ekologiko eta Digitalerako Departamentuan honako informazio hau dago: </w:t>
      </w:r>
    </w:p>
    <w:tbl>
      <w:tblPr>
        <w:tblW w:w="10555" w:type="dxa"/>
        <w:tblInd w:w="-861" w:type="dxa"/>
        <w:tblCellMar>
          <w:left w:w="70" w:type="dxa"/>
          <w:right w:w="70" w:type="dxa"/>
        </w:tblCellMar>
        <w:tblLook w:val="04A0" w:firstRow="1" w:lastRow="0" w:firstColumn="1" w:lastColumn="0" w:noHBand="0" w:noVBand="1"/>
      </w:tblPr>
      <w:tblGrid>
        <w:gridCol w:w="899"/>
        <w:gridCol w:w="1256"/>
        <w:gridCol w:w="1194"/>
        <w:gridCol w:w="1819"/>
        <w:gridCol w:w="1268"/>
        <w:gridCol w:w="2318"/>
        <w:gridCol w:w="1265"/>
        <w:gridCol w:w="1432"/>
      </w:tblGrid>
      <w:tr w:rsidR="00E408FA" w:rsidRPr="00634BE4" w14:paraId="4A382B43" w14:textId="77777777" w:rsidTr="00E408FA">
        <w:trPr>
          <w:trHeight w:val="233"/>
        </w:trPr>
        <w:tc>
          <w:tcPr>
            <w:tcW w:w="890" w:type="dxa"/>
            <w:tcBorders>
              <w:top w:val="single" w:sz="8" w:space="0" w:color="auto"/>
              <w:left w:val="single" w:sz="8" w:space="0" w:color="auto"/>
              <w:bottom w:val="single" w:sz="4" w:space="0" w:color="auto"/>
              <w:right w:val="single" w:sz="4" w:space="0" w:color="auto"/>
            </w:tcBorders>
            <w:shd w:val="clear" w:color="000000" w:fill="C0C0C0"/>
            <w:noWrap/>
            <w:hideMark/>
          </w:tcPr>
          <w:p w14:paraId="503BC7C9" w14:textId="77777777" w:rsidR="00E408FA" w:rsidRPr="00634BE4" w:rsidRDefault="00E408FA" w:rsidP="0074149E">
            <w:pPr>
              <w:rPr>
                <w:color w:val="000000"/>
              </w:rPr>
            </w:pPr>
            <w:r>
              <w:rPr>
                <w:color w:val="000000"/>
              </w:rPr>
              <w:t>Ekitaldia</w:t>
            </w:r>
          </w:p>
        </w:tc>
        <w:tc>
          <w:tcPr>
            <w:tcW w:w="1256" w:type="dxa"/>
            <w:tcBorders>
              <w:top w:val="single" w:sz="8" w:space="0" w:color="auto"/>
              <w:left w:val="nil"/>
              <w:bottom w:val="single" w:sz="4" w:space="0" w:color="auto"/>
              <w:right w:val="single" w:sz="4" w:space="0" w:color="auto"/>
            </w:tcBorders>
            <w:shd w:val="clear" w:color="000000" w:fill="C0C0C0"/>
            <w:noWrap/>
            <w:hideMark/>
          </w:tcPr>
          <w:p w14:paraId="206C5817" w14:textId="77777777" w:rsidR="00E408FA" w:rsidRPr="00634BE4" w:rsidRDefault="00E408FA" w:rsidP="0074149E">
            <w:pPr>
              <w:rPr>
                <w:color w:val="000000"/>
              </w:rPr>
            </w:pPr>
            <w:r>
              <w:rPr>
                <w:color w:val="000000"/>
              </w:rPr>
              <w:t>Espediente zenbakia</w:t>
            </w:r>
          </w:p>
        </w:tc>
        <w:tc>
          <w:tcPr>
            <w:tcW w:w="920" w:type="dxa"/>
            <w:tcBorders>
              <w:top w:val="single" w:sz="8" w:space="0" w:color="auto"/>
              <w:left w:val="nil"/>
              <w:bottom w:val="single" w:sz="4" w:space="0" w:color="auto"/>
              <w:right w:val="single" w:sz="4" w:space="0" w:color="auto"/>
            </w:tcBorders>
            <w:shd w:val="clear" w:color="000000" w:fill="C0C0C0"/>
            <w:noWrap/>
            <w:hideMark/>
          </w:tcPr>
          <w:p w14:paraId="777C3DAC" w14:textId="77777777" w:rsidR="00E408FA" w:rsidRPr="00634BE4" w:rsidRDefault="00E408FA" w:rsidP="0074149E">
            <w:pPr>
              <w:rPr>
                <w:color w:val="000000"/>
              </w:rPr>
            </w:pPr>
            <w:r>
              <w:rPr>
                <w:color w:val="000000"/>
              </w:rPr>
              <w:t>Zenbatekoa tokiko monetan</w:t>
            </w:r>
          </w:p>
        </w:tc>
        <w:tc>
          <w:tcPr>
            <w:tcW w:w="1819" w:type="dxa"/>
            <w:tcBorders>
              <w:top w:val="single" w:sz="8" w:space="0" w:color="auto"/>
              <w:left w:val="nil"/>
              <w:bottom w:val="single" w:sz="4" w:space="0" w:color="auto"/>
              <w:right w:val="single" w:sz="4" w:space="0" w:color="auto"/>
            </w:tcBorders>
            <w:shd w:val="clear" w:color="000000" w:fill="C0C0C0"/>
            <w:noWrap/>
            <w:hideMark/>
          </w:tcPr>
          <w:p w14:paraId="7456EF16" w14:textId="77777777" w:rsidR="00E408FA" w:rsidRPr="00634BE4" w:rsidRDefault="00E408FA" w:rsidP="0074149E">
            <w:pPr>
              <w:rPr>
                <w:color w:val="000000"/>
              </w:rPr>
            </w:pPr>
            <w:r>
              <w:rPr>
                <w:color w:val="000000"/>
              </w:rPr>
              <w:t>Testua</w:t>
            </w:r>
          </w:p>
        </w:tc>
        <w:tc>
          <w:tcPr>
            <w:tcW w:w="749" w:type="dxa"/>
            <w:tcBorders>
              <w:top w:val="single" w:sz="8" w:space="0" w:color="auto"/>
              <w:left w:val="nil"/>
              <w:bottom w:val="single" w:sz="4" w:space="0" w:color="auto"/>
              <w:right w:val="single" w:sz="4" w:space="0" w:color="auto"/>
            </w:tcBorders>
            <w:shd w:val="clear" w:color="000000" w:fill="C0C0C0"/>
            <w:noWrap/>
            <w:hideMark/>
          </w:tcPr>
          <w:p w14:paraId="461F05B8" w14:textId="77777777" w:rsidR="00E408FA" w:rsidRPr="00634BE4" w:rsidRDefault="00E408FA" w:rsidP="0074149E">
            <w:pPr>
              <w:rPr>
                <w:color w:val="000000"/>
              </w:rPr>
            </w:pPr>
            <w:r>
              <w:rPr>
                <w:color w:val="000000"/>
              </w:rPr>
              <w:t>Zentro kudeatzailea</w:t>
            </w:r>
          </w:p>
        </w:tc>
        <w:tc>
          <w:tcPr>
            <w:tcW w:w="2318" w:type="dxa"/>
            <w:tcBorders>
              <w:top w:val="single" w:sz="8" w:space="0" w:color="auto"/>
              <w:left w:val="nil"/>
              <w:bottom w:val="single" w:sz="4" w:space="0" w:color="auto"/>
              <w:right w:val="single" w:sz="4" w:space="0" w:color="auto"/>
            </w:tcBorders>
            <w:shd w:val="clear" w:color="000000" w:fill="C0C0C0"/>
            <w:noWrap/>
            <w:hideMark/>
          </w:tcPr>
          <w:p w14:paraId="2F2B3EE2" w14:textId="77777777" w:rsidR="00E408FA" w:rsidRPr="00634BE4" w:rsidRDefault="00E408FA" w:rsidP="0074149E">
            <w:pPr>
              <w:rPr>
                <w:color w:val="000000"/>
              </w:rPr>
            </w:pPr>
            <w:r>
              <w:rPr>
                <w:color w:val="000000"/>
              </w:rPr>
              <w:t>3. erreferentzia-gakoa</w:t>
            </w:r>
          </w:p>
        </w:tc>
        <w:tc>
          <w:tcPr>
            <w:tcW w:w="1171" w:type="dxa"/>
            <w:tcBorders>
              <w:top w:val="single" w:sz="8" w:space="0" w:color="auto"/>
              <w:left w:val="nil"/>
              <w:bottom w:val="single" w:sz="4" w:space="0" w:color="auto"/>
              <w:right w:val="single" w:sz="4" w:space="0" w:color="auto"/>
            </w:tcBorders>
            <w:shd w:val="clear" w:color="000000" w:fill="C0C0C0"/>
            <w:noWrap/>
            <w:hideMark/>
          </w:tcPr>
          <w:p w14:paraId="2918322E" w14:textId="77777777" w:rsidR="00E408FA" w:rsidRPr="00634BE4" w:rsidRDefault="00E408FA" w:rsidP="0074149E">
            <w:pPr>
              <w:rPr>
                <w:color w:val="000000"/>
              </w:rPr>
            </w:pPr>
            <w:r>
              <w:rPr>
                <w:color w:val="000000"/>
              </w:rPr>
              <w:t>Dokumentu-mota</w:t>
            </w:r>
          </w:p>
        </w:tc>
        <w:tc>
          <w:tcPr>
            <w:tcW w:w="1432" w:type="dxa"/>
            <w:tcBorders>
              <w:top w:val="single" w:sz="8" w:space="0" w:color="auto"/>
              <w:left w:val="nil"/>
              <w:bottom w:val="single" w:sz="4" w:space="0" w:color="auto"/>
              <w:right w:val="single" w:sz="8" w:space="0" w:color="auto"/>
            </w:tcBorders>
            <w:shd w:val="clear" w:color="000000" w:fill="C0C0C0"/>
            <w:noWrap/>
            <w:hideMark/>
          </w:tcPr>
          <w:p w14:paraId="2049CC87" w14:textId="77777777" w:rsidR="00E408FA" w:rsidRPr="00634BE4" w:rsidRDefault="00E408FA" w:rsidP="0074149E">
            <w:pPr>
              <w:rPr>
                <w:color w:val="000000"/>
              </w:rPr>
            </w:pPr>
            <w:r>
              <w:rPr>
                <w:color w:val="000000"/>
              </w:rPr>
              <w:t>Ordainaren data</w:t>
            </w:r>
          </w:p>
        </w:tc>
      </w:tr>
      <w:tr w:rsidR="00E408FA" w:rsidRPr="00634BE4" w14:paraId="5C6586E9" w14:textId="77777777" w:rsidTr="00E408FA">
        <w:trPr>
          <w:trHeight w:val="233"/>
        </w:trPr>
        <w:tc>
          <w:tcPr>
            <w:tcW w:w="890" w:type="dxa"/>
            <w:tcBorders>
              <w:top w:val="nil"/>
              <w:left w:val="single" w:sz="8" w:space="0" w:color="auto"/>
              <w:bottom w:val="single" w:sz="4" w:space="0" w:color="auto"/>
              <w:right w:val="single" w:sz="4" w:space="0" w:color="auto"/>
            </w:tcBorders>
            <w:noWrap/>
            <w:hideMark/>
          </w:tcPr>
          <w:p w14:paraId="67E08979" w14:textId="77777777" w:rsidR="00E408FA" w:rsidRPr="00634BE4" w:rsidRDefault="00E408FA" w:rsidP="0074149E">
            <w:pPr>
              <w:jc w:val="center"/>
              <w:rPr>
                <w:color w:val="000000"/>
              </w:rPr>
            </w:pPr>
            <w:r>
              <w:rPr>
                <w:color w:val="000000"/>
              </w:rPr>
              <w:t>2022</w:t>
            </w:r>
          </w:p>
        </w:tc>
        <w:tc>
          <w:tcPr>
            <w:tcW w:w="1256" w:type="dxa"/>
            <w:tcBorders>
              <w:top w:val="nil"/>
              <w:left w:val="nil"/>
              <w:bottom w:val="single" w:sz="4" w:space="0" w:color="auto"/>
              <w:right w:val="single" w:sz="4" w:space="0" w:color="auto"/>
            </w:tcBorders>
            <w:noWrap/>
            <w:hideMark/>
          </w:tcPr>
          <w:p w14:paraId="2C06C285" w14:textId="77777777" w:rsidR="00E408FA" w:rsidRPr="00634BE4" w:rsidRDefault="00E408FA" w:rsidP="0074149E">
            <w:pPr>
              <w:rPr>
                <w:color w:val="000000"/>
              </w:rPr>
            </w:pPr>
            <w:r>
              <w:rPr>
                <w:color w:val="000000"/>
              </w:rPr>
              <w:t>CONTA 2022 0080005559</w:t>
            </w:r>
          </w:p>
        </w:tc>
        <w:tc>
          <w:tcPr>
            <w:tcW w:w="920" w:type="dxa"/>
            <w:tcBorders>
              <w:top w:val="nil"/>
              <w:left w:val="nil"/>
              <w:bottom w:val="single" w:sz="4" w:space="0" w:color="auto"/>
              <w:right w:val="single" w:sz="4" w:space="0" w:color="auto"/>
            </w:tcBorders>
            <w:noWrap/>
            <w:hideMark/>
          </w:tcPr>
          <w:p w14:paraId="1A6140CF" w14:textId="77777777" w:rsidR="00E408FA" w:rsidRPr="00634BE4" w:rsidRDefault="00E408FA" w:rsidP="0074149E">
            <w:pPr>
              <w:jc w:val="right"/>
              <w:rPr>
                <w:color w:val="000000"/>
              </w:rPr>
            </w:pPr>
            <w:r>
              <w:rPr>
                <w:color w:val="000000"/>
              </w:rPr>
              <w:t>1.076,23</w:t>
            </w:r>
          </w:p>
        </w:tc>
        <w:tc>
          <w:tcPr>
            <w:tcW w:w="1819" w:type="dxa"/>
            <w:tcBorders>
              <w:top w:val="nil"/>
              <w:left w:val="nil"/>
              <w:bottom w:val="single" w:sz="4" w:space="0" w:color="auto"/>
              <w:right w:val="single" w:sz="4" w:space="0" w:color="auto"/>
            </w:tcBorders>
            <w:noWrap/>
            <w:hideMark/>
          </w:tcPr>
          <w:p w14:paraId="20000C89" w14:textId="77777777" w:rsidR="00E408FA" w:rsidRPr="00634BE4" w:rsidRDefault="00E408FA" w:rsidP="0074149E">
            <w:pPr>
              <w:rPr>
                <w:color w:val="000000"/>
              </w:rPr>
            </w:pPr>
            <w:r>
              <w:rPr>
                <w:color w:val="000000"/>
              </w:rPr>
              <w:t>Energia gainkostua</w:t>
            </w:r>
          </w:p>
        </w:tc>
        <w:tc>
          <w:tcPr>
            <w:tcW w:w="749" w:type="dxa"/>
            <w:tcBorders>
              <w:top w:val="nil"/>
              <w:left w:val="nil"/>
              <w:bottom w:val="single" w:sz="4" w:space="0" w:color="auto"/>
              <w:right w:val="single" w:sz="4" w:space="0" w:color="auto"/>
            </w:tcBorders>
            <w:noWrap/>
            <w:hideMark/>
          </w:tcPr>
          <w:p w14:paraId="3CED9440" w14:textId="77777777" w:rsidR="00E408FA" w:rsidRPr="00634BE4" w:rsidRDefault="00E408FA" w:rsidP="0074149E">
            <w:pPr>
              <w:jc w:val="center"/>
              <w:rPr>
                <w:color w:val="000000"/>
              </w:rPr>
            </w:pPr>
            <w:r>
              <w:rPr>
                <w:color w:val="000000"/>
              </w:rPr>
              <w:t>81100</w:t>
            </w:r>
          </w:p>
        </w:tc>
        <w:tc>
          <w:tcPr>
            <w:tcW w:w="2318" w:type="dxa"/>
            <w:tcBorders>
              <w:top w:val="nil"/>
              <w:left w:val="nil"/>
              <w:bottom w:val="single" w:sz="4" w:space="0" w:color="auto"/>
              <w:right w:val="single" w:sz="4" w:space="0" w:color="auto"/>
            </w:tcBorders>
            <w:noWrap/>
            <w:hideMark/>
          </w:tcPr>
          <w:p w14:paraId="015D22BC" w14:textId="77777777" w:rsidR="00E408FA" w:rsidRPr="00634BE4" w:rsidRDefault="00E408FA" w:rsidP="0074149E">
            <w:pPr>
              <w:rPr>
                <w:color w:val="000000"/>
              </w:rPr>
            </w:pPr>
            <w:r>
              <w:rPr>
                <w:color w:val="000000"/>
              </w:rPr>
              <w:t>G/810001/4701/422204</w:t>
            </w:r>
          </w:p>
        </w:tc>
        <w:tc>
          <w:tcPr>
            <w:tcW w:w="1171" w:type="dxa"/>
            <w:tcBorders>
              <w:top w:val="nil"/>
              <w:left w:val="nil"/>
              <w:bottom w:val="single" w:sz="4" w:space="0" w:color="auto"/>
              <w:right w:val="single" w:sz="4" w:space="0" w:color="auto"/>
            </w:tcBorders>
            <w:noWrap/>
            <w:hideMark/>
          </w:tcPr>
          <w:p w14:paraId="6D0A44B6" w14:textId="77777777" w:rsidR="00E408FA" w:rsidRPr="00634BE4" w:rsidRDefault="00E408FA" w:rsidP="0074149E">
            <w:pPr>
              <w:jc w:val="center"/>
              <w:rPr>
                <w:color w:val="000000"/>
              </w:rPr>
            </w:pPr>
            <w:r>
              <w:rPr>
                <w:color w:val="000000"/>
              </w:rPr>
              <w:t>O6</w:t>
            </w:r>
          </w:p>
        </w:tc>
        <w:tc>
          <w:tcPr>
            <w:tcW w:w="1432" w:type="dxa"/>
            <w:tcBorders>
              <w:top w:val="nil"/>
              <w:left w:val="nil"/>
              <w:bottom w:val="single" w:sz="4" w:space="0" w:color="auto"/>
              <w:right w:val="single" w:sz="8" w:space="0" w:color="auto"/>
            </w:tcBorders>
            <w:noWrap/>
            <w:hideMark/>
          </w:tcPr>
          <w:p w14:paraId="3DFADFB9" w14:textId="77777777" w:rsidR="00E408FA" w:rsidRPr="00634BE4" w:rsidRDefault="00E408FA" w:rsidP="0074149E">
            <w:pPr>
              <w:jc w:val="right"/>
              <w:rPr>
                <w:color w:val="000000"/>
              </w:rPr>
            </w:pPr>
            <w:r>
              <w:rPr>
                <w:color w:val="000000"/>
              </w:rPr>
              <w:t>2023-01-04</w:t>
            </w:r>
          </w:p>
        </w:tc>
      </w:tr>
      <w:tr w:rsidR="00E408FA" w:rsidRPr="00634BE4" w14:paraId="78E46093" w14:textId="77777777" w:rsidTr="00E408FA">
        <w:trPr>
          <w:trHeight w:val="733"/>
        </w:trPr>
        <w:tc>
          <w:tcPr>
            <w:tcW w:w="890" w:type="dxa"/>
            <w:tcBorders>
              <w:top w:val="nil"/>
              <w:left w:val="single" w:sz="8" w:space="0" w:color="auto"/>
              <w:bottom w:val="single" w:sz="8" w:space="0" w:color="auto"/>
              <w:right w:val="single" w:sz="4" w:space="0" w:color="auto"/>
            </w:tcBorders>
            <w:noWrap/>
            <w:hideMark/>
          </w:tcPr>
          <w:p w14:paraId="3DF57628" w14:textId="77777777" w:rsidR="00E408FA" w:rsidRPr="00634BE4" w:rsidRDefault="00E408FA" w:rsidP="0074149E">
            <w:pPr>
              <w:jc w:val="center"/>
              <w:rPr>
                <w:color w:val="000000"/>
              </w:rPr>
            </w:pPr>
            <w:r>
              <w:rPr>
                <w:color w:val="000000"/>
              </w:rPr>
              <w:t>2018</w:t>
            </w:r>
          </w:p>
        </w:tc>
        <w:tc>
          <w:tcPr>
            <w:tcW w:w="1256" w:type="dxa"/>
            <w:tcBorders>
              <w:top w:val="nil"/>
              <w:left w:val="nil"/>
              <w:bottom w:val="single" w:sz="8" w:space="0" w:color="auto"/>
              <w:right w:val="single" w:sz="4" w:space="0" w:color="auto"/>
            </w:tcBorders>
            <w:noWrap/>
            <w:hideMark/>
          </w:tcPr>
          <w:p w14:paraId="0CC2AA63" w14:textId="77777777" w:rsidR="00E408FA" w:rsidRPr="00634BE4" w:rsidRDefault="00E408FA" w:rsidP="0074149E">
            <w:pPr>
              <w:rPr>
                <w:color w:val="000000"/>
              </w:rPr>
            </w:pPr>
            <w:r>
              <w:rPr>
                <w:color w:val="000000"/>
              </w:rPr>
              <w:t>CONTA 2018 0080002990</w:t>
            </w:r>
          </w:p>
        </w:tc>
        <w:tc>
          <w:tcPr>
            <w:tcW w:w="920" w:type="dxa"/>
            <w:tcBorders>
              <w:top w:val="nil"/>
              <w:left w:val="nil"/>
              <w:bottom w:val="single" w:sz="8" w:space="0" w:color="auto"/>
              <w:right w:val="single" w:sz="4" w:space="0" w:color="auto"/>
            </w:tcBorders>
            <w:noWrap/>
            <w:hideMark/>
          </w:tcPr>
          <w:p w14:paraId="230F40E1" w14:textId="77777777" w:rsidR="00E408FA" w:rsidRPr="00634BE4" w:rsidRDefault="00E408FA" w:rsidP="0074149E">
            <w:pPr>
              <w:jc w:val="right"/>
              <w:rPr>
                <w:color w:val="000000"/>
              </w:rPr>
            </w:pPr>
            <w:r>
              <w:rPr>
                <w:color w:val="000000"/>
              </w:rPr>
              <w:t>1.125,00</w:t>
            </w:r>
          </w:p>
        </w:tc>
        <w:tc>
          <w:tcPr>
            <w:tcW w:w="1819" w:type="dxa"/>
            <w:tcBorders>
              <w:top w:val="nil"/>
              <w:left w:val="nil"/>
              <w:bottom w:val="single" w:sz="8" w:space="0" w:color="auto"/>
              <w:right w:val="single" w:sz="4" w:space="0" w:color="auto"/>
            </w:tcBorders>
            <w:hideMark/>
          </w:tcPr>
          <w:p w14:paraId="1B38B1F6" w14:textId="77777777" w:rsidR="00E408FA" w:rsidRPr="00634BE4" w:rsidRDefault="00E408FA" w:rsidP="0074149E">
            <w:pPr>
              <w:rPr>
                <w:color w:val="000000"/>
              </w:rPr>
            </w:pPr>
            <w:r>
              <w:rPr>
                <w:color w:val="000000"/>
              </w:rPr>
              <w:t>GIZARTE ERANTZUKIZUNA SUSTATZEKO DIRULAGUNTZA 2018. URTERAKO</w:t>
            </w:r>
          </w:p>
        </w:tc>
        <w:tc>
          <w:tcPr>
            <w:tcW w:w="749" w:type="dxa"/>
            <w:tcBorders>
              <w:top w:val="nil"/>
              <w:left w:val="nil"/>
              <w:bottom w:val="single" w:sz="8" w:space="0" w:color="auto"/>
              <w:right w:val="single" w:sz="4" w:space="0" w:color="auto"/>
            </w:tcBorders>
            <w:noWrap/>
            <w:hideMark/>
          </w:tcPr>
          <w:p w14:paraId="690FE303" w14:textId="77777777" w:rsidR="00E408FA" w:rsidRPr="00634BE4" w:rsidRDefault="00E408FA" w:rsidP="0074149E">
            <w:pPr>
              <w:jc w:val="center"/>
              <w:rPr>
                <w:color w:val="000000"/>
              </w:rPr>
            </w:pPr>
            <w:r>
              <w:rPr>
                <w:color w:val="000000"/>
              </w:rPr>
              <w:t>81500</w:t>
            </w:r>
          </w:p>
        </w:tc>
        <w:tc>
          <w:tcPr>
            <w:tcW w:w="2318" w:type="dxa"/>
            <w:tcBorders>
              <w:top w:val="nil"/>
              <w:left w:val="nil"/>
              <w:bottom w:val="single" w:sz="8" w:space="0" w:color="auto"/>
              <w:right w:val="single" w:sz="4" w:space="0" w:color="auto"/>
            </w:tcBorders>
            <w:noWrap/>
            <w:hideMark/>
          </w:tcPr>
          <w:p w14:paraId="2184D038" w14:textId="77777777" w:rsidR="00E408FA" w:rsidRPr="00634BE4" w:rsidRDefault="00E408FA" w:rsidP="0074149E">
            <w:pPr>
              <w:rPr>
                <w:color w:val="000000"/>
              </w:rPr>
            </w:pPr>
            <w:r>
              <w:rPr>
                <w:color w:val="000000"/>
              </w:rPr>
              <w:t>G/810012/4709/494112</w:t>
            </w:r>
          </w:p>
        </w:tc>
        <w:tc>
          <w:tcPr>
            <w:tcW w:w="1171" w:type="dxa"/>
            <w:tcBorders>
              <w:top w:val="nil"/>
              <w:left w:val="nil"/>
              <w:bottom w:val="single" w:sz="8" w:space="0" w:color="auto"/>
              <w:right w:val="single" w:sz="4" w:space="0" w:color="auto"/>
            </w:tcBorders>
            <w:noWrap/>
            <w:hideMark/>
          </w:tcPr>
          <w:p w14:paraId="7F34BDEB" w14:textId="77777777" w:rsidR="00E408FA" w:rsidRPr="00634BE4" w:rsidRDefault="00E408FA" w:rsidP="0074149E">
            <w:pPr>
              <w:jc w:val="center"/>
              <w:rPr>
                <w:color w:val="000000"/>
              </w:rPr>
            </w:pPr>
            <w:r>
              <w:rPr>
                <w:color w:val="000000"/>
              </w:rPr>
              <w:t>O3</w:t>
            </w:r>
          </w:p>
        </w:tc>
        <w:tc>
          <w:tcPr>
            <w:tcW w:w="1432" w:type="dxa"/>
            <w:tcBorders>
              <w:top w:val="nil"/>
              <w:left w:val="nil"/>
              <w:bottom w:val="single" w:sz="8" w:space="0" w:color="auto"/>
              <w:right w:val="single" w:sz="8" w:space="0" w:color="auto"/>
            </w:tcBorders>
            <w:noWrap/>
            <w:hideMark/>
          </w:tcPr>
          <w:p w14:paraId="2566EED0" w14:textId="77777777" w:rsidR="00E408FA" w:rsidRPr="00634BE4" w:rsidRDefault="00E408FA" w:rsidP="0074149E">
            <w:pPr>
              <w:jc w:val="right"/>
              <w:rPr>
                <w:color w:val="000000"/>
              </w:rPr>
            </w:pPr>
            <w:r>
              <w:rPr>
                <w:color w:val="000000"/>
              </w:rPr>
              <w:t>2018-11-28</w:t>
            </w:r>
          </w:p>
        </w:tc>
      </w:tr>
    </w:tbl>
    <w:p w14:paraId="6C59DE63" w14:textId="77777777" w:rsidR="00E408FA" w:rsidRPr="00DE00F1" w:rsidRDefault="00E408FA" w:rsidP="00E408FA">
      <w:pPr>
        <w:pStyle w:val="Default"/>
        <w:rPr>
          <w:rFonts w:ascii="DejaVu Serif Condensed" w:hAnsi="DejaVu Serif Condensed"/>
        </w:rPr>
      </w:pPr>
    </w:p>
    <w:p w14:paraId="4EB566E3" w14:textId="77777777" w:rsidR="00E408FA" w:rsidRPr="00E408FA" w:rsidRDefault="00E408FA" w:rsidP="00E408FA">
      <w:pPr>
        <w:pStyle w:val="Default"/>
        <w:spacing w:after="120" w:line="276" w:lineRule="auto"/>
        <w:jc w:val="both"/>
        <w:rPr>
          <w:rFonts w:asciiTheme="minorHAnsi" w:hAnsiTheme="minorHAnsi" w:cstheme="minorHAnsi"/>
          <w:sz w:val="22"/>
          <w:szCs w:val="22"/>
        </w:rPr>
      </w:pPr>
      <w:r>
        <w:rPr>
          <w:rFonts w:asciiTheme="minorHAnsi" w:hAnsiTheme="minorHAnsi"/>
          <w:sz w:val="22"/>
        </w:rPr>
        <w:lastRenderedPageBreak/>
        <w:t xml:space="preserve">Gainera, jakinarazten da </w:t>
      </w:r>
      <w:proofErr w:type="spellStart"/>
      <w:r>
        <w:rPr>
          <w:rFonts w:asciiTheme="minorHAnsi" w:hAnsiTheme="minorHAnsi"/>
          <w:sz w:val="22"/>
        </w:rPr>
        <w:t>Sodenaren</w:t>
      </w:r>
      <w:proofErr w:type="spellEnd"/>
      <w:r>
        <w:rPr>
          <w:rFonts w:asciiTheme="minorHAnsi" w:hAnsiTheme="minorHAnsi"/>
          <w:sz w:val="22"/>
        </w:rPr>
        <w:t xml:space="preserve"> administrazio-kontseiluak, 2020ko ekainaren 5ean egindako bileran onartu zuela NTV </w:t>
      </w:r>
      <w:proofErr w:type="spellStart"/>
      <w:r>
        <w:rPr>
          <w:rFonts w:asciiTheme="minorHAnsi" w:hAnsiTheme="minorHAnsi"/>
          <w:sz w:val="22"/>
        </w:rPr>
        <w:t>Logística</w:t>
      </w:r>
      <w:proofErr w:type="spellEnd"/>
      <w:r>
        <w:rPr>
          <w:rFonts w:asciiTheme="minorHAnsi" w:hAnsiTheme="minorHAnsi"/>
          <w:sz w:val="22"/>
        </w:rPr>
        <w:t xml:space="preserve"> SAri (izen komertziala NTV </w:t>
      </w:r>
      <w:proofErr w:type="spellStart"/>
      <w:r>
        <w:rPr>
          <w:rFonts w:asciiTheme="minorHAnsi" w:hAnsiTheme="minorHAnsi"/>
          <w:sz w:val="22"/>
        </w:rPr>
        <w:t>Solutions</w:t>
      </w:r>
      <w:proofErr w:type="spellEnd"/>
      <w:r>
        <w:rPr>
          <w:rFonts w:asciiTheme="minorHAnsi" w:hAnsiTheme="minorHAnsi"/>
          <w:sz w:val="22"/>
        </w:rPr>
        <w:t xml:space="preserve"> du) 325.000 euroko mailegua ematea 6 urteko eperako, COVID-19aren pandemiak eragindako diruzaintzako arazoak gainditzeko.</w:t>
      </w:r>
    </w:p>
    <w:p w14:paraId="43F9308F" w14:textId="77777777" w:rsidR="00E408FA" w:rsidRPr="00E408FA" w:rsidRDefault="00E408FA" w:rsidP="00E408FA">
      <w:pPr>
        <w:pStyle w:val="Default"/>
        <w:spacing w:after="120" w:line="276" w:lineRule="auto"/>
        <w:jc w:val="both"/>
        <w:rPr>
          <w:rFonts w:asciiTheme="minorHAnsi" w:hAnsiTheme="minorHAnsi" w:cstheme="minorHAnsi"/>
          <w:sz w:val="22"/>
          <w:szCs w:val="22"/>
        </w:rPr>
      </w:pPr>
      <w:r>
        <w:rPr>
          <w:rFonts w:asciiTheme="minorHAnsi" w:hAnsiTheme="minorHAnsi"/>
          <w:sz w:val="22"/>
        </w:rPr>
        <w:t>Mailegua 2020ko ekainaren 25ean formalizatu zen, eta amortizazio kuota guztiak zorrotz bete ondoren, txosten hau egin den egunean hiru hilez behingo azken bi kuoten epemugak geratzen dira, guztira 32.500 euroko zenbatekoarekin”.</w:t>
      </w:r>
    </w:p>
    <w:p w14:paraId="33315E36" w14:textId="77777777" w:rsidR="00E408FA" w:rsidRPr="00E408FA" w:rsidRDefault="00E408FA" w:rsidP="00E408FA">
      <w:pPr>
        <w:pStyle w:val="Default"/>
        <w:spacing w:after="120" w:line="276" w:lineRule="auto"/>
        <w:jc w:val="both"/>
        <w:rPr>
          <w:rFonts w:asciiTheme="minorHAnsi" w:hAnsiTheme="minorHAnsi" w:cstheme="minorHAnsi"/>
          <w:sz w:val="22"/>
          <w:szCs w:val="22"/>
        </w:rPr>
      </w:pPr>
      <w:r>
        <w:rPr>
          <w:rFonts w:asciiTheme="minorHAnsi" w:hAnsiTheme="minorHAnsi"/>
          <w:sz w:val="22"/>
        </w:rPr>
        <w:t>Hori jakinarazten dut, Nafarroako Parlamentuko Erregelamenduaren 215. artikuluan xedatutakoa betez.</w:t>
      </w:r>
    </w:p>
    <w:p w14:paraId="0AAC24E8" w14:textId="6EE0170C" w:rsidR="00ED1DFE" w:rsidRDefault="00ED1DFE" w:rsidP="00E408FA">
      <w:pPr>
        <w:spacing w:after="120" w:line="276" w:lineRule="auto"/>
        <w:jc w:val="both"/>
        <w:rPr>
          <w:rFonts w:asciiTheme="minorHAnsi" w:hAnsiTheme="minorHAnsi"/>
        </w:rPr>
      </w:pPr>
      <w:r>
        <w:rPr>
          <w:rFonts w:asciiTheme="minorHAnsi" w:hAnsiTheme="minorHAnsi"/>
        </w:rPr>
        <w:t>Iruñean, 2026ko apirilaren 23an</w:t>
      </w:r>
    </w:p>
    <w:p w14:paraId="4780BC1C" w14:textId="534B4BEA" w:rsidR="00E408FA" w:rsidRPr="00E408FA" w:rsidRDefault="00E408FA" w:rsidP="00E408FA">
      <w:pPr>
        <w:spacing w:after="120" w:line="276" w:lineRule="auto"/>
        <w:jc w:val="both"/>
        <w:rPr>
          <w:rFonts w:asciiTheme="minorHAnsi" w:hAnsiTheme="minorHAnsi" w:cstheme="minorHAnsi"/>
        </w:rPr>
      </w:pPr>
      <w:r>
        <w:rPr>
          <w:rFonts w:asciiTheme="minorHAnsi" w:hAnsiTheme="minorHAnsi"/>
        </w:rPr>
        <w:t xml:space="preserve">Industriako eta Enpresen Trantsizio Ekologiko eta Digitalerako kontseilaria: Mikel Irujo </w:t>
      </w:r>
      <w:proofErr w:type="spellStart"/>
      <w:r>
        <w:rPr>
          <w:rFonts w:asciiTheme="minorHAnsi" w:hAnsiTheme="minorHAnsi"/>
        </w:rPr>
        <w:t>Amezaga</w:t>
      </w:r>
      <w:proofErr w:type="spellEnd"/>
    </w:p>
    <w:p w14:paraId="1E72EB8A" w14:textId="05F8B5CE" w:rsidR="00E408FA" w:rsidRPr="00E408FA" w:rsidRDefault="00E408FA" w:rsidP="00E408FA">
      <w:pPr>
        <w:spacing w:after="120" w:line="276" w:lineRule="auto"/>
        <w:jc w:val="both"/>
        <w:rPr>
          <w:rFonts w:asciiTheme="minorHAnsi" w:hAnsiTheme="minorHAnsi" w:cstheme="minorHAnsi"/>
          <w:b/>
          <w:bCs/>
        </w:rPr>
      </w:pPr>
      <w:r>
        <w:rPr>
          <w:rFonts w:asciiTheme="minorHAnsi" w:hAnsiTheme="minorHAnsi"/>
          <w:b/>
        </w:rPr>
        <w:t>Eskubide Sozialetako, Ekonomia Sozialeko eta Enpleguko kontseilariaren erantzuna</w:t>
      </w:r>
    </w:p>
    <w:p w14:paraId="2D459722" w14:textId="2C712023" w:rsidR="00E408FA" w:rsidRPr="00E408FA" w:rsidRDefault="00E408FA" w:rsidP="00E408FA">
      <w:pPr>
        <w:spacing w:after="120" w:line="276" w:lineRule="auto"/>
        <w:jc w:val="both"/>
        <w:rPr>
          <w:rFonts w:asciiTheme="minorHAnsi" w:hAnsiTheme="minorHAnsi" w:cstheme="minorHAnsi"/>
        </w:rPr>
      </w:pPr>
      <w:r>
        <w:rPr>
          <w:rFonts w:asciiTheme="minorHAnsi" w:hAnsiTheme="minorHAnsi"/>
        </w:rPr>
        <w:t>EH Bildu Nafarroa talde parlamentarioari atxikitako foru</w:t>
      </w:r>
      <w:r w:rsidR="00480AB7">
        <w:rPr>
          <w:rFonts w:asciiTheme="minorHAnsi" w:hAnsiTheme="minorHAnsi"/>
        </w:rPr>
        <w:t>-</w:t>
      </w:r>
      <w:r>
        <w:rPr>
          <w:rFonts w:asciiTheme="minorHAnsi" w:hAnsiTheme="minorHAnsi"/>
        </w:rPr>
        <w:t xml:space="preserve">parlamentari Oihan </w:t>
      </w:r>
      <w:proofErr w:type="spellStart"/>
      <w:r>
        <w:rPr>
          <w:rFonts w:asciiTheme="minorHAnsi" w:hAnsiTheme="minorHAnsi"/>
        </w:rPr>
        <w:t>Mendo</w:t>
      </w:r>
      <w:proofErr w:type="spellEnd"/>
      <w:r>
        <w:rPr>
          <w:rFonts w:asciiTheme="minorHAnsi" w:hAnsiTheme="minorHAnsi"/>
        </w:rPr>
        <w:t xml:space="preserve"> Goñi jaunak 11-26/PES-00088 galdera egin du, idatziz erantzun dakion. Hona Nafarroako Gobernuko Eskubide Sozialetako, Ekonomia Sozialeko eta Enpleguko kontseilariak horri buruz ematen duen informazioa:</w:t>
      </w:r>
    </w:p>
    <w:p w14:paraId="2FCBE0AA" w14:textId="1147D80E" w:rsidR="00E408FA" w:rsidRDefault="00E408FA" w:rsidP="00E408FA">
      <w:pPr>
        <w:spacing w:after="120" w:line="276" w:lineRule="auto"/>
        <w:jc w:val="both"/>
        <w:rPr>
          <w:rFonts w:asciiTheme="minorHAnsi" w:hAnsiTheme="minorHAnsi" w:cstheme="minorHAnsi"/>
        </w:rPr>
      </w:pPr>
      <w:r>
        <w:rPr>
          <w:rFonts w:asciiTheme="minorHAnsi" w:hAnsiTheme="minorHAnsi"/>
        </w:rPr>
        <w:t>Ekonomia, Enpresa eta Lan Politikako zuzendari nagusiaren azaroaren 8ko 599E/2018 Ebazpena atxiki da; horren bitartez, gizarte erantzukizuna sustatzeko dirulaguntza ordaintzen da, 1.125 eurokoa.</w:t>
      </w:r>
    </w:p>
    <w:p w14:paraId="0C3851D4" w14:textId="77777777" w:rsidR="00E408FA" w:rsidRDefault="00E408FA">
      <w:pPr>
        <w:spacing w:after="160" w:line="259" w:lineRule="auto"/>
        <w:rPr>
          <w:rFonts w:asciiTheme="minorHAnsi" w:hAnsiTheme="minorHAnsi" w:cstheme="minorHAnsi"/>
        </w:rPr>
      </w:pPr>
      <w:r>
        <w:br w:type="page"/>
      </w:r>
    </w:p>
    <w:p w14:paraId="6C4054F7" w14:textId="4E84D5BA" w:rsidR="00E408FA" w:rsidRDefault="00E408FA" w:rsidP="00E408FA">
      <w:pPr>
        <w:spacing w:line="360" w:lineRule="auto"/>
        <w:jc w:val="both"/>
        <w:rPr>
          <w:rFonts w:ascii="Arial" w:hAnsi="Arial" w:cs="Arial"/>
          <w:szCs w:val="24"/>
        </w:rPr>
      </w:pPr>
      <w:r>
        <w:rPr>
          <w:rFonts w:ascii="Arial" w:hAnsi="Arial"/>
          <w:noProof/>
        </w:rPr>
        <w:lastRenderedPageBreak/>
        <w:drawing>
          <wp:anchor distT="0" distB="0" distL="114300" distR="114300" simplePos="0" relativeHeight="251661312" behindDoc="1" locked="0" layoutInCell="1" allowOverlap="1" wp14:anchorId="4B0C9831" wp14:editId="74A26E1D">
            <wp:simplePos x="0" y="0"/>
            <wp:positionH relativeFrom="margin">
              <wp:posOffset>356870</wp:posOffset>
            </wp:positionH>
            <wp:positionV relativeFrom="paragraph">
              <wp:posOffset>-99060</wp:posOffset>
            </wp:positionV>
            <wp:extent cx="4324350" cy="6114297"/>
            <wp:effectExtent l="0" t="0" r="0" b="1270"/>
            <wp:wrapNone/>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4327624" cy="6118926"/>
                    </a:xfrm>
                    <a:prstGeom prst="rect">
                      <a:avLst/>
                    </a:prstGeom>
                  </pic:spPr>
                </pic:pic>
              </a:graphicData>
            </a:graphic>
            <wp14:sizeRelH relativeFrom="margin">
              <wp14:pctWidth>0</wp14:pctWidth>
            </wp14:sizeRelH>
            <wp14:sizeRelV relativeFrom="margin">
              <wp14:pctHeight>0</wp14:pctHeight>
            </wp14:sizeRelV>
          </wp:anchor>
        </w:drawing>
      </w:r>
    </w:p>
    <w:p w14:paraId="7B087ECA" w14:textId="77777777" w:rsidR="00E408FA" w:rsidRDefault="00E408FA" w:rsidP="00E408FA">
      <w:pPr>
        <w:spacing w:line="360" w:lineRule="auto"/>
        <w:jc w:val="both"/>
        <w:rPr>
          <w:rFonts w:ascii="Arial" w:hAnsi="Arial" w:cs="Arial"/>
          <w:szCs w:val="24"/>
        </w:rPr>
      </w:pPr>
    </w:p>
    <w:p w14:paraId="0FF4FD5A" w14:textId="77777777" w:rsidR="00E408FA" w:rsidRDefault="00E408FA" w:rsidP="00E408FA">
      <w:pPr>
        <w:spacing w:line="360" w:lineRule="auto"/>
        <w:jc w:val="both"/>
        <w:rPr>
          <w:rFonts w:ascii="Arial" w:hAnsi="Arial" w:cs="Arial"/>
          <w:szCs w:val="24"/>
        </w:rPr>
      </w:pPr>
    </w:p>
    <w:p w14:paraId="44A823D0" w14:textId="77777777" w:rsidR="00E408FA" w:rsidRDefault="00E408FA" w:rsidP="00E408FA">
      <w:pPr>
        <w:spacing w:line="360" w:lineRule="auto"/>
        <w:jc w:val="both"/>
        <w:rPr>
          <w:rFonts w:ascii="Arial" w:hAnsi="Arial" w:cs="Arial"/>
          <w:szCs w:val="24"/>
        </w:rPr>
      </w:pPr>
    </w:p>
    <w:p w14:paraId="0172AC4C" w14:textId="77777777" w:rsidR="00E408FA" w:rsidRDefault="00E408FA" w:rsidP="00E408FA">
      <w:pPr>
        <w:spacing w:line="360" w:lineRule="auto"/>
        <w:jc w:val="both"/>
        <w:rPr>
          <w:rFonts w:ascii="Arial" w:hAnsi="Arial" w:cs="Arial"/>
          <w:szCs w:val="24"/>
        </w:rPr>
      </w:pPr>
    </w:p>
    <w:p w14:paraId="274888E6" w14:textId="77777777" w:rsidR="00E408FA" w:rsidRDefault="00E408FA" w:rsidP="00E408FA">
      <w:pPr>
        <w:spacing w:line="360" w:lineRule="auto"/>
        <w:jc w:val="both"/>
        <w:rPr>
          <w:rFonts w:ascii="Arial" w:hAnsi="Arial" w:cs="Arial"/>
          <w:szCs w:val="24"/>
        </w:rPr>
      </w:pPr>
    </w:p>
    <w:p w14:paraId="24B89641" w14:textId="77777777" w:rsidR="00E408FA" w:rsidRDefault="00E408FA" w:rsidP="00E408FA">
      <w:pPr>
        <w:spacing w:line="360" w:lineRule="auto"/>
        <w:jc w:val="both"/>
        <w:rPr>
          <w:rFonts w:ascii="Arial" w:hAnsi="Arial" w:cs="Arial"/>
          <w:szCs w:val="24"/>
        </w:rPr>
      </w:pPr>
    </w:p>
    <w:p w14:paraId="58691184" w14:textId="77777777" w:rsidR="00E408FA" w:rsidRDefault="00E408FA" w:rsidP="00E408FA">
      <w:pPr>
        <w:spacing w:line="360" w:lineRule="auto"/>
        <w:jc w:val="both"/>
        <w:rPr>
          <w:rFonts w:ascii="Arial" w:hAnsi="Arial" w:cs="Arial"/>
          <w:szCs w:val="24"/>
        </w:rPr>
      </w:pPr>
    </w:p>
    <w:p w14:paraId="51D1EB9A" w14:textId="77777777" w:rsidR="00E408FA" w:rsidRDefault="00E408FA" w:rsidP="00E408FA">
      <w:pPr>
        <w:spacing w:line="360" w:lineRule="auto"/>
        <w:jc w:val="both"/>
        <w:rPr>
          <w:rFonts w:ascii="Arial" w:hAnsi="Arial" w:cs="Arial"/>
          <w:szCs w:val="24"/>
        </w:rPr>
      </w:pPr>
    </w:p>
    <w:p w14:paraId="7D4851A7" w14:textId="77777777" w:rsidR="00E408FA" w:rsidRDefault="00E408FA" w:rsidP="00E408FA">
      <w:pPr>
        <w:spacing w:line="360" w:lineRule="auto"/>
        <w:jc w:val="both"/>
        <w:rPr>
          <w:rFonts w:ascii="Arial" w:hAnsi="Arial" w:cs="Arial"/>
          <w:szCs w:val="24"/>
        </w:rPr>
      </w:pPr>
    </w:p>
    <w:p w14:paraId="5A716449" w14:textId="77777777" w:rsidR="00E408FA" w:rsidRDefault="00E408FA" w:rsidP="00E408FA">
      <w:pPr>
        <w:spacing w:line="360" w:lineRule="auto"/>
        <w:jc w:val="both"/>
        <w:rPr>
          <w:rFonts w:ascii="Arial" w:hAnsi="Arial" w:cs="Arial"/>
          <w:szCs w:val="24"/>
        </w:rPr>
      </w:pPr>
    </w:p>
    <w:p w14:paraId="4B211EA8" w14:textId="77777777" w:rsidR="00E408FA" w:rsidRDefault="00E408FA" w:rsidP="00E408FA">
      <w:pPr>
        <w:spacing w:line="360" w:lineRule="auto"/>
        <w:jc w:val="both"/>
        <w:rPr>
          <w:rFonts w:ascii="Arial" w:hAnsi="Arial" w:cs="Arial"/>
          <w:szCs w:val="24"/>
        </w:rPr>
      </w:pPr>
    </w:p>
    <w:p w14:paraId="50A20093" w14:textId="77777777" w:rsidR="00E408FA" w:rsidRDefault="00E408FA" w:rsidP="00E408FA">
      <w:pPr>
        <w:spacing w:line="360" w:lineRule="auto"/>
        <w:jc w:val="both"/>
        <w:rPr>
          <w:rFonts w:ascii="Arial" w:hAnsi="Arial" w:cs="Arial"/>
          <w:szCs w:val="24"/>
        </w:rPr>
      </w:pPr>
    </w:p>
    <w:p w14:paraId="71FCF6AB" w14:textId="77777777" w:rsidR="00E408FA" w:rsidRDefault="00E408FA" w:rsidP="00E408FA">
      <w:pPr>
        <w:spacing w:line="360" w:lineRule="auto"/>
        <w:jc w:val="both"/>
        <w:rPr>
          <w:rFonts w:ascii="Arial" w:hAnsi="Arial" w:cs="Arial"/>
          <w:szCs w:val="24"/>
        </w:rPr>
      </w:pPr>
    </w:p>
    <w:p w14:paraId="108FF436" w14:textId="77777777" w:rsidR="00E408FA" w:rsidRDefault="00E408FA" w:rsidP="00E408FA">
      <w:pPr>
        <w:spacing w:line="360" w:lineRule="auto"/>
        <w:jc w:val="both"/>
        <w:rPr>
          <w:rFonts w:ascii="Arial" w:hAnsi="Arial" w:cs="Arial"/>
          <w:szCs w:val="24"/>
        </w:rPr>
      </w:pPr>
    </w:p>
    <w:p w14:paraId="7D987948" w14:textId="77777777" w:rsidR="00E408FA" w:rsidRDefault="00E408FA" w:rsidP="00E408FA">
      <w:pPr>
        <w:spacing w:line="360" w:lineRule="auto"/>
        <w:jc w:val="both"/>
        <w:rPr>
          <w:rFonts w:ascii="Arial" w:hAnsi="Arial" w:cs="Arial"/>
          <w:szCs w:val="24"/>
        </w:rPr>
      </w:pPr>
    </w:p>
    <w:p w14:paraId="5D71ABCD" w14:textId="77777777" w:rsidR="00E408FA" w:rsidRDefault="00E408FA" w:rsidP="00E408FA">
      <w:pPr>
        <w:spacing w:line="360" w:lineRule="auto"/>
        <w:jc w:val="both"/>
        <w:rPr>
          <w:rFonts w:ascii="Arial" w:hAnsi="Arial" w:cs="Arial"/>
          <w:szCs w:val="24"/>
        </w:rPr>
      </w:pPr>
    </w:p>
    <w:p w14:paraId="6CD8BFFF" w14:textId="77777777" w:rsidR="00E408FA" w:rsidRDefault="00E408FA" w:rsidP="00E408FA">
      <w:pPr>
        <w:spacing w:line="360" w:lineRule="auto"/>
        <w:jc w:val="both"/>
        <w:rPr>
          <w:rFonts w:ascii="Arial" w:hAnsi="Arial" w:cs="Arial"/>
          <w:szCs w:val="24"/>
        </w:rPr>
      </w:pPr>
    </w:p>
    <w:p w14:paraId="524A8263" w14:textId="77777777" w:rsidR="00E408FA" w:rsidRDefault="00E408FA" w:rsidP="00E408FA">
      <w:pPr>
        <w:spacing w:line="360" w:lineRule="auto"/>
        <w:jc w:val="both"/>
        <w:rPr>
          <w:rFonts w:ascii="Arial" w:hAnsi="Arial" w:cs="Arial"/>
          <w:szCs w:val="24"/>
        </w:rPr>
      </w:pPr>
    </w:p>
    <w:p w14:paraId="0F78E769" w14:textId="77777777" w:rsidR="00E408FA" w:rsidRDefault="00E408FA" w:rsidP="00E408FA">
      <w:pPr>
        <w:spacing w:line="360" w:lineRule="auto"/>
        <w:jc w:val="both"/>
        <w:rPr>
          <w:rFonts w:ascii="Arial" w:hAnsi="Arial" w:cs="Arial"/>
          <w:szCs w:val="24"/>
        </w:rPr>
      </w:pPr>
    </w:p>
    <w:p w14:paraId="2C5259A6" w14:textId="77777777" w:rsidR="00E408FA" w:rsidRDefault="00E408FA" w:rsidP="00E408FA">
      <w:pPr>
        <w:spacing w:line="360" w:lineRule="auto"/>
        <w:jc w:val="both"/>
        <w:rPr>
          <w:rFonts w:ascii="Arial" w:hAnsi="Arial" w:cs="Arial"/>
          <w:szCs w:val="24"/>
        </w:rPr>
      </w:pPr>
    </w:p>
    <w:p w14:paraId="6E45F91D" w14:textId="77777777" w:rsidR="00E408FA" w:rsidRDefault="00E408FA" w:rsidP="00E408FA">
      <w:pPr>
        <w:spacing w:line="360" w:lineRule="auto"/>
        <w:jc w:val="both"/>
        <w:rPr>
          <w:rFonts w:ascii="Arial" w:hAnsi="Arial" w:cs="Arial"/>
          <w:szCs w:val="24"/>
        </w:rPr>
      </w:pPr>
    </w:p>
    <w:p w14:paraId="0D72B623" w14:textId="77777777" w:rsidR="00E408FA" w:rsidRDefault="00E408FA" w:rsidP="00E408FA">
      <w:pPr>
        <w:spacing w:line="360" w:lineRule="auto"/>
        <w:jc w:val="both"/>
        <w:rPr>
          <w:rFonts w:ascii="Arial" w:hAnsi="Arial" w:cs="Arial"/>
          <w:szCs w:val="24"/>
        </w:rPr>
      </w:pPr>
    </w:p>
    <w:p w14:paraId="04C22613" w14:textId="77777777" w:rsidR="00E408FA" w:rsidRDefault="00E408FA" w:rsidP="00E408FA">
      <w:pPr>
        <w:spacing w:line="360" w:lineRule="auto"/>
        <w:jc w:val="both"/>
        <w:rPr>
          <w:rFonts w:ascii="Arial" w:hAnsi="Arial" w:cs="Arial"/>
          <w:szCs w:val="24"/>
        </w:rPr>
      </w:pPr>
    </w:p>
    <w:p w14:paraId="273B53B6" w14:textId="77777777" w:rsidR="00E408FA" w:rsidRDefault="00E408FA" w:rsidP="00E408FA">
      <w:pPr>
        <w:spacing w:line="360" w:lineRule="auto"/>
        <w:jc w:val="both"/>
        <w:rPr>
          <w:rFonts w:ascii="Arial" w:hAnsi="Arial" w:cs="Arial"/>
          <w:szCs w:val="24"/>
        </w:rPr>
      </w:pPr>
    </w:p>
    <w:p w14:paraId="2A07386C" w14:textId="77777777" w:rsidR="00E408FA" w:rsidRDefault="00E408FA" w:rsidP="00E408FA">
      <w:pPr>
        <w:spacing w:line="360" w:lineRule="auto"/>
        <w:jc w:val="both"/>
        <w:rPr>
          <w:rFonts w:ascii="Arial" w:hAnsi="Arial" w:cs="Arial"/>
          <w:szCs w:val="24"/>
        </w:rPr>
      </w:pPr>
    </w:p>
    <w:p w14:paraId="720C4FC3" w14:textId="77777777" w:rsidR="00E408FA" w:rsidRDefault="00E408FA" w:rsidP="00E408FA">
      <w:pPr>
        <w:spacing w:line="360" w:lineRule="auto"/>
        <w:jc w:val="both"/>
        <w:rPr>
          <w:rFonts w:ascii="Arial" w:hAnsi="Arial" w:cs="Arial"/>
          <w:szCs w:val="24"/>
        </w:rPr>
      </w:pPr>
    </w:p>
    <w:p w14:paraId="29117A01" w14:textId="77777777" w:rsidR="00E408FA" w:rsidRDefault="00E408FA" w:rsidP="00E408FA">
      <w:pPr>
        <w:spacing w:line="360" w:lineRule="auto"/>
        <w:jc w:val="both"/>
        <w:rPr>
          <w:rFonts w:ascii="Arial" w:hAnsi="Arial" w:cs="Arial"/>
          <w:szCs w:val="24"/>
        </w:rPr>
      </w:pPr>
    </w:p>
    <w:p w14:paraId="1E8247DD" w14:textId="77777777" w:rsidR="00E408FA" w:rsidRDefault="00E408FA" w:rsidP="00E408FA">
      <w:pPr>
        <w:spacing w:line="360" w:lineRule="auto"/>
        <w:jc w:val="both"/>
        <w:rPr>
          <w:rFonts w:ascii="Arial" w:hAnsi="Arial" w:cs="Arial"/>
          <w:szCs w:val="24"/>
        </w:rPr>
      </w:pPr>
    </w:p>
    <w:p w14:paraId="070BB86A" w14:textId="77777777" w:rsidR="00E408FA" w:rsidRDefault="00E408FA" w:rsidP="00E408FA">
      <w:pPr>
        <w:spacing w:line="360" w:lineRule="auto"/>
        <w:jc w:val="both"/>
        <w:rPr>
          <w:rFonts w:ascii="Arial" w:hAnsi="Arial" w:cs="Arial"/>
          <w:szCs w:val="24"/>
        </w:rPr>
      </w:pPr>
    </w:p>
    <w:p w14:paraId="28AA3AA3" w14:textId="77777777" w:rsidR="00E408FA" w:rsidRPr="00E408FA" w:rsidRDefault="00E408FA" w:rsidP="00E408FA">
      <w:pPr>
        <w:spacing w:after="120" w:line="276" w:lineRule="auto"/>
        <w:jc w:val="both"/>
        <w:rPr>
          <w:rFonts w:asciiTheme="minorHAnsi" w:hAnsiTheme="minorHAnsi" w:cstheme="minorHAnsi"/>
          <w:szCs w:val="24"/>
        </w:rPr>
      </w:pPr>
      <w:r>
        <w:rPr>
          <w:rFonts w:asciiTheme="minorHAnsi" w:hAnsiTheme="minorHAnsi"/>
        </w:rPr>
        <w:t>Hori jakinarazten dut, Nafarroako Parlamentuko Erregelamenduaren 215. artikuluan xedatutakoa betez.</w:t>
      </w:r>
    </w:p>
    <w:p w14:paraId="5C982E0E" w14:textId="6F10EE86" w:rsidR="00E408FA" w:rsidRPr="00E408FA" w:rsidRDefault="00E408FA" w:rsidP="00E408FA">
      <w:pPr>
        <w:spacing w:after="120" w:line="276" w:lineRule="auto"/>
        <w:jc w:val="both"/>
        <w:rPr>
          <w:rFonts w:asciiTheme="minorHAnsi" w:hAnsiTheme="minorHAnsi" w:cstheme="minorHAnsi"/>
          <w:szCs w:val="24"/>
        </w:rPr>
      </w:pPr>
      <w:r>
        <w:rPr>
          <w:rFonts w:asciiTheme="minorHAnsi" w:hAnsiTheme="minorHAnsi"/>
        </w:rPr>
        <w:t>Iruñean, 2026ko apirilaren 22an</w:t>
      </w:r>
    </w:p>
    <w:p w14:paraId="51B67729" w14:textId="2B52AB53" w:rsidR="00E408FA" w:rsidRPr="00E408FA" w:rsidRDefault="00FC071A" w:rsidP="00E408FA">
      <w:pPr>
        <w:spacing w:after="120" w:line="276" w:lineRule="auto"/>
        <w:jc w:val="both"/>
        <w:rPr>
          <w:rFonts w:asciiTheme="minorHAnsi" w:hAnsiTheme="minorHAnsi" w:cstheme="minorHAnsi"/>
          <w:szCs w:val="24"/>
        </w:rPr>
      </w:pPr>
      <w:r>
        <w:rPr>
          <w:rFonts w:asciiTheme="minorHAnsi" w:hAnsiTheme="minorHAnsi"/>
        </w:rPr>
        <w:t xml:space="preserve">Eskubide Sozialetako, Ekonomia Sozialeko eta Enpleguko kontseilaria: María Carmen Maeztu </w:t>
      </w:r>
      <w:proofErr w:type="spellStart"/>
      <w:r>
        <w:rPr>
          <w:rFonts w:asciiTheme="minorHAnsi" w:hAnsiTheme="minorHAnsi"/>
        </w:rPr>
        <w:t>Villafranca</w:t>
      </w:r>
      <w:proofErr w:type="spellEnd"/>
    </w:p>
    <w:sectPr w:rsidR="00E408FA" w:rsidRPr="00E408FA" w:rsidSect="00E408FA">
      <w:headerReference w:type="first" r:id="rId8"/>
      <w:footerReference w:type="first" r:id="rId9"/>
      <w:pgSz w:w="11901" w:h="16817" w:code="9"/>
      <w:pgMar w:top="1701"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50BC" w14:textId="77777777" w:rsidR="00D11AEB" w:rsidRDefault="00D11AEB">
      <w:r>
        <w:separator/>
      </w:r>
    </w:p>
  </w:endnote>
  <w:endnote w:type="continuationSeparator" w:id="0">
    <w:p w14:paraId="74D1BF79" w14:textId="77777777" w:rsidR="00D11AEB" w:rsidRDefault="00D1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ítulo)">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erif Condensed">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23D9" w14:textId="77777777" w:rsidR="00FA3322" w:rsidRPr="00A2145B" w:rsidRDefault="00FA3322"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5FA1" w14:textId="77777777" w:rsidR="00D11AEB" w:rsidRDefault="00D11AEB">
      <w:r>
        <w:separator/>
      </w:r>
    </w:p>
  </w:footnote>
  <w:footnote w:type="continuationSeparator" w:id="0">
    <w:p w14:paraId="09B990FD" w14:textId="77777777" w:rsidR="00D11AEB" w:rsidRDefault="00D11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6F36" w14:textId="77777777" w:rsidR="00FA3322" w:rsidRDefault="00A26127" w:rsidP="00696F6F">
    <w:pPr>
      <w:pStyle w:val="Encabezado"/>
      <w:ind w:left="-765"/>
    </w:pPr>
    <w:r>
      <w:rPr>
        <w:noProof/>
      </w:rPr>
      <w:drawing>
        <wp:anchor distT="0" distB="0" distL="114300" distR="114300" simplePos="0" relativeHeight="251659264" behindDoc="1" locked="0" layoutInCell="1" allowOverlap="1" wp14:anchorId="0F18F2BA" wp14:editId="4B24763A">
          <wp:simplePos x="419100" y="542925"/>
          <wp:positionH relativeFrom="page">
            <wp:align>left</wp:align>
          </wp:positionH>
          <wp:positionV relativeFrom="page">
            <wp:align>top</wp:align>
          </wp:positionV>
          <wp:extent cx="7560000" cy="1796400"/>
          <wp:effectExtent l="0" t="0" r="317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1A21"/>
    <w:multiLevelType w:val="hybridMultilevel"/>
    <w:tmpl w:val="03A05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1619CA"/>
    <w:multiLevelType w:val="hybridMultilevel"/>
    <w:tmpl w:val="485EACE0"/>
    <w:lvl w:ilvl="0" w:tplc="BABC36F8">
      <w:start w:val="1"/>
      <w:numFmt w:val="bullet"/>
      <w:lvlText w:val="-"/>
      <w:lvlJc w:val="left"/>
      <w:pPr>
        <w:ind w:left="720" w:hanging="360"/>
      </w:pPr>
      <w:rPr>
        <w:rFonts w:ascii="Calibri (Título)" w:eastAsia="Times New Roman" w:hAnsi="Calibri (Título)"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903392E"/>
    <w:multiLevelType w:val="hybridMultilevel"/>
    <w:tmpl w:val="176CD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54231574">
    <w:abstractNumId w:val="1"/>
  </w:num>
  <w:num w:numId="2" w16cid:durableId="1794639656">
    <w:abstractNumId w:val="0"/>
  </w:num>
  <w:num w:numId="3" w16cid:durableId="1196849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27"/>
    <w:rsid w:val="000512D7"/>
    <w:rsid w:val="000606C0"/>
    <w:rsid w:val="000F0988"/>
    <w:rsid w:val="00181737"/>
    <w:rsid w:val="001E0C8C"/>
    <w:rsid w:val="001E7D1B"/>
    <w:rsid w:val="002B57D0"/>
    <w:rsid w:val="002B7284"/>
    <w:rsid w:val="002F65A5"/>
    <w:rsid w:val="00385774"/>
    <w:rsid w:val="003A5FF8"/>
    <w:rsid w:val="003C099D"/>
    <w:rsid w:val="00412CE6"/>
    <w:rsid w:val="00453353"/>
    <w:rsid w:val="00480AB7"/>
    <w:rsid w:val="004E0B06"/>
    <w:rsid w:val="004E2DB6"/>
    <w:rsid w:val="00592B08"/>
    <w:rsid w:val="005A6EE9"/>
    <w:rsid w:val="005E6F98"/>
    <w:rsid w:val="00681052"/>
    <w:rsid w:val="006F5F31"/>
    <w:rsid w:val="007C4E93"/>
    <w:rsid w:val="00865F6F"/>
    <w:rsid w:val="008E33F9"/>
    <w:rsid w:val="00904EAD"/>
    <w:rsid w:val="00995755"/>
    <w:rsid w:val="009C6DC0"/>
    <w:rsid w:val="00A01A60"/>
    <w:rsid w:val="00A26127"/>
    <w:rsid w:val="00A27664"/>
    <w:rsid w:val="00A95220"/>
    <w:rsid w:val="00BD243E"/>
    <w:rsid w:val="00C6274A"/>
    <w:rsid w:val="00C73688"/>
    <w:rsid w:val="00D012F5"/>
    <w:rsid w:val="00D11AEB"/>
    <w:rsid w:val="00D96177"/>
    <w:rsid w:val="00DA7EB4"/>
    <w:rsid w:val="00DF1330"/>
    <w:rsid w:val="00DF521C"/>
    <w:rsid w:val="00E11111"/>
    <w:rsid w:val="00E25262"/>
    <w:rsid w:val="00E270FE"/>
    <w:rsid w:val="00E408FA"/>
    <w:rsid w:val="00ED1DFE"/>
    <w:rsid w:val="00FA3322"/>
    <w:rsid w:val="00FC07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F33F"/>
  <w15:chartTrackingRefBased/>
  <w15:docId w15:val="{9C21E662-015F-4021-B5C1-1CF537BD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27"/>
    <w:pPr>
      <w:spacing w:after="0" w:line="240" w:lineRule="auto"/>
    </w:pPr>
    <w:rPr>
      <w:rFonts w:ascii="Calibri" w:eastAsia="Times New Roman"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26127"/>
    <w:pPr>
      <w:tabs>
        <w:tab w:val="center" w:pos="4252"/>
        <w:tab w:val="right" w:pos="8504"/>
      </w:tabs>
    </w:pPr>
    <w:rPr>
      <w:rFonts w:ascii="Times New Roman" w:hAnsi="Times New Roman" w:cs="Times New Roman"/>
      <w:sz w:val="20"/>
      <w:szCs w:val="20"/>
    </w:rPr>
  </w:style>
  <w:style w:type="character" w:customStyle="1" w:styleId="EncabezadoCar">
    <w:name w:val="Encabezado Car"/>
    <w:basedOn w:val="Fuentedeprrafopredeter"/>
    <w:link w:val="Encabezado"/>
    <w:rsid w:val="00A26127"/>
    <w:rPr>
      <w:rFonts w:ascii="Times New Roman" w:eastAsia="Times New Roman" w:hAnsi="Times New Roman" w:cs="Times New Roman"/>
      <w:sz w:val="20"/>
      <w:szCs w:val="20"/>
      <w:lang w:eastAsia="es-ES"/>
    </w:rPr>
  </w:style>
  <w:style w:type="paragraph" w:styleId="Piedepgina">
    <w:name w:val="footer"/>
    <w:basedOn w:val="Normal"/>
    <w:link w:val="PiedepginaCar"/>
    <w:rsid w:val="00A26127"/>
    <w:pPr>
      <w:tabs>
        <w:tab w:val="center" w:pos="4252"/>
        <w:tab w:val="right" w:pos="8504"/>
      </w:tabs>
    </w:pPr>
    <w:rPr>
      <w:rFonts w:ascii="Times New Roman" w:hAnsi="Times New Roman" w:cs="Times New Roman"/>
      <w:sz w:val="20"/>
      <w:szCs w:val="20"/>
    </w:rPr>
  </w:style>
  <w:style w:type="character" w:customStyle="1" w:styleId="PiedepginaCar">
    <w:name w:val="Pie de página Car"/>
    <w:basedOn w:val="Fuentedeprrafopredeter"/>
    <w:link w:val="Piedepgina"/>
    <w:rsid w:val="00A26127"/>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A26127"/>
    <w:rPr>
      <w:color w:val="0563C1" w:themeColor="hyperlink"/>
      <w:u w:val="single"/>
    </w:rPr>
  </w:style>
  <w:style w:type="paragraph" w:styleId="Prrafodelista">
    <w:name w:val="List Paragraph"/>
    <w:basedOn w:val="Normal"/>
    <w:uiPriority w:val="34"/>
    <w:qFormat/>
    <w:rsid w:val="00995755"/>
    <w:pPr>
      <w:ind w:left="720"/>
      <w:contextualSpacing/>
    </w:pPr>
  </w:style>
  <w:style w:type="paragraph" w:customStyle="1" w:styleId="Default">
    <w:name w:val="Default"/>
    <w:rsid w:val="00E408FA"/>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rsid w:val="00E408FA"/>
    <w:pPr>
      <w:tabs>
        <w:tab w:val="left" w:pos="720"/>
        <w:tab w:val="center" w:pos="3888"/>
      </w:tabs>
      <w:spacing w:line="360" w:lineRule="atLeast"/>
      <w:jc w:val="both"/>
    </w:pPr>
    <w:rPr>
      <w:rFonts w:ascii="Times New Roman" w:hAnsi="Times New Roman" w:cs="Times New Roman"/>
      <w:sz w:val="26"/>
      <w:szCs w:val="20"/>
    </w:rPr>
  </w:style>
  <w:style w:type="character" w:customStyle="1" w:styleId="TextoindependienteCar">
    <w:name w:val="Texto independiente Car"/>
    <w:basedOn w:val="Fuentedeprrafopredeter"/>
    <w:link w:val="Textoindependiente"/>
    <w:rsid w:val="00E408FA"/>
    <w:rPr>
      <w:rFonts w:ascii="Times New Roman" w:eastAsia="Times New Roman" w:hAnsi="Times New Roman" w:cs="Times New Roman"/>
      <w:sz w:val="26"/>
      <w:szCs w:val="20"/>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435</Words>
  <Characters>3603</Characters>
  <Application>Microsoft Office Word</Application>
  <DocSecurity>0</DocSecurity>
  <Lines>450</Lines>
  <Paragraphs>288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Betelu Pastor, Cristian (Jefe de Gabinete UITD)</dc:creator>
  <cp:keywords/>
  <dc:description/>
  <cp:lastModifiedBy>Martin Cestao, Nerea</cp:lastModifiedBy>
  <cp:revision>5</cp:revision>
  <dcterms:created xsi:type="dcterms:W3CDTF">2026-04-23T11:42:00Z</dcterms:created>
  <dcterms:modified xsi:type="dcterms:W3CDTF">2026-05-21T11:56:00Z</dcterms:modified>
</cp:coreProperties>
</file>