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3A8A" w14:textId="0F873A01" w:rsidR="0098399E" w:rsidRDefault="0098399E" w:rsidP="0098399E">
      <w:pPr>
        <w:spacing w:after="120" w:line="276" w:lineRule="auto"/>
        <w:jc w:val="both"/>
      </w:pPr>
      <w:r>
        <w:t xml:space="preserve">26PES-182</w:t>
      </w:r>
    </w:p>
    <w:p w14:paraId="15420C1F" w14:textId="31565E84" w:rsidR="0098399E" w:rsidRDefault="0098399E" w:rsidP="0098399E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237E12AA" w14:textId="0912CD30" w:rsidR="0098399E" w:rsidRDefault="0098399E" w:rsidP="0098399E">
      <w:pPr>
        <w:spacing w:after="120" w:line="276" w:lineRule="auto"/>
        <w:jc w:val="both"/>
      </w:pPr>
      <w:r>
        <w:t xml:space="preserve">Zeintzuk dira eskola-uzte goiztiarrari buruzko, oinarrizko gaitasunen emaitzei buruzko (PISA edo baliokideak) eta eskola-porrotaren Nafarroako ratioari buruzko datu eguneratuak? Eman 2020tik 2026ra bitarteko datuok ikastetxe publikoen eta itunduen arabera xehakaturik.</w:t>
      </w:r>
    </w:p>
    <w:p w14:paraId="51C8EEAF" w14:textId="717BC246" w:rsidR="0098399E" w:rsidRDefault="0098399E" w:rsidP="0098399E">
      <w:pPr>
        <w:spacing w:after="120" w:line="276" w:lineRule="auto"/>
        <w:jc w:val="both"/>
      </w:pPr>
      <w:r>
        <w:t xml:space="preserve">Iruñean, 2026ko ekainaren 7an</w:t>
      </w:r>
    </w:p>
    <w:p w14:paraId="33D8EF77" w14:textId="286A6A83" w:rsidR="0098399E" w:rsidRDefault="0098399E" w:rsidP="0098399E">
      <w:pPr>
        <w:spacing w:after="120" w:line="276" w:lineRule="auto"/>
        <w:jc w:val="both"/>
      </w:pPr>
      <w:r>
        <w:t xml:space="preserve">Foru-parlamentaria: María Teresa Nosti Izquierdo</w:t>
      </w:r>
    </w:p>
    <w:sectPr w:rsidR="00983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98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2026-06-10T06:14:00Z</dcterms:created>
  <dcterms:modified xsi:type="dcterms:W3CDTF">2026-06-10T06:16:00Z</dcterms:modified>
</cp:coreProperties>
</file>