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73B7F" w:rsidRDefault="00CB70CD" w:rsidP="00207D58">
      <w:pPr>
        <w:pStyle w:val="EstiloPortada"/>
        <w:ind w:left="3840"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2D9148CD" wp14:editId="39A2A3E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13422" w:rsidRPr="002C7026" w:rsidRDefault="00413422"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413422" w:rsidRPr="002C7026" w:rsidRDefault="00413422"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413422" w:rsidRPr="002C7026" w:rsidRDefault="00413422"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413422" w:rsidRPr="002C7026" w:rsidRDefault="00413422"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413422" w:rsidRPr="002C7026" w:rsidRDefault="00413422"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413422" w:rsidRPr="002C7026" w:rsidRDefault="00413422"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8325B4" w:rsidRPr="002C7026" w:rsidRDefault="008325B4"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8325B4" w:rsidRPr="002C7026" w:rsidRDefault="008325B4"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8325B4" w:rsidRPr="002C7026" w:rsidRDefault="008325B4"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8325B4" w:rsidRPr="002C7026" w:rsidRDefault="008325B4"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8325B4" w:rsidRPr="002C7026" w:rsidRDefault="008325B4"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8325B4" w:rsidRPr="002C7026" w:rsidRDefault="008325B4"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v:textbox>
              </v:shape>
            </w:pict>
          </mc:Fallback>
        </mc:AlternateContent>
      </w:r>
    </w:p>
    <w:p w:rsidR="001C3A32" w:rsidRPr="003C4D81" w:rsidRDefault="001C3A32" w:rsidP="008325B4">
      <w:pPr>
        <w:pStyle w:val="texto"/>
        <w:ind w:left="4536"/>
        <w:rPr>
          <w:rFonts w:ascii="Arial" w:hAnsi="Arial" w:cs="Arial"/>
          <w:b/>
          <w:sz w:val="36"/>
          <w:szCs w:val="36"/>
        </w:rPr>
      </w:pPr>
    </w:p>
    <w:p w:rsidR="00AF58F5" w:rsidRDefault="008656F3" w:rsidP="008325B4">
      <w:pPr>
        <w:pStyle w:val="EstiloPortada"/>
        <w:spacing w:before="0"/>
        <w:ind w:left="4536" w:right="-425"/>
        <w:rPr>
          <w:sz w:val="48"/>
          <w:szCs w:val="48"/>
        </w:rPr>
      </w:pPr>
      <w:r>
        <w:rPr>
          <w:sz w:val="48"/>
          <w:szCs w:val="48"/>
        </w:rPr>
        <w:t>Universidad Pública</w:t>
      </w:r>
    </w:p>
    <w:p w:rsidR="00D7670F" w:rsidRPr="00BB29A4" w:rsidRDefault="00AF58F5" w:rsidP="008325B4">
      <w:pPr>
        <w:pStyle w:val="EstiloPortada"/>
        <w:spacing w:before="0"/>
        <w:ind w:left="4536" w:right="-425"/>
        <w:rPr>
          <w:sz w:val="48"/>
          <w:szCs w:val="48"/>
        </w:rPr>
      </w:pPr>
      <w:r>
        <w:rPr>
          <w:sz w:val="48"/>
          <w:szCs w:val="48"/>
        </w:rPr>
        <w:t>de</w:t>
      </w:r>
      <w:r w:rsidR="008A12E8">
        <w:rPr>
          <w:sz w:val="48"/>
          <w:szCs w:val="48"/>
        </w:rPr>
        <w:t xml:space="preserve"> Navarra</w:t>
      </w:r>
      <w:r w:rsidR="003B312F">
        <w:rPr>
          <w:sz w:val="48"/>
          <w:szCs w:val="48"/>
        </w:rPr>
        <w:t>,</w:t>
      </w:r>
      <w:r w:rsidR="00BB29A4">
        <w:rPr>
          <w:sz w:val="48"/>
          <w:szCs w:val="48"/>
        </w:rPr>
        <w:t xml:space="preserve"> </w:t>
      </w:r>
      <w:r w:rsidR="003B312F">
        <w:rPr>
          <w:sz w:val="48"/>
          <w:szCs w:val="48"/>
        </w:rPr>
        <w:t>2014</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B52998" w:rsidRDefault="009F7639" w:rsidP="009936FC">
      <w:pPr>
        <w:pStyle w:val="Fechaportada"/>
      </w:pPr>
      <w:r>
        <w:t>Marzo</w:t>
      </w:r>
      <w:r w:rsidR="008656F3">
        <w:t>, 2016</w:t>
      </w:r>
    </w:p>
    <w:p w:rsidR="008E3FFE" w:rsidRPr="00B52998" w:rsidRDefault="008E3FFE" w:rsidP="00891D73">
      <w:pPr>
        <w:pStyle w:val="ndice"/>
        <w:rPr>
          <w:rFonts w:ascii="Times New Roman" w:hAnsi="Times New Roman"/>
          <w:color w:val="auto"/>
        </w:rPr>
        <w:sectPr w:rsidR="008E3FFE" w:rsidRPr="00B52998" w:rsidSect="00C13CB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4728F" w:rsidRPr="004950CC" w:rsidRDefault="004950CC" w:rsidP="001841D5">
      <w:pPr>
        <w:pStyle w:val="texto"/>
        <w:ind w:right="-211"/>
        <w:jc w:val="right"/>
        <w:rPr>
          <w:smallCaps/>
          <w:sz w:val="20"/>
          <w:szCs w:val="20"/>
        </w:rPr>
      </w:pPr>
      <w:r>
        <w:tab/>
      </w:r>
      <w:r>
        <w:tab/>
      </w:r>
      <w:r>
        <w:tab/>
      </w:r>
      <w:r>
        <w:tab/>
      </w:r>
      <w:r>
        <w:tab/>
      </w:r>
      <w:r>
        <w:rPr>
          <w:smallCaps/>
          <w:sz w:val="20"/>
          <w:szCs w:val="20"/>
        </w:rPr>
        <w:t>página</w:t>
      </w:r>
    </w:p>
    <w:p w:rsidR="007544BC" w:rsidRDefault="00882BEB">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3895220" w:history="1">
        <w:r w:rsidR="007544BC" w:rsidRPr="00C5429D">
          <w:rPr>
            <w:rStyle w:val="Hipervnculo"/>
            <w:noProof/>
          </w:rPr>
          <w:t>Resumen ejecutivo</w:t>
        </w:r>
        <w:r w:rsidR="007544BC">
          <w:rPr>
            <w:noProof/>
            <w:webHidden/>
          </w:rPr>
          <w:tab/>
        </w:r>
        <w:r w:rsidR="007544BC">
          <w:rPr>
            <w:noProof/>
            <w:webHidden/>
          </w:rPr>
          <w:fldChar w:fldCharType="begin"/>
        </w:r>
        <w:r w:rsidR="007544BC">
          <w:rPr>
            <w:noProof/>
            <w:webHidden/>
          </w:rPr>
          <w:instrText xml:space="preserve"> PAGEREF _Toc443895220 \h </w:instrText>
        </w:r>
        <w:r w:rsidR="007544BC">
          <w:rPr>
            <w:noProof/>
            <w:webHidden/>
          </w:rPr>
        </w:r>
        <w:r w:rsidR="007544BC">
          <w:rPr>
            <w:noProof/>
            <w:webHidden/>
          </w:rPr>
          <w:fldChar w:fldCharType="separate"/>
        </w:r>
        <w:r w:rsidR="009A4EB8">
          <w:rPr>
            <w:noProof/>
            <w:webHidden/>
          </w:rPr>
          <w:t>3</w:t>
        </w:r>
        <w:r w:rsidR="007544BC">
          <w:rPr>
            <w:noProof/>
            <w:webHidden/>
          </w:rPr>
          <w:fldChar w:fldCharType="end"/>
        </w:r>
      </w:hyperlink>
    </w:p>
    <w:p w:rsidR="007544BC" w:rsidRDefault="009A4EB8">
      <w:pPr>
        <w:pStyle w:val="TDC1"/>
        <w:rPr>
          <w:rFonts w:asciiTheme="minorHAnsi" w:eastAsiaTheme="minorEastAsia" w:hAnsiTheme="minorHAnsi" w:cstheme="minorBidi"/>
          <w:smallCaps w:val="0"/>
          <w:noProof/>
          <w:szCs w:val="22"/>
          <w:lang w:val="es-ES" w:eastAsia="es-ES"/>
        </w:rPr>
      </w:pPr>
      <w:hyperlink w:anchor="_Toc443895221" w:history="1">
        <w:r w:rsidR="007544BC" w:rsidRPr="00C5429D">
          <w:rPr>
            <w:rStyle w:val="Hipervnculo"/>
            <w:noProof/>
          </w:rPr>
          <w:t>I. Introducción</w:t>
        </w:r>
        <w:r w:rsidR="007544BC">
          <w:rPr>
            <w:noProof/>
            <w:webHidden/>
          </w:rPr>
          <w:tab/>
        </w:r>
        <w:r w:rsidR="007544BC">
          <w:rPr>
            <w:noProof/>
            <w:webHidden/>
          </w:rPr>
          <w:fldChar w:fldCharType="begin"/>
        </w:r>
        <w:r w:rsidR="007544BC">
          <w:rPr>
            <w:noProof/>
            <w:webHidden/>
          </w:rPr>
          <w:instrText xml:space="preserve"> PAGEREF _Toc443895221 \h </w:instrText>
        </w:r>
        <w:r w:rsidR="007544BC">
          <w:rPr>
            <w:noProof/>
            <w:webHidden/>
          </w:rPr>
        </w:r>
        <w:r w:rsidR="007544BC">
          <w:rPr>
            <w:noProof/>
            <w:webHidden/>
          </w:rPr>
          <w:fldChar w:fldCharType="separate"/>
        </w:r>
        <w:r>
          <w:rPr>
            <w:noProof/>
            <w:webHidden/>
          </w:rPr>
          <w:t>5</w:t>
        </w:r>
        <w:r w:rsidR="007544BC">
          <w:rPr>
            <w:noProof/>
            <w:webHidden/>
          </w:rPr>
          <w:fldChar w:fldCharType="end"/>
        </w:r>
      </w:hyperlink>
    </w:p>
    <w:p w:rsidR="007544BC" w:rsidRDefault="009A4EB8">
      <w:pPr>
        <w:pStyle w:val="TDC1"/>
        <w:rPr>
          <w:rFonts w:asciiTheme="minorHAnsi" w:eastAsiaTheme="minorEastAsia" w:hAnsiTheme="minorHAnsi" w:cstheme="minorBidi"/>
          <w:smallCaps w:val="0"/>
          <w:noProof/>
          <w:szCs w:val="22"/>
          <w:lang w:val="es-ES" w:eastAsia="es-ES"/>
        </w:rPr>
      </w:pPr>
      <w:hyperlink w:anchor="_Toc443895222" w:history="1">
        <w:r w:rsidR="007544BC" w:rsidRPr="00C5429D">
          <w:rPr>
            <w:rStyle w:val="Hipervnculo"/>
            <w:noProof/>
          </w:rPr>
          <w:t>II. Opinión</w:t>
        </w:r>
        <w:r w:rsidR="007544BC">
          <w:rPr>
            <w:noProof/>
            <w:webHidden/>
          </w:rPr>
          <w:tab/>
        </w:r>
        <w:r w:rsidR="007544BC">
          <w:rPr>
            <w:noProof/>
            <w:webHidden/>
          </w:rPr>
          <w:fldChar w:fldCharType="begin"/>
        </w:r>
        <w:r w:rsidR="007544BC">
          <w:rPr>
            <w:noProof/>
            <w:webHidden/>
          </w:rPr>
          <w:instrText xml:space="preserve"> PAGEREF _Toc443895222 \h </w:instrText>
        </w:r>
        <w:r w:rsidR="007544BC">
          <w:rPr>
            <w:noProof/>
            <w:webHidden/>
          </w:rPr>
        </w:r>
        <w:r w:rsidR="007544BC">
          <w:rPr>
            <w:noProof/>
            <w:webHidden/>
          </w:rPr>
          <w:fldChar w:fldCharType="separate"/>
        </w:r>
        <w:r>
          <w:rPr>
            <w:noProof/>
            <w:webHidden/>
          </w:rPr>
          <w:t>8</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23" w:history="1">
        <w:r w:rsidR="007544BC" w:rsidRPr="00C5429D">
          <w:rPr>
            <w:rStyle w:val="Hipervnculo"/>
            <w:noProof/>
          </w:rPr>
          <w:t>II.1. Opinión de auditoría financiera sobre las cuentas anuales de 2014</w:t>
        </w:r>
        <w:r w:rsidR="007544BC">
          <w:rPr>
            <w:noProof/>
            <w:webHidden/>
          </w:rPr>
          <w:tab/>
        </w:r>
        <w:r w:rsidR="007544BC">
          <w:rPr>
            <w:noProof/>
            <w:webHidden/>
          </w:rPr>
          <w:fldChar w:fldCharType="begin"/>
        </w:r>
        <w:r w:rsidR="007544BC">
          <w:rPr>
            <w:noProof/>
            <w:webHidden/>
          </w:rPr>
          <w:instrText xml:space="preserve"> PAGEREF _Toc443895223 \h </w:instrText>
        </w:r>
        <w:r w:rsidR="007544BC">
          <w:rPr>
            <w:noProof/>
            <w:webHidden/>
          </w:rPr>
        </w:r>
        <w:r w:rsidR="007544BC">
          <w:rPr>
            <w:noProof/>
            <w:webHidden/>
          </w:rPr>
          <w:fldChar w:fldCharType="separate"/>
        </w:r>
        <w:r>
          <w:rPr>
            <w:noProof/>
            <w:webHidden/>
          </w:rPr>
          <w:t>9</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24" w:history="1">
        <w:r w:rsidR="007544BC" w:rsidRPr="00C5429D">
          <w:rPr>
            <w:rStyle w:val="Hipervnculo"/>
            <w:noProof/>
          </w:rPr>
          <w:t>II.2. Opinión de fiscalización del cumplimiento de legalidad</w:t>
        </w:r>
        <w:r w:rsidR="007544BC">
          <w:rPr>
            <w:noProof/>
            <w:webHidden/>
          </w:rPr>
          <w:tab/>
        </w:r>
        <w:r w:rsidR="007544BC">
          <w:rPr>
            <w:noProof/>
            <w:webHidden/>
          </w:rPr>
          <w:fldChar w:fldCharType="begin"/>
        </w:r>
        <w:r w:rsidR="007544BC">
          <w:rPr>
            <w:noProof/>
            <w:webHidden/>
          </w:rPr>
          <w:instrText xml:space="preserve"> PAGEREF _Toc443895224 \h </w:instrText>
        </w:r>
        <w:r w:rsidR="007544BC">
          <w:rPr>
            <w:noProof/>
            <w:webHidden/>
          </w:rPr>
        </w:r>
        <w:r w:rsidR="007544BC">
          <w:rPr>
            <w:noProof/>
            <w:webHidden/>
          </w:rPr>
          <w:fldChar w:fldCharType="separate"/>
        </w:r>
        <w:r>
          <w:rPr>
            <w:noProof/>
            <w:webHidden/>
          </w:rPr>
          <w:t>9</w:t>
        </w:r>
        <w:r w:rsidR="007544BC">
          <w:rPr>
            <w:noProof/>
            <w:webHidden/>
          </w:rPr>
          <w:fldChar w:fldCharType="end"/>
        </w:r>
      </w:hyperlink>
    </w:p>
    <w:p w:rsidR="007544BC" w:rsidRDefault="009A4EB8">
      <w:pPr>
        <w:pStyle w:val="TDC1"/>
        <w:rPr>
          <w:rFonts w:asciiTheme="minorHAnsi" w:eastAsiaTheme="minorEastAsia" w:hAnsiTheme="minorHAnsi" w:cstheme="minorBidi"/>
          <w:smallCaps w:val="0"/>
          <w:noProof/>
          <w:szCs w:val="22"/>
          <w:lang w:val="es-ES" w:eastAsia="es-ES"/>
        </w:rPr>
      </w:pPr>
      <w:hyperlink w:anchor="_Toc443895225" w:history="1">
        <w:r w:rsidR="007544BC" w:rsidRPr="00C5429D">
          <w:rPr>
            <w:rStyle w:val="Hipervnculo"/>
            <w:noProof/>
          </w:rPr>
          <w:t>III. Resumen de las cuentas anuales de la Universidad Pública de Navarra, ejercicio 2014</w:t>
        </w:r>
        <w:r w:rsidR="007544BC">
          <w:rPr>
            <w:noProof/>
            <w:webHidden/>
          </w:rPr>
          <w:tab/>
        </w:r>
        <w:r w:rsidR="007544BC">
          <w:rPr>
            <w:noProof/>
            <w:webHidden/>
          </w:rPr>
          <w:fldChar w:fldCharType="begin"/>
        </w:r>
        <w:r w:rsidR="007544BC">
          <w:rPr>
            <w:noProof/>
            <w:webHidden/>
          </w:rPr>
          <w:instrText xml:space="preserve"> PAGEREF _Toc443895225 \h </w:instrText>
        </w:r>
        <w:r w:rsidR="007544BC">
          <w:rPr>
            <w:noProof/>
            <w:webHidden/>
          </w:rPr>
        </w:r>
        <w:r w:rsidR="007544BC">
          <w:rPr>
            <w:noProof/>
            <w:webHidden/>
          </w:rPr>
          <w:fldChar w:fldCharType="separate"/>
        </w:r>
        <w:r>
          <w:rPr>
            <w:noProof/>
            <w:webHidden/>
          </w:rPr>
          <w:t>11</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26" w:history="1">
        <w:r w:rsidR="007544BC" w:rsidRPr="00C5429D">
          <w:rPr>
            <w:rStyle w:val="Hipervnculo"/>
            <w:noProof/>
          </w:rPr>
          <w:t>III.1. Liquidación del presupuesto de 2014</w:t>
        </w:r>
        <w:r w:rsidR="007544BC">
          <w:rPr>
            <w:noProof/>
            <w:webHidden/>
          </w:rPr>
          <w:tab/>
        </w:r>
        <w:r w:rsidR="007544BC">
          <w:rPr>
            <w:noProof/>
            <w:webHidden/>
          </w:rPr>
          <w:fldChar w:fldCharType="begin"/>
        </w:r>
        <w:r w:rsidR="007544BC">
          <w:rPr>
            <w:noProof/>
            <w:webHidden/>
          </w:rPr>
          <w:instrText xml:space="preserve"> PAGEREF _Toc443895226 \h </w:instrText>
        </w:r>
        <w:r w:rsidR="007544BC">
          <w:rPr>
            <w:noProof/>
            <w:webHidden/>
          </w:rPr>
        </w:r>
        <w:r w:rsidR="007544BC">
          <w:rPr>
            <w:noProof/>
            <w:webHidden/>
          </w:rPr>
          <w:fldChar w:fldCharType="separate"/>
        </w:r>
        <w:r>
          <w:rPr>
            <w:noProof/>
            <w:webHidden/>
          </w:rPr>
          <w:t>11</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27" w:history="1">
        <w:r w:rsidR="007544BC" w:rsidRPr="00C5429D">
          <w:rPr>
            <w:rStyle w:val="Hipervnculo"/>
            <w:noProof/>
          </w:rPr>
          <w:t>III.2. Resultado presupuestario del ejercicio 2014</w:t>
        </w:r>
        <w:r w:rsidR="007544BC">
          <w:rPr>
            <w:noProof/>
            <w:webHidden/>
          </w:rPr>
          <w:tab/>
        </w:r>
        <w:r w:rsidR="007544BC">
          <w:rPr>
            <w:noProof/>
            <w:webHidden/>
          </w:rPr>
          <w:fldChar w:fldCharType="begin"/>
        </w:r>
        <w:r w:rsidR="007544BC">
          <w:rPr>
            <w:noProof/>
            <w:webHidden/>
          </w:rPr>
          <w:instrText xml:space="preserve"> PAGEREF _Toc443895227 \h </w:instrText>
        </w:r>
        <w:r w:rsidR="007544BC">
          <w:rPr>
            <w:noProof/>
            <w:webHidden/>
          </w:rPr>
        </w:r>
        <w:r w:rsidR="007544BC">
          <w:rPr>
            <w:noProof/>
            <w:webHidden/>
          </w:rPr>
          <w:fldChar w:fldCharType="separate"/>
        </w:r>
        <w:r>
          <w:rPr>
            <w:noProof/>
            <w:webHidden/>
          </w:rPr>
          <w:t>12</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28" w:history="1">
        <w:r w:rsidR="007544BC" w:rsidRPr="00C5429D">
          <w:rPr>
            <w:rStyle w:val="Hipervnculo"/>
            <w:noProof/>
          </w:rPr>
          <w:t>III.3. Remanente de Tesorería a 31 de diciembre de 2014</w:t>
        </w:r>
        <w:r w:rsidR="007544BC">
          <w:rPr>
            <w:noProof/>
            <w:webHidden/>
          </w:rPr>
          <w:tab/>
        </w:r>
        <w:r w:rsidR="007544BC">
          <w:rPr>
            <w:noProof/>
            <w:webHidden/>
          </w:rPr>
          <w:fldChar w:fldCharType="begin"/>
        </w:r>
        <w:r w:rsidR="007544BC">
          <w:rPr>
            <w:noProof/>
            <w:webHidden/>
          </w:rPr>
          <w:instrText xml:space="preserve"> PAGEREF _Toc443895228 \h </w:instrText>
        </w:r>
        <w:r w:rsidR="007544BC">
          <w:rPr>
            <w:noProof/>
            <w:webHidden/>
          </w:rPr>
        </w:r>
        <w:r w:rsidR="007544BC">
          <w:rPr>
            <w:noProof/>
            <w:webHidden/>
          </w:rPr>
          <w:fldChar w:fldCharType="separate"/>
        </w:r>
        <w:r>
          <w:rPr>
            <w:noProof/>
            <w:webHidden/>
          </w:rPr>
          <w:t>12</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29" w:history="1">
        <w:r w:rsidR="007544BC" w:rsidRPr="00C5429D">
          <w:rPr>
            <w:rStyle w:val="Hipervnculo"/>
            <w:noProof/>
          </w:rPr>
          <w:t>III.4. Balance de situación a 31 de diciembre de 2014</w:t>
        </w:r>
        <w:r w:rsidR="007544BC">
          <w:rPr>
            <w:noProof/>
            <w:webHidden/>
          </w:rPr>
          <w:tab/>
        </w:r>
        <w:r w:rsidR="007544BC">
          <w:rPr>
            <w:noProof/>
            <w:webHidden/>
          </w:rPr>
          <w:fldChar w:fldCharType="begin"/>
        </w:r>
        <w:r w:rsidR="007544BC">
          <w:rPr>
            <w:noProof/>
            <w:webHidden/>
          </w:rPr>
          <w:instrText xml:space="preserve"> PAGEREF _Toc443895229 \h </w:instrText>
        </w:r>
        <w:r w:rsidR="007544BC">
          <w:rPr>
            <w:noProof/>
            <w:webHidden/>
          </w:rPr>
        </w:r>
        <w:r w:rsidR="007544BC">
          <w:rPr>
            <w:noProof/>
            <w:webHidden/>
          </w:rPr>
          <w:fldChar w:fldCharType="separate"/>
        </w:r>
        <w:r>
          <w:rPr>
            <w:noProof/>
            <w:webHidden/>
          </w:rPr>
          <w:t>13</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30" w:history="1">
        <w:r w:rsidR="007544BC" w:rsidRPr="00C5429D">
          <w:rPr>
            <w:rStyle w:val="Hipervnculo"/>
            <w:noProof/>
          </w:rPr>
          <w:t>III.5. Cuenta de resultados 2014</w:t>
        </w:r>
        <w:r w:rsidR="007544BC">
          <w:rPr>
            <w:noProof/>
            <w:webHidden/>
          </w:rPr>
          <w:tab/>
        </w:r>
        <w:r w:rsidR="007544BC">
          <w:rPr>
            <w:noProof/>
            <w:webHidden/>
          </w:rPr>
          <w:fldChar w:fldCharType="begin"/>
        </w:r>
        <w:r w:rsidR="007544BC">
          <w:rPr>
            <w:noProof/>
            <w:webHidden/>
          </w:rPr>
          <w:instrText xml:space="preserve"> PAGEREF _Toc443895230 \h </w:instrText>
        </w:r>
        <w:r w:rsidR="007544BC">
          <w:rPr>
            <w:noProof/>
            <w:webHidden/>
          </w:rPr>
        </w:r>
        <w:r w:rsidR="007544BC">
          <w:rPr>
            <w:noProof/>
            <w:webHidden/>
          </w:rPr>
          <w:fldChar w:fldCharType="separate"/>
        </w:r>
        <w:r>
          <w:rPr>
            <w:noProof/>
            <w:webHidden/>
          </w:rPr>
          <w:t>14</w:t>
        </w:r>
        <w:r w:rsidR="007544BC">
          <w:rPr>
            <w:noProof/>
            <w:webHidden/>
          </w:rPr>
          <w:fldChar w:fldCharType="end"/>
        </w:r>
      </w:hyperlink>
    </w:p>
    <w:p w:rsidR="007544BC" w:rsidRDefault="009A4EB8">
      <w:pPr>
        <w:pStyle w:val="TDC1"/>
        <w:rPr>
          <w:rFonts w:asciiTheme="minorHAnsi" w:eastAsiaTheme="minorEastAsia" w:hAnsiTheme="minorHAnsi" w:cstheme="minorBidi"/>
          <w:smallCaps w:val="0"/>
          <w:noProof/>
          <w:szCs w:val="22"/>
          <w:lang w:val="es-ES" w:eastAsia="es-ES"/>
        </w:rPr>
      </w:pPr>
      <w:hyperlink w:anchor="_Toc443895231" w:history="1">
        <w:r w:rsidR="007544BC" w:rsidRPr="00C5429D">
          <w:rPr>
            <w:rStyle w:val="Hipervnculo"/>
            <w:noProof/>
          </w:rPr>
          <w:t>IV. Observaciones que no afectan a la opinión y recomendaciones</w:t>
        </w:r>
        <w:r w:rsidR="007544BC">
          <w:rPr>
            <w:noProof/>
            <w:webHidden/>
          </w:rPr>
          <w:tab/>
        </w:r>
        <w:r w:rsidR="007544BC">
          <w:rPr>
            <w:noProof/>
            <w:webHidden/>
          </w:rPr>
          <w:fldChar w:fldCharType="begin"/>
        </w:r>
        <w:r w:rsidR="007544BC">
          <w:rPr>
            <w:noProof/>
            <w:webHidden/>
          </w:rPr>
          <w:instrText xml:space="preserve"> PAGEREF _Toc443895231 \h </w:instrText>
        </w:r>
        <w:r w:rsidR="007544BC">
          <w:rPr>
            <w:noProof/>
            <w:webHidden/>
          </w:rPr>
        </w:r>
        <w:r w:rsidR="007544BC">
          <w:rPr>
            <w:noProof/>
            <w:webHidden/>
          </w:rPr>
          <w:fldChar w:fldCharType="separate"/>
        </w:r>
        <w:r>
          <w:rPr>
            <w:noProof/>
            <w:webHidden/>
          </w:rPr>
          <w:t>15</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32" w:history="1">
        <w:r w:rsidR="007544BC" w:rsidRPr="00C5429D">
          <w:rPr>
            <w:rStyle w:val="Hipervnculo"/>
            <w:noProof/>
          </w:rPr>
          <w:t>IV.1. Situación presupuestaria y financiera de la Universidad a 31 de diciembre de 2014 y otra información de naturaleza no financiera.</w:t>
        </w:r>
        <w:r w:rsidR="007544BC">
          <w:rPr>
            <w:noProof/>
            <w:webHidden/>
          </w:rPr>
          <w:tab/>
        </w:r>
        <w:r w:rsidR="007544BC">
          <w:rPr>
            <w:noProof/>
            <w:webHidden/>
          </w:rPr>
          <w:fldChar w:fldCharType="begin"/>
        </w:r>
        <w:r w:rsidR="007544BC">
          <w:rPr>
            <w:noProof/>
            <w:webHidden/>
          </w:rPr>
          <w:instrText xml:space="preserve"> PAGEREF _Toc443895232 \h </w:instrText>
        </w:r>
        <w:r w:rsidR="007544BC">
          <w:rPr>
            <w:noProof/>
            <w:webHidden/>
          </w:rPr>
        </w:r>
        <w:r w:rsidR="007544BC">
          <w:rPr>
            <w:noProof/>
            <w:webHidden/>
          </w:rPr>
          <w:fldChar w:fldCharType="separate"/>
        </w:r>
        <w:r>
          <w:rPr>
            <w:noProof/>
            <w:webHidden/>
          </w:rPr>
          <w:t>15</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33" w:history="1">
        <w:r w:rsidR="007544BC" w:rsidRPr="00C5429D">
          <w:rPr>
            <w:rStyle w:val="Hipervnculo"/>
            <w:noProof/>
          </w:rPr>
          <w:t>IV.2. Cumplimiento de recomendaciones emitidas en informes anteriores de esta Cámara de Comptos</w:t>
        </w:r>
        <w:r w:rsidR="007544BC">
          <w:rPr>
            <w:noProof/>
            <w:webHidden/>
          </w:rPr>
          <w:tab/>
        </w:r>
        <w:r w:rsidR="007544BC">
          <w:rPr>
            <w:noProof/>
            <w:webHidden/>
          </w:rPr>
          <w:fldChar w:fldCharType="begin"/>
        </w:r>
        <w:r w:rsidR="007544BC">
          <w:rPr>
            <w:noProof/>
            <w:webHidden/>
          </w:rPr>
          <w:instrText xml:space="preserve"> PAGEREF _Toc443895233 \h </w:instrText>
        </w:r>
        <w:r w:rsidR="007544BC">
          <w:rPr>
            <w:noProof/>
            <w:webHidden/>
          </w:rPr>
        </w:r>
        <w:r w:rsidR="007544BC">
          <w:rPr>
            <w:noProof/>
            <w:webHidden/>
          </w:rPr>
          <w:fldChar w:fldCharType="separate"/>
        </w:r>
        <w:r>
          <w:rPr>
            <w:noProof/>
            <w:webHidden/>
          </w:rPr>
          <w:t>30</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34" w:history="1">
        <w:r w:rsidR="007544BC" w:rsidRPr="00C5429D">
          <w:rPr>
            <w:rStyle w:val="Hipervnculo"/>
            <w:noProof/>
          </w:rPr>
          <w:t>IV.3. Principios de estabilidad presupuestaria y sostenibilidad financiera</w:t>
        </w:r>
        <w:r w:rsidR="007544BC">
          <w:rPr>
            <w:noProof/>
            <w:webHidden/>
          </w:rPr>
          <w:tab/>
        </w:r>
        <w:r w:rsidR="007544BC">
          <w:rPr>
            <w:noProof/>
            <w:webHidden/>
          </w:rPr>
          <w:fldChar w:fldCharType="begin"/>
        </w:r>
        <w:r w:rsidR="007544BC">
          <w:rPr>
            <w:noProof/>
            <w:webHidden/>
          </w:rPr>
          <w:instrText xml:space="preserve"> PAGEREF _Toc443895234 \h </w:instrText>
        </w:r>
        <w:r w:rsidR="007544BC">
          <w:rPr>
            <w:noProof/>
            <w:webHidden/>
          </w:rPr>
        </w:r>
        <w:r w:rsidR="007544BC">
          <w:rPr>
            <w:noProof/>
            <w:webHidden/>
          </w:rPr>
          <w:fldChar w:fldCharType="separate"/>
        </w:r>
        <w:r>
          <w:rPr>
            <w:noProof/>
            <w:webHidden/>
          </w:rPr>
          <w:t>31</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35" w:history="1">
        <w:r w:rsidR="007544BC" w:rsidRPr="00C5429D">
          <w:rPr>
            <w:rStyle w:val="Hipervnculo"/>
            <w:noProof/>
          </w:rPr>
          <w:t>IV.4. Áreas de gestión relevantes</w:t>
        </w:r>
        <w:r w:rsidR="007544BC">
          <w:rPr>
            <w:noProof/>
            <w:webHidden/>
          </w:rPr>
          <w:tab/>
        </w:r>
        <w:r w:rsidR="007544BC">
          <w:rPr>
            <w:noProof/>
            <w:webHidden/>
          </w:rPr>
          <w:fldChar w:fldCharType="begin"/>
        </w:r>
        <w:r w:rsidR="007544BC">
          <w:rPr>
            <w:noProof/>
            <w:webHidden/>
          </w:rPr>
          <w:instrText xml:space="preserve"> PAGEREF _Toc443895235 \h </w:instrText>
        </w:r>
        <w:r w:rsidR="007544BC">
          <w:rPr>
            <w:noProof/>
            <w:webHidden/>
          </w:rPr>
        </w:r>
        <w:r w:rsidR="007544BC">
          <w:rPr>
            <w:noProof/>
            <w:webHidden/>
          </w:rPr>
          <w:fldChar w:fldCharType="separate"/>
        </w:r>
        <w:r>
          <w:rPr>
            <w:noProof/>
            <w:webHidden/>
          </w:rPr>
          <w:t>34</w:t>
        </w:r>
        <w:r w:rsidR="007544BC">
          <w:rPr>
            <w:noProof/>
            <w:webHidden/>
          </w:rPr>
          <w:fldChar w:fldCharType="end"/>
        </w:r>
      </w:hyperlink>
    </w:p>
    <w:p w:rsidR="007544BC" w:rsidRDefault="009A4EB8">
      <w:pPr>
        <w:pStyle w:val="TDC2"/>
        <w:rPr>
          <w:rFonts w:asciiTheme="minorHAnsi" w:eastAsiaTheme="minorEastAsia" w:hAnsiTheme="minorHAnsi" w:cstheme="minorBidi"/>
          <w:noProof/>
          <w:szCs w:val="22"/>
          <w:lang w:val="es-ES" w:eastAsia="es-ES"/>
        </w:rPr>
      </w:pPr>
      <w:hyperlink w:anchor="_Toc443895236" w:history="1">
        <w:r w:rsidR="007544BC" w:rsidRPr="00C5429D">
          <w:rPr>
            <w:rStyle w:val="Hipervnculo"/>
            <w:noProof/>
          </w:rPr>
          <w:t>IV.5. Políticas de igualdad de género</w:t>
        </w:r>
        <w:r w:rsidR="007544BC">
          <w:rPr>
            <w:noProof/>
            <w:webHidden/>
          </w:rPr>
          <w:tab/>
        </w:r>
        <w:r w:rsidR="007544BC">
          <w:rPr>
            <w:noProof/>
            <w:webHidden/>
          </w:rPr>
          <w:fldChar w:fldCharType="begin"/>
        </w:r>
        <w:r w:rsidR="007544BC">
          <w:rPr>
            <w:noProof/>
            <w:webHidden/>
          </w:rPr>
          <w:instrText xml:space="preserve"> PAGEREF _Toc443895236 \h </w:instrText>
        </w:r>
        <w:r w:rsidR="007544BC">
          <w:rPr>
            <w:noProof/>
            <w:webHidden/>
          </w:rPr>
        </w:r>
        <w:r w:rsidR="007544BC">
          <w:rPr>
            <w:noProof/>
            <w:webHidden/>
          </w:rPr>
          <w:fldChar w:fldCharType="separate"/>
        </w:r>
        <w:r>
          <w:rPr>
            <w:noProof/>
            <w:webHidden/>
          </w:rPr>
          <w:t>48</w:t>
        </w:r>
        <w:r w:rsidR="007544BC">
          <w:rPr>
            <w:noProof/>
            <w:webHidden/>
          </w:rPr>
          <w:fldChar w:fldCharType="end"/>
        </w:r>
      </w:hyperlink>
    </w:p>
    <w:p w:rsidR="007544BC" w:rsidRDefault="009A4EB8">
      <w:pPr>
        <w:pStyle w:val="TDC1"/>
        <w:rPr>
          <w:rFonts w:asciiTheme="minorHAnsi" w:eastAsiaTheme="minorEastAsia" w:hAnsiTheme="minorHAnsi" w:cstheme="minorBidi"/>
          <w:smallCaps w:val="0"/>
          <w:noProof/>
          <w:szCs w:val="22"/>
          <w:lang w:val="es-ES" w:eastAsia="es-ES"/>
        </w:rPr>
      </w:pPr>
      <w:hyperlink w:anchor="_Toc443895237" w:history="1">
        <w:r w:rsidR="007544BC" w:rsidRPr="00C5429D">
          <w:rPr>
            <w:rStyle w:val="Hipervnculo"/>
            <w:noProof/>
          </w:rPr>
          <w:t>Anexo. Memoria de la Universidad Pública de Navarra 2014</w:t>
        </w:r>
        <w:r w:rsidR="007544BC">
          <w:rPr>
            <w:noProof/>
            <w:webHidden/>
          </w:rPr>
          <w:tab/>
        </w:r>
        <w:r w:rsidR="007544BC">
          <w:rPr>
            <w:noProof/>
            <w:webHidden/>
          </w:rPr>
          <w:fldChar w:fldCharType="begin"/>
        </w:r>
        <w:r w:rsidR="007544BC">
          <w:rPr>
            <w:noProof/>
            <w:webHidden/>
          </w:rPr>
          <w:instrText xml:space="preserve"> PAGEREF _Toc443895237 \h </w:instrText>
        </w:r>
        <w:r w:rsidR="007544BC">
          <w:rPr>
            <w:noProof/>
            <w:webHidden/>
          </w:rPr>
        </w:r>
        <w:r w:rsidR="007544BC">
          <w:rPr>
            <w:noProof/>
            <w:webHidden/>
          </w:rPr>
          <w:fldChar w:fldCharType="separate"/>
        </w:r>
        <w:r>
          <w:rPr>
            <w:noProof/>
            <w:webHidden/>
          </w:rPr>
          <w:t>57</w:t>
        </w:r>
        <w:r w:rsidR="007544BC">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C13CBB">
          <w:type w:val="oddPage"/>
          <w:pgSz w:w="11907" w:h="16840" w:code="9"/>
          <w:pgMar w:top="2109" w:right="1559" w:bottom="1644" w:left="1559" w:header="369" w:footer="402" w:gutter="0"/>
          <w:pgNumType w:start="3"/>
          <w:cols w:space="720"/>
          <w:docGrid w:linePitch="360"/>
        </w:sectPr>
      </w:pPr>
      <w:bookmarkStart w:id="0" w:name="_GoBack"/>
      <w:bookmarkEnd w:id="0"/>
    </w:p>
    <w:p w:rsidR="00455464" w:rsidRDefault="00455464" w:rsidP="008900BC">
      <w:pPr>
        <w:pStyle w:val="atitulo1"/>
      </w:pPr>
      <w:bookmarkStart w:id="1" w:name="_Toc443895220"/>
      <w:bookmarkStart w:id="2" w:name="_Toc303592528"/>
      <w:bookmarkStart w:id="3" w:name="_Toc309383711"/>
      <w:bookmarkStart w:id="4" w:name="_Toc339016600"/>
      <w:r>
        <w:lastRenderedPageBreak/>
        <w:t>Resumen ejecutivo</w:t>
      </w:r>
      <w:bookmarkEnd w:id="1"/>
    </w:p>
    <w:p w:rsidR="00923682" w:rsidRDefault="00923682" w:rsidP="00923682">
      <w:pPr>
        <w:pStyle w:val="texto"/>
      </w:pPr>
      <w:r>
        <w:t>La Cámara de Comptos ha fiscalizado las cuentas generales de la Univers</w:t>
      </w:r>
      <w:r>
        <w:t>i</w:t>
      </w:r>
      <w:r>
        <w:t>dad Pública de Navarra correspondientes al ejercicio de 2014.</w:t>
      </w:r>
    </w:p>
    <w:p w:rsidR="00923682" w:rsidRDefault="00923682" w:rsidP="00923682">
      <w:pPr>
        <w:pStyle w:val="texto"/>
      </w:pPr>
      <w:r>
        <w:t>Nuestra actuación ha consistido en verificar si dichas cuentas son represent</w:t>
      </w:r>
      <w:r>
        <w:t>a</w:t>
      </w:r>
      <w:r>
        <w:t>tivas de su situación económico-financiera y si, en su actividad, se ha respetado el principio legalidad.</w:t>
      </w:r>
    </w:p>
    <w:p w:rsidR="00923682" w:rsidRDefault="00923682" w:rsidP="00923682">
      <w:pPr>
        <w:pStyle w:val="texto"/>
      </w:pPr>
      <w:r>
        <w:t>Adicionalmente a los objetivos anteriores, se ha analizado:</w:t>
      </w:r>
    </w:p>
    <w:p w:rsidR="00923682" w:rsidRPr="00DB0B3F"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B0B3F">
        <w:rPr>
          <w:szCs w:val="26"/>
        </w:rPr>
        <w:t>La situación presupuestaria y financiera de la Universidad a 31 de dicie</w:t>
      </w:r>
      <w:r w:rsidRPr="00DB0B3F">
        <w:rPr>
          <w:szCs w:val="26"/>
        </w:rPr>
        <w:t>m</w:t>
      </w:r>
      <w:r w:rsidRPr="00DB0B3F">
        <w:rPr>
          <w:szCs w:val="26"/>
        </w:rPr>
        <w:t>bre de 2014.</w:t>
      </w:r>
    </w:p>
    <w:p w:rsidR="00923682" w:rsidRPr="00DB0B3F"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B0B3F">
        <w:rPr>
          <w:szCs w:val="26"/>
        </w:rPr>
        <w:t>El grado de cumplimiento de las recomendaciones emitidas en informes anteriores de esta Cámara de Comptos.</w:t>
      </w:r>
    </w:p>
    <w:p w:rsidR="00923682" w:rsidRPr="00DB0B3F"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DB0B3F">
        <w:rPr>
          <w:szCs w:val="26"/>
        </w:rPr>
        <w:t>La aplicación de los principios de estabilidad presupuestaria y de sostenib</w:t>
      </w:r>
      <w:r w:rsidRPr="00DB0B3F">
        <w:rPr>
          <w:szCs w:val="26"/>
        </w:rPr>
        <w:t>i</w:t>
      </w:r>
      <w:r w:rsidRPr="00DB0B3F">
        <w:rPr>
          <w:szCs w:val="26"/>
        </w:rPr>
        <w:t>lidad financiera.</w:t>
      </w:r>
    </w:p>
    <w:p w:rsidR="00923682" w:rsidRDefault="00923682" w:rsidP="00923682">
      <w:pPr>
        <w:pStyle w:val="texto"/>
      </w:pPr>
      <w:r>
        <w:t>Así mismo se ha</w:t>
      </w:r>
      <w:r w:rsidR="00F25739">
        <w:t>n</w:t>
      </w:r>
      <w:r>
        <w:t xml:space="preserve"> examinado las actuaciones de la Universidad respecto a las normas relativas a las políticas de igualdad de género.</w:t>
      </w:r>
    </w:p>
    <w:p w:rsidR="00923682" w:rsidRDefault="00923682" w:rsidP="00923682">
      <w:pPr>
        <w:pStyle w:val="texto"/>
      </w:pPr>
      <w:r>
        <w:t>La información relevante de la Universidad del ejercicio de 2014, la res</w:t>
      </w:r>
      <w:r>
        <w:t>u</w:t>
      </w:r>
      <w:r>
        <w:t>mimos en:</w:t>
      </w:r>
    </w:p>
    <w:p w:rsidR="00923682" w:rsidRPr="003D1B61"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dicho año, </w:t>
      </w:r>
      <w:r w:rsidRPr="003D1B61">
        <w:rPr>
          <w:szCs w:val="26"/>
        </w:rPr>
        <w:t xml:space="preserve">ha realizado un gasto presupuestario de 70,56 millones </w:t>
      </w:r>
      <w:r>
        <w:rPr>
          <w:szCs w:val="26"/>
        </w:rPr>
        <w:t xml:space="preserve">y unos ingresos </w:t>
      </w:r>
      <w:r w:rsidRPr="003D1B61">
        <w:rPr>
          <w:szCs w:val="26"/>
        </w:rPr>
        <w:t xml:space="preserve">de 71,74 millones. </w:t>
      </w:r>
    </w:p>
    <w:p w:rsidR="00923682" w:rsidRPr="003D1B61"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3D1B61">
        <w:rPr>
          <w:szCs w:val="26"/>
        </w:rPr>
        <w:t xml:space="preserve">Cuenta con </w:t>
      </w:r>
      <w:r>
        <w:rPr>
          <w:szCs w:val="26"/>
        </w:rPr>
        <w:t>1.329</w:t>
      </w:r>
      <w:r w:rsidRPr="003D1B61">
        <w:rPr>
          <w:szCs w:val="26"/>
        </w:rPr>
        <w:t xml:space="preserve"> empleados, de los que el 64 por ciento corresponden a profesorado. </w:t>
      </w:r>
    </w:p>
    <w:p w:rsidR="00923682" w:rsidRDefault="00923682" w:rsidP="0092368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Pr>
          <w:szCs w:val="26"/>
        </w:rPr>
        <w:t>El</w:t>
      </w:r>
      <w:r w:rsidRPr="003D1B61">
        <w:rPr>
          <w:szCs w:val="26"/>
        </w:rPr>
        <w:t xml:space="preserve"> número de </w:t>
      </w:r>
      <w:r>
        <w:rPr>
          <w:szCs w:val="26"/>
        </w:rPr>
        <w:t>alumnos asciende</w:t>
      </w:r>
      <w:r w:rsidRPr="003D1B61">
        <w:rPr>
          <w:szCs w:val="26"/>
        </w:rPr>
        <w:t xml:space="preserve"> a 8.</w:t>
      </w:r>
      <w:r w:rsidR="00F87E97">
        <w:rPr>
          <w:szCs w:val="26"/>
        </w:rPr>
        <w:t>295</w:t>
      </w:r>
      <w:r>
        <w:rPr>
          <w:szCs w:val="26"/>
        </w:rPr>
        <w:t xml:space="preserve"> estudiantes.</w:t>
      </w:r>
    </w:p>
    <w:p w:rsidR="00923682" w:rsidRDefault="00923682" w:rsidP="00923682">
      <w:pPr>
        <w:pStyle w:val="texto"/>
      </w:pPr>
      <w:r>
        <w:t>Las principales conclusiones del trabajo se exponen a continuación:</w:t>
      </w:r>
    </w:p>
    <w:p w:rsidR="00923682" w:rsidRDefault="00923682" w:rsidP="00923682">
      <w:pPr>
        <w:pStyle w:val="texto"/>
      </w:pPr>
      <w:r>
        <w:t>1</w:t>
      </w:r>
      <w:r w:rsidR="00AF58F5">
        <w:t>.</w:t>
      </w:r>
      <w:r>
        <w:t>ª Las cuentas anuales de la Universidad reflejan fielmente, en sus aspectos significativos, la imagen de su patrimonio, de su situación financiera y de sus resultados</w:t>
      </w:r>
      <w:r w:rsidR="00E75E00">
        <w:t xml:space="preserve"> económicos y presupuestarios</w:t>
      </w:r>
      <w:r>
        <w:t>.</w:t>
      </w:r>
    </w:p>
    <w:p w:rsidR="00923682" w:rsidRPr="00134033" w:rsidRDefault="00923682" w:rsidP="00923682">
      <w:pPr>
        <w:pStyle w:val="texto"/>
        <w:rPr>
          <w:rFonts w:ascii="Times New (W1)" w:hAnsi="Times New (W1)"/>
          <w:spacing w:val="2"/>
        </w:rPr>
      </w:pPr>
      <w:r>
        <w:t>2</w:t>
      </w:r>
      <w:r w:rsidR="00AF58F5">
        <w:t>.</w:t>
      </w:r>
      <w:r>
        <w:t xml:space="preserve">ª </w:t>
      </w:r>
      <w:r w:rsidRPr="00134033">
        <w:rPr>
          <w:rFonts w:ascii="Times New (W1)" w:hAnsi="Times New (W1)"/>
          <w:spacing w:val="2"/>
        </w:rPr>
        <w:t>La actividad desarrollada por la misma resulta conforme, en todos los aspe</w:t>
      </w:r>
      <w:r w:rsidRPr="00134033">
        <w:rPr>
          <w:rFonts w:ascii="Times New (W1)" w:hAnsi="Times New (W1)"/>
          <w:spacing w:val="2"/>
        </w:rPr>
        <w:t>c</w:t>
      </w:r>
      <w:r w:rsidRPr="00134033">
        <w:rPr>
          <w:rFonts w:ascii="Times New (W1)" w:hAnsi="Times New (W1)"/>
          <w:spacing w:val="2"/>
        </w:rPr>
        <w:t>tos significativos, con la normativa aplicable a la gestión de fondos públicos.</w:t>
      </w:r>
    </w:p>
    <w:p w:rsidR="00E75E00" w:rsidRDefault="00923682" w:rsidP="00E75E00">
      <w:pPr>
        <w:pStyle w:val="texto"/>
      </w:pPr>
      <w:r>
        <w:t>3</w:t>
      </w:r>
      <w:r w:rsidR="00AF58F5">
        <w:t>.</w:t>
      </w:r>
      <w:r>
        <w:t>ª Sobre su situación presupuestaria y financiera a 31 de diciembre de 2014, la Universidad, dentro del actual contexto de la situación económica</w:t>
      </w:r>
      <w:r w:rsidR="00E75E00">
        <w:t xml:space="preserve"> general</w:t>
      </w:r>
      <w:r>
        <w:t xml:space="preserve">, ha logrado mantener una saneada situación financiera </w:t>
      </w:r>
      <w:r w:rsidR="00E75E00">
        <w:t>justificada</w:t>
      </w:r>
      <w:r>
        <w:t xml:space="preserve"> fundamenta</w:t>
      </w:r>
      <w:r>
        <w:t>l</w:t>
      </w:r>
      <w:r>
        <w:t xml:space="preserve">mente </w:t>
      </w:r>
      <w:r w:rsidR="00E75E00">
        <w:t>en:</w:t>
      </w:r>
      <w:r>
        <w:t xml:space="preserve"> una política de contención y ajuste en sus gastos –fundamentalmente de funcionamiento y de inversiones-, un mayor peso de sus ingresos propios</w:t>
      </w:r>
      <w:r w:rsidR="00E75E00">
        <w:t>, un remanente de tesorería positivo</w:t>
      </w:r>
      <w:r>
        <w:t xml:space="preserve"> y un endeudamiento reducido. </w:t>
      </w:r>
      <w:r w:rsidR="00E75E00">
        <w:t>Contando, ad</w:t>
      </w:r>
      <w:r w:rsidR="00E75E00">
        <w:t>e</w:t>
      </w:r>
      <w:r w:rsidR="00E75E00">
        <w:t>más, con que</w:t>
      </w:r>
      <w:r w:rsidR="00E75E00" w:rsidRPr="00E75E00">
        <w:t xml:space="preserve"> </w:t>
      </w:r>
      <w:r w:rsidR="00E75E00">
        <w:t>la aportación del Gobierno de Navarra desde 2009 se ha reducido o se ha mantenido estable</w:t>
      </w:r>
      <w:r w:rsidR="00F25739">
        <w:t>.</w:t>
      </w:r>
    </w:p>
    <w:p w:rsidR="00923682" w:rsidRDefault="00923682" w:rsidP="00923682">
      <w:pPr>
        <w:pStyle w:val="texto"/>
      </w:pPr>
      <w:r>
        <w:lastRenderedPageBreak/>
        <w:t>4</w:t>
      </w:r>
      <w:r w:rsidR="00AF58F5">
        <w:t>.</w:t>
      </w:r>
      <w:r>
        <w:t>º Con carácter general, la Universidad está implantando las recomendaci</w:t>
      </w:r>
      <w:r>
        <w:t>o</w:t>
      </w:r>
      <w:r>
        <w:t>nes de esta Cámara expuestas en informes anteriores. Sigue vigente la rec</w:t>
      </w:r>
      <w:r>
        <w:t>o</w:t>
      </w:r>
      <w:r>
        <w:t>mendación de que el Gobierno de Navarra, conjuntamente con la Universidad, defina un modelo plurianual de financiación de la misma que garantice su est</w:t>
      </w:r>
      <w:r>
        <w:t>a</w:t>
      </w:r>
      <w:r>
        <w:t>bilidad y viabilidad financiera.</w:t>
      </w:r>
    </w:p>
    <w:p w:rsidR="00923682" w:rsidRDefault="00923682" w:rsidP="00923682">
      <w:pPr>
        <w:pStyle w:val="texto"/>
      </w:pPr>
      <w:r>
        <w:t>5</w:t>
      </w:r>
      <w:r w:rsidR="00AF58F5">
        <w:t>.</w:t>
      </w:r>
      <w:r>
        <w:t>ª A efectos de la Ley Orgánica de Estabilidad Presupuestaria y Sostenibil</w:t>
      </w:r>
      <w:r>
        <w:t>i</w:t>
      </w:r>
      <w:r>
        <w:t>dad Financiera, la Universidad forma parte del sector “administraciones públ</w:t>
      </w:r>
      <w:r>
        <w:t>i</w:t>
      </w:r>
      <w:r>
        <w:t>cas” de la Administración de la Comunidad Foral. En consecuencia, es en este sector donde se verifica globalmente el cumplimiento de los principios que emanan de la citada Ley Orgánica. En 2014, de acuerdo con el informe de esta Cámara sobre las cuentas generales del Gobierno de Navarra para dicho ejerc</w:t>
      </w:r>
      <w:r>
        <w:t>i</w:t>
      </w:r>
      <w:r>
        <w:t>cio, la Administración de la Comunidad Foral ha cumplido con los mismos.</w:t>
      </w:r>
    </w:p>
    <w:p w:rsidR="00923682" w:rsidRDefault="00923682" w:rsidP="00923682">
      <w:pPr>
        <w:pStyle w:val="texto"/>
      </w:pPr>
      <w:r>
        <w:t>6</w:t>
      </w:r>
      <w:r w:rsidR="00AF58F5">
        <w:t>.</w:t>
      </w:r>
      <w:r>
        <w:t xml:space="preserve">ª Sobre políticas de igualdad de género, la Universidad </w:t>
      </w:r>
      <w:r w:rsidRPr="007F2139">
        <w:t xml:space="preserve">ha incorporado a sus estatutos las previsiones legales en materia de igualdad, ha considerado esta materia como estratégica en el desarrollo de sus actividades y </w:t>
      </w:r>
      <w:r>
        <w:t>está haciendo e</w:t>
      </w:r>
      <w:r>
        <w:t>s</w:t>
      </w:r>
      <w:r>
        <w:t>fuerzos relevantes en los ámbitos docentes, administrativos y del alumnado.</w:t>
      </w:r>
    </w:p>
    <w:p w:rsidR="00455464" w:rsidRDefault="00455464">
      <w:pPr>
        <w:spacing w:after="0"/>
        <w:ind w:firstLine="0"/>
        <w:jc w:val="left"/>
        <w:rPr>
          <w:rFonts w:ascii="Arial" w:hAnsi="Arial"/>
          <w:b/>
          <w:color w:val="000000"/>
          <w:kern w:val="28"/>
          <w:sz w:val="25"/>
          <w:szCs w:val="26"/>
        </w:rPr>
      </w:pPr>
      <w:r>
        <w:br w:type="page"/>
      </w:r>
    </w:p>
    <w:p w:rsidR="00432E52" w:rsidRDefault="00882BEB" w:rsidP="008900BC">
      <w:pPr>
        <w:pStyle w:val="atitulo1"/>
      </w:pPr>
      <w:bookmarkStart w:id="5" w:name="_Toc443895221"/>
      <w:r w:rsidRPr="00FB570E">
        <w:lastRenderedPageBreak/>
        <w:t>I. Introducción</w:t>
      </w:r>
      <w:bookmarkEnd w:id="2"/>
      <w:bookmarkEnd w:id="3"/>
      <w:bookmarkEnd w:id="4"/>
      <w:bookmarkEnd w:id="5"/>
      <w:r w:rsidR="00F60E62">
        <w:t xml:space="preserve"> </w:t>
      </w:r>
    </w:p>
    <w:p w:rsidR="0076219E" w:rsidRDefault="00432E52" w:rsidP="008900BC">
      <w:pPr>
        <w:pStyle w:val="texto"/>
        <w:rPr>
          <w:szCs w:val="26"/>
        </w:rPr>
      </w:pPr>
      <w:r>
        <w:rPr>
          <w:szCs w:val="26"/>
        </w:rPr>
        <w:t>La Cámara de Comptos</w:t>
      </w:r>
      <w:r w:rsidR="0076219E">
        <w:rPr>
          <w:szCs w:val="26"/>
        </w:rPr>
        <w:t>, de acuerdo con su</w:t>
      </w:r>
      <w:r>
        <w:rPr>
          <w:szCs w:val="26"/>
        </w:rPr>
        <w:t xml:space="preserve"> </w:t>
      </w:r>
      <w:r w:rsidR="00F7520F">
        <w:rPr>
          <w:szCs w:val="26"/>
        </w:rPr>
        <w:t>p</w:t>
      </w:r>
      <w:r>
        <w:rPr>
          <w:szCs w:val="26"/>
        </w:rPr>
        <w:t xml:space="preserve">rograma de </w:t>
      </w:r>
      <w:r w:rsidR="00F7520F">
        <w:rPr>
          <w:szCs w:val="26"/>
        </w:rPr>
        <w:t>a</w:t>
      </w:r>
      <w:r>
        <w:rPr>
          <w:szCs w:val="26"/>
        </w:rPr>
        <w:t xml:space="preserve">ctuación </w:t>
      </w:r>
      <w:r w:rsidR="0036661A">
        <w:rPr>
          <w:szCs w:val="26"/>
        </w:rPr>
        <w:t xml:space="preserve">para </w:t>
      </w:r>
      <w:r>
        <w:rPr>
          <w:szCs w:val="26"/>
        </w:rPr>
        <w:t>2015</w:t>
      </w:r>
      <w:r w:rsidR="0076219E">
        <w:rPr>
          <w:szCs w:val="26"/>
        </w:rPr>
        <w:t xml:space="preserve">, ha fiscalizado las cuentas </w:t>
      </w:r>
      <w:r w:rsidR="007833DF">
        <w:rPr>
          <w:szCs w:val="26"/>
        </w:rPr>
        <w:t>anuales</w:t>
      </w:r>
      <w:r w:rsidR="0076219E">
        <w:rPr>
          <w:szCs w:val="26"/>
        </w:rPr>
        <w:t xml:space="preserve"> de la Universidad Pública de Navarra</w:t>
      </w:r>
      <w:r w:rsidR="00FB0A5A">
        <w:rPr>
          <w:szCs w:val="26"/>
        </w:rPr>
        <w:t xml:space="preserve"> (en adelante, Universidad)</w:t>
      </w:r>
      <w:r w:rsidR="0076219E">
        <w:rPr>
          <w:szCs w:val="26"/>
        </w:rPr>
        <w:t xml:space="preserve"> correspondientes al ejercicio de 2014, que están </w:t>
      </w:r>
      <w:r w:rsidR="00FB5214">
        <w:rPr>
          <w:szCs w:val="26"/>
        </w:rPr>
        <w:t>form</w:t>
      </w:r>
      <w:r w:rsidR="00FB5214">
        <w:rPr>
          <w:szCs w:val="26"/>
        </w:rPr>
        <w:t>a</w:t>
      </w:r>
      <w:r w:rsidR="00FB5214">
        <w:rPr>
          <w:szCs w:val="26"/>
        </w:rPr>
        <w:t>das</w:t>
      </w:r>
      <w:r w:rsidR="0076219E">
        <w:rPr>
          <w:szCs w:val="26"/>
        </w:rPr>
        <w:t>, fundamentalmente, por el estado de liquidación del presupuesto, el bala</w:t>
      </w:r>
      <w:r w:rsidR="0076219E">
        <w:rPr>
          <w:szCs w:val="26"/>
        </w:rPr>
        <w:t>n</w:t>
      </w:r>
      <w:r w:rsidR="0076219E">
        <w:rPr>
          <w:szCs w:val="26"/>
        </w:rPr>
        <w:t>ce, la cuenta de resultados económico-patrimonial y la memoria correspondie</w:t>
      </w:r>
      <w:r w:rsidR="0076219E">
        <w:rPr>
          <w:szCs w:val="26"/>
        </w:rPr>
        <w:t>n</w:t>
      </w:r>
      <w:r w:rsidR="0076219E">
        <w:rPr>
          <w:szCs w:val="26"/>
        </w:rPr>
        <w:t>tes al ejercicio terminado en esa fecha.</w:t>
      </w:r>
      <w:r w:rsidR="00CF7E8B">
        <w:rPr>
          <w:szCs w:val="26"/>
        </w:rPr>
        <w:t xml:space="preserve"> Estas cuentas anuales han sido formul</w:t>
      </w:r>
      <w:r w:rsidR="00CF7E8B">
        <w:rPr>
          <w:szCs w:val="26"/>
        </w:rPr>
        <w:t>a</w:t>
      </w:r>
      <w:r w:rsidR="00CF7E8B">
        <w:rPr>
          <w:szCs w:val="26"/>
        </w:rPr>
        <w:t>das según el Plan General de Contabilidad Pública de 1994.</w:t>
      </w:r>
    </w:p>
    <w:p w:rsidR="00A7754F" w:rsidRDefault="0076219E" w:rsidP="003D5A2E">
      <w:pPr>
        <w:pStyle w:val="texto"/>
        <w:tabs>
          <w:tab w:val="clear" w:pos="2835"/>
          <w:tab w:val="clear" w:pos="3969"/>
          <w:tab w:val="clear" w:pos="5103"/>
          <w:tab w:val="clear" w:pos="6237"/>
          <w:tab w:val="clear" w:pos="7371"/>
        </w:tabs>
        <w:rPr>
          <w:szCs w:val="26"/>
        </w:rPr>
      </w:pPr>
      <w:r w:rsidRPr="0076219E">
        <w:rPr>
          <w:szCs w:val="26"/>
        </w:rPr>
        <w:t>Conjuntamente con la auditoría financiera de las cuentas anuales, hemos planificado y ejecutado una fiscalización de cumplimiento de la legalidad para emitir una opinión sobre si las actividades, operaciones presupuestarias y f</w:t>
      </w:r>
      <w:r w:rsidRPr="0076219E">
        <w:rPr>
          <w:szCs w:val="26"/>
        </w:rPr>
        <w:t>i</w:t>
      </w:r>
      <w:r w:rsidRPr="0076219E">
        <w:rPr>
          <w:szCs w:val="26"/>
        </w:rPr>
        <w:t xml:space="preserve">nancieras realizadas </w:t>
      </w:r>
      <w:r>
        <w:rPr>
          <w:szCs w:val="26"/>
        </w:rPr>
        <w:t xml:space="preserve">por la Universidad </w:t>
      </w:r>
      <w:r w:rsidRPr="0076219E">
        <w:rPr>
          <w:szCs w:val="26"/>
        </w:rPr>
        <w:t>durante el ejercicio y la información reflejada en las cuentas anuales del ejercicio 201</w:t>
      </w:r>
      <w:r>
        <w:rPr>
          <w:szCs w:val="26"/>
        </w:rPr>
        <w:t>4</w:t>
      </w:r>
      <w:r w:rsidRPr="0076219E">
        <w:rPr>
          <w:szCs w:val="26"/>
        </w:rPr>
        <w:t xml:space="preserve"> resultan conformes en todos los aspectos significativos con las normas aplicables a la gestión de los fondos públicos. </w:t>
      </w:r>
    </w:p>
    <w:p w:rsidR="00FB0A5A" w:rsidRDefault="0076219E" w:rsidP="003D5A2E">
      <w:pPr>
        <w:pStyle w:val="texto"/>
        <w:tabs>
          <w:tab w:val="clear" w:pos="2835"/>
          <w:tab w:val="clear" w:pos="3969"/>
          <w:tab w:val="clear" w:pos="5103"/>
          <w:tab w:val="clear" w:pos="6237"/>
          <w:tab w:val="clear" w:pos="7371"/>
        </w:tabs>
        <w:rPr>
          <w:szCs w:val="26"/>
        </w:rPr>
      </w:pPr>
      <w:r w:rsidRPr="0076219E">
        <w:rPr>
          <w:szCs w:val="26"/>
        </w:rPr>
        <w:t xml:space="preserve">El marco normativo que resulta aplicable </w:t>
      </w:r>
      <w:r w:rsidR="00FB0A5A">
        <w:rPr>
          <w:szCs w:val="26"/>
        </w:rPr>
        <w:t>a la Universidad en 2014 está con</w:t>
      </w:r>
      <w:r w:rsidR="00FB0A5A">
        <w:rPr>
          <w:szCs w:val="26"/>
        </w:rPr>
        <w:t>s</w:t>
      </w:r>
      <w:r w:rsidR="00FB0A5A">
        <w:rPr>
          <w:szCs w:val="26"/>
        </w:rPr>
        <w:t>tituido fundamentalmente por:</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B0A5A">
        <w:rPr>
          <w:szCs w:val="26"/>
        </w:rPr>
        <w:t>Ley Foral 8/1987, de 21 de abril de creación de la misma.</w:t>
      </w:r>
    </w:p>
    <w:p w:rsidR="00C34064" w:rsidRPr="00FB0A5A" w:rsidRDefault="00FB0A5A" w:rsidP="00C3406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B0A5A">
        <w:rPr>
          <w:szCs w:val="26"/>
        </w:rPr>
        <w:t>Ley Orgánica de Universidades 6/2001, de 21 de diciembre,</w:t>
      </w:r>
      <w:r w:rsidR="00C839F6">
        <w:rPr>
          <w:szCs w:val="26"/>
        </w:rPr>
        <w:t xml:space="preserve"> (LOU),</w:t>
      </w:r>
      <w:r w:rsidRPr="00FB0A5A">
        <w:rPr>
          <w:szCs w:val="26"/>
        </w:rPr>
        <w:t xml:space="preserve"> mod</w:t>
      </w:r>
      <w:r w:rsidRPr="00FB0A5A">
        <w:rPr>
          <w:szCs w:val="26"/>
        </w:rPr>
        <w:t>i</w:t>
      </w:r>
      <w:r w:rsidRPr="00FB0A5A">
        <w:rPr>
          <w:szCs w:val="26"/>
        </w:rPr>
        <w:t>ficada por la Ley Orgánica 4/2007, de 12 de abril,</w:t>
      </w:r>
      <w:r w:rsidR="00C34064">
        <w:rPr>
          <w:szCs w:val="26"/>
        </w:rPr>
        <w:t xml:space="preserve"> y por el </w:t>
      </w:r>
      <w:r w:rsidR="00C34064" w:rsidRPr="00FB0A5A">
        <w:rPr>
          <w:szCs w:val="26"/>
        </w:rPr>
        <w:t>Real Decreto-Ley 14/2012, de 20 de abril, de medidas urgentes de racionalización del gasto p</w:t>
      </w:r>
      <w:r w:rsidR="00C34064" w:rsidRPr="00FB0A5A">
        <w:rPr>
          <w:szCs w:val="26"/>
        </w:rPr>
        <w:t>ú</w:t>
      </w:r>
      <w:r w:rsidR="00C34064" w:rsidRPr="00FB0A5A">
        <w:rPr>
          <w:szCs w:val="26"/>
        </w:rPr>
        <w:t>blico en el ámbito educativo.</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B0A5A">
        <w:rPr>
          <w:szCs w:val="26"/>
        </w:rPr>
        <w:t>Ley Foral 15/2008, de 2 de julio, del Consejo Social de la Universidad P</w:t>
      </w:r>
      <w:r w:rsidRPr="00FB0A5A">
        <w:rPr>
          <w:szCs w:val="26"/>
        </w:rPr>
        <w:t>ú</w:t>
      </w:r>
      <w:r w:rsidRPr="00FB0A5A">
        <w:rPr>
          <w:szCs w:val="26"/>
        </w:rPr>
        <w:t>blica de Navarra.</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B0A5A">
        <w:rPr>
          <w:szCs w:val="26"/>
        </w:rPr>
        <w:t>Estatutos</w:t>
      </w:r>
      <w:r w:rsidR="00C34064">
        <w:rPr>
          <w:szCs w:val="26"/>
        </w:rPr>
        <w:t xml:space="preserve"> de la Universidad</w:t>
      </w:r>
      <w:r w:rsidRPr="00FB0A5A">
        <w:rPr>
          <w:szCs w:val="26"/>
        </w:rPr>
        <w:t>, aprobados por Decreto Foral 110/2003, de 12 de mayo, modificados por Acuerdo del Gobierno de Navarra de 21 de marzo de 2011.</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FB0A5A">
        <w:rPr>
          <w:szCs w:val="26"/>
        </w:rPr>
        <w:t>Ley Orgánica 2/2012, de 20 de abril, de Estabilidad Presupuestaria y So</w:t>
      </w:r>
      <w:r w:rsidRPr="00FB0A5A">
        <w:rPr>
          <w:szCs w:val="26"/>
        </w:rPr>
        <w:t>s</w:t>
      </w:r>
      <w:r w:rsidRPr="00FB0A5A">
        <w:rPr>
          <w:szCs w:val="26"/>
        </w:rPr>
        <w:t>tenibilidad Financiera</w:t>
      </w:r>
      <w:r w:rsidR="00C839F6">
        <w:rPr>
          <w:szCs w:val="26"/>
        </w:rPr>
        <w:t xml:space="preserve"> (LOEPSF).</w:t>
      </w:r>
    </w:p>
    <w:p w:rsidR="00B513E2" w:rsidRDefault="00B513E2"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Ley Foral 33/2002, de 28 de noviembre, de fomento de la igualdad de oportunidad</w:t>
      </w:r>
      <w:r w:rsidR="00D860A6">
        <w:rPr>
          <w:szCs w:val="26"/>
        </w:rPr>
        <w:t xml:space="preserve">es entre mujeres y hombres y </w:t>
      </w:r>
      <w:r>
        <w:rPr>
          <w:szCs w:val="26"/>
        </w:rPr>
        <w:t>Ley Orgánica 3/2007, de 22 de ma</w:t>
      </w:r>
      <w:r>
        <w:rPr>
          <w:szCs w:val="26"/>
        </w:rPr>
        <w:t>r</w:t>
      </w:r>
      <w:r>
        <w:rPr>
          <w:szCs w:val="26"/>
        </w:rPr>
        <w:t xml:space="preserve">zo, para la igualdad efectiva de mujeres y hombres. </w:t>
      </w:r>
    </w:p>
    <w:p w:rsid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Acuerdo del Gobierno de Navarra de 30 de diciembre de 2013, en el que se dictan las normas de ejecución que regirán los presupuestos generales de Nav</w:t>
      </w:r>
      <w:r>
        <w:rPr>
          <w:szCs w:val="26"/>
        </w:rPr>
        <w:t>a</w:t>
      </w:r>
      <w:r>
        <w:rPr>
          <w:szCs w:val="26"/>
        </w:rPr>
        <w:t>rra de 2012 prorrogados al ejercicio de 2014.</w:t>
      </w:r>
    </w:p>
    <w:p w:rsidR="00F02541" w:rsidRDefault="00F02541" w:rsidP="00F025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Presupuesto de la Universidad para el ejercicio de 2014, bases de ejecución y normas reguladoras del cierre y liquidación del mismo.</w:t>
      </w:r>
    </w:p>
    <w:p w:rsidR="008F3F8F" w:rsidRDefault="008F3F8F"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lastRenderedPageBreak/>
        <w:t>La normativa estatal en materia de personal docente e investigador.</w:t>
      </w:r>
    </w:p>
    <w:p w:rsidR="00FB0A5A" w:rsidRPr="00FB0A5A" w:rsidRDefault="00FB0A5A" w:rsidP="00FB0A5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w:t>
      </w:r>
      <w:r w:rsidRPr="00FB0A5A">
        <w:rPr>
          <w:szCs w:val="26"/>
        </w:rPr>
        <w:t>a normativa foral en materia de</w:t>
      </w:r>
      <w:r w:rsidR="008F3F8F">
        <w:rPr>
          <w:szCs w:val="26"/>
        </w:rPr>
        <w:t>l personal de administración y servicios, de</w:t>
      </w:r>
      <w:r w:rsidRPr="00FB0A5A">
        <w:rPr>
          <w:szCs w:val="26"/>
        </w:rPr>
        <w:t xml:space="preserve"> hacienda pública, de contratación administrativa y de concesión de subve</w:t>
      </w:r>
      <w:r w:rsidRPr="00FB0A5A">
        <w:rPr>
          <w:szCs w:val="26"/>
        </w:rPr>
        <w:t>n</w:t>
      </w:r>
      <w:r w:rsidRPr="00FB0A5A">
        <w:rPr>
          <w:szCs w:val="26"/>
        </w:rPr>
        <w:t>ciones.</w:t>
      </w:r>
    </w:p>
    <w:p w:rsidR="00EB0CF4" w:rsidRDefault="0070027D" w:rsidP="00EB0CF4">
      <w:pPr>
        <w:pStyle w:val="texto"/>
        <w:tabs>
          <w:tab w:val="clear" w:pos="2835"/>
          <w:tab w:val="clear" w:pos="3969"/>
          <w:tab w:val="clear" w:pos="5103"/>
          <w:tab w:val="clear" w:pos="6237"/>
          <w:tab w:val="clear" w:pos="7371"/>
        </w:tabs>
        <w:rPr>
          <w:szCs w:val="26"/>
        </w:rPr>
      </w:pPr>
      <w:r>
        <w:rPr>
          <w:szCs w:val="26"/>
        </w:rPr>
        <w:t xml:space="preserve">El presupuesto </w:t>
      </w:r>
      <w:r w:rsidR="00EB0CF4" w:rsidRPr="00130F3E">
        <w:rPr>
          <w:szCs w:val="26"/>
        </w:rPr>
        <w:t>de la Universidad para 2014 fue aprobado por el Consejo S</w:t>
      </w:r>
      <w:r w:rsidR="00EB0CF4" w:rsidRPr="00130F3E">
        <w:rPr>
          <w:szCs w:val="26"/>
        </w:rPr>
        <w:t>o</w:t>
      </w:r>
      <w:r w:rsidR="00EB0CF4" w:rsidRPr="00130F3E">
        <w:rPr>
          <w:szCs w:val="26"/>
        </w:rPr>
        <w:t>cial en su sesión del 27 de diciembre de 2013</w:t>
      </w:r>
      <w:r w:rsidR="00EB0CF4">
        <w:rPr>
          <w:szCs w:val="26"/>
        </w:rPr>
        <w:t>;</w:t>
      </w:r>
      <w:r w:rsidR="00EB0CF4" w:rsidRPr="00130F3E">
        <w:rPr>
          <w:szCs w:val="26"/>
        </w:rPr>
        <w:t xml:space="preserve"> </w:t>
      </w:r>
      <w:r w:rsidR="00EB0CF4">
        <w:rPr>
          <w:szCs w:val="26"/>
        </w:rPr>
        <w:t>las cuentas generales de 2014</w:t>
      </w:r>
      <w:r w:rsidR="00EB0CF4" w:rsidRPr="00AA2AD2">
        <w:rPr>
          <w:szCs w:val="26"/>
        </w:rPr>
        <w:t xml:space="preserve"> fueron ap</w:t>
      </w:r>
      <w:r w:rsidR="00EB0CF4">
        <w:rPr>
          <w:szCs w:val="26"/>
        </w:rPr>
        <w:t>ro</w:t>
      </w:r>
      <w:r w:rsidR="00EB0CF4" w:rsidRPr="00AA2AD2">
        <w:rPr>
          <w:szCs w:val="26"/>
        </w:rPr>
        <w:t xml:space="preserve">badas por el </w:t>
      </w:r>
      <w:r w:rsidR="00467B02">
        <w:rPr>
          <w:szCs w:val="26"/>
        </w:rPr>
        <w:t>citado órgano</w:t>
      </w:r>
      <w:r w:rsidR="00EB0CF4">
        <w:rPr>
          <w:szCs w:val="26"/>
        </w:rPr>
        <w:t xml:space="preserve"> el 1 de junio de 2015.</w:t>
      </w:r>
    </w:p>
    <w:p w:rsidR="00453487" w:rsidRPr="00E130CE" w:rsidRDefault="00453487" w:rsidP="00453487">
      <w:pPr>
        <w:pStyle w:val="texto"/>
        <w:tabs>
          <w:tab w:val="clear" w:pos="2835"/>
          <w:tab w:val="clear" w:pos="3969"/>
          <w:tab w:val="clear" w:pos="5103"/>
          <w:tab w:val="clear" w:pos="6237"/>
          <w:tab w:val="clear" w:pos="7371"/>
        </w:tabs>
        <w:rPr>
          <w:rFonts w:ascii="Times New (W1)" w:hAnsi="Times New (W1)"/>
          <w:spacing w:val="4"/>
          <w:szCs w:val="26"/>
        </w:rPr>
      </w:pPr>
      <w:r w:rsidRPr="00E130CE">
        <w:rPr>
          <w:rFonts w:ascii="Times New (W1)" w:hAnsi="Times New (W1)"/>
          <w:spacing w:val="4"/>
          <w:szCs w:val="26"/>
        </w:rPr>
        <w:t>Tal y como se indica en la memoria, en el presupuesto de 2014 se introduce una importante modificación de la estructura o clasificación presupuestaria ec</w:t>
      </w:r>
      <w:r w:rsidRPr="00E130CE">
        <w:rPr>
          <w:rFonts w:ascii="Times New (W1)" w:hAnsi="Times New (W1)"/>
          <w:spacing w:val="4"/>
          <w:szCs w:val="26"/>
        </w:rPr>
        <w:t>o</w:t>
      </w:r>
      <w:r w:rsidRPr="00E130CE">
        <w:rPr>
          <w:rFonts w:ascii="Times New (W1)" w:hAnsi="Times New (W1)"/>
          <w:spacing w:val="4"/>
          <w:szCs w:val="26"/>
        </w:rPr>
        <w:t>nómica y funcional al objeto de facilitar la futura implantación de la contabilidad analítica y</w:t>
      </w:r>
      <w:r w:rsidR="00D311EA" w:rsidRPr="00E130CE">
        <w:rPr>
          <w:rFonts w:ascii="Times New (W1)" w:hAnsi="Times New (W1)"/>
          <w:spacing w:val="4"/>
          <w:szCs w:val="26"/>
        </w:rPr>
        <w:t xml:space="preserve"> de</w:t>
      </w:r>
      <w:r w:rsidRPr="00E130CE">
        <w:rPr>
          <w:rFonts w:ascii="Times New (W1)" w:hAnsi="Times New (W1)"/>
          <w:spacing w:val="4"/>
          <w:szCs w:val="26"/>
        </w:rPr>
        <w:t xml:space="preserve"> mejorar la presentación de los recursos utilizados por la Univers</w:t>
      </w:r>
      <w:r w:rsidRPr="00E130CE">
        <w:rPr>
          <w:rFonts w:ascii="Times New (W1)" w:hAnsi="Times New (W1)"/>
          <w:spacing w:val="4"/>
          <w:szCs w:val="26"/>
        </w:rPr>
        <w:t>i</w:t>
      </w:r>
      <w:r w:rsidRPr="00E130CE">
        <w:rPr>
          <w:rFonts w:ascii="Times New (W1)" w:hAnsi="Times New (W1)"/>
          <w:spacing w:val="4"/>
          <w:szCs w:val="26"/>
        </w:rPr>
        <w:t>dad. Esta modificación dificulta las comparaciones con ejercicios anteriores.</w:t>
      </w:r>
    </w:p>
    <w:p w:rsidR="00E523CE" w:rsidRDefault="007B0ACE" w:rsidP="00E523CE">
      <w:pPr>
        <w:pStyle w:val="texto"/>
        <w:tabs>
          <w:tab w:val="clear" w:pos="2835"/>
          <w:tab w:val="clear" w:pos="3969"/>
          <w:tab w:val="clear" w:pos="5103"/>
          <w:tab w:val="clear" w:pos="6237"/>
          <w:tab w:val="clear" w:pos="7371"/>
        </w:tabs>
        <w:rPr>
          <w:szCs w:val="26"/>
        </w:rPr>
      </w:pPr>
      <w:r w:rsidRPr="008D1EB9">
        <w:rPr>
          <w:szCs w:val="26"/>
        </w:rPr>
        <w:t xml:space="preserve">El informe se estructura en </w:t>
      </w:r>
      <w:r w:rsidR="0038122A">
        <w:rPr>
          <w:szCs w:val="26"/>
        </w:rPr>
        <w:t>c</w:t>
      </w:r>
      <w:r w:rsidR="00703010">
        <w:rPr>
          <w:szCs w:val="26"/>
        </w:rPr>
        <w:t>uatro</w:t>
      </w:r>
      <w:r w:rsidRPr="008D1EB9">
        <w:rPr>
          <w:szCs w:val="26"/>
        </w:rPr>
        <w:t xml:space="preserve"> epígrafes, incluyendo esta introducción</w:t>
      </w:r>
      <w:r w:rsidR="008D1EB9">
        <w:rPr>
          <w:szCs w:val="26"/>
        </w:rPr>
        <w:t>.</w:t>
      </w:r>
      <w:r w:rsidR="0038122A">
        <w:rPr>
          <w:szCs w:val="26"/>
        </w:rPr>
        <w:t xml:space="preserve"> El </w:t>
      </w:r>
      <w:r w:rsidR="00703010">
        <w:rPr>
          <w:szCs w:val="26"/>
        </w:rPr>
        <w:t>segundo</w:t>
      </w:r>
      <w:r w:rsidR="0038122A">
        <w:rPr>
          <w:szCs w:val="26"/>
        </w:rPr>
        <w:t xml:space="preserve"> indica nuestra opinión</w:t>
      </w:r>
      <w:r w:rsidR="00F02541">
        <w:rPr>
          <w:szCs w:val="26"/>
        </w:rPr>
        <w:t xml:space="preserve"> financiera y de cumplimiento de legalidad</w:t>
      </w:r>
      <w:r w:rsidR="0038122A">
        <w:rPr>
          <w:szCs w:val="26"/>
        </w:rPr>
        <w:t xml:space="preserve"> sobre </w:t>
      </w:r>
      <w:r w:rsidR="000A29D0">
        <w:rPr>
          <w:szCs w:val="26"/>
        </w:rPr>
        <w:t xml:space="preserve">las cuentas </w:t>
      </w:r>
      <w:r w:rsidR="007833DF">
        <w:rPr>
          <w:szCs w:val="26"/>
        </w:rPr>
        <w:t>anuales</w:t>
      </w:r>
      <w:r w:rsidR="000A29D0">
        <w:rPr>
          <w:szCs w:val="26"/>
        </w:rPr>
        <w:t xml:space="preserve"> de la Universidad </w:t>
      </w:r>
      <w:r w:rsidR="007833DF">
        <w:rPr>
          <w:szCs w:val="26"/>
        </w:rPr>
        <w:t xml:space="preserve">correspondientes al ejercicio </w:t>
      </w:r>
      <w:r w:rsidR="000A29D0">
        <w:rPr>
          <w:szCs w:val="26"/>
        </w:rPr>
        <w:t>de 2014</w:t>
      </w:r>
      <w:r w:rsidR="000702E9">
        <w:rPr>
          <w:szCs w:val="26"/>
        </w:rPr>
        <w:t xml:space="preserve">; un resumen de estas cuentas anuales se refleja en el epígrafe </w:t>
      </w:r>
      <w:r w:rsidR="00703010">
        <w:rPr>
          <w:szCs w:val="26"/>
        </w:rPr>
        <w:t>tercero</w:t>
      </w:r>
      <w:r w:rsidR="000A29D0">
        <w:rPr>
          <w:szCs w:val="26"/>
        </w:rPr>
        <w:t>.</w:t>
      </w:r>
      <w:r w:rsidR="0038122A">
        <w:rPr>
          <w:szCs w:val="26"/>
        </w:rPr>
        <w:t xml:space="preserve"> </w:t>
      </w:r>
      <w:r w:rsidR="0038122A" w:rsidRPr="00E523CE">
        <w:rPr>
          <w:szCs w:val="26"/>
        </w:rPr>
        <w:t xml:space="preserve">Finalmente, en el </w:t>
      </w:r>
      <w:r w:rsidR="00703010" w:rsidRPr="00E523CE">
        <w:rPr>
          <w:szCs w:val="26"/>
        </w:rPr>
        <w:t>cuarto</w:t>
      </w:r>
      <w:r w:rsidR="000702E9" w:rsidRPr="00E523CE">
        <w:rPr>
          <w:szCs w:val="26"/>
        </w:rPr>
        <w:t>,</w:t>
      </w:r>
      <w:r w:rsidR="008D1EB9" w:rsidRPr="00E523CE">
        <w:rPr>
          <w:szCs w:val="26"/>
        </w:rPr>
        <w:t xml:space="preserve"> </w:t>
      </w:r>
      <w:r w:rsidR="000702E9" w:rsidRPr="00E523CE">
        <w:rPr>
          <w:szCs w:val="26"/>
        </w:rPr>
        <w:t>señalamos</w:t>
      </w:r>
      <w:r w:rsidRPr="00E523CE">
        <w:rPr>
          <w:szCs w:val="26"/>
        </w:rPr>
        <w:t xml:space="preserve"> </w:t>
      </w:r>
      <w:r w:rsidR="00385A94" w:rsidRPr="00E523CE">
        <w:rPr>
          <w:szCs w:val="26"/>
        </w:rPr>
        <w:t>un conjunto de</w:t>
      </w:r>
      <w:r w:rsidRPr="00E523CE">
        <w:rPr>
          <w:szCs w:val="26"/>
        </w:rPr>
        <w:t xml:space="preserve"> conclusiones</w:t>
      </w:r>
      <w:r w:rsidR="002B12E4" w:rsidRPr="00E523CE">
        <w:rPr>
          <w:szCs w:val="26"/>
        </w:rPr>
        <w:t xml:space="preserve"> u observaciones</w:t>
      </w:r>
      <w:r w:rsidRPr="00E523CE">
        <w:rPr>
          <w:szCs w:val="26"/>
        </w:rPr>
        <w:t xml:space="preserve"> obtenidas</w:t>
      </w:r>
      <w:r w:rsidR="00703010" w:rsidRPr="00E523CE">
        <w:rPr>
          <w:szCs w:val="26"/>
        </w:rPr>
        <w:t xml:space="preserve"> </w:t>
      </w:r>
      <w:r w:rsidR="00E523CE" w:rsidRPr="00E523CE">
        <w:rPr>
          <w:szCs w:val="26"/>
        </w:rPr>
        <w:t xml:space="preserve">sobre la situación presupuestaria y financiera de la Universidad, </w:t>
      </w:r>
      <w:r w:rsidR="00CF4D85" w:rsidRPr="00E523CE">
        <w:rPr>
          <w:szCs w:val="26"/>
        </w:rPr>
        <w:t xml:space="preserve">seguimiento de recomendaciones </w:t>
      </w:r>
      <w:r w:rsidR="00CF4D85">
        <w:rPr>
          <w:szCs w:val="26"/>
        </w:rPr>
        <w:t>principales</w:t>
      </w:r>
      <w:r w:rsidR="00CF4D85" w:rsidRPr="00E523CE">
        <w:rPr>
          <w:szCs w:val="26"/>
        </w:rPr>
        <w:t xml:space="preserve"> de informes anteriores de esta Cámara</w:t>
      </w:r>
      <w:r w:rsidR="00CF4D85">
        <w:rPr>
          <w:szCs w:val="26"/>
        </w:rPr>
        <w:t>, cumpl</w:t>
      </w:r>
      <w:r w:rsidR="00CF4D85">
        <w:rPr>
          <w:szCs w:val="26"/>
        </w:rPr>
        <w:t>i</w:t>
      </w:r>
      <w:r w:rsidR="00CF4D85">
        <w:rPr>
          <w:szCs w:val="26"/>
        </w:rPr>
        <w:t>miento de los</w:t>
      </w:r>
      <w:r w:rsidR="00CF4D85" w:rsidRPr="00E523CE">
        <w:rPr>
          <w:szCs w:val="26"/>
        </w:rPr>
        <w:t xml:space="preserve"> </w:t>
      </w:r>
      <w:r w:rsidR="00CF4D85">
        <w:rPr>
          <w:szCs w:val="26"/>
        </w:rPr>
        <w:t>principios de estabilidad presupuestaria y sostenibilidad financi</w:t>
      </w:r>
      <w:r w:rsidR="00CF4D85">
        <w:rPr>
          <w:szCs w:val="26"/>
        </w:rPr>
        <w:t>e</w:t>
      </w:r>
      <w:r w:rsidR="00CF4D85">
        <w:rPr>
          <w:szCs w:val="26"/>
        </w:rPr>
        <w:t>ra</w:t>
      </w:r>
      <w:r w:rsidR="00E523CE" w:rsidRPr="00E523CE">
        <w:rPr>
          <w:szCs w:val="26"/>
        </w:rPr>
        <w:t xml:space="preserve"> y áreas de gestión relevantes; asimismo </w:t>
      </w:r>
      <w:r w:rsidR="00E523CE">
        <w:rPr>
          <w:szCs w:val="26"/>
        </w:rPr>
        <w:t xml:space="preserve">se ha </w:t>
      </w:r>
      <w:r w:rsidR="008902EF">
        <w:rPr>
          <w:szCs w:val="26"/>
        </w:rPr>
        <w:t>analizado</w:t>
      </w:r>
      <w:r w:rsidR="00E523CE">
        <w:rPr>
          <w:szCs w:val="26"/>
        </w:rPr>
        <w:t xml:space="preserve"> la normativa para la igualdad efectiva de mujeres y hombres en todo aquello que, de conformidad con dicha normativa, pudiera tener relación con el objeto de las actuaciones fiscalizadoras.</w:t>
      </w:r>
    </w:p>
    <w:p w:rsidR="00970543" w:rsidRDefault="00756C17" w:rsidP="00B51AF0">
      <w:pPr>
        <w:pStyle w:val="texto"/>
        <w:tabs>
          <w:tab w:val="clear" w:pos="2835"/>
          <w:tab w:val="clear" w:pos="3969"/>
          <w:tab w:val="clear" w:pos="5103"/>
          <w:tab w:val="clear" w:pos="6237"/>
          <w:tab w:val="clear" w:pos="7371"/>
        </w:tabs>
        <w:rPr>
          <w:szCs w:val="26"/>
        </w:rPr>
      </w:pPr>
      <w:r w:rsidRPr="008D1EB9">
        <w:rPr>
          <w:szCs w:val="26"/>
        </w:rPr>
        <w:t>E</w:t>
      </w:r>
      <w:r w:rsidR="002A20CF" w:rsidRPr="008D1EB9">
        <w:rPr>
          <w:szCs w:val="26"/>
        </w:rPr>
        <w:t xml:space="preserve">l informe </w:t>
      </w:r>
      <w:r w:rsidR="00050D8C" w:rsidRPr="008D1EB9">
        <w:rPr>
          <w:szCs w:val="26"/>
        </w:rPr>
        <w:t>se</w:t>
      </w:r>
      <w:r w:rsidR="00F61686" w:rsidRPr="008D1EB9">
        <w:rPr>
          <w:szCs w:val="26"/>
        </w:rPr>
        <w:t xml:space="preserve"> acompaña de</w:t>
      </w:r>
      <w:r w:rsidR="00425CF6">
        <w:rPr>
          <w:szCs w:val="26"/>
        </w:rPr>
        <w:t xml:space="preserve"> un resumen</w:t>
      </w:r>
      <w:r w:rsidR="00425CF6">
        <w:rPr>
          <w:rStyle w:val="Refdenotaalpie"/>
          <w:szCs w:val="26"/>
        </w:rPr>
        <w:footnoteReference w:id="1"/>
      </w:r>
      <w:r w:rsidR="00425CF6">
        <w:rPr>
          <w:szCs w:val="26"/>
        </w:rPr>
        <w:t xml:space="preserve"> de</w:t>
      </w:r>
      <w:r w:rsidR="00F61686" w:rsidRPr="008D1EB9">
        <w:rPr>
          <w:szCs w:val="26"/>
        </w:rPr>
        <w:t xml:space="preserve"> </w:t>
      </w:r>
      <w:r w:rsidR="0076219E">
        <w:rPr>
          <w:szCs w:val="26"/>
        </w:rPr>
        <w:t>la memoria</w:t>
      </w:r>
      <w:r w:rsidR="000A29D0">
        <w:rPr>
          <w:szCs w:val="26"/>
        </w:rPr>
        <w:t xml:space="preserve"> económica de la Un</w:t>
      </w:r>
      <w:r w:rsidR="000A29D0">
        <w:rPr>
          <w:szCs w:val="26"/>
        </w:rPr>
        <w:t>i</w:t>
      </w:r>
      <w:r w:rsidR="000A29D0">
        <w:rPr>
          <w:szCs w:val="26"/>
        </w:rPr>
        <w:t>versidad correspondiente al ejercicio de 2014</w:t>
      </w:r>
      <w:r w:rsidR="00385A94">
        <w:rPr>
          <w:szCs w:val="26"/>
        </w:rPr>
        <w:t>. En dicha memoria,</w:t>
      </w:r>
      <w:r w:rsidR="00C45D0B">
        <w:rPr>
          <w:szCs w:val="26"/>
        </w:rPr>
        <w:t xml:space="preserve"> se incorpora como anexo el balance y la cuenta de resultados de su ente dependiente, la fu</w:t>
      </w:r>
      <w:r w:rsidR="00C45D0B">
        <w:rPr>
          <w:szCs w:val="26"/>
        </w:rPr>
        <w:t>n</w:t>
      </w:r>
      <w:r w:rsidR="00C45D0B">
        <w:rPr>
          <w:szCs w:val="26"/>
        </w:rPr>
        <w:t>dación Universidad-Sociedad</w:t>
      </w:r>
      <w:r w:rsidR="00385A94">
        <w:rPr>
          <w:szCs w:val="26"/>
        </w:rPr>
        <w:t>; las</w:t>
      </w:r>
      <w:r w:rsidR="0074731C">
        <w:rPr>
          <w:szCs w:val="26"/>
        </w:rPr>
        <w:t xml:space="preserve"> cuentas de esta fundación han sido objeto de auditoría de cuentas realizada por profesionales externos, </w:t>
      </w:r>
      <w:r w:rsidR="00CF6110">
        <w:rPr>
          <w:szCs w:val="26"/>
        </w:rPr>
        <w:t>los cuales emitieron</w:t>
      </w:r>
      <w:r w:rsidR="0074731C">
        <w:rPr>
          <w:szCs w:val="26"/>
        </w:rPr>
        <w:t xml:space="preserve"> un informe con una opinión favorable o no modificada.</w:t>
      </w:r>
    </w:p>
    <w:p w:rsidR="00E523CE" w:rsidRDefault="00385A94" w:rsidP="00E523CE">
      <w:pPr>
        <w:pStyle w:val="texto"/>
        <w:rPr>
          <w:szCs w:val="26"/>
        </w:rPr>
      </w:pPr>
      <w:r>
        <w:rPr>
          <w:szCs w:val="26"/>
        </w:rPr>
        <w:t>En nuestra actuación se</w:t>
      </w:r>
      <w:r w:rsidRPr="003006DF">
        <w:rPr>
          <w:szCs w:val="26"/>
        </w:rPr>
        <w:t xml:space="preserve"> ha</w:t>
      </w:r>
      <w:r w:rsidR="005157DB">
        <w:rPr>
          <w:szCs w:val="26"/>
        </w:rPr>
        <w:t>n</w:t>
      </w:r>
      <w:r w:rsidRPr="003006DF">
        <w:rPr>
          <w:szCs w:val="26"/>
        </w:rPr>
        <w:t xml:space="preserve"> tenido en </w:t>
      </w:r>
      <w:r>
        <w:rPr>
          <w:szCs w:val="26"/>
        </w:rPr>
        <w:t>cuenta</w:t>
      </w:r>
      <w:r w:rsidR="0070027D">
        <w:rPr>
          <w:szCs w:val="26"/>
        </w:rPr>
        <w:t xml:space="preserve"> </w:t>
      </w:r>
      <w:r w:rsidRPr="003006DF">
        <w:rPr>
          <w:szCs w:val="26"/>
        </w:rPr>
        <w:t>los informes</w:t>
      </w:r>
      <w:r w:rsidR="004D0B92">
        <w:rPr>
          <w:szCs w:val="26"/>
        </w:rPr>
        <w:t xml:space="preserve"> y papeles de trab</w:t>
      </w:r>
      <w:r w:rsidR="004D0B92">
        <w:rPr>
          <w:szCs w:val="26"/>
        </w:rPr>
        <w:t>a</w:t>
      </w:r>
      <w:r w:rsidR="004D0B92">
        <w:rPr>
          <w:szCs w:val="26"/>
        </w:rPr>
        <w:t>jo</w:t>
      </w:r>
      <w:r w:rsidRPr="003006DF">
        <w:rPr>
          <w:szCs w:val="26"/>
        </w:rPr>
        <w:t xml:space="preserve"> realizados por </w:t>
      </w:r>
      <w:r>
        <w:rPr>
          <w:szCs w:val="26"/>
        </w:rPr>
        <w:t>el servicio de Intervención y Auditoría de la Universidad, e</w:t>
      </w:r>
      <w:r>
        <w:rPr>
          <w:szCs w:val="26"/>
        </w:rPr>
        <w:t>s</w:t>
      </w:r>
      <w:r>
        <w:rPr>
          <w:szCs w:val="26"/>
        </w:rPr>
        <w:t xml:space="preserve">pecialmente </w:t>
      </w:r>
      <w:r w:rsidR="0070027D">
        <w:rPr>
          <w:szCs w:val="26"/>
        </w:rPr>
        <w:t>el referido a</w:t>
      </w:r>
      <w:r>
        <w:rPr>
          <w:szCs w:val="26"/>
        </w:rPr>
        <w:t xml:space="preserve"> las cuentas anuales de 2014.</w:t>
      </w:r>
      <w:r w:rsidRPr="003006DF">
        <w:rPr>
          <w:szCs w:val="26"/>
        </w:rPr>
        <w:t xml:space="preserve"> </w:t>
      </w:r>
    </w:p>
    <w:p w:rsidR="007F1978" w:rsidRPr="00E130CE" w:rsidRDefault="00E523CE" w:rsidP="00E523CE">
      <w:pPr>
        <w:pStyle w:val="texto"/>
        <w:rPr>
          <w:rFonts w:ascii="Times New (W1)" w:hAnsi="Times New (W1)"/>
          <w:szCs w:val="26"/>
        </w:rPr>
      </w:pPr>
      <w:r>
        <w:rPr>
          <w:szCs w:val="26"/>
        </w:rPr>
        <w:t>D</w:t>
      </w:r>
      <w:r w:rsidR="007F1978">
        <w:rPr>
          <w:szCs w:val="26"/>
        </w:rPr>
        <w:t>estacamos</w:t>
      </w:r>
      <w:r>
        <w:rPr>
          <w:szCs w:val="26"/>
        </w:rPr>
        <w:t>, igualmente,</w:t>
      </w:r>
      <w:r w:rsidR="007F1978">
        <w:rPr>
          <w:szCs w:val="26"/>
        </w:rPr>
        <w:t xml:space="preserve"> el contenido del Portal de Transparencia de la Un</w:t>
      </w:r>
      <w:r w:rsidR="007F1978">
        <w:rPr>
          <w:szCs w:val="26"/>
        </w:rPr>
        <w:t>i</w:t>
      </w:r>
      <w:r w:rsidR="007F1978">
        <w:rPr>
          <w:szCs w:val="26"/>
        </w:rPr>
        <w:t>versidad de su página web, el cual contiene información relevante sobre su a</w:t>
      </w:r>
      <w:r w:rsidR="007F1978">
        <w:rPr>
          <w:szCs w:val="26"/>
        </w:rPr>
        <w:t>c</w:t>
      </w:r>
      <w:r w:rsidR="007F1978">
        <w:rPr>
          <w:szCs w:val="26"/>
        </w:rPr>
        <w:t>tividad económico-</w:t>
      </w:r>
      <w:r w:rsidR="00907147">
        <w:rPr>
          <w:szCs w:val="26"/>
        </w:rPr>
        <w:t>presupuestaria</w:t>
      </w:r>
      <w:r w:rsidR="007F1978">
        <w:rPr>
          <w:szCs w:val="26"/>
        </w:rPr>
        <w:t>, docente e investigadora, recursos humanos</w:t>
      </w:r>
      <w:r w:rsidR="00943F97">
        <w:rPr>
          <w:szCs w:val="26"/>
        </w:rPr>
        <w:t>,</w:t>
      </w:r>
      <w:r w:rsidR="007F1978">
        <w:rPr>
          <w:szCs w:val="26"/>
        </w:rPr>
        <w:t xml:space="preserve"> </w:t>
      </w:r>
      <w:r w:rsidR="007F1978" w:rsidRPr="00E130CE">
        <w:rPr>
          <w:rFonts w:ascii="Times New (W1)" w:hAnsi="Times New (W1)"/>
          <w:szCs w:val="26"/>
        </w:rPr>
        <w:t>contratación</w:t>
      </w:r>
      <w:r w:rsidR="00943F97" w:rsidRPr="00E130CE">
        <w:rPr>
          <w:rFonts w:ascii="Times New (W1)" w:hAnsi="Times New (W1)"/>
          <w:szCs w:val="26"/>
        </w:rPr>
        <w:t xml:space="preserve"> y plan estratégico</w:t>
      </w:r>
      <w:r w:rsidR="007F1978" w:rsidRPr="00E130CE">
        <w:rPr>
          <w:rFonts w:ascii="Times New (W1)" w:hAnsi="Times New (W1)"/>
          <w:szCs w:val="26"/>
        </w:rPr>
        <w:t>.</w:t>
      </w:r>
    </w:p>
    <w:p w:rsidR="00C95A0E" w:rsidRPr="00E130CE" w:rsidRDefault="006F1331" w:rsidP="00C95A0E">
      <w:pPr>
        <w:pStyle w:val="texto"/>
        <w:tabs>
          <w:tab w:val="clear" w:pos="2835"/>
          <w:tab w:val="clear" w:pos="3969"/>
          <w:tab w:val="clear" w:pos="5103"/>
          <w:tab w:val="clear" w:pos="6237"/>
          <w:tab w:val="clear" w:pos="7371"/>
        </w:tabs>
        <w:rPr>
          <w:rFonts w:ascii="Times New (W1)" w:hAnsi="Times New (W1)"/>
          <w:szCs w:val="26"/>
        </w:rPr>
      </w:pPr>
      <w:r w:rsidRPr="00E130CE">
        <w:rPr>
          <w:rFonts w:ascii="Times New (W1)" w:hAnsi="Times New (W1)"/>
          <w:szCs w:val="26"/>
        </w:rPr>
        <w:lastRenderedPageBreak/>
        <w:t>El</w:t>
      </w:r>
      <w:r w:rsidR="00026242" w:rsidRPr="00E130CE">
        <w:rPr>
          <w:rFonts w:ascii="Times New (W1)" w:hAnsi="Times New (W1)"/>
          <w:szCs w:val="26"/>
        </w:rPr>
        <w:t xml:space="preserve"> trabajo de campo </w:t>
      </w:r>
      <w:r w:rsidR="00C9287B" w:rsidRPr="00E130CE">
        <w:rPr>
          <w:rFonts w:ascii="Times New (W1)" w:hAnsi="Times New (W1)"/>
          <w:szCs w:val="26"/>
        </w:rPr>
        <w:t>lo</w:t>
      </w:r>
      <w:r w:rsidR="00026242" w:rsidRPr="00E130CE">
        <w:rPr>
          <w:rFonts w:ascii="Times New (W1)" w:hAnsi="Times New (W1)"/>
          <w:szCs w:val="26"/>
        </w:rPr>
        <w:t xml:space="preserve"> ejecut</w:t>
      </w:r>
      <w:r w:rsidR="008900BC" w:rsidRPr="00E130CE">
        <w:rPr>
          <w:rFonts w:ascii="Times New (W1)" w:hAnsi="Times New (W1)"/>
          <w:szCs w:val="26"/>
        </w:rPr>
        <w:t xml:space="preserve">ó </w:t>
      </w:r>
      <w:r w:rsidR="00107B90" w:rsidRPr="00E130CE">
        <w:rPr>
          <w:rFonts w:ascii="Times New (W1)" w:hAnsi="Times New (W1)"/>
          <w:szCs w:val="26"/>
        </w:rPr>
        <w:t xml:space="preserve">entre </w:t>
      </w:r>
      <w:r w:rsidR="000A29D0" w:rsidRPr="00E130CE">
        <w:rPr>
          <w:rFonts w:ascii="Times New (W1)" w:hAnsi="Times New (W1)"/>
          <w:szCs w:val="26"/>
        </w:rPr>
        <w:t>octubre y diciembre</w:t>
      </w:r>
      <w:r w:rsidRPr="00E130CE">
        <w:rPr>
          <w:rFonts w:ascii="Times New (W1)" w:hAnsi="Times New (W1)"/>
          <w:szCs w:val="26"/>
        </w:rPr>
        <w:t xml:space="preserve"> de 2015 un equipo integrado por </w:t>
      </w:r>
      <w:r w:rsidR="000A29D0" w:rsidRPr="00E130CE">
        <w:rPr>
          <w:rFonts w:ascii="Times New (W1)" w:hAnsi="Times New (W1)"/>
          <w:szCs w:val="26"/>
        </w:rPr>
        <w:t>cuatro técnicos de auditoría</w:t>
      </w:r>
      <w:r w:rsidRPr="00E130CE">
        <w:rPr>
          <w:rFonts w:ascii="Times New (W1)" w:hAnsi="Times New (W1)"/>
          <w:szCs w:val="26"/>
        </w:rPr>
        <w:t xml:space="preserve"> y un auditor, con la colaboración de los servicios jurídicos, informáticos y administrativos de la Cámara. </w:t>
      </w:r>
    </w:p>
    <w:p w:rsidR="00C95A0E" w:rsidRPr="00E130CE" w:rsidRDefault="00C95A0E" w:rsidP="00C95A0E">
      <w:pPr>
        <w:pStyle w:val="texto"/>
        <w:tabs>
          <w:tab w:val="clear" w:pos="2835"/>
          <w:tab w:val="clear" w:pos="3969"/>
          <w:tab w:val="clear" w:pos="5103"/>
          <w:tab w:val="clear" w:pos="6237"/>
          <w:tab w:val="clear" w:pos="7371"/>
        </w:tabs>
        <w:rPr>
          <w:rFonts w:ascii="Times New (W1)" w:hAnsi="Times New (W1)"/>
          <w:szCs w:val="26"/>
        </w:rPr>
      </w:pPr>
      <w:r w:rsidRPr="00E130CE">
        <w:rPr>
          <w:rFonts w:ascii="Times New (W1)" w:hAnsi="Times New (W1)"/>
          <w:szCs w:val="26"/>
        </w:rPr>
        <w:t xml:space="preserve">Los resultados de esta actuación se pusieron de manifiesto al </w:t>
      </w:r>
      <w:r w:rsidR="00F25739">
        <w:rPr>
          <w:rFonts w:ascii="Times New (W1)" w:hAnsi="Times New (W1)"/>
          <w:szCs w:val="26"/>
        </w:rPr>
        <w:t>r</w:t>
      </w:r>
      <w:r w:rsidRPr="00E130CE">
        <w:rPr>
          <w:rFonts w:ascii="Times New (W1)" w:hAnsi="Times New (W1)"/>
          <w:szCs w:val="26"/>
        </w:rPr>
        <w:t xml:space="preserve">ector actual de la Universidad y al que </w:t>
      </w:r>
      <w:r w:rsidR="005157DB" w:rsidRPr="00E130CE">
        <w:rPr>
          <w:rFonts w:ascii="Times New (W1)" w:hAnsi="Times New (W1)"/>
          <w:szCs w:val="26"/>
        </w:rPr>
        <w:t>lo fue durante el</w:t>
      </w:r>
      <w:r w:rsidRPr="00E130CE">
        <w:rPr>
          <w:rFonts w:ascii="Times New (W1)" w:hAnsi="Times New (W1)"/>
          <w:szCs w:val="26"/>
        </w:rPr>
        <w:t xml:space="preserve"> ejercicio de 2014, </w:t>
      </w:r>
      <w:r w:rsidR="005B0711" w:rsidRPr="00E130CE">
        <w:rPr>
          <w:rFonts w:ascii="Times New (W1)" w:hAnsi="Times New (W1)"/>
          <w:szCs w:val="26"/>
        </w:rPr>
        <w:t xml:space="preserve">así como </w:t>
      </w:r>
      <w:r w:rsidR="009F7639">
        <w:rPr>
          <w:rFonts w:ascii="Times New (W1)" w:hAnsi="Times New (W1)"/>
          <w:szCs w:val="26"/>
        </w:rPr>
        <w:t xml:space="preserve">al gerente y </w:t>
      </w:r>
      <w:r w:rsidR="005B0711" w:rsidRPr="00E130CE">
        <w:rPr>
          <w:rFonts w:ascii="Times New (W1)" w:hAnsi="Times New (W1)"/>
          <w:szCs w:val="26"/>
        </w:rPr>
        <w:t xml:space="preserve">al presidente del Consejo Social </w:t>
      </w:r>
      <w:r w:rsidRPr="00E130CE">
        <w:rPr>
          <w:rFonts w:ascii="Times New (W1)" w:hAnsi="Times New (W1)"/>
          <w:szCs w:val="26"/>
        </w:rPr>
        <w:t>para que formulasen, en su caso, las aleg</w:t>
      </w:r>
      <w:r w:rsidRPr="00E130CE">
        <w:rPr>
          <w:rFonts w:ascii="Times New (W1)" w:hAnsi="Times New (W1)"/>
          <w:szCs w:val="26"/>
        </w:rPr>
        <w:t>a</w:t>
      </w:r>
      <w:r w:rsidRPr="00E130CE">
        <w:rPr>
          <w:rFonts w:ascii="Times New (W1)" w:hAnsi="Times New (W1)"/>
          <w:szCs w:val="26"/>
        </w:rPr>
        <w:t xml:space="preserve">ciones que estimasen oportunas, de conformidad con lo previsto en el </w:t>
      </w:r>
      <w:r w:rsidR="00D1012B" w:rsidRPr="00E130CE">
        <w:rPr>
          <w:rFonts w:ascii="Times New (W1)" w:hAnsi="Times New (W1)"/>
          <w:szCs w:val="26"/>
        </w:rPr>
        <w:t>art. 1</w:t>
      </w:r>
      <w:r w:rsidR="0035588B" w:rsidRPr="00E130CE">
        <w:rPr>
          <w:rFonts w:ascii="Times New (W1)" w:hAnsi="Times New (W1)"/>
          <w:szCs w:val="26"/>
        </w:rPr>
        <w:t>1.2</w:t>
      </w:r>
      <w:r w:rsidRPr="00E130CE">
        <w:rPr>
          <w:rFonts w:ascii="Times New (W1)" w:hAnsi="Times New (W1)"/>
          <w:szCs w:val="26"/>
        </w:rPr>
        <w:t xml:space="preserve"> de la Ley  Foral 19/1984, reguladora de la Cámara de Comptos de Navarra.</w:t>
      </w:r>
      <w:r w:rsidR="009F7639">
        <w:rPr>
          <w:rFonts w:ascii="Times New (W1)" w:hAnsi="Times New (W1)"/>
          <w:szCs w:val="26"/>
        </w:rPr>
        <w:t xml:space="preserve"> Transcurrido el plazo fijado, no se han presentado alegaciones al informe.</w:t>
      </w:r>
    </w:p>
    <w:p w:rsidR="005157DB" w:rsidRPr="00E130CE" w:rsidRDefault="005157DB" w:rsidP="005157DB">
      <w:pPr>
        <w:pStyle w:val="texto"/>
        <w:tabs>
          <w:tab w:val="clear" w:pos="2835"/>
          <w:tab w:val="clear" w:pos="3969"/>
          <w:tab w:val="clear" w:pos="5103"/>
          <w:tab w:val="clear" w:pos="6237"/>
          <w:tab w:val="clear" w:pos="7371"/>
        </w:tabs>
        <w:rPr>
          <w:rFonts w:ascii="Times New (W1)" w:hAnsi="Times New (W1)"/>
          <w:szCs w:val="26"/>
        </w:rPr>
      </w:pPr>
      <w:r w:rsidRPr="00E130CE">
        <w:rPr>
          <w:rFonts w:ascii="Times New (W1)" w:hAnsi="Times New (W1)"/>
          <w:szCs w:val="26"/>
        </w:rPr>
        <w:t>En enero de 2014, esta Cámara publicó un informe sobre las cuentas gener</w:t>
      </w:r>
      <w:r w:rsidRPr="00E130CE">
        <w:rPr>
          <w:rFonts w:ascii="Times New (W1)" w:hAnsi="Times New (W1)"/>
          <w:szCs w:val="26"/>
        </w:rPr>
        <w:t>a</w:t>
      </w:r>
      <w:r w:rsidRPr="00E130CE">
        <w:rPr>
          <w:rFonts w:ascii="Times New (W1)" w:hAnsi="Times New (W1)"/>
          <w:szCs w:val="26"/>
        </w:rPr>
        <w:t>les de la Universidad correspondientes al ejercicio de 2012.</w:t>
      </w:r>
    </w:p>
    <w:p w:rsidR="006F1331" w:rsidRDefault="006F1331" w:rsidP="006F1331">
      <w:pPr>
        <w:pStyle w:val="texto"/>
        <w:tabs>
          <w:tab w:val="clear" w:pos="2835"/>
          <w:tab w:val="clear" w:pos="3969"/>
          <w:tab w:val="clear" w:pos="5103"/>
          <w:tab w:val="clear" w:pos="6237"/>
          <w:tab w:val="clear" w:pos="7371"/>
        </w:tabs>
        <w:rPr>
          <w:szCs w:val="26"/>
        </w:rPr>
      </w:pPr>
      <w:r w:rsidRPr="00E130CE">
        <w:rPr>
          <w:rFonts w:ascii="Times New (W1)" w:hAnsi="Times New (W1)"/>
          <w:szCs w:val="26"/>
        </w:rPr>
        <w:t xml:space="preserve">Agradecemos al </w:t>
      </w:r>
      <w:r w:rsidR="008900BC" w:rsidRPr="00E130CE">
        <w:rPr>
          <w:rFonts w:ascii="Times New (W1)" w:hAnsi="Times New (W1)"/>
          <w:szCs w:val="26"/>
        </w:rPr>
        <w:t xml:space="preserve">personal de </w:t>
      </w:r>
      <w:r w:rsidR="000A29D0" w:rsidRPr="00E130CE">
        <w:rPr>
          <w:rFonts w:ascii="Times New (W1)" w:hAnsi="Times New (W1)"/>
          <w:szCs w:val="26"/>
        </w:rPr>
        <w:t>la Universidad Pública d</w:t>
      </w:r>
      <w:r w:rsidR="000A29D0">
        <w:rPr>
          <w:szCs w:val="26"/>
        </w:rPr>
        <w:t>e Navarra</w:t>
      </w:r>
      <w:r w:rsidR="005D4B8A">
        <w:rPr>
          <w:szCs w:val="26"/>
        </w:rPr>
        <w:t xml:space="preserve"> </w:t>
      </w:r>
      <w:r w:rsidRPr="00A522C1">
        <w:rPr>
          <w:szCs w:val="26"/>
        </w:rPr>
        <w:t>la colabor</w:t>
      </w:r>
      <w:r w:rsidRPr="00A522C1">
        <w:rPr>
          <w:szCs w:val="26"/>
        </w:rPr>
        <w:t>a</w:t>
      </w:r>
      <w:r w:rsidRPr="00A522C1">
        <w:rPr>
          <w:szCs w:val="26"/>
        </w:rPr>
        <w:t>ción prestada en la realización del presente trabajo.</w:t>
      </w:r>
    </w:p>
    <w:p w:rsidR="00425CF6" w:rsidRDefault="00425CF6">
      <w:pPr>
        <w:spacing w:after="0"/>
        <w:ind w:firstLine="0"/>
        <w:jc w:val="left"/>
        <w:rPr>
          <w:rFonts w:ascii="Arial" w:hAnsi="Arial"/>
          <w:b/>
          <w:color w:val="000000"/>
          <w:kern w:val="28"/>
          <w:sz w:val="25"/>
          <w:szCs w:val="26"/>
        </w:rPr>
      </w:pPr>
      <w:bookmarkStart w:id="6" w:name="_Toc423419507"/>
      <w:bookmarkStart w:id="7" w:name="_Toc188167194"/>
      <w:bookmarkStart w:id="8" w:name="_Toc303592531"/>
      <w:bookmarkStart w:id="9" w:name="_Toc309383714"/>
      <w:bookmarkStart w:id="10" w:name="_Toc339016603"/>
      <w:r>
        <w:br w:type="page"/>
      </w:r>
    </w:p>
    <w:p w:rsidR="0038122A" w:rsidRPr="00331AF7" w:rsidRDefault="0038122A" w:rsidP="00331AF7">
      <w:pPr>
        <w:pStyle w:val="atitulo1"/>
      </w:pPr>
      <w:bookmarkStart w:id="11" w:name="_Toc443895222"/>
      <w:r w:rsidRPr="00DF51AE">
        <w:lastRenderedPageBreak/>
        <w:t>I</w:t>
      </w:r>
      <w:r>
        <w:t>I</w:t>
      </w:r>
      <w:r w:rsidRPr="00DF51AE">
        <w:t xml:space="preserve">. </w:t>
      </w:r>
      <w:r>
        <w:t>Opinión</w:t>
      </w:r>
      <w:bookmarkEnd w:id="11"/>
      <w:r w:rsidR="00B86CD0">
        <w:t xml:space="preserve"> </w:t>
      </w:r>
      <w:bookmarkEnd w:id="6"/>
    </w:p>
    <w:p w:rsidR="000702E9" w:rsidRDefault="000702E9" w:rsidP="000702E9">
      <w:pPr>
        <w:pStyle w:val="texto"/>
      </w:pPr>
      <w:r>
        <w:t>Hemos fiscalizado las cuentas anuales de la Universidad Pública de Navarra correspondientes al ejercicio de 2014, cuyos estados contables se recogen de forma resumida en el epígrafe I</w:t>
      </w:r>
      <w:r w:rsidR="00AB2C3E">
        <w:t>II</w:t>
      </w:r>
      <w:r>
        <w:t xml:space="preserve"> de este informe</w:t>
      </w:r>
      <w:r w:rsidR="00467B02">
        <w:t xml:space="preserve"> y de forma completa en la memoria de la Universidad que se adjunta en </w:t>
      </w:r>
      <w:r w:rsidR="00DD6D5A">
        <w:t>el mismo</w:t>
      </w:r>
      <w:r>
        <w:t>.</w:t>
      </w:r>
    </w:p>
    <w:p w:rsidR="0038122A" w:rsidRPr="004F32B1" w:rsidRDefault="0038122A" w:rsidP="0038122A">
      <w:pPr>
        <w:pStyle w:val="atitulo3"/>
      </w:pPr>
      <w:r w:rsidRPr="004F32B1">
        <w:t>Responsabilidad de</w:t>
      </w:r>
      <w:r w:rsidR="000702E9">
        <w:t xml:space="preserve"> </w:t>
      </w:r>
      <w:r>
        <w:t>l</w:t>
      </w:r>
      <w:r w:rsidR="000702E9">
        <w:t>a Universidad Pública de Navarra</w:t>
      </w:r>
      <w:r>
        <w:t xml:space="preserve"> </w:t>
      </w:r>
    </w:p>
    <w:p w:rsidR="000702E9" w:rsidRDefault="004739B1" w:rsidP="000702E9">
      <w:pPr>
        <w:pStyle w:val="texto"/>
      </w:pPr>
      <w:r>
        <w:t>L</w:t>
      </w:r>
      <w:r w:rsidR="00485CD2">
        <w:t>a</w:t>
      </w:r>
      <w:r>
        <w:t xml:space="preserve"> Gerencia, bajo la dirección del </w:t>
      </w:r>
      <w:r w:rsidR="00F25739">
        <w:t>r</w:t>
      </w:r>
      <w:r>
        <w:t>ector,</w:t>
      </w:r>
      <w:r w:rsidR="000702E9">
        <w:t xml:space="preserve"> </w:t>
      </w:r>
      <w:r>
        <w:t xml:space="preserve">es </w:t>
      </w:r>
      <w:r w:rsidR="000702E9" w:rsidRPr="0026612D">
        <w:t xml:space="preserve">responsable de formular las cuentas </w:t>
      </w:r>
      <w:r w:rsidR="000702E9">
        <w:t>anuales</w:t>
      </w:r>
      <w:r w:rsidR="000702E9" w:rsidRPr="0026612D">
        <w:t>,</w:t>
      </w:r>
      <w:r>
        <w:t xml:space="preserve"> que</w:t>
      </w:r>
      <w:r w:rsidR="00EB0CF4">
        <w:t>,</w:t>
      </w:r>
      <w:r>
        <w:t xml:space="preserve"> a propuesta del Consejo de Gobierno</w:t>
      </w:r>
      <w:r w:rsidR="00EB0CF4">
        <w:t>,</w:t>
      </w:r>
      <w:r>
        <w:t xml:space="preserve"> serán aprobadas por el Consejo Social,</w:t>
      </w:r>
      <w:r w:rsidR="000702E9" w:rsidRPr="0026612D">
        <w:t xml:space="preserve"> de forma que expresen la imagen fiel </w:t>
      </w:r>
      <w:r w:rsidR="00022611">
        <w:t>del patrimonio, de la situación financiera, de los resultados y de la ejecución del presupuesto de</w:t>
      </w:r>
      <w:r w:rsidR="000702E9">
        <w:t xml:space="preserve"> la Universidad</w:t>
      </w:r>
      <w:r w:rsidR="000702E9" w:rsidRPr="0026612D">
        <w:t xml:space="preserve"> de conformidad con el marco normativo de</w:t>
      </w:r>
      <w:r w:rsidR="00CF6110">
        <w:t xml:space="preserve"> información financiera </w:t>
      </w:r>
      <w:r w:rsidR="000702E9" w:rsidRPr="0026612D">
        <w:t>aplicable</w:t>
      </w:r>
      <w:r w:rsidR="00022611">
        <w:t>, y del control interno que considere</w:t>
      </w:r>
      <w:r w:rsidR="00A2212D">
        <w:t>n</w:t>
      </w:r>
      <w:r w:rsidR="00022611">
        <w:t xml:space="preserve"> necesario para permitir la prep</w:t>
      </w:r>
      <w:r w:rsidR="00022611">
        <w:t>a</w:t>
      </w:r>
      <w:r w:rsidR="00022611">
        <w:t>ración y presentación de las cuentas anuale</w:t>
      </w:r>
      <w:r w:rsidR="000702E9">
        <w:t>s libres de incorrecciones materi</w:t>
      </w:r>
      <w:r w:rsidR="000702E9">
        <w:t>a</w:t>
      </w:r>
      <w:r w:rsidR="000702E9">
        <w:t>les</w:t>
      </w:r>
      <w:r w:rsidR="00022611">
        <w:t>,</w:t>
      </w:r>
      <w:r w:rsidR="000702E9">
        <w:t xml:space="preserve"> debidas a fraude o error. </w:t>
      </w:r>
    </w:p>
    <w:p w:rsidR="000702E9" w:rsidRDefault="00022611" w:rsidP="000702E9">
      <w:pPr>
        <w:pStyle w:val="texto"/>
      </w:pPr>
      <w:r>
        <w:t xml:space="preserve">Además de la responsabilidad de formular y presentar las cuentas anuales, debe garantizar que las actividades, operaciones presupuestarias y financieras y la información reflejadas en las cuentas anuales resultan conformes con las normas aplicables y </w:t>
      </w:r>
      <w:r w:rsidR="00096E69">
        <w:t xml:space="preserve">de </w:t>
      </w:r>
      <w:r>
        <w:t>establecer los sistemas de control interno que consid</w:t>
      </w:r>
      <w:r>
        <w:t>e</w:t>
      </w:r>
      <w:r>
        <w:t>ren necesario para esa finalidad.</w:t>
      </w:r>
    </w:p>
    <w:p w:rsidR="000702E9" w:rsidRPr="00F71FD2" w:rsidRDefault="000702E9" w:rsidP="000702E9">
      <w:pPr>
        <w:pStyle w:val="atitulo3"/>
      </w:pPr>
      <w:r w:rsidRPr="00F71FD2">
        <w:t>Responsabilidad de la Cámara de Comptos de Navarra</w:t>
      </w:r>
    </w:p>
    <w:p w:rsidR="00A2212D" w:rsidRDefault="000702E9" w:rsidP="000702E9">
      <w:pPr>
        <w:pStyle w:val="texto"/>
      </w:pPr>
      <w:r w:rsidRPr="004F32B1">
        <w:t>Nuestra responsabilidad es expresar una opinión sobre</w:t>
      </w:r>
      <w:r>
        <w:t xml:space="preserve"> </w:t>
      </w:r>
      <w:r w:rsidRPr="004F32B1">
        <w:t xml:space="preserve">las cuentas </w:t>
      </w:r>
      <w:r w:rsidR="00A2212D">
        <w:t>anuales</w:t>
      </w:r>
      <w:r w:rsidRPr="004F32B1">
        <w:t xml:space="preserve"> adjuntas</w:t>
      </w:r>
      <w:r>
        <w:t xml:space="preserve"> y </w:t>
      </w:r>
      <w:r w:rsidR="00A2212D">
        <w:t xml:space="preserve">sobre </w:t>
      </w:r>
      <w:r>
        <w:t>la legalidad de las operaciones efectuadas</w:t>
      </w:r>
      <w:r w:rsidRPr="004F32B1">
        <w:t xml:space="preserve"> basada en nuestra </w:t>
      </w:r>
      <w:r>
        <w:t>fiscalización</w:t>
      </w:r>
      <w:r w:rsidRPr="004F32B1">
        <w:t xml:space="preserve">. </w:t>
      </w:r>
    </w:p>
    <w:p w:rsidR="000702E9" w:rsidRPr="0015212F" w:rsidRDefault="000702E9" w:rsidP="000702E9">
      <w:pPr>
        <w:pStyle w:val="texto"/>
      </w:pPr>
      <w:r>
        <w:t>Para ello, h</w:t>
      </w:r>
      <w:r w:rsidRPr="004F32B1">
        <w:t xml:space="preserve">emos llevado a cabo </w:t>
      </w:r>
      <w:r>
        <w:t>la misma</w:t>
      </w:r>
      <w:r w:rsidRPr="004F32B1">
        <w:t xml:space="preserve"> de conformidad con los </w:t>
      </w:r>
      <w:r>
        <w:t>p</w:t>
      </w:r>
      <w:r w:rsidR="00A2212D">
        <w:t>rincipios fundamentales</w:t>
      </w:r>
      <w:r w:rsidRPr="004F32B1">
        <w:t xml:space="preserve"> de fiscalización de las Instituciones</w:t>
      </w:r>
      <w:r>
        <w:t xml:space="preserve"> Públicas de Control E</w:t>
      </w:r>
      <w:r>
        <w:t>x</w:t>
      </w:r>
      <w:r>
        <w:t xml:space="preserve">terno. Dichos principios </w:t>
      </w:r>
      <w:r w:rsidRPr="004F32B1">
        <w:t>exige</w:t>
      </w:r>
      <w:r>
        <w:t>n</w:t>
      </w:r>
      <w:r w:rsidRPr="004F32B1">
        <w:t xml:space="preserve"> que cumplamos los requerimientos de ética, así como que planifiquemos y ejecutemos la </w:t>
      </w:r>
      <w:r>
        <w:t>fiscalización</w:t>
      </w:r>
      <w:r w:rsidRPr="004F32B1">
        <w:t xml:space="preserve"> con el fin de obtener una seguridad razonable de que las cuentas </w:t>
      </w:r>
      <w:r w:rsidR="00A2212D">
        <w:t>anuales</w:t>
      </w:r>
      <w:r w:rsidRPr="004F32B1">
        <w:t xml:space="preserve"> están libres de incorrecciones materiales</w:t>
      </w:r>
      <w:r>
        <w:t xml:space="preserve"> y que </w:t>
      </w:r>
      <w:r w:rsidRPr="0015212F">
        <w:t>las actividades, operaciones financieras y la información refl</w:t>
      </w:r>
      <w:r w:rsidRPr="0015212F">
        <w:t>e</w:t>
      </w:r>
      <w:r w:rsidRPr="0015212F">
        <w:t>jadas en los estados financieros resultan, en todos los aspectos significativos, conformes con la</w:t>
      </w:r>
      <w:r>
        <w:t xml:space="preserve"> normativa vigente</w:t>
      </w:r>
      <w:r w:rsidRPr="0015212F">
        <w:t xml:space="preserve">. </w:t>
      </w:r>
    </w:p>
    <w:p w:rsidR="00A2212D" w:rsidRPr="00A2212D" w:rsidRDefault="00A2212D" w:rsidP="00A2212D">
      <w:pPr>
        <w:pStyle w:val="texto"/>
      </w:pPr>
      <w:r w:rsidRPr="00A2212D">
        <w:t>Una fiscalización requiere la aplicación de procedimientos para obtener ev</w:t>
      </w:r>
      <w:r w:rsidRPr="00A2212D">
        <w:t>i</w:t>
      </w:r>
      <w:r w:rsidRPr="00A2212D">
        <w:t>dencia de auditoría sobre los importes y la información revelada en las cuentas anuales y sobre el cumplimiento de los aspectos relevantes establecidos en la normativa durante el ejercicio fiscalizado.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w:t>
      </w:r>
      <w:r w:rsidRPr="00A2212D">
        <w:t>u</w:t>
      </w:r>
      <w:r w:rsidRPr="00A2212D">
        <w:lastRenderedPageBreak/>
        <w:t>lación por parte de la entidad de las cuentas anuales y para garantizar el cu</w:t>
      </w:r>
      <w:r w:rsidRPr="00A2212D">
        <w:t>m</w:t>
      </w:r>
      <w:r w:rsidRPr="00A2212D">
        <w:t>plimiento de la legalidad,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w:t>
      </w:r>
      <w:r w:rsidRPr="00A2212D">
        <w:t>a</w:t>
      </w:r>
      <w:r w:rsidRPr="00A2212D">
        <w:t>bles aplicadas y de la razonabilidad de las estimaciones contables realizadas por la dirección, así como la evaluación de la presentación de las cuentas anu</w:t>
      </w:r>
      <w:r w:rsidRPr="00A2212D">
        <w:t>a</w:t>
      </w:r>
      <w:r w:rsidRPr="00A2212D">
        <w:t>les tomadas en su conjunto.</w:t>
      </w:r>
    </w:p>
    <w:p w:rsidR="00A2212D" w:rsidRPr="00A2212D" w:rsidRDefault="00A2212D" w:rsidP="00A2212D">
      <w:pPr>
        <w:pStyle w:val="texto"/>
      </w:pPr>
      <w:r w:rsidRPr="00A2212D">
        <w:t xml:space="preserve">Consideramos que la evidencia de auditoría que hemos obtenido proporciona una base suficiente y adecuada para </w:t>
      </w:r>
      <w:r w:rsidR="002D48DB">
        <w:t xml:space="preserve">fundamentar </w:t>
      </w:r>
      <w:r w:rsidRPr="00A2212D">
        <w:t>nuestra opinión</w:t>
      </w:r>
      <w:r w:rsidR="008E7D7B">
        <w:t xml:space="preserve"> no modific</w:t>
      </w:r>
      <w:r w:rsidR="008E7D7B">
        <w:t>a</w:t>
      </w:r>
      <w:r w:rsidR="008E7D7B">
        <w:t>da</w:t>
      </w:r>
      <w:r w:rsidRPr="00A2212D">
        <w:t xml:space="preserve"> de auditoría financiera</w:t>
      </w:r>
      <w:r w:rsidR="002D48DB">
        <w:t xml:space="preserve"> </w:t>
      </w:r>
      <w:r w:rsidRPr="00A2212D">
        <w:t xml:space="preserve">y de </w:t>
      </w:r>
      <w:r w:rsidR="00B86CD0">
        <w:t xml:space="preserve">fiscalización del </w:t>
      </w:r>
      <w:r w:rsidRPr="00A2212D">
        <w:t>cumplimiento</w:t>
      </w:r>
      <w:r>
        <w:t xml:space="preserve"> de legalidad</w:t>
      </w:r>
      <w:r w:rsidRPr="00A2212D">
        <w:t>.</w:t>
      </w:r>
    </w:p>
    <w:p w:rsidR="00A2212D" w:rsidRDefault="00703010" w:rsidP="00A2212D">
      <w:pPr>
        <w:pStyle w:val="atitulo2"/>
        <w:spacing w:before="240"/>
      </w:pPr>
      <w:bookmarkStart w:id="12" w:name="_Toc443895223"/>
      <w:bookmarkStart w:id="13" w:name="_Toc305415950"/>
      <w:bookmarkStart w:id="14" w:name="_Toc305480468"/>
      <w:bookmarkStart w:id="15" w:name="_Toc402180175"/>
      <w:bookmarkStart w:id="16" w:name="_Toc188167196"/>
      <w:bookmarkStart w:id="17" w:name="_Toc303592533"/>
      <w:bookmarkStart w:id="18" w:name="_Toc309383716"/>
      <w:bookmarkStart w:id="19" w:name="_Toc339016605"/>
      <w:r>
        <w:t>II</w:t>
      </w:r>
      <w:r w:rsidR="00A2212D">
        <w:t xml:space="preserve">.1. Opinión </w:t>
      </w:r>
      <w:r w:rsidR="002747C7">
        <w:t xml:space="preserve">de auditoría </w:t>
      </w:r>
      <w:r w:rsidR="00A2212D">
        <w:t>financiera sobre las cuentas anuales de 2014</w:t>
      </w:r>
      <w:bookmarkEnd w:id="12"/>
    </w:p>
    <w:p w:rsidR="00513B14" w:rsidRPr="003861C7" w:rsidRDefault="003861C7" w:rsidP="003861C7">
      <w:pPr>
        <w:pStyle w:val="texto"/>
        <w:rPr>
          <w:i/>
        </w:rPr>
      </w:pPr>
      <w:r w:rsidRPr="00036341">
        <w:rPr>
          <w:i/>
        </w:rPr>
        <w:t xml:space="preserve">Opinión </w:t>
      </w:r>
      <w:r w:rsidR="008E7D7B">
        <w:rPr>
          <w:i/>
        </w:rPr>
        <w:t xml:space="preserve">de auditoría </w:t>
      </w:r>
      <w:r>
        <w:rPr>
          <w:i/>
        </w:rPr>
        <w:t>financiera</w:t>
      </w:r>
    </w:p>
    <w:p w:rsidR="00A2212D" w:rsidRDefault="00A2212D" w:rsidP="00A46FE8">
      <w:pPr>
        <w:pStyle w:val="texto"/>
        <w:spacing w:after="0"/>
      </w:pPr>
      <w:r w:rsidRPr="006151BD">
        <w:t>En nuestra opinión</w:t>
      </w:r>
      <w:r w:rsidR="008E7D7B" w:rsidRPr="00915718">
        <w:rPr>
          <w:i/>
        </w:rPr>
        <w:t>,</w:t>
      </w:r>
      <w:r w:rsidR="008E7D7B">
        <w:rPr>
          <w:i/>
          <w:color w:val="FF0000"/>
        </w:rPr>
        <w:t xml:space="preserve"> </w:t>
      </w:r>
      <w:r w:rsidRPr="006151BD">
        <w:t>las cuentas anuales adjuntas expresan, en todos los a</w:t>
      </w:r>
      <w:r w:rsidRPr="006151BD">
        <w:t>s</w:t>
      </w:r>
      <w:r w:rsidRPr="006151BD">
        <w:t xml:space="preserve">pectos significativos, la imagen fiel del patrimonio y de la situación financiera de la </w:t>
      </w:r>
      <w:r w:rsidR="006151BD">
        <w:t>Universidad a</w:t>
      </w:r>
      <w:r w:rsidRPr="006151BD">
        <w:t xml:space="preserve"> 31 de diciembre de 201</w:t>
      </w:r>
      <w:r w:rsidR="006151BD">
        <w:t>4</w:t>
      </w:r>
      <w:r w:rsidRPr="006151BD">
        <w:t>, así como de sus resultados ec</w:t>
      </w:r>
      <w:r w:rsidRPr="006151BD">
        <w:t>o</w:t>
      </w:r>
      <w:r w:rsidRPr="006151BD">
        <w:t>nómicos y presupuestarios correspondientes al ejercicio anual terminado en d</w:t>
      </w:r>
      <w:r w:rsidRPr="006151BD">
        <w:t>i</w:t>
      </w:r>
      <w:r w:rsidRPr="006151BD">
        <w:t xml:space="preserve">cha fecha, de conformidad con el marco normativo de información financiera </w:t>
      </w:r>
      <w:r w:rsidR="006151BD">
        <w:t xml:space="preserve">pública </w:t>
      </w:r>
      <w:r w:rsidRPr="006151BD">
        <w:t>que resulta de aplicación y, en particular, con los principios y criterios contables y presupuestarios contenidos en el mismo.</w:t>
      </w:r>
    </w:p>
    <w:p w:rsidR="00842F6C" w:rsidRPr="00021BF6" w:rsidRDefault="00703010" w:rsidP="00021BF6">
      <w:pPr>
        <w:pStyle w:val="atitulo2"/>
        <w:spacing w:before="240"/>
      </w:pPr>
      <w:bookmarkStart w:id="20" w:name="_Toc443895224"/>
      <w:r>
        <w:t>II</w:t>
      </w:r>
      <w:r w:rsidR="00A2212D">
        <w:t xml:space="preserve">.2. Opinión </w:t>
      </w:r>
      <w:r w:rsidR="002747C7">
        <w:t>de</w:t>
      </w:r>
      <w:r w:rsidR="00A2212D">
        <w:t xml:space="preserve"> </w:t>
      </w:r>
      <w:r w:rsidR="00B86CD0">
        <w:t xml:space="preserve">fiscalización del </w:t>
      </w:r>
      <w:r w:rsidR="00A2212D">
        <w:t>cumplimiento de legalidad</w:t>
      </w:r>
      <w:bookmarkEnd w:id="13"/>
      <w:bookmarkEnd w:id="14"/>
      <w:bookmarkEnd w:id="15"/>
      <w:bookmarkEnd w:id="16"/>
      <w:bookmarkEnd w:id="17"/>
      <w:bookmarkEnd w:id="18"/>
      <w:bookmarkEnd w:id="19"/>
      <w:bookmarkEnd w:id="20"/>
    </w:p>
    <w:p w:rsidR="00842F6C" w:rsidRPr="00036341" w:rsidRDefault="00842F6C" w:rsidP="00842F6C">
      <w:pPr>
        <w:pStyle w:val="texto"/>
        <w:rPr>
          <w:i/>
        </w:rPr>
      </w:pPr>
      <w:r w:rsidRPr="00036341">
        <w:rPr>
          <w:i/>
        </w:rPr>
        <w:t>Opinión de cumplimiento de legalidad</w:t>
      </w:r>
    </w:p>
    <w:p w:rsidR="00842F6C" w:rsidRDefault="00842F6C" w:rsidP="00842F6C">
      <w:pPr>
        <w:pStyle w:val="texto"/>
      </w:pPr>
      <w:r>
        <w:t>En nuestra opinión,</w:t>
      </w:r>
      <w:r w:rsidRPr="00A2212D">
        <w:t xml:space="preserve"> las actividades, operaciones presupuestarias y financi</w:t>
      </w:r>
      <w:r w:rsidRPr="00A2212D">
        <w:t>e</w:t>
      </w:r>
      <w:r w:rsidRPr="00A2212D">
        <w:t xml:space="preserve">ras y la información reflejada en las cuentas anuales </w:t>
      </w:r>
      <w:r>
        <w:t xml:space="preserve">de la Universidad </w:t>
      </w:r>
      <w:r w:rsidRPr="00A2212D">
        <w:t>del eje</w:t>
      </w:r>
      <w:r w:rsidRPr="00A2212D">
        <w:t>r</w:t>
      </w:r>
      <w:r w:rsidRPr="00A2212D">
        <w:t>cicio 201</w:t>
      </w:r>
      <w:r>
        <w:t>4</w:t>
      </w:r>
      <w:r w:rsidRPr="00A2212D">
        <w:t xml:space="preserve"> resultan conformes, en todos los aspectos significativos, con la no</w:t>
      </w:r>
      <w:r w:rsidRPr="00A2212D">
        <w:t>r</w:t>
      </w:r>
      <w:r w:rsidRPr="00A2212D">
        <w:t xml:space="preserve">mativa aplicable a la gestión de los fondos públicos. </w:t>
      </w:r>
    </w:p>
    <w:p w:rsidR="00842F6C" w:rsidRPr="00021BF6" w:rsidRDefault="00842F6C" w:rsidP="00842F6C">
      <w:pPr>
        <w:pStyle w:val="texto"/>
        <w:rPr>
          <w:i/>
        </w:rPr>
      </w:pPr>
      <w:r w:rsidRPr="00021BF6">
        <w:rPr>
          <w:i/>
        </w:rPr>
        <w:t xml:space="preserve">Párrafo de </w:t>
      </w:r>
      <w:r w:rsidR="00FA5305" w:rsidRPr="00021BF6">
        <w:rPr>
          <w:i/>
        </w:rPr>
        <w:t>otras cuestiones</w:t>
      </w:r>
      <w:r w:rsidR="00021BF6" w:rsidRPr="00021BF6">
        <w:rPr>
          <w:i/>
        </w:rPr>
        <w:t xml:space="preserve"> significativas</w:t>
      </w:r>
      <w:r w:rsidR="00021BF6">
        <w:rPr>
          <w:rStyle w:val="Refdenotaalpie"/>
          <w:i/>
        </w:rPr>
        <w:footnoteReference w:id="2"/>
      </w:r>
      <w:r w:rsidR="00021BF6" w:rsidRPr="00021BF6">
        <w:rPr>
          <w:i/>
        </w:rPr>
        <w:t xml:space="preserve"> </w:t>
      </w:r>
    </w:p>
    <w:p w:rsidR="00FA5305" w:rsidRDefault="00842F6C" w:rsidP="00FA5305">
      <w:pPr>
        <w:pStyle w:val="texto"/>
        <w:tabs>
          <w:tab w:val="num" w:pos="300"/>
          <w:tab w:val="num" w:pos="720"/>
        </w:tabs>
      </w:pPr>
      <w:r>
        <w:t>La Universidad Pública como administración pública está sujeta al cumpl</w:t>
      </w:r>
      <w:r>
        <w:t>i</w:t>
      </w:r>
      <w:r>
        <w:t>miento de los principios de estabilidad presupuestaria y sostenibilidad financi</w:t>
      </w:r>
      <w:r>
        <w:t>e</w:t>
      </w:r>
      <w:r>
        <w:t xml:space="preserve">ra. Ahora bien, por la vigente normativa, la </w:t>
      </w:r>
      <w:r w:rsidR="004354B4">
        <w:t xml:space="preserve">información financiera-presupuestaria de la </w:t>
      </w:r>
      <w:r>
        <w:t>misma se integra dentro del “sector administración públ</w:t>
      </w:r>
      <w:r>
        <w:t>i</w:t>
      </w:r>
      <w:r>
        <w:t xml:space="preserve">ca” de la </w:t>
      </w:r>
      <w:r w:rsidR="004354B4">
        <w:t xml:space="preserve">Administración de la </w:t>
      </w:r>
      <w:r>
        <w:t>Comunidad Foral y es</w:t>
      </w:r>
      <w:r w:rsidR="00293378">
        <w:t>,</w:t>
      </w:r>
      <w:r>
        <w:t xml:space="preserve"> dentro de ese sector</w:t>
      </w:r>
      <w:r w:rsidR="00293378">
        <w:t>,</w:t>
      </w:r>
      <w:r>
        <w:t xml:space="preserve"> donde se verifica globalmente el cumplimiento de tales principios.</w:t>
      </w:r>
      <w:r w:rsidR="00FA5305" w:rsidRPr="00FA5305">
        <w:t xml:space="preserve"> </w:t>
      </w:r>
    </w:p>
    <w:p w:rsidR="00021BF6" w:rsidRDefault="00021BF6" w:rsidP="00FA5305">
      <w:pPr>
        <w:pStyle w:val="texto"/>
        <w:tabs>
          <w:tab w:val="num" w:pos="300"/>
          <w:tab w:val="num" w:pos="720"/>
        </w:tabs>
      </w:pPr>
      <w:r>
        <w:lastRenderedPageBreak/>
        <w:t>De acuerdo con el informe de esta Cámara sobre las cuentas generales del Gobierno de Navarra de 2014</w:t>
      </w:r>
      <w:r w:rsidR="008626AC">
        <w:rPr>
          <w:rStyle w:val="Refdenotaalpie"/>
        </w:rPr>
        <w:footnoteReference w:id="3"/>
      </w:r>
      <w:r>
        <w:t>, el sector administración pública de la Comun</w:t>
      </w:r>
      <w:r>
        <w:t>i</w:t>
      </w:r>
      <w:r>
        <w:t>dad Foral ha cumplido</w:t>
      </w:r>
      <w:r w:rsidR="00AC25C5">
        <w:rPr>
          <w:rStyle w:val="Refdenotaalpie"/>
        </w:rPr>
        <w:footnoteReference w:id="4"/>
      </w:r>
      <w:r>
        <w:t xml:space="preserve"> con los principios de estabilidad presupuestaria y so</w:t>
      </w:r>
      <w:r>
        <w:t>s</w:t>
      </w:r>
      <w:r>
        <w:t>tenibilidad financiera.</w:t>
      </w:r>
    </w:p>
    <w:p w:rsidR="00F02541" w:rsidRDefault="00F02541">
      <w:pPr>
        <w:spacing w:after="0"/>
        <w:ind w:firstLine="0"/>
        <w:jc w:val="left"/>
        <w:rPr>
          <w:rFonts w:ascii="Arial" w:hAnsi="Arial"/>
          <w:b/>
          <w:color w:val="000000"/>
          <w:kern w:val="28"/>
          <w:sz w:val="25"/>
          <w:szCs w:val="26"/>
        </w:rPr>
      </w:pPr>
      <w:r>
        <w:br w:type="page"/>
      </w:r>
    </w:p>
    <w:p w:rsidR="00066FA6" w:rsidRDefault="00066FA6" w:rsidP="00066FA6">
      <w:pPr>
        <w:pStyle w:val="atitulo1"/>
      </w:pPr>
      <w:bookmarkStart w:id="21" w:name="_Toc443895225"/>
      <w:r w:rsidRPr="00DF51AE">
        <w:lastRenderedPageBreak/>
        <w:t>I</w:t>
      </w:r>
      <w:r w:rsidR="00703010">
        <w:t>II.</w:t>
      </w:r>
      <w:r w:rsidRPr="00DF51AE">
        <w:t xml:space="preserve"> </w:t>
      </w:r>
      <w:r>
        <w:t>Resumen de las cuentas anuales de la Universidad Pública de Nav</w:t>
      </w:r>
      <w:r>
        <w:t>a</w:t>
      </w:r>
      <w:r>
        <w:t>rra, ejercicio 2014</w:t>
      </w:r>
      <w:bookmarkEnd w:id="21"/>
    </w:p>
    <w:p w:rsidR="006420DA" w:rsidRPr="006420DA" w:rsidRDefault="006420DA" w:rsidP="006420DA">
      <w:pPr>
        <w:pStyle w:val="atitulo2"/>
        <w:spacing w:before="240"/>
        <w:rPr>
          <w:rFonts w:cs="Arial"/>
          <w:lang w:eastAsia="es-ES"/>
        </w:rPr>
      </w:pPr>
      <w:bookmarkStart w:id="22" w:name="_Toc443895226"/>
      <w:r>
        <w:t>I</w:t>
      </w:r>
      <w:r w:rsidR="00703010">
        <w:t>II</w:t>
      </w:r>
      <w:r>
        <w:t>.1. Liquidación del presupuesto de 2014</w:t>
      </w:r>
      <w:bookmarkEnd w:id="22"/>
    </w:p>
    <w:p w:rsidR="006420DA" w:rsidRDefault="006420DA" w:rsidP="006420DA">
      <w:pPr>
        <w:spacing w:after="120"/>
        <w:ind w:firstLine="0"/>
        <w:jc w:val="center"/>
        <w:rPr>
          <w:rFonts w:ascii="Arial" w:hAnsi="Arial" w:cs="Arial"/>
          <w:lang w:val="es-ES" w:eastAsia="es-ES"/>
        </w:rPr>
      </w:pPr>
    </w:p>
    <w:p w:rsidR="006420DA" w:rsidRPr="006420DA" w:rsidRDefault="006420DA" w:rsidP="006420DA">
      <w:pPr>
        <w:spacing w:after="240"/>
        <w:ind w:firstLine="0"/>
        <w:jc w:val="center"/>
        <w:rPr>
          <w:rFonts w:ascii="Arial" w:hAnsi="Arial" w:cs="Arial"/>
          <w:sz w:val="24"/>
          <w:szCs w:val="24"/>
          <w:lang w:val="es-ES" w:eastAsia="es-ES"/>
        </w:rPr>
      </w:pPr>
      <w:r w:rsidRPr="006420DA">
        <w:rPr>
          <w:rFonts w:ascii="Arial" w:hAnsi="Arial" w:cs="Arial"/>
          <w:sz w:val="24"/>
          <w:szCs w:val="24"/>
          <w:lang w:val="es-ES" w:eastAsia="es-ES"/>
        </w:rPr>
        <w:t>Liquidación del presupuesto de gastos, por capítulo económico</w:t>
      </w:r>
    </w:p>
    <w:tbl>
      <w:tblPr>
        <w:tblW w:w="508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552"/>
        <w:gridCol w:w="1189"/>
        <w:gridCol w:w="1093"/>
        <w:gridCol w:w="1102"/>
        <w:gridCol w:w="1220"/>
        <w:gridCol w:w="1107"/>
        <w:gridCol w:w="811"/>
      </w:tblGrid>
      <w:tr w:rsidR="006420DA" w:rsidRPr="006420DA" w:rsidTr="000A4C01">
        <w:trPr>
          <w:trHeight w:val="284"/>
          <w:jc w:val="center"/>
        </w:trPr>
        <w:tc>
          <w:tcPr>
            <w:tcW w:w="1407" w:type="pct"/>
            <w:shd w:val="clear" w:color="auto" w:fill="A8CBEE" w:themeFill="accent2" w:themeFillTint="66"/>
            <w:vAlign w:val="center"/>
          </w:tcPr>
          <w:p w:rsidR="006420DA" w:rsidRPr="006420DA" w:rsidRDefault="006420DA" w:rsidP="00BC4F7A">
            <w:pPr>
              <w:spacing w:after="0"/>
              <w:ind w:left="50" w:firstLine="0"/>
              <w:jc w:val="left"/>
              <w:rPr>
                <w:rFonts w:ascii="Arial" w:hAnsi="Arial" w:cs="Arial"/>
                <w:bCs/>
                <w:color w:val="000000"/>
                <w:sz w:val="17"/>
                <w:szCs w:val="17"/>
                <w:lang w:val="es-ES" w:eastAsia="es-ES"/>
              </w:rPr>
            </w:pPr>
            <w:r w:rsidRPr="006420DA">
              <w:rPr>
                <w:rFonts w:ascii="Arial" w:hAnsi="Arial" w:cs="Arial"/>
                <w:bCs/>
                <w:color w:val="000000"/>
                <w:sz w:val="17"/>
                <w:szCs w:val="17"/>
                <w:lang w:val="es-ES" w:eastAsia="es-ES"/>
              </w:rPr>
              <w:t>Descripción</w:t>
            </w:r>
          </w:p>
        </w:tc>
        <w:tc>
          <w:tcPr>
            <w:tcW w:w="655" w:type="pct"/>
            <w:shd w:val="clear" w:color="auto" w:fill="A8CBEE" w:themeFill="accent2" w:themeFillTint="66"/>
            <w:vAlign w:val="center"/>
          </w:tcPr>
          <w:p w:rsidR="006420DA" w:rsidRPr="006420DA" w:rsidRDefault="006420DA" w:rsidP="00BC4F7A">
            <w:pPr>
              <w:spacing w:after="0"/>
              <w:ind w:firstLine="0"/>
              <w:jc w:val="right"/>
              <w:rPr>
                <w:rFonts w:ascii="Arial" w:hAnsi="Arial" w:cs="Arial"/>
                <w:bCs/>
                <w:color w:val="000000"/>
                <w:sz w:val="17"/>
                <w:szCs w:val="17"/>
                <w:lang w:val="es-ES" w:eastAsia="es-ES"/>
              </w:rPr>
            </w:pPr>
            <w:r w:rsidRPr="006420DA">
              <w:rPr>
                <w:rFonts w:ascii="Arial" w:hAnsi="Arial" w:cs="Arial"/>
                <w:bCs/>
                <w:color w:val="000000"/>
                <w:sz w:val="17"/>
                <w:szCs w:val="17"/>
                <w:lang w:val="es-ES" w:eastAsia="es-ES"/>
              </w:rPr>
              <w:t>Previsión inicial</w:t>
            </w:r>
          </w:p>
        </w:tc>
        <w:tc>
          <w:tcPr>
            <w:tcW w:w="602" w:type="pct"/>
            <w:shd w:val="clear" w:color="auto" w:fill="A8CBEE" w:themeFill="accent2" w:themeFillTint="66"/>
            <w:vAlign w:val="center"/>
          </w:tcPr>
          <w:p w:rsidR="006420DA" w:rsidRPr="006420DA" w:rsidRDefault="006420DA" w:rsidP="00BC4F7A">
            <w:pPr>
              <w:spacing w:after="0"/>
              <w:ind w:right="-86" w:firstLine="0"/>
              <w:jc w:val="right"/>
              <w:rPr>
                <w:rFonts w:ascii="Arial" w:hAnsi="Arial" w:cs="Arial"/>
                <w:bCs/>
                <w:color w:val="000000"/>
                <w:sz w:val="17"/>
                <w:szCs w:val="17"/>
                <w:lang w:val="es-ES" w:eastAsia="es-ES"/>
              </w:rPr>
            </w:pPr>
            <w:r w:rsidRPr="006420DA">
              <w:rPr>
                <w:rFonts w:ascii="Arial" w:hAnsi="Arial" w:cs="Arial"/>
                <w:bCs/>
                <w:color w:val="000000"/>
                <w:sz w:val="17"/>
                <w:szCs w:val="17"/>
                <w:lang w:val="es-ES" w:eastAsia="es-ES"/>
              </w:rPr>
              <w:t>Modif.</w:t>
            </w:r>
          </w:p>
        </w:tc>
        <w:tc>
          <w:tcPr>
            <w:tcW w:w="607" w:type="pct"/>
            <w:shd w:val="clear" w:color="auto" w:fill="A8CBEE" w:themeFill="accent2" w:themeFillTint="66"/>
            <w:vAlign w:val="center"/>
          </w:tcPr>
          <w:p w:rsidR="006420DA" w:rsidRPr="006420DA" w:rsidRDefault="006420DA" w:rsidP="00BC4F7A">
            <w:pPr>
              <w:spacing w:after="0"/>
              <w:ind w:firstLine="0"/>
              <w:jc w:val="right"/>
              <w:rPr>
                <w:rFonts w:ascii="Arial" w:hAnsi="Arial" w:cs="Arial"/>
                <w:bCs/>
                <w:color w:val="000000"/>
                <w:sz w:val="17"/>
                <w:szCs w:val="17"/>
                <w:lang w:val="es-ES" w:eastAsia="es-ES"/>
              </w:rPr>
            </w:pPr>
            <w:r w:rsidRPr="006420DA">
              <w:rPr>
                <w:rFonts w:ascii="Arial" w:hAnsi="Arial" w:cs="Arial"/>
                <w:bCs/>
                <w:color w:val="000000"/>
                <w:sz w:val="17"/>
                <w:szCs w:val="17"/>
                <w:lang w:val="es-ES" w:eastAsia="es-ES"/>
              </w:rPr>
              <w:t>Previsión definitiva</w:t>
            </w:r>
          </w:p>
        </w:tc>
        <w:tc>
          <w:tcPr>
            <w:tcW w:w="672" w:type="pct"/>
            <w:shd w:val="clear" w:color="auto" w:fill="A8CBEE" w:themeFill="accent2" w:themeFillTint="66"/>
            <w:vAlign w:val="center"/>
          </w:tcPr>
          <w:p w:rsidR="006420DA" w:rsidRPr="006420DA" w:rsidRDefault="00B30D7B" w:rsidP="00BC4F7A">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Prev</w:t>
            </w:r>
            <w:r w:rsidR="00BC4F7A">
              <w:rPr>
                <w:rFonts w:ascii="Arial" w:hAnsi="Arial" w:cs="Arial"/>
                <w:bCs/>
                <w:color w:val="000000"/>
                <w:sz w:val="17"/>
                <w:szCs w:val="17"/>
                <w:lang w:val="es-ES" w:eastAsia="es-ES"/>
              </w:rPr>
              <w:t>.</w:t>
            </w:r>
            <w:r w:rsidR="006420DA" w:rsidRPr="006420DA">
              <w:rPr>
                <w:rFonts w:ascii="Arial" w:hAnsi="Arial" w:cs="Arial"/>
                <w:bCs/>
                <w:color w:val="000000"/>
                <w:sz w:val="17"/>
                <w:szCs w:val="17"/>
                <w:lang w:val="es-ES" w:eastAsia="es-ES"/>
              </w:rPr>
              <w:t xml:space="preserve"> defin.</w:t>
            </w:r>
          </w:p>
          <w:p w:rsidR="006420DA" w:rsidRPr="006420DA" w:rsidRDefault="00B30D7B" w:rsidP="00BC4F7A">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ajustada</w:t>
            </w:r>
            <w:r w:rsidR="006420DA" w:rsidRPr="006420DA">
              <w:rPr>
                <w:rFonts w:ascii="Arial" w:hAnsi="Arial" w:cs="Arial"/>
                <w:bCs/>
                <w:color w:val="000000"/>
                <w:sz w:val="17"/>
                <w:szCs w:val="17"/>
                <w:lang w:val="es-ES" w:eastAsia="es-ES"/>
              </w:rPr>
              <w:t xml:space="preserve"> </w:t>
            </w:r>
          </w:p>
        </w:tc>
        <w:tc>
          <w:tcPr>
            <w:tcW w:w="610" w:type="pct"/>
            <w:shd w:val="clear" w:color="auto" w:fill="A8CBEE" w:themeFill="accent2" w:themeFillTint="66"/>
            <w:vAlign w:val="center"/>
          </w:tcPr>
          <w:p w:rsidR="006420DA" w:rsidRPr="006420DA" w:rsidRDefault="002338F8" w:rsidP="00E130CE">
            <w:pPr>
              <w:spacing w:after="0"/>
              <w:ind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 xml:space="preserve">Obligac.  </w:t>
            </w:r>
            <w:r w:rsidR="00E130CE">
              <w:rPr>
                <w:rFonts w:ascii="Arial" w:hAnsi="Arial" w:cs="Arial"/>
                <w:bCs/>
                <w:color w:val="000000"/>
                <w:sz w:val="17"/>
                <w:szCs w:val="17"/>
                <w:lang w:val="es-ES" w:eastAsia="es-ES"/>
              </w:rPr>
              <w:t>R</w:t>
            </w:r>
            <w:r>
              <w:rPr>
                <w:rFonts w:ascii="Arial" w:hAnsi="Arial" w:cs="Arial"/>
                <w:bCs/>
                <w:color w:val="000000"/>
                <w:sz w:val="17"/>
                <w:szCs w:val="17"/>
                <w:lang w:val="es-ES" w:eastAsia="es-ES"/>
              </w:rPr>
              <w:t>ec</w:t>
            </w:r>
            <w:r w:rsidR="00E130CE">
              <w:rPr>
                <w:rFonts w:ascii="Arial" w:hAnsi="Arial" w:cs="Arial"/>
                <w:bCs/>
                <w:color w:val="000000"/>
                <w:sz w:val="17"/>
                <w:szCs w:val="17"/>
                <w:lang w:val="es-ES" w:eastAsia="es-ES"/>
              </w:rPr>
              <w:t>.</w:t>
            </w:r>
            <w:r>
              <w:rPr>
                <w:rFonts w:ascii="Arial" w:hAnsi="Arial" w:cs="Arial"/>
                <w:bCs/>
                <w:color w:val="000000"/>
                <w:sz w:val="17"/>
                <w:szCs w:val="17"/>
                <w:lang w:val="es-ES" w:eastAsia="es-ES"/>
              </w:rPr>
              <w:t xml:space="preserve"> netas</w:t>
            </w:r>
          </w:p>
        </w:tc>
        <w:tc>
          <w:tcPr>
            <w:tcW w:w="447" w:type="pct"/>
            <w:shd w:val="clear" w:color="auto" w:fill="A8CBEE" w:themeFill="accent2" w:themeFillTint="66"/>
            <w:vAlign w:val="center"/>
          </w:tcPr>
          <w:p w:rsidR="006420DA" w:rsidRPr="006420DA" w:rsidRDefault="006420DA" w:rsidP="00BC4F7A">
            <w:pPr>
              <w:spacing w:after="0"/>
              <w:ind w:firstLine="0"/>
              <w:jc w:val="right"/>
              <w:rPr>
                <w:rFonts w:ascii="Arial" w:hAnsi="Arial" w:cs="Arial"/>
                <w:bCs/>
                <w:color w:val="000000"/>
                <w:sz w:val="17"/>
                <w:szCs w:val="17"/>
                <w:lang w:val="es-ES" w:eastAsia="es-ES"/>
              </w:rPr>
            </w:pPr>
            <w:r w:rsidRPr="006420DA">
              <w:rPr>
                <w:rFonts w:ascii="Arial" w:hAnsi="Arial" w:cs="Arial"/>
                <w:bCs/>
                <w:color w:val="000000"/>
                <w:sz w:val="17"/>
                <w:szCs w:val="17"/>
                <w:lang w:val="es-ES" w:eastAsia="es-ES"/>
              </w:rPr>
              <w:t>% O</w:t>
            </w:r>
            <w:r w:rsidR="007935D9">
              <w:rPr>
                <w:rFonts w:ascii="Arial" w:hAnsi="Arial" w:cs="Arial"/>
                <w:bCs/>
                <w:color w:val="000000"/>
                <w:sz w:val="17"/>
                <w:szCs w:val="17"/>
                <w:lang w:val="es-ES" w:eastAsia="es-ES"/>
              </w:rPr>
              <w:t>.</w:t>
            </w:r>
            <w:r w:rsidRPr="006420DA">
              <w:rPr>
                <w:rFonts w:ascii="Arial" w:hAnsi="Arial" w:cs="Arial"/>
                <w:bCs/>
                <w:color w:val="000000"/>
                <w:sz w:val="17"/>
                <w:szCs w:val="17"/>
                <w:lang w:val="es-ES" w:eastAsia="es-ES"/>
              </w:rPr>
              <w:t>R</w:t>
            </w:r>
            <w:r w:rsidR="007935D9">
              <w:rPr>
                <w:rFonts w:ascii="Arial" w:hAnsi="Arial" w:cs="Arial"/>
                <w:bCs/>
                <w:color w:val="000000"/>
                <w:sz w:val="17"/>
                <w:szCs w:val="17"/>
                <w:lang w:val="es-ES" w:eastAsia="es-ES"/>
              </w:rPr>
              <w:t>.</w:t>
            </w:r>
            <w:r w:rsidRPr="006420DA">
              <w:rPr>
                <w:rFonts w:ascii="Arial" w:hAnsi="Arial" w:cs="Arial"/>
                <w:bCs/>
                <w:color w:val="000000"/>
                <w:sz w:val="17"/>
                <w:szCs w:val="17"/>
                <w:lang w:val="es-ES" w:eastAsia="es-ES"/>
              </w:rPr>
              <w:t>N</w:t>
            </w:r>
          </w:p>
        </w:tc>
      </w:tr>
      <w:tr w:rsidR="006420DA" w:rsidRPr="006420DA" w:rsidTr="008E7D7B">
        <w:trPr>
          <w:trHeight w:val="284"/>
          <w:jc w:val="center"/>
        </w:trPr>
        <w:tc>
          <w:tcPr>
            <w:tcW w:w="1407" w:type="pct"/>
            <w:tcBorders>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1. Gastos de personal</w:t>
            </w:r>
          </w:p>
        </w:tc>
        <w:tc>
          <w:tcPr>
            <w:tcW w:w="655"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49.650.976</w:t>
            </w:r>
          </w:p>
        </w:tc>
        <w:tc>
          <w:tcPr>
            <w:tcW w:w="602"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4.481.131</w:t>
            </w:r>
          </w:p>
        </w:tc>
        <w:tc>
          <w:tcPr>
            <w:tcW w:w="607"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54.132.107</w:t>
            </w:r>
          </w:p>
        </w:tc>
        <w:tc>
          <w:tcPr>
            <w:tcW w:w="672" w:type="pct"/>
            <w:tcBorders>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53.350.877</w:t>
            </w:r>
          </w:p>
        </w:tc>
        <w:tc>
          <w:tcPr>
            <w:tcW w:w="610" w:type="pct"/>
            <w:tcBorders>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51.649.830</w:t>
            </w:r>
          </w:p>
        </w:tc>
        <w:tc>
          <w:tcPr>
            <w:tcW w:w="447" w:type="pct"/>
            <w:tcBorders>
              <w:bottom w:val="single" w:sz="2" w:space="0" w:color="auto"/>
            </w:tcBorders>
            <w:noWrap/>
            <w:vAlign w:val="center"/>
          </w:tcPr>
          <w:p w:rsidR="006420DA" w:rsidRPr="006420DA" w:rsidRDefault="006420DA" w:rsidP="00A46FE8">
            <w:pPr>
              <w:spacing w:after="0"/>
              <w:ind w:left="65" w:hanging="65"/>
              <w:jc w:val="right"/>
              <w:rPr>
                <w:rFonts w:ascii="Arial Narrow" w:hAnsi="Arial Narrow"/>
                <w:sz w:val="18"/>
                <w:szCs w:val="18"/>
                <w:lang w:val="es-ES" w:eastAsia="es-ES"/>
              </w:rPr>
            </w:pPr>
            <w:r w:rsidRPr="006420DA">
              <w:rPr>
                <w:rFonts w:ascii="Arial Narrow" w:hAnsi="Arial Narrow"/>
                <w:sz w:val="18"/>
                <w:szCs w:val="18"/>
                <w:lang w:val="es-ES" w:eastAsia="es-ES"/>
              </w:rPr>
              <w:t>73</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2. Bienes corrientes y servicios</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11.710.537</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8.826.937</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20.537.474</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20.104.765</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13.361.922</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19</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3. Gastos financieros</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9.601</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7.924</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17.525</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17.525</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9.679</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0</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4. Transferencias corrientes</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983.434</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1.047.998</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2.031.433</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1.969.509</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1.644.040</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6. Inversiones reales</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3.892.277</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704.718</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4.596.995</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4.309.042</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3.794.598</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6</w:t>
            </w: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7. Transferencias de capital</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2.565</w:t>
            </w: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2.565</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2.565</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1.851</w:t>
            </w: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r>
      <w:tr w:rsidR="006420DA" w:rsidRPr="006420DA" w:rsidTr="008E7D7B">
        <w:trPr>
          <w:trHeight w:val="284"/>
          <w:jc w:val="center"/>
        </w:trPr>
        <w:tc>
          <w:tcPr>
            <w:tcW w:w="1407" w:type="pct"/>
            <w:tcBorders>
              <w:top w:val="single" w:sz="2" w:space="0" w:color="auto"/>
              <w:bottom w:val="single" w:sz="2" w:space="0" w:color="auto"/>
            </w:tcBorders>
            <w:noWrap/>
            <w:vAlign w:val="center"/>
          </w:tcPr>
          <w:p w:rsidR="006420DA" w:rsidRPr="006420DA" w:rsidRDefault="006420DA" w:rsidP="00A46FE8">
            <w:pPr>
              <w:spacing w:after="0"/>
              <w:ind w:left="50" w:hanging="10"/>
              <w:jc w:val="left"/>
              <w:rPr>
                <w:rFonts w:ascii="Arial Narrow" w:hAnsi="Arial Narrow"/>
                <w:sz w:val="18"/>
                <w:szCs w:val="18"/>
                <w:lang w:val="es-ES" w:eastAsia="es-ES"/>
              </w:rPr>
            </w:pPr>
            <w:r w:rsidRPr="006420DA">
              <w:rPr>
                <w:rFonts w:ascii="Arial Narrow" w:hAnsi="Arial Narrow"/>
                <w:sz w:val="18"/>
                <w:szCs w:val="18"/>
                <w:lang w:val="es-ES" w:eastAsia="es-ES"/>
              </w:rPr>
              <w:t>8. Activos financieros</w:t>
            </w:r>
          </w:p>
        </w:tc>
        <w:tc>
          <w:tcPr>
            <w:tcW w:w="655"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5.000</w:t>
            </w:r>
          </w:p>
        </w:tc>
        <w:tc>
          <w:tcPr>
            <w:tcW w:w="602"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60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5.000</w:t>
            </w:r>
          </w:p>
        </w:tc>
        <w:tc>
          <w:tcPr>
            <w:tcW w:w="672" w:type="pct"/>
            <w:tcBorders>
              <w:top w:val="single" w:sz="2" w:space="0" w:color="auto"/>
              <w:bottom w:val="single" w:sz="2"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5.000</w:t>
            </w:r>
          </w:p>
        </w:tc>
        <w:tc>
          <w:tcPr>
            <w:tcW w:w="610" w:type="pct"/>
            <w:tcBorders>
              <w:top w:val="single" w:sz="2" w:space="0" w:color="auto"/>
              <w:bottom w:val="single" w:sz="2"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p>
        </w:tc>
        <w:tc>
          <w:tcPr>
            <w:tcW w:w="447"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r>
      <w:tr w:rsidR="006420DA" w:rsidRPr="006420DA" w:rsidTr="008E7D7B">
        <w:trPr>
          <w:trHeight w:val="284"/>
          <w:jc w:val="center"/>
        </w:trPr>
        <w:tc>
          <w:tcPr>
            <w:tcW w:w="1407" w:type="pct"/>
            <w:tcBorders>
              <w:top w:val="single" w:sz="2" w:space="0" w:color="auto"/>
              <w:bottom w:val="single" w:sz="4" w:space="0" w:color="auto"/>
            </w:tcBorders>
            <w:noWrap/>
            <w:vAlign w:val="center"/>
          </w:tcPr>
          <w:p w:rsidR="006420DA" w:rsidRPr="006420DA" w:rsidRDefault="006420DA" w:rsidP="00A46FE8">
            <w:pPr>
              <w:spacing w:after="0"/>
              <w:ind w:left="50" w:firstLine="0"/>
              <w:jc w:val="left"/>
              <w:rPr>
                <w:rFonts w:ascii="Arial Narrow" w:hAnsi="Arial Narrow"/>
                <w:sz w:val="18"/>
                <w:szCs w:val="18"/>
                <w:lang w:val="es-ES" w:eastAsia="es-ES"/>
              </w:rPr>
            </w:pPr>
            <w:r w:rsidRPr="006420DA">
              <w:rPr>
                <w:rFonts w:ascii="Arial Narrow" w:hAnsi="Arial Narrow"/>
                <w:sz w:val="18"/>
                <w:szCs w:val="18"/>
                <w:lang w:val="es-ES" w:eastAsia="es-ES"/>
              </w:rPr>
              <w:t>9. Pasivos financieros</w:t>
            </w:r>
          </w:p>
        </w:tc>
        <w:tc>
          <w:tcPr>
            <w:tcW w:w="655"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215.530</w:t>
            </w:r>
          </w:p>
        </w:tc>
        <w:tc>
          <w:tcPr>
            <w:tcW w:w="602"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607"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215.531</w:t>
            </w:r>
          </w:p>
        </w:tc>
        <w:tc>
          <w:tcPr>
            <w:tcW w:w="672" w:type="pct"/>
            <w:tcBorders>
              <w:top w:val="single" w:sz="2" w:space="0" w:color="auto"/>
              <w:bottom w:val="single" w:sz="4" w:space="0" w:color="auto"/>
            </w:tcBorders>
            <w:noWrap/>
            <w:vAlign w:val="center"/>
          </w:tcPr>
          <w:p w:rsidR="006420DA" w:rsidRPr="006420DA" w:rsidRDefault="006420DA" w:rsidP="00A46FE8">
            <w:pPr>
              <w:tabs>
                <w:tab w:val="left" w:pos="1243"/>
              </w:tabs>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215.530</w:t>
            </w:r>
          </w:p>
        </w:tc>
        <w:tc>
          <w:tcPr>
            <w:tcW w:w="610" w:type="pct"/>
            <w:tcBorders>
              <w:top w:val="single" w:sz="2" w:space="0" w:color="auto"/>
              <w:bottom w:val="single" w:sz="4" w:space="0" w:color="auto"/>
            </w:tcBorders>
            <w:noWrap/>
            <w:vAlign w:val="center"/>
          </w:tcPr>
          <w:p w:rsidR="006420DA" w:rsidRPr="006420DA" w:rsidRDefault="006420DA" w:rsidP="00E130CE">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95.681</w:t>
            </w:r>
          </w:p>
        </w:tc>
        <w:tc>
          <w:tcPr>
            <w:tcW w:w="447"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0</w:t>
            </w:r>
          </w:p>
        </w:tc>
      </w:tr>
      <w:tr w:rsidR="006420DA" w:rsidRPr="006420DA" w:rsidTr="000A4C01">
        <w:trPr>
          <w:trHeight w:val="284"/>
          <w:jc w:val="center"/>
        </w:trPr>
        <w:tc>
          <w:tcPr>
            <w:tcW w:w="1407" w:type="pct"/>
            <w:shd w:val="clear" w:color="auto" w:fill="A8CBEE" w:themeFill="accent2" w:themeFillTint="66"/>
            <w:noWrap/>
            <w:vAlign w:val="center"/>
          </w:tcPr>
          <w:p w:rsidR="006420DA" w:rsidRPr="00915718" w:rsidRDefault="006420DA" w:rsidP="00915718">
            <w:pPr>
              <w:spacing w:after="0"/>
              <w:ind w:firstLine="0"/>
              <w:jc w:val="left"/>
              <w:rPr>
                <w:rFonts w:ascii="Arial" w:hAnsi="Arial" w:cs="Arial"/>
                <w:bCs/>
                <w:sz w:val="18"/>
                <w:szCs w:val="18"/>
                <w:lang w:val="es-ES" w:eastAsia="es-ES"/>
              </w:rPr>
            </w:pPr>
            <w:r w:rsidRPr="00915718">
              <w:rPr>
                <w:rFonts w:ascii="Arial" w:hAnsi="Arial" w:cs="Arial"/>
                <w:bCs/>
                <w:sz w:val="18"/>
                <w:szCs w:val="18"/>
                <w:lang w:val="es-ES" w:eastAsia="es-ES"/>
              </w:rPr>
              <w:t>Total</w:t>
            </w:r>
          </w:p>
        </w:tc>
        <w:tc>
          <w:tcPr>
            <w:tcW w:w="655"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66.467.35</w:t>
            </w:r>
            <w:r w:rsidR="00485CD2" w:rsidRPr="008E7D7B">
              <w:rPr>
                <w:rFonts w:ascii="Arial" w:hAnsi="Arial" w:cs="Arial"/>
                <w:bCs/>
                <w:sz w:val="18"/>
                <w:szCs w:val="18"/>
                <w:lang w:val="es-ES" w:eastAsia="es-ES"/>
              </w:rPr>
              <w:t>6</w:t>
            </w:r>
          </w:p>
        </w:tc>
        <w:tc>
          <w:tcPr>
            <w:tcW w:w="602"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15.071.27</w:t>
            </w:r>
            <w:r w:rsidR="00485CD2" w:rsidRPr="008E7D7B">
              <w:rPr>
                <w:rFonts w:ascii="Arial" w:hAnsi="Arial" w:cs="Arial"/>
                <w:bCs/>
                <w:sz w:val="18"/>
                <w:szCs w:val="18"/>
                <w:lang w:val="es-ES" w:eastAsia="es-ES"/>
              </w:rPr>
              <w:t>4</w:t>
            </w:r>
          </w:p>
        </w:tc>
        <w:tc>
          <w:tcPr>
            <w:tcW w:w="607"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81.538.6</w:t>
            </w:r>
            <w:r w:rsidR="00485CD2" w:rsidRPr="008E7D7B">
              <w:rPr>
                <w:rFonts w:ascii="Arial" w:hAnsi="Arial" w:cs="Arial"/>
                <w:bCs/>
                <w:sz w:val="18"/>
                <w:szCs w:val="18"/>
                <w:lang w:val="es-ES" w:eastAsia="es-ES"/>
              </w:rPr>
              <w:t>29</w:t>
            </w:r>
          </w:p>
        </w:tc>
        <w:tc>
          <w:tcPr>
            <w:tcW w:w="672" w:type="pct"/>
            <w:shd w:val="clear" w:color="auto" w:fill="A8CBEE" w:themeFill="accent2" w:themeFillTint="66"/>
            <w:noWrap/>
            <w:vAlign w:val="center"/>
          </w:tcPr>
          <w:p w:rsidR="006420DA" w:rsidRPr="008E7D7B" w:rsidRDefault="006420DA" w:rsidP="00A46FE8">
            <w:pPr>
              <w:tabs>
                <w:tab w:val="left" w:pos="1243"/>
              </w:tabs>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79.974.81</w:t>
            </w:r>
            <w:r w:rsidR="00485CD2" w:rsidRPr="008E7D7B">
              <w:rPr>
                <w:rFonts w:ascii="Arial" w:hAnsi="Arial" w:cs="Arial"/>
                <w:bCs/>
                <w:sz w:val="18"/>
                <w:szCs w:val="18"/>
                <w:lang w:val="es-ES" w:eastAsia="es-ES"/>
              </w:rPr>
              <w:t>2</w:t>
            </w:r>
          </w:p>
        </w:tc>
        <w:tc>
          <w:tcPr>
            <w:tcW w:w="610" w:type="pct"/>
            <w:shd w:val="clear" w:color="auto" w:fill="A8CBEE" w:themeFill="accent2" w:themeFillTint="66"/>
            <w:noWrap/>
            <w:vAlign w:val="center"/>
          </w:tcPr>
          <w:p w:rsidR="006420DA" w:rsidRPr="008E7D7B" w:rsidRDefault="006420DA" w:rsidP="00E130CE">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70.557.601</w:t>
            </w:r>
          </w:p>
        </w:tc>
        <w:tc>
          <w:tcPr>
            <w:tcW w:w="447" w:type="pct"/>
            <w:shd w:val="clear" w:color="auto" w:fill="A8CBEE" w:themeFill="accent2" w:themeFillTint="66"/>
            <w:noWrap/>
            <w:vAlign w:val="center"/>
          </w:tcPr>
          <w:p w:rsidR="006420DA" w:rsidRPr="008E7D7B" w:rsidRDefault="006420DA" w:rsidP="00A46FE8">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100</w:t>
            </w:r>
          </w:p>
        </w:tc>
      </w:tr>
    </w:tbl>
    <w:p w:rsidR="006420DA" w:rsidRPr="006420DA" w:rsidRDefault="006420DA" w:rsidP="006420DA">
      <w:pPr>
        <w:spacing w:after="0"/>
        <w:ind w:firstLine="0"/>
        <w:rPr>
          <w:sz w:val="26"/>
          <w:szCs w:val="26"/>
          <w:lang w:val="es-ES" w:eastAsia="es-ES"/>
        </w:rPr>
      </w:pPr>
    </w:p>
    <w:p w:rsidR="006420DA" w:rsidRPr="006420DA" w:rsidRDefault="006420DA" w:rsidP="006420DA">
      <w:pPr>
        <w:spacing w:after="0"/>
        <w:ind w:firstLine="0"/>
        <w:rPr>
          <w:sz w:val="26"/>
          <w:szCs w:val="26"/>
          <w:lang w:val="es-ES" w:eastAsia="es-ES"/>
        </w:rPr>
      </w:pPr>
    </w:p>
    <w:p w:rsidR="006420DA" w:rsidRPr="006420DA" w:rsidRDefault="006420DA" w:rsidP="006420DA">
      <w:pPr>
        <w:spacing w:after="240"/>
        <w:ind w:firstLine="0"/>
        <w:jc w:val="center"/>
        <w:rPr>
          <w:rFonts w:ascii="Arial" w:hAnsi="Arial" w:cs="Arial"/>
          <w:sz w:val="24"/>
          <w:szCs w:val="24"/>
          <w:lang w:val="es-ES" w:eastAsia="es-ES"/>
        </w:rPr>
      </w:pPr>
      <w:r>
        <w:rPr>
          <w:rFonts w:ascii="Arial" w:hAnsi="Arial" w:cs="Arial"/>
          <w:sz w:val="24"/>
          <w:szCs w:val="24"/>
          <w:lang w:val="es-ES" w:eastAsia="es-ES"/>
        </w:rPr>
        <w:t>Liquidación del presupuesto de i</w:t>
      </w:r>
      <w:r w:rsidRPr="006420DA">
        <w:rPr>
          <w:rFonts w:ascii="Arial" w:hAnsi="Arial" w:cs="Arial"/>
          <w:sz w:val="24"/>
          <w:szCs w:val="24"/>
          <w:lang w:val="es-ES" w:eastAsia="es-ES"/>
        </w:rPr>
        <w:t>ngresos</w:t>
      </w:r>
      <w:r>
        <w:rPr>
          <w:rFonts w:ascii="Arial" w:hAnsi="Arial" w:cs="Arial"/>
          <w:sz w:val="24"/>
          <w:szCs w:val="24"/>
          <w:lang w:val="es-ES" w:eastAsia="es-ES"/>
        </w:rPr>
        <w:t>,</w:t>
      </w:r>
      <w:r w:rsidRPr="006420DA">
        <w:rPr>
          <w:rFonts w:ascii="Arial" w:hAnsi="Arial" w:cs="Arial"/>
          <w:sz w:val="24"/>
          <w:szCs w:val="24"/>
          <w:lang w:val="es-ES" w:eastAsia="es-ES"/>
        </w:rPr>
        <w:t xml:space="preserve"> por capítulo económico</w:t>
      </w:r>
    </w:p>
    <w:tbl>
      <w:tblPr>
        <w:tblW w:w="5083"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2202"/>
        <w:gridCol w:w="1115"/>
        <w:gridCol w:w="1146"/>
        <w:gridCol w:w="1318"/>
        <w:gridCol w:w="1376"/>
        <w:gridCol w:w="1041"/>
        <w:gridCol w:w="879"/>
      </w:tblGrid>
      <w:tr w:rsidR="002338F8" w:rsidRPr="006420DA" w:rsidTr="000A4C01">
        <w:trPr>
          <w:trHeight w:val="284"/>
          <w:jc w:val="center"/>
        </w:trPr>
        <w:tc>
          <w:tcPr>
            <w:tcW w:w="1213" w:type="pct"/>
            <w:shd w:val="clear" w:color="auto" w:fill="A8CBEE" w:themeFill="accent2" w:themeFillTint="66"/>
            <w:vAlign w:val="center"/>
          </w:tcPr>
          <w:p w:rsidR="006420DA" w:rsidRPr="006420DA" w:rsidRDefault="006420DA" w:rsidP="00A46FE8">
            <w:pPr>
              <w:spacing w:after="0"/>
              <w:ind w:firstLine="0"/>
              <w:jc w:val="left"/>
              <w:rPr>
                <w:rFonts w:ascii="Arial" w:hAnsi="Arial" w:cs="Arial"/>
                <w:bCs/>
                <w:sz w:val="17"/>
                <w:szCs w:val="17"/>
                <w:lang w:val="es-ES" w:eastAsia="es-ES"/>
              </w:rPr>
            </w:pPr>
            <w:r w:rsidRPr="006420DA">
              <w:rPr>
                <w:rFonts w:ascii="Arial" w:hAnsi="Arial" w:cs="Arial"/>
                <w:bCs/>
                <w:sz w:val="17"/>
                <w:szCs w:val="17"/>
                <w:lang w:val="es-ES" w:eastAsia="es-ES"/>
              </w:rPr>
              <w:t>Descripción</w:t>
            </w:r>
          </w:p>
        </w:tc>
        <w:tc>
          <w:tcPr>
            <w:tcW w:w="614" w:type="pct"/>
            <w:shd w:val="clear" w:color="auto" w:fill="A8CBEE" w:themeFill="accent2" w:themeFillTint="66"/>
            <w:vAlign w:val="center"/>
          </w:tcPr>
          <w:p w:rsidR="006420DA" w:rsidRPr="006420DA"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Previsión</w:t>
            </w:r>
          </w:p>
          <w:p w:rsidR="006420DA" w:rsidRPr="006420DA"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inicial</w:t>
            </w:r>
          </w:p>
        </w:tc>
        <w:tc>
          <w:tcPr>
            <w:tcW w:w="631" w:type="pct"/>
            <w:shd w:val="clear" w:color="auto" w:fill="A8CBEE" w:themeFill="accent2" w:themeFillTint="66"/>
            <w:vAlign w:val="center"/>
          </w:tcPr>
          <w:p w:rsidR="006420DA" w:rsidRPr="006420DA"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Modif.</w:t>
            </w:r>
          </w:p>
        </w:tc>
        <w:tc>
          <w:tcPr>
            <w:tcW w:w="726" w:type="pct"/>
            <w:shd w:val="clear" w:color="auto" w:fill="A8CBEE" w:themeFill="accent2" w:themeFillTint="66"/>
            <w:vAlign w:val="center"/>
          </w:tcPr>
          <w:p w:rsidR="00A46FE8"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 xml:space="preserve">Previsión </w:t>
            </w:r>
          </w:p>
          <w:p w:rsidR="006420DA" w:rsidRPr="006420DA"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definitiva</w:t>
            </w:r>
          </w:p>
        </w:tc>
        <w:tc>
          <w:tcPr>
            <w:tcW w:w="758" w:type="pct"/>
            <w:shd w:val="clear" w:color="auto" w:fill="A8CBEE" w:themeFill="accent2" w:themeFillTint="66"/>
            <w:vAlign w:val="center"/>
          </w:tcPr>
          <w:p w:rsidR="006420DA" w:rsidRPr="006420DA"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Previsión def. ajustada</w:t>
            </w:r>
          </w:p>
        </w:tc>
        <w:tc>
          <w:tcPr>
            <w:tcW w:w="573" w:type="pct"/>
            <w:shd w:val="clear" w:color="auto" w:fill="A8CBEE" w:themeFill="accent2" w:themeFillTint="66"/>
            <w:vAlign w:val="center"/>
          </w:tcPr>
          <w:p w:rsidR="006420DA" w:rsidRPr="006420DA" w:rsidRDefault="002338F8" w:rsidP="00E130CE">
            <w:pPr>
              <w:spacing w:after="0"/>
              <w:ind w:firstLine="0"/>
              <w:jc w:val="right"/>
              <w:rPr>
                <w:rFonts w:ascii="Arial" w:hAnsi="Arial" w:cs="Arial"/>
                <w:bCs/>
                <w:sz w:val="17"/>
                <w:szCs w:val="17"/>
                <w:lang w:val="es-ES" w:eastAsia="es-ES"/>
              </w:rPr>
            </w:pPr>
            <w:r>
              <w:rPr>
                <w:rFonts w:ascii="Arial" w:hAnsi="Arial" w:cs="Arial"/>
                <w:bCs/>
                <w:sz w:val="17"/>
                <w:szCs w:val="17"/>
                <w:lang w:val="es-ES" w:eastAsia="es-ES"/>
              </w:rPr>
              <w:t>Derechos rec</w:t>
            </w:r>
            <w:r w:rsidR="00E130CE">
              <w:rPr>
                <w:rFonts w:ascii="Arial" w:hAnsi="Arial" w:cs="Arial"/>
                <w:bCs/>
                <w:sz w:val="17"/>
                <w:szCs w:val="17"/>
                <w:lang w:val="es-ES" w:eastAsia="es-ES"/>
              </w:rPr>
              <w:t>.</w:t>
            </w:r>
            <w:r>
              <w:rPr>
                <w:rFonts w:ascii="Arial" w:hAnsi="Arial" w:cs="Arial"/>
                <w:bCs/>
                <w:sz w:val="17"/>
                <w:szCs w:val="17"/>
                <w:lang w:val="es-ES" w:eastAsia="es-ES"/>
              </w:rPr>
              <w:t xml:space="preserve"> netos</w:t>
            </w:r>
          </w:p>
        </w:tc>
        <w:tc>
          <w:tcPr>
            <w:tcW w:w="484" w:type="pct"/>
            <w:shd w:val="clear" w:color="auto" w:fill="A8CBEE" w:themeFill="accent2" w:themeFillTint="66"/>
            <w:vAlign w:val="center"/>
          </w:tcPr>
          <w:p w:rsidR="006420DA" w:rsidRPr="006420DA" w:rsidRDefault="006420DA" w:rsidP="00A46FE8">
            <w:pPr>
              <w:spacing w:after="0"/>
              <w:ind w:firstLine="0"/>
              <w:jc w:val="right"/>
              <w:rPr>
                <w:rFonts w:ascii="Arial" w:hAnsi="Arial" w:cs="Arial"/>
                <w:bCs/>
                <w:sz w:val="17"/>
                <w:szCs w:val="17"/>
                <w:lang w:val="es-ES" w:eastAsia="es-ES"/>
              </w:rPr>
            </w:pPr>
            <w:r w:rsidRPr="006420DA">
              <w:rPr>
                <w:rFonts w:ascii="Arial" w:hAnsi="Arial" w:cs="Arial"/>
                <w:bCs/>
                <w:sz w:val="17"/>
                <w:szCs w:val="17"/>
                <w:lang w:val="es-ES" w:eastAsia="es-ES"/>
              </w:rPr>
              <w:t>% D.R.N</w:t>
            </w:r>
          </w:p>
        </w:tc>
      </w:tr>
      <w:tr w:rsidR="006420DA" w:rsidRPr="006420DA" w:rsidTr="00A46FE8">
        <w:trPr>
          <w:trHeight w:val="284"/>
          <w:jc w:val="center"/>
        </w:trPr>
        <w:tc>
          <w:tcPr>
            <w:tcW w:w="1213" w:type="pct"/>
            <w:tcBorders>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lang w:val="es-ES" w:eastAsia="es-ES"/>
              </w:rPr>
            </w:pPr>
            <w:r w:rsidRPr="006420DA">
              <w:rPr>
                <w:rFonts w:ascii="Arial Narrow" w:hAnsi="Arial Narrow"/>
                <w:sz w:val="18"/>
                <w:szCs w:val="18"/>
                <w:lang w:val="es-ES" w:eastAsia="es-ES"/>
              </w:rPr>
              <w:t>3. Tasas y otros Ingresos</w:t>
            </w:r>
          </w:p>
        </w:tc>
        <w:tc>
          <w:tcPr>
            <w:tcW w:w="614"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12.737.400</w:t>
            </w:r>
          </w:p>
        </w:tc>
        <w:tc>
          <w:tcPr>
            <w:tcW w:w="631"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2.293.541</w:t>
            </w:r>
          </w:p>
        </w:tc>
        <w:tc>
          <w:tcPr>
            <w:tcW w:w="726"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15.030.941</w:t>
            </w:r>
          </w:p>
        </w:tc>
        <w:tc>
          <w:tcPr>
            <w:tcW w:w="758"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14.739.940</w:t>
            </w:r>
          </w:p>
        </w:tc>
        <w:tc>
          <w:tcPr>
            <w:tcW w:w="573"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15.144.270</w:t>
            </w:r>
          </w:p>
        </w:tc>
        <w:tc>
          <w:tcPr>
            <w:tcW w:w="484" w:type="pct"/>
            <w:tcBorders>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21</w:t>
            </w: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lang w:val="es-ES" w:eastAsia="es-ES"/>
              </w:rPr>
            </w:pPr>
            <w:r w:rsidRPr="006420DA">
              <w:rPr>
                <w:rFonts w:ascii="Arial Narrow" w:hAnsi="Arial Narrow"/>
                <w:sz w:val="18"/>
                <w:szCs w:val="18"/>
                <w:lang w:val="es-ES" w:eastAsia="es-ES"/>
              </w:rPr>
              <w:t>4. Transferencias corrientes</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52.734.254</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5.022.741</w:t>
            </w: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57.756.995</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57.120.755</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56.348.202</w:t>
            </w: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79</w:t>
            </w: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lang w:val="es-ES" w:eastAsia="es-ES"/>
              </w:rPr>
            </w:pPr>
            <w:r w:rsidRPr="006420DA">
              <w:rPr>
                <w:rFonts w:ascii="Arial Narrow" w:hAnsi="Arial Narrow"/>
                <w:sz w:val="18"/>
                <w:szCs w:val="18"/>
                <w:lang w:val="es-ES" w:eastAsia="es-ES"/>
              </w:rPr>
              <w:t>5. Ingresos patrimoniales</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239.255</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239.255</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239.255</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211.923</w:t>
            </w: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0</w:t>
            </w: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lang w:val="es-ES" w:eastAsia="es-ES"/>
              </w:rPr>
            </w:pPr>
            <w:r w:rsidRPr="006420DA">
              <w:rPr>
                <w:rFonts w:ascii="Arial Narrow" w:hAnsi="Arial Narrow"/>
                <w:sz w:val="18"/>
                <w:szCs w:val="18"/>
                <w:lang w:val="es-ES" w:eastAsia="es-ES"/>
              </w:rPr>
              <w:t>7. Transferencias de capital</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119.870</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119.870</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119.870</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r>
      <w:tr w:rsidR="006420DA" w:rsidRPr="006420DA" w:rsidTr="00A46FE8">
        <w:trPr>
          <w:trHeight w:val="284"/>
          <w:jc w:val="center"/>
        </w:trPr>
        <w:tc>
          <w:tcPr>
            <w:tcW w:w="1213" w:type="pct"/>
            <w:tcBorders>
              <w:top w:val="single" w:sz="2" w:space="0" w:color="auto"/>
              <w:bottom w:val="single" w:sz="2" w:space="0" w:color="auto"/>
            </w:tcBorders>
            <w:noWrap/>
            <w:vAlign w:val="center"/>
          </w:tcPr>
          <w:p w:rsidR="006420DA" w:rsidRPr="006420DA" w:rsidRDefault="006420DA" w:rsidP="00A46FE8">
            <w:pPr>
              <w:spacing w:after="0"/>
              <w:ind w:firstLine="0"/>
              <w:jc w:val="left"/>
              <w:rPr>
                <w:rFonts w:ascii="Arial Narrow" w:hAnsi="Arial Narrow"/>
                <w:sz w:val="18"/>
                <w:szCs w:val="18"/>
                <w:lang w:val="es-ES" w:eastAsia="es-ES"/>
              </w:rPr>
            </w:pPr>
            <w:r w:rsidRPr="006420DA">
              <w:rPr>
                <w:rFonts w:ascii="Arial Narrow" w:hAnsi="Arial Narrow"/>
                <w:sz w:val="18"/>
                <w:szCs w:val="18"/>
                <w:lang w:val="es-ES" w:eastAsia="es-ES"/>
              </w:rPr>
              <w:t>8.  Activos financieros</w:t>
            </w:r>
          </w:p>
        </w:tc>
        <w:tc>
          <w:tcPr>
            <w:tcW w:w="61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636.577</w:t>
            </w:r>
          </w:p>
        </w:tc>
        <w:tc>
          <w:tcPr>
            <w:tcW w:w="631"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7.708.595</w:t>
            </w:r>
          </w:p>
        </w:tc>
        <w:tc>
          <w:tcPr>
            <w:tcW w:w="726"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8.345.172</w:t>
            </w:r>
          </w:p>
        </w:tc>
        <w:tc>
          <w:tcPr>
            <w:tcW w:w="758"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7.708.596</w:t>
            </w:r>
          </w:p>
        </w:tc>
        <w:tc>
          <w:tcPr>
            <w:tcW w:w="573"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484" w:type="pct"/>
            <w:tcBorders>
              <w:top w:val="single" w:sz="2" w:space="0" w:color="auto"/>
              <w:bottom w:val="single" w:sz="2"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r>
      <w:tr w:rsidR="006420DA" w:rsidRPr="006420DA" w:rsidTr="00A46FE8">
        <w:trPr>
          <w:trHeight w:val="284"/>
          <w:jc w:val="center"/>
        </w:trPr>
        <w:tc>
          <w:tcPr>
            <w:tcW w:w="1213" w:type="pct"/>
            <w:tcBorders>
              <w:top w:val="single" w:sz="2" w:space="0" w:color="auto"/>
              <w:bottom w:val="single" w:sz="4" w:space="0" w:color="auto"/>
            </w:tcBorders>
            <w:noWrap/>
            <w:vAlign w:val="center"/>
          </w:tcPr>
          <w:p w:rsidR="006420DA" w:rsidRPr="006420DA" w:rsidRDefault="006420DA" w:rsidP="00A46FE8">
            <w:pPr>
              <w:spacing w:after="0"/>
              <w:ind w:firstLine="0"/>
              <w:jc w:val="left"/>
              <w:rPr>
                <w:rFonts w:ascii="Arial Narrow" w:hAnsi="Arial Narrow"/>
                <w:sz w:val="18"/>
                <w:szCs w:val="18"/>
                <w:lang w:val="es-ES" w:eastAsia="es-ES"/>
              </w:rPr>
            </w:pPr>
            <w:r w:rsidRPr="006420DA">
              <w:rPr>
                <w:rFonts w:ascii="Arial Narrow" w:hAnsi="Arial Narrow"/>
                <w:sz w:val="18"/>
                <w:szCs w:val="18"/>
                <w:lang w:val="es-ES" w:eastAsia="es-ES"/>
              </w:rPr>
              <w:t>9. Pasivos financieros</w:t>
            </w:r>
          </w:p>
        </w:tc>
        <w:tc>
          <w:tcPr>
            <w:tcW w:w="614"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p>
        </w:tc>
        <w:tc>
          <w:tcPr>
            <w:tcW w:w="631"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46.396</w:t>
            </w:r>
          </w:p>
        </w:tc>
        <w:tc>
          <w:tcPr>
            <w:tcW w:w="726"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46.396</w:t>
            </w:r>
          </w:p>
        </w:tc>
        <w:tc>
          <w:tcPr>
            <w:tcW w:w="758"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46.396</w:t>
            </w:r>
          </w:p>
        </w:tc>
        <w:tc>
          <w:tcPr>
            <w:tcW w:w="573"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38.838</w:t>
            </w:r>
          </w:p>
        </w:tc>
        <w:tc>
          <w:tcPr>
            <w:tcW w:w="484" w:type="pct"/>
            <w:tcBorders>
              <w:top w:val="single" w:sz="2" w:space="0" w:color="auto"/>
              <w:bottom w:val="single" w:sz="4" w:space="0" w:color="auto"/>
            </w:tcBorders>
            <w:noWrap/>
            <w:vAlign w:val="center"/>
          </w:tcPr>
          <w:p w:rsidR="006420DA" w:rsidRPr="006420DA" w:rsidRDefault="006420DA" w:rsidP="00A46FE8">
            <w:pPr>
              <w:spacing w:after="0"/>
              <w:ind w:firstLine="0"/>
              <w:jc w:val="right"/>
              <w:rPr>
                <w:rFonts w:ascii="Arial Narrow" w:hAnsi="Arial Narrow"/>
                <w:sz w:val="18"/>
                <w:szCs w:val="18"/>
                <w:lang w:val="es-ES" w:eastAsia="es-ES"/>
              </w:rPr>
            </w:pPr>
            <w:r w:rsidRPr="006420DA">
              <w:rPr>
                <w:rFonts w:ascii="Arial Narrow" w:hAnsi="Arial Narrow"/>
                <w:sz w:val="18"/>
                <w:szCs w:val="18"/>
                <w:lang w:val="es-ES" w:eastAsia="es-ES"/>
              </w:rPr>
              <w:t>0</w:t>
            </w:r>
          </w:p>
        </w:tc>
      </w:tr>
      <w:tr w:rsidR="002338F8" w:rsidRPr="006420DA" w:rsidTr="000A4C01">
        <w:trPr>
          <w:trHeight w:val="284"/>
          <w:jc w:val="center"/>
        </w:trPr>
        <w:tc>
          <w:tcPr>
            <w:tcW w:w="1213" w:type="pct"/>
            <w:shd w:val="clear" w:color="auto" w:fill="A8CBEE" w:themeFill="accent2" w:themeFillTint="66"/>
            <w:noWrap/>
            <w:vAlign w:val="center"/>
          </w:tcPr>
          <w:p w:rsidR="006420DA" w:rsidRPr="006420DA" w:rsidRDefault="006420DA" w:rsidP="00A46FE8">
            <w:pPr>
              <w:spacing w:after="0"/>
              <w:ind w:firstLine="0"/>
              <w:jc w:val="left"/>
              <w:rPr>
                <w:rFonts w:ascii="Arial" w:hAnsi="Arial" w:cs="Arial"/>
                <w:bCs/>
                <w:sz w:val="18"/>
                <w:szCs w:val="18"/>
                <w:lang w:val="es-ES" w:eastAsia="es-ES"/>
              </w:rPr>
            </w:pPr>
            <w:r w:rsidRPr="006420DA">
              <w:rPr>
                <w:rFonts w:ascii="Arial" w:hAnsi="Arial" w:cs="Arial"/>
                <w:bCs/>
                <w:sz w:val="18"/>
                <w:szCs w:val="18"/>
                <w:lang w:val="es-ES" w:eastAsia="es-ES"/>
              </w:rPr>
              <w:t>Total</w:t>
            </w:r>
          </w:p>
        </w:tc>
        <w:tc>
          <w:tcPr>
            <w:tcW w:w="614"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lang w:val="es-ES" w:eastAsia="es-ES"/>
              </w:rPr>
            </w:pPr>
            <w:r w:rsidRPr="006420DA">
              <w:rPr>
                <w:rFonts w:ascii="Arial" w:hAnsi="Arial" w:cs="Arial"/>
                <w:bCs/>
                <w:sz w:val="18"/>
                <w:szCs w:val="18"/>
                <w:lang w:val="es-ES" w:eastAsia="es-ES"/>
              </w:rPr>
              <w:t>66.467.356</w:t>
            </w:r>
          </w:p>
        </w:tc>
        <w:tc>
          <w:tcPr>
            <w:tcW w:w="631"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lang w:val="es-ES" w:eastAsia="es-ES"/>
              </w:rPr>
            </w:pPr>
            <w:r w:rsidRPr="006420DA">
              <w:rPr>
                <w:rFonts w:ascii="Arial" w:hAnsi="Arial" w:cs="Arial"/>
                <w:bCs/>
                <w:sz w:val="18"/>
                <w:szCs w:val="18"/>
                <w:lang w:val="es-ES" w:eastAsia="es-ES"/>
              </w:rPr>
              <w:t>15.071.274</w:t>
            </w:r>
          </w:p>
        </w:tc>
        <w:tc>
          <w:tcPr>
            <w:tcW w:w="726"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lang w:val="es-ES" w:eastAsia="es-ES"/>
              </w:rPr>
            </w:pPr>
            <w:r w:rsidRPr="006420DA">
              <w:rPr>
                <w:rFonts w:ascii="Arial" w:hAnsi="Arial" w:cs="Arial"/>
                <w:bCs/>
                <w:sz w:val="18"/>
                <w:szCs w:val="18"/>
                <w:lang w:val="es-ES" w:eastAsia="es-ES"/>
              </w:rPr>
              <w:t>81.538.629</w:t>
            </w:r>
          </w:p>
        </w:tc>
        <w:tc>
          <w:tcPr>
            <w:tcW w:w="758"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lang w:val="es-ES" w:eastAsia="es-ES"/>
              </w:rPr>
            </w:pPr>
            <w:r w:rsidRPr="006420DA">
              <w:rPr>
                <w:rFonts w:ascii="Arial" w:hAnsi="Arial" w:cs="Arial"/>
                <w:bCs/>
                <w:sz w:val="18"/>
                <w:szCs w:val="18"/>
                <w:lang w:val="es-ES" w:eastAsia="es-ES"/>
              </w:rPr>
              <w:t>79.974.812</w:t>
            </w:r>
          </w:p>
        </w:tc>
        <w:tc>
          <w:tcPr>
            <w:tcW w:w="573"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lang w:val="es-ES" w:eastAsia="es-ES"/>
              </w:rPr>
            </w:pPr>
            <w:r w:rsidRPr="006420DA">
              <w:rPr>
                <w:rFonts w:ascii="Arial" w:hAnsi="Arial" w:cs="Arial"/>
                <w:bCs/>
                <w:sz w:val="18"/>
                <w:szCs w:val="18"/>
                <w:lang w:val="es-ES" w:eastAsia="es-ES"/>
              </w:rPr>
              <w:t>71.743.233</w:t>
            </w:r>
          </w:p>
        </w:tc>
        <w:tc>
          <w:tcPr>
            <w:tcW w:w="484" w:type="pct"/>
            <w:shd w:val="clear" w:color="auto" w:fill="A8CBEE" w:themeFill="accent2" w:themeFillTint="66"/>
            <w:noWrap/>
            <w:vAlign w:val="center"/>
          </w:tcPr>
          <w:p w:rsidR="006420DA" w:rsidRPr="006420DA" w:rsidRDefault="006420DA" w:rsidP="00A46FE8">
            <w:pPr>
              <w:spacing w:after="0"/>
              <w:ind w:firstLine="0"/>
              <w:jc w:val="right"/>
              <w:rPr>
                <w:rFonts w:ascii="Arial" w:hAnsi="Arial" w:cs="Arial"/>
                <w:bCs/>
                <w:sz w:val="18"/>
                <w:szCs w:val="18"/>
                <w:lang w:val="es-ES" w:eastAsia="es-ES"/>
              </w:rPr>
            </w:pPr>
            <w:r w:rsidRPr="006420DA">
              <w:rPr>
                <w:rFonts w:ascii="Arial" w:hAnsi="Arial" w:cs="Arial"/>
                <w:bCs/>
                <w:sz w:val="18"/>
                <w:szCs w:val="18"/>
                <w:lang w:val="es-ES" w:eastAsia="es-ES"/>
              </w:rPr>
              <w:t>100</w:t>
            </w:r>
          </w:p>
        </w:tc>
      </w:tr>
    </w:tbl>
    <w:p w:rsidR="006420DA" w:rsidRPr="006420DA" w:rsidRDefault="006420DA" w:rsidP="006420DA">
      <w:pPr>
        <w:spacing w:after="0"/>
        <w:ind w:firstLine="0"/>
        <w:rPr>
          <w:sz w:val="26"/>
          <w:szCs w:val="26"/>
          <w:lang w:val="es-ES" w:eastAsia="es-ES"/>
        </w:rPr>
      </w:pPr>
    </w:p>
    <w:p w:rsidR="006420DA" w:rsidRPr="006420DA" w:rsidRDefault="006420DA" w:rsidP="006420DA">
      <w:pPr>
        <w:spacing w:after="0"/>
        <w:ind w:firstLine="0"/>
        <w:rPr>
          <w:sz w:val="26"/>
          <w:szCs w:val="26"/>
          <w:lang w:val="es-ES" w:eastAsia="es-ES"/>
        </w:rPr>
      </w:pPr>
    </w:p>
    <w:p w:rsidR="006420DA" w:rsidRPr="006420DA" w:rsidRDefault="006420DA" w:rsidP="006420DA">
      <w:pPr>
        <w:spacing w:after="0"/>
        <w:ind w:firstLine="0"/>
        <w:rPr>
          <w:sz w:val="26"/>
          <w:szCs w:val="26"/>
          <w:lang w:val="es-ES" w:eastAsia="es-ES"/>
        </w:rPr>
      </w:pPr>
    </w:p>
    <w:p w:rsidR="006420DA" w:rsidRPr="006420DA" w:rsidRDefault="006420DA" w:rsidP="006420DA">
      <w:pPr>
        <w:spacing w:after="0"/>
        <w:ind w:firstLine="0"/>
        <w:rPr>
          <w:sz w:val="26"/>
          <w:szCs w:val="26"/>
          <w:lang w:val="es-ES" w:eastAsia="es-ES"/>
        </w:rPr>
      </w:pPr>
      <w:r w:rsidRPr="006420DA">
        <w:rPr>
          <w:sz w:val="26"/>
          <w:szCs w:val="26"/>
          <w:lang w:val="es-ES" w:eastAsia="es-ES"/>
        </w:rPr>
        <w:br w:type="page"/>
      </w:r>
    </w:p>
    <w:p w:rsidR="006420DA" w:rsidRPr="006420DA" w:rsidRDefault="006420DA" w:rsidP="006420DA">
      <w:pPr>
        <w:pStyle w:val="atitulo2"/>
        <w:spacing w:before="240"/>
        <w:rPr>
          <w:rFonts w:cs="Arial"/>
          <w:lang w:eastAsia="es-ES"/>
        </w:rPr>
      </w:pPr>
      <w:bookmarkStart w:id="23" w:name="_Toc443895227"/>
      <w:r>
        <w:lastRenderedPageBreak/>
        <w:t>I</w:t>
      </w:r>
      <w:r w:rsidR="00703010">
        <w:t>II</w:t>
      </w:r>
      <w:r>
        <w:t xml:space="preserve">.2. </w:t>
      </w:r>
      <w:r w:rsidRPr="006420DA">
        <w:t>Resultado presupuestario del ejercicio 2014</w:t>
      </w:r>
      <w:bookmarkEnd w:id="23"/>
    </w:p>
    <w:tbl>
      <w:tblPr>
        <w:tblW w:w="9120" w:type="dxa"/>
        <w:tblInd w:w="-72" w:type="dxa"/>
        <w:tblCellMar>
          <w:left w:w="70" w:type="dxa"/>
          <w:right w:w="70" w:type="dxa"/>
        </w:tblCellMar>
        <w:tblLook w:val="0000" w:firstRow="0" w:lastRow="0" w:firstColumn="0" w:lastColumn="0" w:noHBand="0" w:noVBand="0"/>
      </w:tblPr>
      <w:tblGrid>
        <w:gridCol w:w="4258"/>
        <w:gridCol w:w="2263"/>
        <w:gridCol w:w="1399"/>
        <w:gridCol w:w="1200"/>
      </w:tblGrid>
      <w:tr w:rsidR="006420DA" w:rsidRPr="006420DA" w:rsidTr="000A4C01">
        <w:trPr>
          <w:trHeight w:val="284"/>
        </w:trPr>
        <w:tc>
          <w:tcPr>
            <w:tcW w:w="4258" w:type="dxa"/>
            <w:tcBorders>
              <w:top w:val="single" w:sz="4" w:space="0" w:color="auto"/>
              <w:bottom w:val="single" w:sz="4" w:space="0" w:color="auto"/>
            </w:tcBorders>
            <w:shd w:val="clear" w:color="auto" w:fill="A8CBEE" w:themeFill="accent2" w:themeFillTint="66"/>
            <w:noWrap/>
            <w:vAlign w:val="center"/>
          </w:tcPr>
          <w:p w:rsidR="006420DA" w:rsidRPr="006420DA" w:rsidRDefault="006420DA" w:rsidP="006420DA">
            <w:pPr>
              <w:spacing w:after="0"/>
              <w:ind w:firstLine="0"/>
              <w:jc w:val="left"/>
              <w:rPr>
                <w:rFonts w:ascii="Arial" w:hAnsi="Arial" w:cs="Arial"/>
                <w:bCs/>
                <w:color w:val="000000"/>
                <w:sz w:val="18"/>
                <w:szCs w:val="18"/>
                <w:lang w:val="es-ES" w:eastAsia="es-ES"/>
              </w:rPr>
            </w:pPr>
            <w:r w:rsidRPr="006420DA">
              <w:rPr>
                <w:rFonts w:ascii="Arial" w:hAnsi="Arial" w:cs="Arial"/>
                <w:bCs/>
                <w:color w:val="000000"/>
                <w:sz w:val="18"/>
                <w:szCs w:val="18"/>
                <w:lang w:val="es-ES" w:eastAsia="es-ES"/>
              </w:rPr>
              <w:t>Conceptos</w:t>
            </w:r>
          </w:p>
        </w:tc>
        <w:tc>
          <w:tcPr>
            <w:tcW w:w="2263" w:type="dxa"/>
            <w:tcBorders>
              <w:top w:val="single" w:sz="4" w:space="0" w:color="auto"/>
              <w:bottom w:val="single" w:sz="4" w:space="0" w:color="auto"/>
            </w:tcBorders>
            <w:shd w:val="clear" w:color="auto" w:fill="A8CBEE" w:themeFill="accent2" w:themeFillTint="66"/>
            <w:vAlign w:val="center"/>
          </w:tcPr>
          <w:p w:rsidR="006420DA" w:rsidRPr="006420DA" w:rsidRDefault="006420DA" w:rsidP="006420DA">
            <w:pPr>
              <w:spacing w:after="0"/>
              <w:ind w:firstLine="0"/>
              <w:jc w:val="right"/>
              <w:rPr>
                <w:rFonts w:ascii="Arial" w:hAnsi="Arial" w:cs="Arial"/>
                <w:bCs/>
                <w:color w:val="000000"/>
                <w:sz w:val="18"/>
                <w:szCs w:val="18"/>
                <w:lang w:val="es-ES" w:eastAsia="es-ES"/>
              </w:rPr>
            </w:pPr>
            <w:r w:rsidRPr="006420DA">
              <w:rPr>
                <w:rFonts w:ascii="Arial" w:hAnsi="Arial" w:cs="Arial"/>
                <w:bCs/>
                <w:color w:val="000000"/>
                <w:sz w:val="18"/>
                <w:szCs w:val="18"/>
                <w:lang w:val="es-ES" w:eastAsia="es-ES"/>
              </w:rPr>
              <w:t>Derechos</w:t>
            </w:r>
          </w:p>
          <w:p w:rsidR="006420DA" w:rsidRPr="006420DA" w:rsidRDefault="006420DA" w:rsidP="006420DA">
            <w:pPr>
              <w:spacing w:after="0"/>
              <w:ind w:firstLine="0"/>
              <w:jc w:val="right"/>
              <w:rPr>
                <w:rFonts w:ascii="Arial" w:hAnsi="Arial" w:cs="Arial"/>
                <w:bCs/>
                <w:color w:val="000000"/>
                <w:sz w:val="18"/>
                <w:szCs w:val="18"/>
                <w:lang w:val="es-ES" w:eastAsia="es-ES"/>
              </w:rPr>
            </w:pPr>
            <w:r w:rsidRPr="006420DA">
              <w:rPr>
                <w:rFonts w:ascii="Arial" w:hAnsi="Arial" w:cs="Arial"/>
                <w:bCs/>
                <w:color w:val="000000"/>
                <w:sz w:val="18"/>
                <w:szCs w:val="18"/>
                <w:lang w:val="es-ES" w:eastAsia="es-ES"/>
              </w:rPr>
              <w:t>Reconoc. Netos</w:t>
            </w:r>
          </w:p>
        </w:tc>
        <w:tc>
          <w:tcPr>
            <w:tcW w:w="1399" w:type="dxa"/>
            <w:tcBorders>
              <w:top w:val="single" w:sz="4" w:space="0" w:color="auto"/>
              <w:bottom w:val="single" w:sz="4" w:space="0" w:color="auto"/>
            </w:tcBorders>
            <w:shd w:val="clear" w:color="auto" w:fill="A8CBEE" w:themeFill="accent2" w:themeFillTint="66"/>
            <w:vAlign w:val="center"/>
          </w:tcPr>
          <w:p w:rsidR="006420DA" w:rsidRPr="006420DA" w:rsidRDefault="006420DA" w:rsidP="006420DA">
            <w:pPr>
              <w:spacing w:after="0"/>
              <w:ind w:firstLine="0"/>
              <w:jc w:val="right"/>
              <w:rPr>
                <w:rFonts w:ascii="Arial" w:hAnsi="Arial" w:cs="Arial"/>
                <w:bCs/>
                <w:color w:val="000000"/>
                <w:sz w:val="18"/>
                <w:szCs w:val="18"/>
                <w:lang w:val="es-ES" w:eastAsia="es-ES"/>
              </w:rPr>
            </w:pPr>
            <w:r w:rsidRPr="006420DA">
              <w:rPr>
                <w:rFonts w:ascii="Arial" w:hAnsi="Arial" w:cs="Arial"/>
                <w:bCs/>
                <w:color w:val="000000"/>
                <w:sz w:val="18"/>
                <w:szCs w:val="18"/>
                <w:lang w:val="es-ES" w:eastAsia="es-ES"/>
              </w:rPr>
              <w:t xml:space="preserve">Obligaciones </w:t>
            </w:r>
          </w:p>
          <w:p w:rsidR="006420DA" w:rsidRPr="006420DA" w:rsidRDefault="006420DA" w:rsidP="00E130CE">
            <w:pPr>
              <w:spacing w:after="0"/>
              <w:ind w:firstLine="0"/>
              <w:jc w:val="right"/>
              <w:rPr>
                <w:rFonts w:ascii="Arial" w:hAnsi="Arial" w:cs="Arial"/>
                <w:bCs/>
                <w:color w:val="000000"/>
                <w:sz w:val="18"/>
                <w:szCs w:val="18"/>
                <w:lang w:val="es-ES" w:eastAsia="es-ES"/>
              </w:rPr>
            </w:pPr>
            <w:r w:rsidRPr="006420DA">
              <w:rPr>
                <w:rFonts w:ascii="Arial" w:hAnsi="Arial" w:cs="Arial"/>
                <w:bCs/>
                <w:color w:val="000000"/>
                <w:sz w:val="18"/>
                <w:szCs w:val="18"/>
                <w:lang w:val="es-ES" w:eastAsia="es-ES"/>
              </w:rPr>
              <w:t>Rec</w:t>
            </w:r>
            <w:r w:rsidR="00E130CE">
              <w:rPr>
                <w:rFonts w:ascii="Arial" w:hAnsi="Arial" w:cs="Arial"/>
                <w:bCs/>
                <w:color w:val="000000"/>
                <w:sz w:val="18"/>
                <w:szCs w:val="18"/>
                <w:lang w:val="es-ES" w:eastAsia="es-ES"/>
              </w:rPr>
              <w:t xml:space="preserve">. </w:t>
            </w:r>
            <w:r w:rsidRPr="006420DA">
              <w:rPr>
                <w:rFonts w:ascii="Arial" w:hAnsi="Arial" w:cs="Arial"/>
                <w:bCs/>
                <w:color w:val="000000"/>
                <w:sz w:val="18"/>
                <w:szCs w:val="18"/>
                <w:lang w:val="es-ES" w:eastAsia="es-ES"/>
              </w:rPr>
              <w:t>Netas</w:t>
            </w:r>
          </w:p>
        </w:tc>
        <w:tc>
          <w:tcPr>
            <w:tcW w:w="1200" w:type="dxa"/>
            <w:tcBorders>
              <w:top w:val="single" w:sz="4" w:space="0" w:color="auto"/>
              <w:bottom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8"/>
                <w:szCs w:val="18"/>
                <w:lang w:val="es-ES" w:eastAsia="es-ES"/>
              </w:rPr>
            </w:pPr>
            <w:r w:rsidRPr="006420DA">
              <w:rPr>
                <w:rFonts w:ascii="Arial" w:hAnsi="Arial" w:cs="Arial"/>
                <w:bCs/>
                <w:color w:val="000000"/>
                <w:sz w:val="18"/>
                <w:szCs w:val="18"/>
                <w:lang w:val="es-ES" w:eastAsia="es-ES"/>
              </w:rPr>
              <w:t>Importes</w:t>
            </w:r>
          </w:p>
        </w:tc>
      </w:tr>
      <w:tr w:rsidR="006420DA" w:rsidRPr="006420DA" w:rsidTr="00E130CE">
        <w:trPr>
          <w:trHeight w:val="284"/>
        </w:trPr>
        <w:tc>
          <w:tcPr>
            <w:tcW w:w="4258"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1. (+) Operaciones no financieras</w:t>
            </w:r>
          </w:p>
        </w:tc>
        <w:tc>
          <w:tcPr>
            <w:tcW w:w="2263"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71.704.395</w:t>
            </w:r>
          </w:p>
        </w:tc>
        <w:tc>
          <w:tcPr>
            <w:tcW w:w="1399"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70.461.920</w:t>
            </w:r>
          </w:p>
        </w:tc>
        <w:tc>
          <w:tcPr>
            <w:tcW w:w="1200" w:type="dxa"/>
            <w:tcBorders>
              <w:top w:val="single" w:sz="4"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1.242.475</w:t>
            </w:r>
          </w:p>
        </w:tc>
      </w:tr>
      <w:tr w:rsidR="006420DA" w:rsidRPr="006420DA" w:rsidTr="00E130CE">
        <w:trPr>
          <w:trHeight w:val="284"/>
        </w:trPr>
        <w:tc>
          <w:tcPr>
            <w:tcW w:w="4258" w:type="dxa"/>
            <w:tcBorders>
              <w:top w:val="single" w:sz="4"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1</w:t>
            </w:r>
          </w:p>
        </w:tc>
        <w:tc>
          <w:tcPr>
            <w:tcW w:w="2263" w:type="dxa"/>
            <w:tcBorders>
              <w:top w:val="single" w:sz="4"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399" w:type="dxa"/>
            <w:tcBorders>
              <w:top w:val="single" w:sz="4"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51.649.830</w:t>
            </w:r>
          </w:p>
        </w:tc>
        <w:tc>
          <w:tcPr>
            <w:tcW w:w="1200" w:type="dxa"/>
            <w:tcBorders>
              <w:top w:val="single" w:sz="4"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-51.649.830</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2</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13.361.922</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-13.361.922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3</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15.144.270</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9.679</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15.134.590</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4</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56.348.202</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1.644.040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54.704.162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5</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211.923</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211.923</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6</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3.794.598</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-3.794.598</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7</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1.851</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-1.851</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2. (+) Operaciones  financieras</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8</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7"/>
                <w:szCs w:val="17"/>
                <w:lang w:val="es-ES" w:eastAsia="es-ES"/>
              </w:rPr>
            </w:pPr>
            <w:r w:rsidRPr="006420DA">
              <w:rPr>
                <w:rFonts w:ascii="Arial Narrow" w:hAnsi="Arial Narrow" w:cs="Arial"/>
                <w:bCs/>
                <w:color w:val="000000"/>
                <w:sz w:val="17"/>
                <w:szCs w:val="17"/>
                <w:lang w:val="es-ES" w:eastAsia="es-ES"/>
              </w:rPr>
              <w:t>I. RESULTADO PRESUPUESTARIO DEL EJERCICIO (1+2)</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71.704.395</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70.461.920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1.242.475</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577A7F">
            <w:pPr>
              <w:spacing w:after="0"/>
              <w:ind w:firstLine="0"/>
              <w:jc w:val="lef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 xml:space="preserve">Capítulo  </w:t>
            </w:r>
            <w:r w:rsidR="00577A7F">
              <w:rPr>
                <w:rFonts w:ascii="Arial Narrow" w:hAnsi="Arial Narrow" w:cs="Arial"/>
                <w:color w:val="000000"/>
                <w:sz w:val="18"/>
                <w:szCs w:val="18"/>
                <w:lang w:val="es-ES" w:eastAsia="es-ES"/>
              </w:rPr>
              <w:t>9</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38.838</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95.680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8"/>
                <w:szCs w:val="18"/>
                <w:lang w:val="es-ES" w:eastAsia="es-ES"/>
              </w:rPr>
            </w:pPr>
            <w:r w:rsidRPr="006420DA">
              <w:rPr>
                <w:rFonts w:ascii="Arial Narrow" w:hAnsi="Arial Narrow" w:cs="Arial"/>
                <w:color w:val="000000"/>
                <w:sz w:val="18"/>
                <w:szCs w:val="18"/>
                <w:lang w:val="es-ES" w:eastAsia="es-ES"/>
              </w:rPr>
              <w:t>-56.842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7"/>
                <w:szCs w:val="17"/>
                <w:lang w:val="es-ES" w:eastAsia="es-ES"/>
              </w:rPr>
            </w:pPr>
            <w:r w:rsidRPr="006420DA">
              <w:rPr>
                <w:rFonts w:ascii="Arial Narrow" w:hAnsi="Arial Narrow" w:cs="Arial"/>
                <w:bCs/>
                <w:color w:val="000000"/>
                <w:sz w:val="17"/>
                <w:szCs w:val="17"/>
                <w:lang w:val="es-ES" w:eastAsia="es-ES"/>
              </w:rPr>
              <w:t>II. VARIACIÓN NETA DE PASIVOS FINANCIEROS</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38.838</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95.680</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-56.842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7"/>
                <w:szCs w:val="17"/>
                <w:lang w:val="es-ES" w:eastAsia="es-ES"/>
              </w:rPr>
            </w:pPr>
            <w:r w:rsidRPr="006420DA">
              <w:rPr>
                <w:rFonts w:ascii="Arial Narrow" w:hAnsi="Arial Narrow" w:cs="Arial"/>
                <w:bCs/>
                <w:color w:val="000000"/>
                <w:sz w:val="17"/>
                <w:szCs w:val="17"/>
                <w:lang w:val="es-ES" w:eastAsia="es-ES"/>
              </w:rPr>
              <w:t>III. SALDO PRESUPUESTARIO DEL EJERCICIO (I + II)</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71.743.233</w:t>
            </w: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70.557.601</w:t>
            </w: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1.185.632</w:t>
            </w:r>
          </w:p>
        </w:tc>
      </w:tr>
      <w:tr w:rsidR="006420DA" w:rsidRPr="006420DA" w:rsidTr="00E130CE">
        <w:trPr>
          <w:trHeight w:val="284"/>
        </w:trPr>
        <w:tc>
          <w:tcPr>
            <w:tcW w:w="4258"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3. (+) Créditos financiados con remanente de tesorería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p>
        </w:tc>
      </w:tr>
      <w:tr w:rsidR="006420DA" w:rsidRPr="006420DA" w:rsidTr="00E130CE">
        <w:trPr>
          <w:trHeight w:val="284"/>
        </w:trPr>
        <w:tc>
          <w:tcPr>
            <w:tcW w:w="4258" w:type="dxa"/>
            <w:tcBorders>
              <w:top w:val="single" w:sz="2" w:space="0" w:color="auto"/>
              <w:bottom w:val="single" w:sz="2"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4. (-) Desviaciones de financiación positivas por recursos del ejercicio en gastos con financiación afectada</w:t>
            </w:r>
          </w:p>
        </w:tc>
        <w:tc>
          <w:tcPr>
            <w:tcW w:w="2263"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8"/>
                <w:szCs w:val="18"/>
                <w:lang w:val="es-ES" w:eastAsia="es-ES"/>
              </w:rPr>
            </w:pPr>
          </w:p>
        </w:tc>
        <w:tc>
          <w:tcPr>
            <w:tcW w:w="1399"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2"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p>
        </w:tc>
      </w:tr>
      <w:tr w:rsidR="006420DA" w:rsidRPr="006420DA" w:rsidTr="00E130CE">
        <w:trPr>
          <w:trHeight w:val="284"/>
        </w:trPr>
        <w:tc>
          <w:tcPr>
            <w:tcW w:w="6521" w:type="dxa"/>
            <w:gridSpan w:val="2"/>
            <w:tcBorders>
              <w:top w:val="single" w:sz="2" w:space="0" w:color="auto"/>
              <w:bottom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bCs/>
                <w:color w:val="000000"/>
                <w:sz w:val="18"/>
                <w:szCs w:val="18"/>
                <w:lang w:val="es-ES" w:eastAsia="es-ES"/>
              </w:rPr>
              <w:t>5. (+) Desviaciones financiación negativas de gastos con finan. afectada</w:t>
            </w:r>
          </w:p>
        </w:tc>
        <w:tc>
          <w:tcPr>
            <w:tcW w:w="1399" w:type="dxa"/>
            <w:tcBorders>
              <w:top w:val="single" w:sz="2" w:space="0" w:color="auto"/>
              <w:bottom w:val="single" w:sz="4" w:space="0" w:color="auto"/>
            </w:tcBorders>
            <w:shd w:val="clear" w:color="auto" w:fill="auto"/>
            <w:noWrap/>
            <w:vAlign w:val="center"/>
          </w:tcPr>
          <w:p w:rsidR="006420DA" w:rsidRPr="006420DA"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2" w:space="0" w:color="auto"/>
              <w:bottom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8"/>
                <w:szCs w:val="18"/>
                <w:lang w:val="es-ES" w:eastAsia="es-ES"/>
              </w:rPr>
            </w:pPr>
            <w:r w:rsidRPr="006420DA">
              <w:rPr>
                <w:rFonts w:ascii="Arial Narrow" w:hAnsi="Arial Narrow" w:cs="Arial"/>
                <w:bCs/>
                <w:color w:val="000000"/>
                <w:sz w:val="18"/>
                <w:szCs w:val="18"/>
                <w:lang w:val="es-ES" w:eastAsia="es-ES"/>
              </w:rPr>
              <w:t>873.607</w:t>
            </w:r>
          </w:p>
        </w:tc>
      </w:tr>
      <w:tr w:rsidR="006420DA" w:rsidRPr="006420DA" w:rsidTr="000A4C01">
        <w:trPr>
          <w:trHeight w:val="284"/>
        </w:trPr>
        <w:tc>
          <w:tcPr>
            <w:tcW w:w="6521" w:type="dxa"/>
            <w:gridSpan w:val="2"/>
            <w:tcBorders>
              <w:top w:val="single" w:sz="4" w:space="0" w:color="auto"/>
              <w:bottom w:val="single" w:sz="4" w:space="0" w:color="auto"/>
            </w:tcBorders>
            <w:shd w:val="clear" w:color="auto" w:fill="A8CBEE" w:themeFill="accent2" w:themeFillTint="66"/>
            <w:vAlign w:val="center"/>
          </w:tcPr>
          <w:p w:rsidR="006420DA" w:rsidRPr="006420DA" w:rsidRDefault="006420DA" w:rsidP="00915718">
            <w:pPr>
              <w:spacing w:after="0"/>
              <w:ind w:firstLine="0"/>
              <w:jc w:val="left"/>
              <w:rPr>
                <w:rFonts w:ascii="Arial Narrow" w:hAnsi="Arial Narrow" w:cs="Arial"/>
                <w:sz w:val="18"/>
                <w:szCs w:val="18"/>
                <w:lang w:val="es-ES" w:eastAsia="es-ES"/>
              </w:rPr>
            </w:pPr>
            <w:r w:rsidRPr="008E7D7B">
              <w:rPr>
                <w:rFonts w:ascii="Arial" w:hAnsi="Arial" w:cs="Arial"/>
                <w:bCs/>
                <w:color w:val="000000"/>
                <w:sz w:val="18"/>
                <w:szCs w:val="18"/>
                <w:lang w:val="es-ES" w:eastAsia="es-ES"/>
              </w:rPr>
              <w:t xml:space="preserve">IV. </w:t>
            </w:r>
            <w:r w:rsidR="00915718" w:rsidRPr="008E7D7B">
              <w:rPr>
                <w:rFonts w:ascii="Arial" w:hAnsi="Arial" w:cs="Arial"/>
                <w:bCs/>
                <w:color w:val="000000"/>
                <w:sz w:val="18"/>
                <w:szCs w:val="18"/>
                <w:lang w:val="es-ES" w:eastAsia="es-ES"/>
              </w:rPr>
              <w:t>Super</w:t>
            </w:r>
            <w:r w:rsidR="00915718">
              <w:rPr>
                <w:rFonts w:ascii="Arial" w:hAnsi="Arial" w:cs="Arial"/>
                <w:bCs/>
                <w:color w:val="000000"/>
                <w:sz w:val="18"/>
                <w:szCs w:val="18"/>
                <w:lang w:val="es-ES" w:eastAsia="es-ES"/>
              </w:rPr>
              <w:t xml:space="preserve">ávit </w:t>
            </w:r>
            <w:r w:rsidR="00915718" w:rsidRPr="008E7D7B">
              <w:rPr>
                <w:rFonts w:ascii="Arial" w:hAnsi="Arial" w:cs="Arial"/>
                <w:bCs/>
                <w:color w:val="000000"/>
                <w:sz w:val="18"/>
                <w:szCs w:val="18"/>
                <w:lang w:val="es-ES" w:eastAsia="es-ES"/>
              </w:rPr>
              <w:t xml:space="preserve">de financiación del ejercicio </w:t>
            </w:r>
            <w:r w:rsidRPr="008E7D7B">
              <w:rPr>
                <w:rFonts w:ascii="Arial" w:hAnsi="Arial" w:cs="Arial"/>
                <w:bCs/>
                <w:color w:val="000000"/>
                <w:sz w:val="18"/>
                <w:szCs w:val="18"/>
                <w:lang w:val="es-ES" w:eastAsia="es-ES"/>
              </w:rPr>
              <w:t>(III + 3 + 4 + 5)</w:t>
            </w:r>
          </w:p>
        </w:tc>
        <w:tc>
          <w:tcPr>
            <w:tcW w:w="1399" w:type="dxa"/>
            <w:tcBorders>
              <w:top w:val="single" w:sz="4" w:space="0" w:color="auto"/>
              <w:bottom w:val="single" w:sz="4" w:space="0" w:color="auto"/>
            </w:tcBorders>
            <w:shd w:val="clear" w:color="auto" w:fill="A8CBEE" w:themeFill="accent2" w:themeFillTint="66"/>
            <w:noWrap/>
            <w:vAlign w:val="center"/>
          </w:tcPr>
          <w:p w:rsidR="006420DA" w:rsidRPr="006420DA" w:rsidRDefault="006420DA" w:rsidP="006420DA">
            <w:pPr>
              <w:spacing w:after="0"/>
              <w:ind w:firstLine="0"/>
              <w:jc w:val="left"/>
              <w:rPr>
                <w:rFonts w:ascii="Arial Narrow" w:hAnsi="Arial Narrow" w:cs="Arial"/>
                <w:sz w:val="18"/>
                <w:szCs w:val="18"/>
                <w:lang w:val="es-ES" w:eastAsia="es-ES"/>
              </w:rPr>
            </w:pPr>
          </w:p>
        </w:tc>
        <w:tc>
          <w:tcPr>
            <w:tcW w:w="1200" w:type="dxa"/>
            <w:tcBorders>
              <w:top w:val="single" w:sz="4" w:space="0" w:color="auto"/>
              <w:bottom w:val="single" w:sz="4" w:space="0" w:color="auto"/>
            </w:tcBorders>
            <w:shd w:val="clear" w:color="auto" w:fill="A8CBEE" w:themeFill="accent2" w:themeFillTint="66"/>
            <w:noWrap/>
            <w:vAlign w:val="center"/>
          </w:tcPr>
          <w:p w:rsidR="006420DA" w:rsidRPr="008E7D7B" w:rsidRDefault="006420DA" w:rsidP="006420DA">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2.059.239</w:t>
            </w:r>
          </w:p>
        </w:tc>
      </w:tr>
    </w:tbl>
    <w:p w:rsidR="006420DA" w:rsidRPr="006420DA" w:rsidRDefault="006420DA" w:rsidP="006420DA">
      <w:pPr>
        <w:spacing w:after="0"/>
        <w:ind w:firstLine="0"/>
        <w:rPr>
          <w:sz w:val="26"/>
          <w:szCs w:val="26"/>
          <w:lang w:val="es-ES" w:eastAsia="es-ES"/>
        </w:rPr>
      </w:pPr>
    </w:p>
    <w:p w:rsidR="006420DA" w:rsidRPr="006420DA" w:rsidRDefault="006420DA" w:rsidP="006420DA">
      <w:pPr>
        <w:pStyle w:val="atitulo2"/>
        <w:spacing w:before="240"/>
        <w:rPr>
          <w:rFonts w:cs="Arial"/>
          <w:lang w:eastAsia="es-ES"/>
        </w:rPr>
      </w:pPr>
      <w:bookmarkStart w:id="24" w:name="_Toc443895228"/>
      <w:r>
        <w:t>I</w:t>
      </w:r>
      <w:r w:rsidR="00703010">
        <w:t>II</w:t>
      </w:r>
      <w:r>
        <w:t>.3. Remanente de Tesorería a 31 de diciembre de</w:t>
      </w:r>
      <w:r w:rsidRPr="006420DA">
        <w:t xml:space="preserve"> </w:t>
      </w:r>
      <w:r>
        <w:t>2014</w:t>
      </w:r>
      <w:bookmarkEnd w:id="24"/>
    </w:p>
    <w:tbl>
      <w:tblPr>
        <w:tblW w:w="9172" w:type="dxa"/>
        <w:jc w:val="center"/>
        <w:tblLayout w:type="fixed"/>
        <w:tblCellMar>
          <w:left w:w="28" w:type="dxa"/>
          <w:right w:w="28" w:type="dxa"/>
        </w:tblCellMar>
        <w:tblLook w:val="0000" w:firstRow="0" w:lastRow="0" w:firstColumn="0" w:lastColumn="0" w:noHBand="0" w:noVBand="0"/>
      </w:tblPr>
      <w:tblGrid>
        <w:gridCol w:w="4646"/>
        <w:gridCol w:w="983"/>
        <w:gridCol w:w="1080"/>
        <w:gridCol w:w="1080"/>
        <w:gridCol w:w="1383"/>
      </w:tblGrid>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6420DA">
            <w:pPr>
              <w:tabs>
                <w:tab w:val="left" w:pos="567"/>
                <w:tab w:val="left" w:pos="1134"/>
                <w:tab w:val="left" w:pos="1701"/>
              </w:tabs>
              <w:snapToGrid w:val="0"/>
              <w:spacing w:after="0"/>
              <w:ind w:firstLine="0"/>
              <w:jc w:val="left"/>
              <w:rPr>
                <w:rFonts w:ascii="Arial" w:hAnsi="Arial" w:cs="Arial"/>
                <w:color w:val="000000"/>
                <w:sz w:val="18"/>
                <w:szCs w:val="18"/>
                <w:lang w:val="es-ES" w:eastAsia="es-ES"/>
              </w:rPr>
            </w:pPr>
            <w:r w:rsidRPr="006420DA">
              <w:rPr>
                <w:rFonts w:ascii="Arial" w:hAnsi="Arial" w:cs="Arial"/>
                <w:color w:val="000000"/>
                <w:sz w:val="18"/>
                <w:szCs w:val="18"/>
                <w:lang w:val="es-ES" w:eastAsia="es-ES"/>
              </w:rPr>
              <w:t>Concepto</w:t>
            </w:r>
          </w:p>
        </w:tc>
        <w:tc>
          <w:tcPr>
            <w:tcW w:w="20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915718" w:rsidP="00E130CE">
            <w:pPr>
              <w:spacing w:after="0"/>
              <w:ind w:right="60" w:firstLine="0"/>
              <w:jc w:val="right"/>
              <w:rPr>
                <w:rFonts w:ascii="Arial" w:hAnsi="Arial" w:cs="Arial"/>
                <w:bCs/>
                <w:sz w:val="18"/>
                <w:szCs w:val="18"/>
                <w:lang w:val="es-ES" w:eastAsia="es-ES"/>
              </w:rPr>
            </w:pPr>
            <w:r>
              <w:rPr>
                <w:rFonts w:ascii="Arial" w:hAnsi="Arial" w:cs="Arial"/>
                <w:bCs/>
                <w:sz w:val="18"/>
                <w:szCs w:val="18"/>
                <w:lang w:val="es-ES" w:eastAsia="es-ES"/>
              </w:rPr>
              <w:t>Ejercicio</w:t>
            </w:r>
            <w:r w:rsidR="006420DA" w:rsidRPr="006420DA">
              <w:rPr>
                <w:rFonts w:ascii="Arial" w:hAnsi="Arial" w:cs="Arial"/>
                <w:bCs/>
                <w:sz w:val="18"/>
                <w:szCs w:val="18"/>
                <w:lang w:val="es-ES" w:eastAsia="es-ES"/>
              </w:rPr>
              <w:t xml:space="preserve"> 2013</w:t>
            </w:r>
          </w:p>
        </w:tc>
        <w:tc>
          <w:tcPr>
            <w:tcW w:w="2463" w:type="dxa"/>
            <w:gridSpan w:val="2"/>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915718" w:rsidP="00E130CE">
            <w:pPr>
              <w:spacing w:after="0"/>
              <w:ind w:right="64" w:firstLine="0"/>
              <w:jc w:val="right"/>
              <w:rPr>
                <w:rFonts w:ascii="Arial" w:hAnsi="Arial" w:cs="Arial"/>
                <w:bCs/>
                <w:sz w:val="18"/>
                <w:szCs w:val="18"/>
                <w:lang w:val="es-ES" w:eastAsia="es-ES"/>
              </w:rPr>
            </w:pPr>
            <w:r>
              <w:rPr>
                <w:rFonts w:ascii="Arial" w:hAnsi="Arial" w:cs="Arial"/>
                <w:bCs/>
                <w:sz w:val="18"/>
                <w:szCs w:val="18"/>
                <w:lang w:val="es-ES" w:eastAsia="es-ES"/>
              </w:rPr>
              <w:t xml:space="preserve">Ejercicio </w:t>
            </w:r>
            <w:r w:rsidR="006420DA" w:rsidRPr="006420DA">
              <w:rPr>
                <w:rFonts w:ascii="Arial" w:hAnsi="Arial" w:cs="Arial"/>
                <w:bCs/>
                <w:sz w:val="18"/>
                <w:szCs w:val="18"/>
                <w:lang w:val="es-ES" w:eastAsia="es-ES"/>
              </w:rPr>
              <w:t xml:space="preserve"> 2014</w:t>
            </w:r>
          </w:p>
        </w:tc>
      </w:tr>
      <w:tr w:rsidR="006420DA" w:rsidRPr="006420DA" w:rsidTr="00E130CE">
        <w:trPr>
          <w:trHeight w:val="284"/>
          <w:jc w:val="center"/>
        </w:trPr>
        <w:tc>
          <w:tcPr>
            <w:tcW w:w="4646" w:type="dxa"/>
            <w:tcBorders>
              <w:top w:val="single" w:sz="4" w:space="0" w:color="auto"/>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1 (+) Derechos pendientes de cobro</w:t>
            </w:r>
          </w:p>
        </w:tc>
        <w:tc>
          <w:tcPr>
            <w:tcW w:w="9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3.403.731</w:t>
            </w: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c>
          <w:tcPr>
            <w:tcW w:w="13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2.601.685</w:t>
            </w:r>
          </w:p>
        </w:tc>
      </w:tr>
      <w:tr w:rsidR="006420DA" w:rsidRPr="006420DA" w:rsidTr="00E130CE">
        <w:trPr>
          <w:trHeight w:val="284"/>
          <w:jc w:val="center"/>
        </w:trPr>
        <w:tc>
          <w:tcPr>
            <w:tcW w:w="4646" w:type="dxa"/>
            <w:tcBorders>
              <w:top w:val="single" w:sz="4" w:space="0" w:color="auto"/>
            </w:tcBorders>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ab/>
              <w:t>(+) Ppto. Ingresos: Ejercicio corriente</w:t>
            </w:r>
          </w:p>
        </w:tc>
        <w:tc>
          <w:tcPr>
            <w:tcW w:w="983"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3.760.726</w:t>
            </w: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2.348.293</w:t>
            </w:r>
          </w:p>
        </w:tc>
        <w:tc>
          <w:tcPr>
            <w:tcW w:w="1383"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ab/>
              <w:t>(+) Ppto. Ingresos: Ejercicios cerrados</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3.198.097</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1.589.174</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ab/>
              <w:t>(+) De operaciones no presupuestarias</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503.021</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628.397</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 xml:space="preserve">         (+) Operaciones comerciales</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0</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0</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 xml:space="preserve">         (-) Cobros realizados pendientes de aplicación definitiva</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-474</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0</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tcBorders>
              <w:bottom w:val="single" w:sz="4" w:space="0" w:color="auto"/>
            </w:tcBorders>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ab/>
              <w:t>(-) Saldos de dudoso cobro</w:t>
            </w:r>
          </w:p>
        </w:tc>
        <w:tc>
          <w:tcPr>
            <w:tcW w:w="983"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4.058.587</w:t>
            </w:r>
          </w:p>
        </w:tc>
        <w:tc>
          <w:tcPr>
            <w:tcW w:w="1080"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1.964.178</w:t>
            </w:r>
          </w:p>
        </w:tc>
        <w:tc>
          <w:tcPr>
            <w:tcW w:w="1383" w:type="dxa"/>
            <w:tcBorders>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tcBorders>
              <w:top w:val="single" w:sz="4" w:space="0" w:color="auto"/>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2</w:t>
            </w:r>
            <w:r w:rsidRPr="006420DA">
              <w:rPr>
                <w:rFonts w:ascii="Arial Narrow" w:hAnsi="Arial Narrow"/>
                <w:b/>
                <w:color w:val="000000"/>
                <w:lang w:val="es-ES" w:eastAsia="es-ES"/>
              </w:rPr>
              <w:t xml:space="preserve"> </w:t>
            </w:r>
            <w:r w:rsidRPr="006420DA">
              <w:rPr>
                <w:rFonts w:ascii="Arial Narrow" w:hAnsi="Arial Narrow"/>
                <w:color w:val="000000"/>
                <w:lang w:val="es-ES" w:eastAsia="es-ES"/>
              </w:rPr>
              <w:t>(-) Obligaciones pendientes de pago</w:t>
            </w:r>
          </w:p>
        </w:tc>
        <w:tc>
          <w:tcPr>
            <w:tcW w:w="9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4.002.793</w:t>
            </w:r>
          </w:p>
        </w:tc>
        <w:tc>
          <w:tcPr>
            <w:tcW w:w="1080"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c>
          <w:tcPr>
            <w:tcW w:w="1383" w:type="dxa"/>
            <w:tcBorders>
              <w:top w:val="single" w:sz="4" w:space="0" w:color="auto"/>
              <w:bottom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4.639.640</w:t>
            </w:r>
          </w:p>
        </w:tc>
      </w:tr>
      <w:tr w:rsidR="006420DA" w:rsidRPr="006420DA" w:rsidTr="00E130CE">
        <w:trPr>
          <w:trHeight w:val="284"/>
          <w:jc w:val="center"/>
        </w:trPr>
        <w:tc>
          <w:tcPr>
            <w:tcW w:w="4646" w:type="dxa"/>
            <w:tcBorders>
              <w:top w:val="single" w:sz="4" w:space="0" w:color="auto"/>
            </w:tcBorders>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ab/>
              <w:t>(+) Ppto. de Gastos: Ejercicio corriente</w:t>
            </w:r>
          </w:p>
        </w:tc>
        <w:tc>
          <w:tcPr>
            <w:tcW w:w="983"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2.251.784</w:t>
            </w: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2.601.581</w:t>
            </w:r>
          </w:p>
        </w:tc>
        <w:tc>
          <w:tcPr>
            <w:tcW w:w="1383" w:type="dxa"/>
            <w:tcBorders>
              <w:top w:val="single" w:sz="4" w:space="0" w:color="auto"/>
            </w:tcBorders>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ab/>
              <w:t>(+) Ppto. de Gastos: Ejercicios cerrados</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1.233</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393</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 xml:space="preserve">         (+) De operaciones no presupuestarias</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1.749.263</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2.040.392</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vAlign w:val="center"/>
          </w:tcPr>
          <w:p w:rsidR="006420DA" w:rsidRPr="006420DA" w:rsidRDefault="006420DA" w:rsidP="006420DA">
            <w:pPr>
              <w:tabs>
                <w:tab w:val="left" w:pos="426"/>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 xml:space="preserve">         (+) De operaciones comerciales</w:t>
            </w:r>
          </w:p>
        </w:tc>
        <w:tc>
          <w:tcPr>
            <w:tcW w:w="983"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0</w:t>
            </w:r>
          </w:p>
        </w:tc>
        <w:tc>
          <w:tcPr>
            <w:tcW w:w="1080" w:type="dxa"/>
            <w:vAlign w:val="center"/>
          </w:tcPr>
          <w:p w:rsidR="006420DA" w:rsidRPr="006420DA" w:rsidRDefault="006420DA" w:rsidP="00BC4F7A">
            <w:pPr>
              <w:tabs>
                <w:tab w:val="left" w:pos="567"/>
                <w:tab w:val="left" w:pos="1701"/>
              </w:tabs>
              <w:snapToGrid w:val="0"/>
              <w:spacing w:after="0"/>
              <w:ind w:right="60" w:firstLine="0"/>
              <w:jc w:val="right"/>
              <w:rPr>
                <w:rFonts w:ascii="Arial Narrow" w:hAnsi="Arial Narrow"/>
                <w:color w:val="000000"/>
                <w:lang w:val="es-ES" w:eastAsia="es-ES"/>
              </w:rPr>
            </w:pPr>
          </w:p>
        </w:tc>
        <w:tc>
          <w:tcPr>
            <w:tcW w:w="1080"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0</w:t>
            </w:r>
          </w:p>
        </w:tc>
        <w:tc>
          <w:tcPr>
            <w:tcW w:w="1383" w:type="dxa"/>
            <w:vAlign w:val="center"/>
          </w:tcPr>
          <w:p w:rsidR="006420DA" w:rsidRPr="006420DA" w:rsidRDefault="006420DA" w:rsidP="00BC4F7A">
            <w:pPr>
              <w:tabs>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tcBorders>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 xml:space="preserve">         (-) Pagos realizados pendientes de aplicación definitiva</w:t>
            </w:r>
          </w:p>
        </w:tc>
        <w:tc>
          <w:tcPr>
            <w:tcW w:w="983"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-512</w:t>
            </w:r>
          </w:p>
        </w:tc>
        <w:tc>
          <w:tcPr>
            <w:tcW w:w="1080"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2.726</w:t>
            </w:r>
          </w:p>
        </w:tc>
        <w:tc>
          <w:tcPr>
            <w:tcW w:w="1383" w:type="dxa"/>
            <w:tcBorders>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lang w:val="es-ES" w:eastAsia="es-ES"/>
              </w:rPr>
            </w:pPr>
          </w:p>
        </w:tc>
      </w:tr>
      <w:tr w:rsidR="006420DA" w:rsidRPr="006420DA" w:rsidTr="00E130CE">
        <w:trPr>
          <w:trHeight w:val="284"/>
          <w:jc w:val="center"/>
        </w:trPr>
        <w:tc>
          <w:tcPr>
            <w:tcW w:w="4646" w:type="dxa"/>
            <w:tcBorders>
              <w:top w:val="single" w:sz="4" w:space="0" w:color="auto"/>
              <w:bottom w:val="single" w:sz="4" w:space="0" w:color="auto"/>
            </w:tcBorders>
            <w:vAlign w:val="center"/>
          </w:tcPr>
          <w:p w:rsidR="006420DA" w:rsidRPr="006420DA" w:rsidRDefault="006420DA" w:rsidP="006420DA">
            <w:pPr>
              <w:tabs>
                <w:tab w:val="left" w:pos="142"/>
                <w:tab w:val="left" w:pos="567"/>
                <w:tab w:val="left" w:pos="1134"/>
                <w:tab w:val="left" w:pos="1701"/>
              </w:tabs>
              <w:snapToGrid w:val="0"/>
              <w:spacing w:after="0"/>
              <w:ind w:firstLine="0"/>
              <w:jc w:val="left"/>
              <w:rPr>
                <w:rFonts w:ascii="Arial Narrow" w:hAnsi="Arial Narrow"/>
                <w:color w:val="000000"/>
                <w:lang w:val="es-ES" w:eastAsia="es-ES"/>
              </w:rPr>
            </w:pPr>
            <w:r w:rsidRPr="006420DA">
              <w:rPr>
                <w:rFonts w:ascii="Arial Narrow" w:hAnsi="Arial Narrow"/>
                <w:color w:val="000000"/>
                <w:lang w:val="es-ES" w:eastAsia="es-ES"/>
              </w:rPr>
              <w:t xml:space="preserve">3 (+) Fondos Líquidos </w:t>
            </w:r>
          </w:p>
        </w:tc>
        <w:tc>
          <w:tcPr>
            <w:tcW w:w="983"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lang w:val="es-ES" w:eastAsia="es-ES"/>
              </w:rPr>
            </w:pPr>
          </w:p>
        </w:tc>
        <w:tc>
          <w:tcPr>
            <w:tcW w:w="1080"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60" w:firstLine="0"/>
              <w:jc w:val="right"/>
              <w:rPr>
                <w:rFonts w:ascii="Arial Narrow" w:hAnsi="Arial Narrow"/>
                <w:color w:val="000000"/>
                <w:lang w:val="es-ES" w:eastAsia="es-ES"/>
              </w:rPr>
            </w:pPr>
            <w:r w:rsidRPr="006420DA">
              <w:rPr>
                <w:rFonts w:ascii="Arial Narrow" w:hAnsi="Arial Narrow"/>
                <w:color w:val="000000"/>
                <w:lang w:val="es-ES" w:eastAsia="es-ES"/>
              </w:rPr>
              <w:t>12.229.687</w:t>
            </w:r>
          </w:p>
        </w:tc>
        <w:tc>
          <w:tcPr>
            <w:tcW w:w="1080"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lang w:val="es-ES" w:eastAsia="es-ES"/>
              </w:rPr>
            </w:pPr>
          </w:p>
        </w:tc>
        <w:tc>
          <w:tcPr>
            <w:tcW w:w="1383" w:type="dxa"/>
            <w:tcBorders>
              <w:top w:val="single" w:sz="4" w:space="0" w:color="auto"/>
              <w:bottom w:val="single" w:sz="4" w:space="0" w:color="auto"/>
            </w:tcBorders>
            <w:vAlign w:val="center"/>
          </w:tcPr>
          <w:p w:rsidR="006420DA" w:rsidRPr="006420DA" w:rsidRDefault="006420DA" w:rsidP="00BC4F7A">
            <w:pPr>
              <w:tabs>
                <w:tab w:val="left" w:pos="284"/>
                <w:tab w:val="left" w:pos="567"/>
                <w:tab w:val="left" w:pos="1701"/>
              </w:tabs>
              <w:snapToGrid w:val="0"/>
              <w:spacing w:after="0"/>
              <w:ind w:right="36" w:firstLine="0"/>
              <w:jc w:val="right"/>
              <w:rPr>
                <w:rFonts w:ascii="Arial Narrow" w:hAnsi="Arial Narrow"/>
                <w:color w:val="000000"/>
                <w:lang w:val="es-ES" w:eastAsia="es-ES"/>
              </w:rPr>
            </w:pPr>
            <w:r w:rsidRPr="006420DA">
              <w:rPr>
                <w:rFonts w:ascii="Arial Narrow" w:hAnsi="Arial Narrow"/>
                <w:color w:val="000000"/>
                <w:lang w:val="es-ES" w:eastAsia="es-ES"/>
              </w:rPr>
              <w:t>15.153.782</w:t>
            </w:r>
          </w:p>
        </w:tc>
      </w:tr>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left"/>
              <w:rPr>
                <w:rFonts w:ascii="Arial" w:hAnsi="Arial" w:cs="Arial"/>
                <w:bCs/>
                <w:color w:val="000000"/>
                <w:sz w:val="18"/>
                <w:szCs w:val="18"/>
                <w:lang w:val="es-ES" w:eastAsia="es-ES"/>
              </w:rPr>
            </w:pPr>
            <w:r w:rsidRPr="008E7D7B">
              <w:rPr>
                <w:rFonts w:ascii="Arial" w:hAnsi="Arial" w:cs="Arial"/>
                <w:bCs/>
                <w:color w:val="000000"/>
                <w:sz w:val="18"/>
                <w:szCs w:val="18"/>
                <w:lang w:val="es-ES" w:eastAsia="es-ES"/>
              </w:rPr>
              <w:t>I.  Remanente de Tesorería Total (1-2+3)</w:t>
            </w:r>
          </w:p>
        </w:tc>
        <w:tc>
          <w:tcPr>
            <w:tcW w:w="983"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BC4F7A">
            <w:pPr>
              <w:tabs>
                <w:tab w:val="left" w:pos="567"/>
                <w:tab w:val="left" w:pos="1701"/>
              </w:tabs>
              <w:snapToGrid w:val="0"/>
              <w:spacing w:beforeLines="30" w:before="72" w:after="0"/>
              <w:ind w:right="60" w:firstLine="0"/>
              <w:jc w:val="right"/>
              <w:rPr>
                <w:rFonts w:ascii="Arial Narrow" w:hAnsi="Arial Narrow"/>
                <w:lang w:val="es-ES" w:eastAsia="es-ES"/>
              </w:rPr>
            </w:pP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11.630.624</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13.115.828</w:t>
            </w:r>
          </w:p>
        </w:tc>
      </w:tr>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left"/>
              <w:rPr>
                <w:rFonts w:ascii="Arial" w:hAnsi="Arial" w:cs="Arial"/>
                <w:bCs/>
                <w:color w:val="000000"/>
                <w:sz w:val="18"/>
                <w:szCs w:val="18"/>
                <w:lang w:val="es-ES" w:eastAsia="es-ES"/>
              </w:rPr>
            </w:pPr>
            <w:r w:rsidRPr="008E7D7B">
              <w:rPr>
                <w:rFonts w:ascii="Arial" w:hAnsi="Arial" w:cs="Arial"/>
                <w:bCs/>
                <w:color w:val="000000"/>
                <w:sz w:val="18"/>
                <w:szCs w:val="18"/>
                <w:lang w:val="es-ES" w:eastAsia="es-ES"/>
              </w:rPr>
              <w:t xml:space="preserve">II. Remanente de </w:t>
            </w:r>
            <w:r w:rsidR="008E7D7B">
              <w:rPr>
                <w:rFonts w:ascii="Arial" w:hAnsi="Arial" w:cs="Arial"/>
                <w:bCs/>
                <w:color w:val="000000"/>
                <w:sz w:val="18"/>
                <w:szCs w:val="18"/>
                <w:lang w:val="es-ES" w:eastAsia="es-ES"/>
              </w:rPr>
              <w:t>T</w:t>
            </w:r>
            <w:r w:rsidRPr="008E7D7B">
              <w:rPr>
                <w:rFonts w:ascii="Arial" w:hAnsi="Arial" w:cs="Arial"/>
                <w:bCs/>
                <w:color w:val="000000"/>
                <w:sz w:val="18"/>
                <w:szCs w:val="18"/>
                <w:lang w:val="es-ES" w:eastAsia="es-ES"/>
              </w:rPr>
              <w:t>esorería afectado</w:t>
            </w:r>
          </w:p>
        </w:tc>
        <w:tc>
          <w:tcPr>
            <w:tcW w:w="983"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lang w:val="es-ES" w:eastAsia="es-ES"/>
              </w:rPr>
            </w:pP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7.708.595</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6.834.989</w:t>
            </w:r>
          </w:p>
        </w:tc>
      </w:tr>
      <w:tr w:rsidR="006420DA" w:rsidRPr="006420DA" w:rsidTr="000A4C01">
        <w:trPr>
          <w:trHeight w:val="284"/>
          <w:jc w:val="center"/>
        </w:trPr>
        <w:tc>
          <w:tcPr>
            <w:tcW w:w="4646"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left"/>
              <w:rPr>
                <w:rFonts w:ascii="Arial" w:hAnsi="Arial" w:cs="Arial"/>
                <w:bCs/>
                <w:color w:val="000000"/>
                <w:sz w:val="18"/>
                <w:szCs w:val="18"/>
                <w:lang w:val="es-ES" w:eastAsia="es-ES"/>
              </w:rPr>
            </w:pPr>
            <w:r w:rsidRPr="008E7D7B">
              <w:rPr>
                <w:rFonts w:ascii="Arial" w:hAnsi="Arial" w:cs="Arial"/>
                <w:bCs/>
                <w:color w:val="000000"/>
                <w:sz w:val="18"/>
                <w:szCs w:val="18"/>
                <w:lang w:val="es-ES" w:eastAsia="es-ES"/>
              </w:rPr>
              <w:t xml:space="preserve">III. Remanente de </w:t>
            </w:r>
            <w:r w:rsidR="008E7D7B">
              <w:rPr>
                <w:rFonts w:ascii="Arial" w:hAnsi="Arial" w:cs="Arial"/>
                <w:bCs/>
                <w:color w:val="000000"/>
                <w:sz w:val="18"/>
                <w:szCs w:val="18"/>
                <w:lang w:val="es-ES" w:eastAsia="es-ES"/>
              </w:rPr>
              <w:t>T</w:t>
            </w:r>
            <w:r w:rsidRPr="008E7D7B">
              <w:rPr>
                <w:rFonts w:ascii="Arial" w:hAnsi="Arial" w:cs="Arial"/>
                <w:bCs/>
                <w:color w:val="000000"/>
                <w:sz w:val="18"/>
                <w:szCs w:val="18"/>
                <w:lang w:val="es-ES" w:eastAsia="es-ES"/>
              </w:rPr>
              <w:t>esorería no afectado (I-II)</w:t>
            </w:r>
          </w:p>
        </w:tc>
        <w:tc>
          <w:tcPr>
            <w:tcW w:w="983" w:type="dxa"/>
            <w:tcBorders>
              <w:top w:val="single" w:sz="4" w:space="0" w:color="auto"/>
              <w:left w:val="nil"/>
              <w:bottom w:val="single" w:sz="4" w:space="0" w:color="auto"/>
              <w:right w:val="nil"/>
            </w:tcBorders>
            <w:shd w:val="clear" w:color="auto" w:fill="A8CBEE" w:themeFill="accent2" w:themeFillTint="66"/>
            <w:vAlign w:val="center"/>
          </w:tcPr>
          <w:p w:rsidR="006420DA" w:rsidRPr="006420DA" w:rsidRDefault="006420DA" w:rsidP="00BC4F7A">
            <w:pPr>
              <w:tabs>
                <w:tab w:val="left" w:pos="426"/>
                <w:tab w:val="left" w:pos="567"/>
                <w:tab w:val="left" w:pos="1701"/>
              </w:tabs>
              <w:snapToGrid w:val="0"/>
              <w:spacing w:beforeLines="30" w:before="72" w:after="0"/>
              <w:ind w:right="60" w:firstLine="0"/>
              <w:jc w:val="right"/>
              <w:rPr>
                <w:rFonts w:ascii="Arial Narrow" w:hAnsi="Arial Narrow"/>
                <w:color w:val="000000"/>
                <w:lang w:val="es-ES" w:eastAsia="es-ES"/>
              </w:rPr>
            </w:pP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3.922.029</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p>
        </w:tc>
        <w:tc>
          <w:tcPr>
            <w:tcW w:w="1383" w:type="dxa"/>
            <w:tcBorders>
              <w:top w:val="single" w:sz="4" w:space="0" w:color="auto"/>
              <w:left w:val="nil"/>
              <w:bottom w:val="single" w:sz="4" w:space="0" w:color="auto"/>
              <w:right w:val="nil"/>
            </w:tcBorders>
            <w:shd w:val="clear" w:color="auto" w:fill="A8CBEE" w:themeFill="accent2" w:themeFillTint="66"/>
            <w:vAlign w:val="center"/>
          </w:tcPr>
          <w:p w:rsidR="006420DA" w:rsidRPr="008E7D7B" w:rsidRDefault="006420DA" w:rsidP="008E7D7B">
            <w:pPr>
              <w:spacing w:after="0"/>
              <w:ind w:firstLine="0"/>
              <w:jc w:val="right"/>
              <w:rPr>
                <w:rFonts w:ascii="Arial" w:hAnsi="Arial" w:cs="Arial"/>
                <w:bCs/>
                <w:sz w:val="18"/>
                <w:szCs w:val="18"/>
                <w:lang w:val="es-ES" w:eastAsia="es-ES"/>
              </w:rPr>
            </w:pPr>
            <w:r w:rsidRPr="008E7D7B">
              <w:rPr>
                <w:rFonts w:ascii="Arial" w:hAnsi="Arial" w:cs="Arial"/>
                <w:bCs/>
                <w:sz w:val="18"/>
                <w:szCs w:val="18"/>
                <w:lang w:val="es-ES" w:eastAsia="es-ES"/>
              </w:rPr>
              <w:t>6.280.840</w:t>
            </w:r>
          </w:p>
        </w:tc>
      </w:tr>
    </w:tbl>
    <w:p w:rsidR="006420DA" w:rsidRPr="006420DA" w:rsidRDefault="006420DA" w:rsidP="006420DA">
      <w:pPr>
        <w:pStyle w:val="atitulo2"/>
        <w:spacing w:before="240"/>
        <w:rPr>
          <w:rFonts w:cs="Arial"/>
          <w:lang w:eastAsia="es-ES"/>
        </w:rPr>
      </w:pPr>
      <w:bookmarkStart w:id="25" w:name="_Toc443895229"/>
      <w:r>
        <w:lastRenderedPageBreak/>
        <w:t>I</w:t>
      </w:r>
      <w:r w:rsidR="00703010">
        <w:t>II</w:t>
      </w:r>
      <w:r>
        <w:t>.4. Balance de situación a 31 de diciembre de 2014</w:t>
      </w:r>
      <w:bookmarkEnd w:id="25"/>
    </w:p>
    <w:tbl>
      <w:tblPr>
        <w:tblW w:w="955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1030"/>
        <w:gridCol w:w="1030"/>
        <w:gridCol w:w="2529"/>
        <w:gridCol w:w="1070"/>
        <w:gridCol w:w="1056"/>
      </w:tblGrid>
      <w:tr w:rsidR="006420DA" w:rsidRPr="006420DA" w:rsidTr="000A4C01">
        <w:trPr>
          <w:trHeight w:val="284"/>
          <w:jc w:val="center"/>
        </w:trPr>
        <w:tc>
          <w:tcPr>
            <w:tcW w:w="2835" w:type="dxa"/>
            <w:shd w:val="clear" w:color="auto" w:fill="A8CBEE" w:themeFill="accent2" w:themeFillTint="66"/>
            <w:noWrap/>
            <w:vAlign w:val="center"/>
          </w:tcPr>
          <w:p w:rsidR="006420DA" w:rsidRPr="006420DA" w:rsidRDefault="006420DA" w:rsidP="006420DA">
            <w:pPr>
              <w:spacing w:after="0"/>
              <w:ind w:firstLine="0"/>
              <w:jc w:val="lef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ACTIVO</w:t>
            </w:r>
          </w:p>
        </w:tc>
        <w:tc>
          <w:tcPr>
            <w:tcW w:w="103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2013</w:t>
            </w:r>
          </w:p>
        </w:tc>
        <w:tc>
          <w:tcPr>
            <w:tcW w:w="1030" w:type="dxa"/>
            <w:tcBorders>
              <w:right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2014</w:t>
            </w:r>
          </w:p>
        </w:tc>
        <w:tc>
          <w:tcPr>
            <w:tcW w:w="2529" w:type="dxa"/>
            <w:tcBorders>
              <w:left w:val="single" w:sz="4" w:space="0" w:color="auto"/>
            </w:tcBorders>
            <w:shd w:val="clear" w:color="auto" w:fill="A8CBEE" w:themeFill="accent2" w:themeFillTint="66"/>
            <w:vAlign w:val="center"/>
          </w:tcPr>
          <w:p w:rsidR="006420DA" w:rsidRPr="006420DA" w:rsidRDefault="006420DA" w:rsidP="006420DA">
            <w:pPr>
              <w:spacing w:after="0"/>
              <w:ind w:firstLine="0"/>
              <w:jc w:val="lef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PASIVO</w:t>
            </w:r>
          </w:p>
        </w:tc>
        <w:tc>
          <w:tcPr>
            <w:tcW w:w="10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2013</w:t>
            </w:r>
          </w:p>
        </w:tc>
        <w:tc>
          <w:tcPr>
            <w:tcW w:w="1056"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7"/>
                <w:szCs w:val="17"/>
                <w:lang w:val="es-ES" w:eastAsia="es-ES"/>
              </w:rPr>
            </w:pPr>
            <w:r w:rsidRPr="006420DA">
              <w:rPr>
                <w:rFonts w:ascii="Arial Narrow" w:hAnsi="Arial Narrow" w:cs="Arial"/>
                <w:bCs/>
                <w:sz w:val="17"/>
                <w:szCs w:val="17"/>
                <w:lang w:val="es-ES" w:eastAsia="es-ES"/>
              </w:rPr>
              <w:t>A) INMOVILIZADO</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137.868.281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133.534.572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7"/>
                <w:szCs w:val="17"/>
                <w:lang w:val="es-ES" w:eastAsia="es-ES"/>
              </w:rPr>
            </w:pPr>
            <w:r w:rsidRPr="006420DA">
              <w:rPr>
                <w:rFonts w:ascii="Arial Narrow" w:hAnsi="Arial Narrow" w:cs="Arial"/>
                <w:bCs/>
                <w:sz w:val="17"/>
                <w:szCs w:val="17"/>
                <w:lang w:val="es-ES" w:eastAsia="es-ES"/>
              </w:rPr>
              <w:t xml:space="preserve"> A) FONDOS PROPIOS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147.047.682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144.268.561</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II. Inmovilizaciones inmateriales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930.831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728.961</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 I. Patrimonio</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127.912.262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127.912.262</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2. Propiedad industrial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446.748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485.352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1. Patrimonio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123.083.338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123.083.338</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3. Aplicaciones informáticas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8.493.623</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8.704.069</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3. Patrimonio recibido por cesión</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5.385.399</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5.385.399</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6. Otro inmovilizado inmaterial</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42.781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54.705</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5. Patrim. entregado por cesión</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-556.475</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-556.475</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8. Amortizaciones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-8.052.321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-8.515.165</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III. Inmovilizaciones materiales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136.505.830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132.373.190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1. Terrenos y construcciones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166.698.863</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167.256.756</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III. Rdo. de ejercicio anteriores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50.447.558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19.135.420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2. Instalaciones técnicas y maquinaria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45.401.291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45.742.111</w:t>
            </w:r>
          </w:p>
        </w:tc>
        <w:tc>
          <w:tcPr>
            <w:tcW w:w="2529" w:type="dxa"/>
            <w:tcBorders>
              <w:left w:val="single" w:sz="4" w:space="0" w:color="auto"/>
            </w:tcBorders>
            <w:shd w:val="clear" w:color="auto" w:fill="auto"/>
            <w:vAlign w:val="center"/>
          </w:tcPr>
          <w:p w:rsidR="006420DA" w:rsidRPr="006420DA" w:rsidRDefault="00BC4F7A" w:rsidP="00BC4F7A">
            <w:pPr>
              <w:spacing w:after="0"/>
              <w:ind w:firstLine="0"/>
              <w:jc w:val="left"/>
              <w:rPr>
                <w:rFonts w:ascii="Arial Narrow" w:hAnsi="Arial Narrow" w:cs="Arial"/>
                <w:sz w:val="18"/>
                <w:szCs w:val="18"/>
                <w:lang w:val="es-ES" w:eastAsia="es-ES"/>
              </w:rPr>
            </w:pPr>
            <w:r>
              <w:rPr>
                <w:rFonts w:ascii="Arial Narrow" w:hAnsi="Arial Narrow" w:cs="Arial"/>
                <w:sz w:val="18"/>
                <w:szCs w:val="18"/>
                <w:lang w:val="es-ES" w:eastAsia="es-ES"/>
              </w:rPr>
              <w:t xml:space="preserve">1. Rdos. positivos </w:t>
            </w:r>
            <w:r w:rsidR="006420DA" w:rsidRPr="006420DA">
              <w:rPr>
                <w:rFonts w:ascii="Arial Narrow" w:hAnsi="Arial Narrow" w:cs="Arial"/>
                <w:sz w:val="18"/>
                <w:szCs w:val="18"/>
                <w:lang w:val="es-ES" w:eastAsia="es-ES"/>
              </w:rPr>
              <w:t>ejercic</w:t>
            </w:r>
            <w:r>
              <w:rPr>
                <w:rFonts w:ascii="Arial Narrow" w:hAnsi="Arial Narrow" w:cs="Arial"/>
                <w:sz w:val="18"/>
                <w:szCs w:val="18"/>
                <w:lang w:val="es-ES" w:eastAsia="es-ES"/>
              </w:rPr>
              <w:t>.</w:t>
            </w:r>
            <w:r w:rsidR="006420DA" w:rsidRPr="006420DA">
              <w:rPr>
                <w:rFonts w:ascii="Arial Narrow" w:hAnsi="Arial Narrow" w:cs="Arial"/>
                <w:sz w:val="18"/>
                <w:szCs w:val="18"/>
                <w:lang w:val="es-ES" w:eastAsia="es-ES"/>
              </w:rPr>
              <w:t xml:space="preserve"> anteriores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50.447.558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19.135.420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3. Utillaje y mobiliario</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17.910.966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18.054.084</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4. Otro inmovilizado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21.800.120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21.436.061</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 6. Amortizaciones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-115.305.411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-120.115.822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 IV. Resultados del ejercicio</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-31.312.138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-2.779.120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V. Inversiones financieras permanen.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431.620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432.420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7"/>
                <w:szCs w:val="17"/>
                <w:lang w:val="es-ES" w:eastAsia="es-ES"/>
              </w:rPr>
            </w:pPr>
            <w:r w:rsidRPr="006420DA">
              <w:rPr>
                <w:rFonts w:ascii="Arial Narrow" w:hAnsi="Arial Narrow" w:cs="Arial"/>
                <w:sz w:val="17"/>
                <w:szCs w:val="17"/>
                <w:lang w:val="es-ES" w:eastAsia="es-ES"/>
              </w:rPr>
              <w:t>B) PROV. RIESGOS Y GASTOS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27.179</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14.636</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1. Cartera de valores a largo plazo</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427.819</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427.819</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7"/>
                <w:szCs w:val="17"/>
                <w:lang w:val="es-ES" w:eastAsia="es-ES"/>
              </w:rPr>
            </w:pPr>
            <w:r w:rsidRPr="006420DA">
              <w:rPr>
                <w:rFonts w:ascii="Arial Narrow" w:hAnsi="Arial Narrow" w:cs="Arial"/>
                <w:bCs/>
                <w:sz w:val="17"/>
                <w:szCs w:val="17"/>
                <w:lang w:val="es-ES" w:eastAsia="es-ES"/>
              </w:rPr>
              <w:t>C) ACREEDORES A L/P</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2.552.862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2.415.174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3. Fianzas y depósitos constituidos  L/P</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3.801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4.601</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 II. Otras deudas a largo plazo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2.552.862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2.415.174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7"/>
                <w:szCs w:val="17"/>
                <w:lang w:val="es-ES" w:eastAsia="es-ES"/>
              </w:rPr>
            </w:pPr>
            <w:r w:rsidRPr="006420DA">
              <w:rPr>
                <w:rFonts w:ascii="Arial Narrow" w:hAnsi="Arial Narrow" w:cs="Arial"/>
                <w:bCs/>
                <w:sz w:val="17"/>
                <w:szCs w:val="17"/>
                <w:lang w:val="es-ES" w:eastAsia="es-ES"/>
              </w:rPr>
              <w:t>B) GASTOS A DISTRIBUIR EN VARIOS EJERCICIOS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224.498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224.498</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2. Otras deudas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2.552.862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2.415.174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7"/>
                <w:szCs w:val="17"/>
                <w:lang w:val="es-ES" w:eastAsia="es-ES"/>
              </w:rPr>
            </w:pPr>
            <w:r w:rsidRPr="006420DA">
              <w:rPr>
                <w:rFonts w:ascii="Arial Narrow" w:hAnsi="Arial Narrow" w:cs="Arial"/>
                <w:bCs/>
                <w:sz w:val="17"/>
                <w:szCs w:val="17"/>
                <w:lang w:val="es-ES" w:eastAsia="es-ES"/>
              </w:rPr>
              <w:t>C) ACTIVO CIRCULANTE</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15.632.431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17.758.194</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II. Deudores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3.402.744</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2.604.412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7"/>
                <w:szCs w:val="17"/>
                <w:lang w:val="es-ES" w:eastAsia="es-ES"/>
              </w:rPr>
            </w:pPr>
            <w:r w:rsidRPr="006420DA">
              <w:rPr>
                <w:rFonts w:ascii="Arial Narrow" w:hAnsi="Arial Narrow" w:cs="Arial"/>
                <w:bCs/>
                <w:sz w:val="17"/>
                <w:szCs w:val="17"/>
                <w:lang w:val="es-ES" w:eastAsia="es-ES"/>
              </w:rPr>
              <w:t xml:space="preserve"> D) ACREEDORES A C/P</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4.097.487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4.818.893</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1. Deudores presupuestarios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6.958.822</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3.937.466</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 III. Acreedores </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4.097.487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4.818.893</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2. Deudores no presupuestarios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244.359</w:t>
            </w:r>
          </w:p>
        </w:tc>
        <w:tc>
          <w:tcPr>
            <w:tcW w:w="1030" w:type="dxa"/>
            <w:tcBorders>
              <w:right w:val="single" w:sz="4" w:space="0" w:color="auto"/>
            </w:tcBorders>
            <w:shd w:val="clear" w:color="auto" w:fill="auto"/>
            <w:noWrap/>
            <w:vAlign w:val="center"/>
          </w:tcPr>
          <w:p w:rsidR="006420DA" w:rsidRPr="006420DA" w:rsidRDefault="006420DA" w:rsidP="00BD6173">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23</w:t>
            </w:r>
            <w:r w:rsidR="00BD6173">
              <w:rPr>
                <w:rFonts w:ascii="Arial Narrow" w:hAnsi="Arial Narrow" w:cs="Arial"/>
                <w:bCs/>
                <w:sz w:val="16"/>
                <w:szCs w:val="16"/>
                <w:lang w:val="es-ES" w:eastAsia="es-ES"/>
              </w:rPr>
              <w:t>1</w:t>
            </w:r>
            <w:r w:rsidRPr="006420DA">
              <w:rPr>
                <w:rFonts w:ascii="Arial Narrow" w:hAnsi="Arial Narrow" w:cs="Arial"/>
                <w:bCs/>
                <w:sz w:val="16"/>
                <w:szCs w:val="16"/>
                <w:lang w:val="es-ES" w:eastAsia="es-ES"/>
              </w:rPr>
              <w:t>.550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1. Acreedores presupuestarios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2.253.017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2.601.974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4. Administraciones públicas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258.661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396.847</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2. Acreedores no presupuestarios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105.970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384.720</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5. Otros deudores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-513</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2.726.</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4. Administraciones públicas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1.604.857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1.619.774</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6. Provisiones</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-4058.897</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-1.964.178</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5. Otros acreedores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95.206</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176.526</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 xml:space="preserve">III. Inversiones financieras temporales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8.000.000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11.500.000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6. Fianzas y depósitos recibidos c/p</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38.437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35.898</w:t>
            </w: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 xml:space="preserve">1. Cartera de valores a corto plazo </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8.000.000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11.500.000</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r>
      <w:tr w:rsidR="006420DA" w:rsidRPr="006420DA" w:rsidTr="00A277E6">
        <w:trPr>
          <w:trHeight w:val="284"/>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IV: Tesorería</w:t>
            </w:r>
          </w:p>
        </w:tc>
        <w:tc>
          <w:tcPr>
            <w:tcW w:w="103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4.229.687</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3.653.782</w:t>
            </w:r>
          </w:p>
        </w:tc>
        <w:tc>
          <w:tcPr>
            <w:tcW w:w="252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8"/>
                <w:szCs w:val="18"/>
                <w:lang w:val="es-ES" w:eastAsia="es-ES"/>
              </w:rPr>
            </w:pP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r>
      <w:tr w:rsidR="006420DA" w:rsidRPr="006420DA" w:rsidTr="000A4C01">
        <w:trPr>
          <w:trHeight w:val="284"/>
          <w:jc w:val="center"/>
        </w:trPr>
        <w:tc>
          <w:tcPr>
            <w:tcW w:w="2835" w:type="dxa"/>
            <w:shd w:val="clear" w:color="auto" w:fill="A8CBEE" w:themeFill="accent2" w:themeFillTint="66"/>
            <w:vAlign w:val="center"/>
          </w:tcPr>
          <w:p w:rsidR="006420DA" w:rsidRPr="006420DA" w:rsidRDefault="006420DA" w:rsidP="006420DA">
            <w:pPr>
              <w:spacing w:after="0"/>
              <w:ind w:firstLine="0"/>
              <w:jc w:val="left"/>
              <w:rPr>
                <w:rFonts w:ascii="Arial Narrow" w:hAnsi="Arial Narrow" w:cs="Arial"/>
                <w:bCs/>
                <w:sz w:val="18"/>
                <w:szCs w:val="18"/>
                <w:lang w:val="es-ES" w:eastAsia="es-ES"/>
              </w:rPr>
            </w:pPr>
            <w:r w:rsidRPr="006420DA">
              <w:rPr>
                <w:rFonts w:ascii="Arial Narrow" w:hAnsi="Arial Narrow" w:cs="Arial"/>
                <w:bCs/>
                <w:sz w:val="18"/>
                <w:szCs w:val="18"/>
                <w:lang w:val="es-ES" w:eastAsia="es-ES"/>
              </w:rPr>
              <w:t>Total General  (A+B+C)</w:t>
            </w:r>
          </w:p>
        </w:tc>
        <w:tc>
          <w:tcPr>
            <w:tcW w:w="103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153.725.210</w:t>
            </w:r>
          </w:p>
        </w:tc>
        <w:tc>
          <w:tcPr>
            <w:tcW w:w="1030" w:type="dxa"/>
            <w:tcBorders>
              <w:right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151.517.264</w:t>
            </w:r>
          </w:p>
        </w:tc>
        <w:tc>
          <w:tcPr>
            <w:tcW w:w="2529" w:type="dxa"/>
            <w:tcBorders>
              <w:left w:val="single" w:sz="4" w:space="0" w:color="auto"/>
            </w:tcBorders>
            <w:shd w:val="clear" w:color="auto" w:fill="A8CBEE" w:themeFill="accent2" w:themeFillTint="66"/>
            <w:vAlign w:val="center"/>
          </w:tcPr>
          <w:p w:rsidR="006420DA" w:rsidRPr="006420DA" w:rsidRDefault="006420DA" w:rsidP="006420DA">
            <w:pPr>
              <w:spacing w:after="0"/>
              <w:ind w:firstLine="0"/>
              <w:jc w:val="left"/>
              <w:rPr>
                <w:rFonts w:ascii="Arial Narrow" w:hAnsi="Arial Narrow" w:cs="Arial"/>
                <w:sz w:val="18"/>
                <w:szCs w:val="18"/>
                <w:lang w:val="es-ES" w:eastAsia="es-ES"/>
              </w:rPr>
            </w:pPr>
            <w:r w:rsidRPr="006420DA">
              <w:rPr>
                <w:rFonts w:ascii="Arial Narrow" w:hAnsi="Arial Narrow" w:cs="Arial"/>
                <w:sz w:val="18"/>
                <w:szCs w:val="18"/>
                <w:lang w:val="es-ES" w:eastAsia="es-ES"/>
              </w:rPr>
              <w:t>Total General (A+B+C)</w:t>
            </w:r>
          </w:p>
        </w:tc>
        <w:tc>
          <w:tcPr>
            <w:tcW w:w="10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153.725.210</w:t>
            </w:r>
          </w:p>
        </w:tc>
        <w:tc>
          <w:tcPr>
            <w:tcW w:w="1056"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151.517.264</w:t>
            </w:r>
          </w:p>
        </w:tc>
      </w:tr>
    </w:tbl>
    <w:p w:rsidR="006420DA" w:rsidRPr="006420DA" w:rsidRDefault="006420DA" w:rsidP="006420DA">
      <w:pPr>
        <w:spacing w:after="0"/>
        <w:ind w:firstLine="0"/>
        <w:rPr>
          <w:sz w:val="26"/>
          <w:szCs w:val="26"/>
          <w:lang w:val="es-ES" w:eastAsia="es-ES"/>
        </w:rPr>
      </w:pPr>
    </w:p>
    <w:p w:rsidR="006420DA" w:rsidRPr="006420DA" w:rsidRDefault="006420DA" w:rsidP="006420DA">
      <w:pPr>
        <w:spacing w:after="0"/>
        <w:ind w:firstLine="0"/>
        <w:rPr>
          <w:sz w:val="26"/>
          <w:szCs w:val="26"/>
          <w:lang w:val="es-ES" w:eastAsia="es-ES"/>
        </w:rPr>
      </w:pPr>
    </w:p>
    <w:p w:rsidR="006420DA" w:rsidRPr="006420DA" w:rsidRDefault="006420DA" w:rsidP="006420DA">
      <w:pPr>
        <w:spacing w:after="0"/>
        <w:ind w:firstLine="0"/>
        <w:rPr>
          <w:sz w:val="26"/>
          <w:szCs w:val="26"/>
          <w:lang w:val="es-ES" w:eastAsia="es-ES"/>
        </w:rPr>
      </w:pPr>
      <w:r w:rsidRPr="006420DA">
        <w:rPr>
          <w:sz w:val="26"/>
          <w:szCs w:val="26"/>
          <w:lang w:val="es-ES" w:eastAsia="es-ES"/>
        </w:rPr>
        <w:br w:type="page"/>
      </w:r>
    </w:p>
    <w:p w:rsidR="006420DA" w:rsidRPr="006420DA" w:rsidRDefault="006420DA" w:rsidP="006420DA">
      <w:pPr>
        <w:pStyle w:val="atitulo2"/>
        <w:spacing w:before="240"/>
        <w:rPr>
          <w:rFonts w:cs="Arial"/>
          <w:lang w:eastAsia="es-ES"/>
        </w:rPr>
      </w:pPr>
      <w:bookmarkStart w:id="26" w:name="_Toc443895230"/>
      <w:r>
        <w:lastRenderedPageBreak/>
        <w:t>I</w:t>
      </w:r>
      <w:r w:rsidR="00703010">
        <w:t>II</w:t>
      </w:r>
      <w:r>
        <w:t>.5. Cuenta de resultados 2014</w:t>
      </w:r>
      <w:bookmarkEnd w:id="26"/>
    </w:p>
    <w:tbl>
      <w:tblPr>
        <w:tblW w:w="9460"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35"/>
        <w:gridCol w:w="870"/>
        <w:gridCol w:w="1030"/>
        <w:gridCol w:w="2599"/>
        <w:gridCol w:w="1070"/>
        <w:gridCol w:w="1056"/>
      </w:tblGrid>
      <w:tr w:rsidR="006420DA" w:rsidRPr="006420DA" w:rsidTr="000A4C01">
        <w:trPr>
          <w:trHeight w:val="312"/>
          <w:jc w:val="center"/>
        </w:trPr>
        <w:tc>
          <w:tcPr>
            <w:tcW w:w="2835" w:type="dxa"/>
            <w:shd w:val="clear" w:color="auto" w:fill="A8CBEE" w:themeFill="accent2" w:themeFillTint="66"/>
            <w:noWrap/>
            <w:vAlign w:val="center"/>
          </w:tcPr>
          <w:p w:rsidR="006420DA" w:rsidRPr="006420DA" w:rsidRDefault="006420DA" w:rsidP="006420DA">
            <w:pPr>
              <w:spacing w:after="0"/>
              <w:ind w:firstLine="0"/>
              <w:jc w:val="lef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DEBE</w:t>
            </w:r>
          </w:p>
        </w:tc>
        <w:tc>
          <w:tcPr>
            <w:tcW w:w="8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2013</w:t>
            </w:r>
          </w:p>
        </w:tc>
        <w:tc>
          <w:tcPr>
            <w:tcW w:w="1030" w:type="dxa"/>
            <w:tcBorders>
              <w:right w:val="single" w:sz="4" w:space="0" w:color="auto"/>
            </w:tcBorders>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2014</w:t>
            </w:r>
          </w:p>
        </w:tc>
        <w:tc>
          <w:tcPr>
            <w:tcW w:w="2599" w:type="dxa"/>
            <w:tcBorders>
              <w:left w:val="single" w:sz="4" w:space="0" w:color="auto"/>
            </w:tcBorders>
            <w:shd w:val="clear" w:color="auto" w:fill="A8CBEE" w:themeFill="accent2" w:themeFillTint="66"/>
            <w:vAlign w:val="center"/>
          </w:tcPr>
          <w:p w:rsidR="006420DA" w:rsidRPr="006420DA" w:rsidRDefault="006420DA" w:rsidP="006420DA">
            <w:pPr>
              <w:spacing w:after="0"/>
              <w:ind w:firstLine="0"/>
              <w:jc w:val="lef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HABER</w:t>
            </w:r>
          </w:p>
        </w:tc>
        <w:tc>
          <w:tcPr>
            <w:tcW w:w="1070"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2013</w:t>
            </w:r>
          </w:p>
        </w:tc>
        <w:tc>
          <w:tcPr>
            <w:tcW w:w="1056" w:type="dxa"/>
            <w:shd w:val="clear" w:color="auto" w:fill="A8CBEE" w:themeFill="accent2" w:themeFillTint="66"/>
            <w:noWrap/>
            <w:vAlign w:val="center"/>
          </w:tcPr>
          <w:p w:rsidR="006420DA" w:rsidRPr="006420DA" w:rsidRDefault="006420DA"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2014</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A) GASTOS</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101.425.601</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74.459.589</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B) INGRESOS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70.113.462</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71.680.469</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 Gastos de funcionamiento de los servicios y prestaciones sociales</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74.803.070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71.053.972</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 Prestación de servicios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12.033.410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13.472.565</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 Gastos de personal:</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51.568.357</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51.944.895</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sz w:val="16"/>
                <w:szCs w:val="16"/>
                <w:lang w:val="es-ES" w:eastAsia="es-ES"/>
              </w:rPr>
            </w:pPr>
            <w:r w:rsidRPr="006420DA">
              <w:rPr>
                <w:rFonts w:ascii="Arial Narrow" w:hAnsi="Arial Narrow" w:cs="Arial"/>
                <w:sz w:val="16"/>
                <w:szCs w:val="16"/>
                <w:lang w:val="es-ES" w:eastAsia="es-ES"/>
              </w:rPr>
              <w:t>a) Tasas por prestación de servicios o realización de actividades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1.058.963</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1.195.718</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a.1) Sueldos, salarios y asimilados</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44.785.320</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44.932.461</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b) Precios públicos por prestación de servicios o realización de actividades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10.705.610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12.026.536</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a.2) Cargas sociales</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6.783.036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7.012.433</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 Precios públicos  utilización privativa o aprovecha.  especial del dominio público</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268.937</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250.311</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 Dotaciones amortizaciones inmovilizado</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8.443.139</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8.126.949</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2. Otros ingresos de gestión ordinaria</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2.035.965</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1.845.753</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d) Variación de provisiones tráfico</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1.078.016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-2.094.408</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 Reintegros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101.760</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9.351</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d.1) Variación de provisiones y pérdidas</w:t>
            </w:r>
          </w:p>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 xml:space="preserve"> de créditos incobrables</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1.078.016</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-2.094.408</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 Otros ingresos de gestión</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1.811.268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1.745.945</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e) Otros gastos de gestión</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13.701.358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13.066.857</w:t>
            </w:r>
          </w:p>
        </w:tc>
        <w:tc>
          <w:tcPr>
            <w:tcW w:w="2599" w:type="dxa"/>
            <w:tcBorders>
              <w:left w:val="single" w:sz="4" w:space="0" w:color="auto"/>
            </w:tcBorders>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c.1) Ingresos acces. y  otros corrientes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1.811.268</w:t>
            </w:r>
          </w:p>
        </w:tc>
        <w:tc>
          <w:tcPr>
            <w:tcW w:w="1056"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1.733.402</w:t>
            </w:r>
          </w:p>
        </w:tc>
      </w:tr>
      <w:tr w:rsidR="006420DA" w:rsidRPr="006420DA" w:rsidTr="00A277E6">
        <w:trPr>
          <w:trHeight w:val="312"/>
          <w:jc w:val="center"/>
        </w:trPr>
        <w:tc>
          <w:tcPr>
            <w:tcW w:w="2835" w:type="dxa"/>
            <w:shd w:val="clear" w:color="auto" w:fill="auto"/>
            <w:vAlign w:val="center"/>
          </w:tcPr>
          <w:p w:rsidR="006420DA" w:rsidRPr="006420DA" w:rsidRDefault="006420DA"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e.1) Servicios exteriores</w:t>
            </w:r>
          </w:p>
        </w:tc>
        <w:tc>
          <w:tcPr>
            <w:tcW w:w="8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13.669.788</w:t>
            </w:r>
          </w:p>
        </w:tc>
        <w:tc>
          <w:tcPr>
            <w:tcW w:w="1030" w:type="dxa"/>
            <w:tcBorders>
              <w:right w:val="single" w:sz="4" w:space="0" w:color="auto"/>
            </w:tcBorders>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12.995.455</w:t>
            </w:r>
          </w:p>
        </w:tc>
        <w:tc>
          <w:tcPr>
            <w:tcW w:w="2599" w:type="dxa"/>
            <w:tcBorders>
              <w:left w:val="single" w:sz="4" w:space="0" w:color="auto"/>
            </w:tcBorders>
            <w:shd w:val="clear" w:color="auto" w:fill="auto"/>
            <w:vAlign w:val="center"/>
          </w:tcPr>
          <w:p w:rsidR="006420DA" w:rsidRPr="006420DA" w:rsidRDefault="00BD6173" w:rsidP="006420DA">
            <w:pPr>
              <w:spacing w:after="0"/>
              <w:ind w:firstLine="0"/>
              <w:jc w:val="lef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c.2) Exceso provisión rie</w:t>
            </w:r>
            <w:r w:rsidR="008A4738">
              <w:rPr>
                <w:rFonts w:ascii="Arial Narrow" w:hAnsi="Arial Narrow" w:cs="Arial"/>
                <w:color w:val="000000"/>
                <w:sz w:val="16"/>
                <w:szCs w:val="16"/>
                <w:lang w:val="es-ES" w:eastAsia="es-ES"/>
              </w:rPr>
              <w:t>s</w:t>
            </w:r>
            <w:r>
              <w:rPr>
                <w:rFonts w:ascii="Arial Narrow" w:hAnsi="Arial Narrow" w:cs="Arial"/>
                <w:color w:val="000000"/>
                <w:sz w:val="16"/>
                <w:szCs w:val="16"/>
                <w:lang w:val="es-ES" w:eastAsia="es-ES"/>
              </w:rPr>
              <w:t>go</w:t>
            </w:r>
            <w:r w:rsidR="008A4738">
              <w:rPr>
                <w:rFonts w:ascii="Arial Narrow" w:hAnsi="Arial Narrow" w:cs="Arial"/>
                <w:color w:val="000000"/>
                <w:sz w:val="16"/>
                <w:szCs w:val="16"/>
                <w:lang w:val="es-ES" w:eastAsia="es-ES"/>
              </w:rPr>
              <w:t>s</w:t>
            </w:r>
            <w:r>
              <w:rPr>
                <w:rFonts w:ascii="Arial Narrow" w:hAnsi="Arial Narrow" w:cs="Arial"/>
                <w:color w:val="000000"/>
                <w:sz w:val="16"/>
                <w:szCs w:val="16"/>
                <w:lang w:val="es-ES" w:eastAsia="es-ES"/>
              </w:rPr>
              <w:t xml:space="preserve"> y gastos</w:t>
            </w:r>
          </w:p>
        </w:tc>
        <w:tc>
          <w:tcPr>
            <w:tcW w:w="1070" w:type="dxa"/>
            <w:shd w:val="clear" w:color="auto" w:fill="auto"/>
            <w:noWrap/>
            <w:vAlign w:val="center"/>
          </w:tcPr>
          <w:p w:rsidR="006420DA" w:rsidRPr="006420DA" w:rsidRDefault="006420DA"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6420DA" w:rsidRPr="006420DA" w:rsidRDefault="00BD6173" w:rsidP="006420DA">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12.543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e.2) Tributos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4.391</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71.403</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f) Otros intereses e ingresos similares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119.813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85.484</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e.3) Otros gastos de gestión corriente</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27.179</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0</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f.1) Otros intereses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119.813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85.484</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f) Gastos financieros y asimilables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10.095</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7.996</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g) Diferencias positivas cambio</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3.123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4.973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f.1) Por deudas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9.336</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7.996</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3. Transferencias y subvenciones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56.021.695</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56.310.402</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f.2) Pérdidas de inversiones financieras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759</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 Transferencias corrientes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51.006.425</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51.760.623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h) Diferencias negativas de cambio</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2.105</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1.683</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b) Subvenciones corrientes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5.014.671</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4.548.206</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2. Transferencias y subvenciones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1.558.826</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1.641.938</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 Transferencias de capital</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 Transferencias corrientes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12.363</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6.000</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d) Subvenciones de capital</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599</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1.573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b) Subvenciones corrientes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1.522.648</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sz w:val="16"/>
                <w:szCs w:val="16"/>
                <w:lang w:val="es-ES" w:eastAsia="es-ES"/>
              </w:rPr>
            </w:pPr>
            <w:r w:rsidRPr="006420DA">
              <w:rPr>
                <w:rFonts w:ascii="Arial Narrow" w:hAnsi="Arial Narrow" w:cs="Arial"/>
                <w:bCs/>
                <w:sz w:val="16"/>
                <w:szCs w:val="16"/>
                <w:lang w:val="es-ES" w:eastAsia="es-ES"/>
              </w:rPr>
              <w:t>1.634.087</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4. Ganancias e Ingresos extraordinarios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22.392</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51.748</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 Transferencias de capital</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23.814</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1.850</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c) Ingresos extraordinarios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13.389</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50.443</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3. Pérdidas y gastos extraordinarios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25.063.704</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1.763.679</w:t>
            </w:r>
          </w:p>
        </w:tc>
        <w:tc>
          <w:tcPr>
            <w:tcW w:w="2599" w:type="dxa"/>
            <w:tcBorders>
              <w:left w:val="single" w:sz="4" w:space="0" w:color="auto"/>
            </w:tcBorders>
            <w:shd w:val="clear" w:color="auto" w:fill="auto"/>
            <w:vAlign w:val="center"/>
          </w:tcPr>
          <w:p w:rsidR="00BD6173" w:rsidRPr="006420DA" w:rsidRDefault="00BD6173" w:rsidP="00BD6173">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d) Ingresos y beneficios de otros erjerc</w:t>
            </w:r>
            <w:r w:rsidRPr="006420DA">
              <w:rPr>
                <w:rFonts w:ascii="Arial Narrow" w:hAnsi="Arial Narrow" w:cs="Arial"/>
                <w:color w:val="000000"/>
                <w:sz w:val="16"/>
                <w:szCs w:val="16"/>
                <w:vertAlign w:val="superscript"/>
                <w:lang w:val="es-ES" w:eastAsia="es-ES"/>
              </w:rPr>
              <w:t>os</w:t>
            </w:r>
          </w:p>
        </w:tc>
        <w:tc>
          <w:tcPr>
            <w:tcW w:w="1070" w:type="dxa"/>
            <w:shd w:val="clear" w:color="auto" w:fill="auto"/>
            <w:noWrap/>
            <w:vAlign w:val="center"/>
          </w:tcPr>
          <w:p w:rsidR="00BD6173" w:rsidRPr="006420DA" w:rsidRDefault="00BD6173" w:rsidP="00BD6173">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9.003</w:t>
            </w:r>
          </w:p>
        </w:tc>
        <w:tc>
          <w:tcPr>
            <w:tcW w:w="1056" w:type="dxa"/>
            <w:shd w:val="clear" w:color="auto" w:fill="auto"/>
            <w:noWrap/>
            <w:vAlign w:val="center"/>
          </w:tcPr>
          <w:p w:rsidR="00BD6173" w:rsidRPr="006420DA" w:rsidRDefault="00BD6173" w:rsidP="00BD6173">
            <w:pPr>
              <w:spacing w:after="0"/>
              <w:ind w:firstLine="0"/>
              <w:jc w:val="right"/>
              <w:rPr>
                <w:rFonts w:ascii="Arial Narrow" w:hAnsi="Arial Narrow" w:cs="Arial"/>
                <w:bCs/>
                <w:color w:val="000000"/>
                <w:sz w:val="16"/>
                <w:szCs w:val="16"/>
                <w:lang w:val="es-ES" w:eastAsia="es-ES"/>
              </w:rPr>
            </w:pPr>
            <w:r w:rsidRPr="006420DA">
              <w:rPr>
                <w:rFonts w:ascii="Arial Narrow" w:hAnsi="Arial Narrow" w:cs="Arial"/>
                <w:bCs/>
                <w:color w:val="000000"/>
                <w:sz w:val="16"/>
                <w:szCs w:val="16"/>
                <w:lang w:val="es-ES" w:eastAsia="es-ES"/>
              </w:rPr>
              <w:t>1.305</w:t>
            </w: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a) Pérdidas procedentes de inmovilizado</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0</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3.731</w:t>
            </w:r>
          </w:p>
        </w:tc>
        <w:tc>
          <w:tcPr>
            <w:tcW w:w="2599" w:type="dxa"/>
            <w:tcBorders>
              <w:left w:val="single" w:sz="4" w:space="0" w:color="auto"/>
            </w:tcBorders>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p>
        </w:tc>
        <w:tc>
          <w:tcPr>
            <w:tcW w:w="10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p>
        </w:tc>
      </w:tr>
      <w:tr w:rsidR="00BD6173" w:rsidRPr="006420DA" w:rsidTr="00A277E6">
        <w:trPr>
          <w:trHeight w:val="312"/>
          <w:jc w:val="center"/>
        </w:trPr>
        <w:tc>
          <w:tcPr>
            <w:tcW w:w="2835" w:type="dxa"/>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d) Gastos y Pérdidas de otros ejercicios</w:t>
            </w:r>
          </w:p>
        </w:tc>
        <w:tc>
          <w:tcPr>
            <w:tcW w:w="8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r w:rsidRPr="006420DA">
              <w:rPr>
                <w:rFonts w:ascii="Arial Narrow" w:hAnsi="Arial Narrow" w:cs="Arial"/>
                <w:color w:val="000000"/>
                <w:sz w:val="16"/>
                <w:szCs w:val="16"/>
                <w:lang w:val="es-ES" w:eastAsia="es-ES"/>
              </w:rPr>
              <w:t>25.063.704</w:t>
            </w:r>
          </w:p>
        </w:tc>
        <w:tc>
          <w:tcPr>
            <w:tcW w:w="1030" w:type="dxa"/>
            <w:tcBorders>
              <w:right w:val="single" w:sz="4" w:space="0" w:color="auto"/>
            </w:tcBorders>
            <w:shd w:val="clear" w:color="auto" w:fill="auto"/>
            <w:noWrap/>
            <w:vAlign w:val="center"/>
          </w:tcPr>
          <w:p w:rsidR="00BD6173" w:rsidRPr="006420DA" w:rsidRDefault="00BD6173" w:rsidP="006420DA">
            <w:pPr>
              <w:spacing w:after="0"/>
              <w:ind w:firstLine="0"/>
              <w:jc w:val="right"/>
              <w:rPr>
                <w:rFonts w:ascii="Arial Narrow" w:hAnsi="Arial Narrow" w:cs="Arial"/>
                <w:sz w:val="16"/>
                <w:szCs w:val="16"/>
                <w:lang w:val="es-ES" w:eastAsia="es-ES"/>
              </w:rPr>
            </w:pPr>
            <w:r w:rsidRPr="006420DA">
              <w:rPr>
                <w:rFonts w:ascii="Arial Narrow" w:hAnsi="Arial Narrow" w:cs="Arial"/>
                <w:sz w:val="16"/>
                <w:szCs w:val="16"/>
                <w:lang w:val="es-ES" w:eastAsia="es-ES"/>
              </w:rPr>
              <w:t>1.759.948</w:t>
            </w:r>
          </w:p>
        </w:tc>
        <w:tc>
          <w:tcPr>
            <w:tcW w:w="2599" w:type="dxa"/>
            <w:tcBorders>
              <w:left w:val="single" w:sz="4" w:space="0" w:color="auto"/>
            </w:tcBorders>
            <w:shd w:val="clear" w:color="auto" w:fill="auto"/>
            <w:vAlign w:val="center"/>
          </w:tcPr>
          <w:p w:rsidR="00BD6173" w:rsidRPr="006420DA" w:rsidRDefault="00BD6173" w:rsidP="006420DA">
            <w:pPr>
              <w:spacing w:after="0"/>
              <w:ind w:firstLine="0"/>
              <w:jc w:val="left"/>
              <w:rPr>
                <w:rFonts w:ascii="Arial Narrow" w:hAnsi="Arial Narrow" w:cs="Arial"/>
                <w:color w:val="000000"/>
                <w:sz w:val="16"/>
                <w:szCs w:val="16"/>
                <w:lang w:val="es-ES" w:eastAsia="es-ES"/>
              </w:rPr>
            </w:pPr>
          </w:p>
        </w:tc>
        <w:tc>
          <w:tcPr>
            <w:tcW w:w="1070"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p>
        </w:tc>
        <w:tc>
          <w:tcPr>
            <w:tcW w:w="1056" w:type="dxa"/>
            <w:shd w:val="clear" w:color="auto" w:fill="auto"/>
            <w:noWrap/>
            <w:vAlign w:val="center"/>
          </w:tcPr>
          <w:p w:rsidR="00BD6173" w:rsidRPr="006420DA" w:rsidRDefault="00BD6173" w:rsidP="006420DA">
            <w:pPr>
              <w:spacing w:after="0"/>
              <w:ind w:firstLine="0"/>
              <w:jc w:val="right"/>
              <w:rPr>
                <w:rFonts w:ascii="Arial Narrow" w:hAnsi="Arial Narrow" w:cs="Arial"/>
                <w:color w:val="000000"/>
                <w:sz w:val="16"/>
                <w:szCs w:val="16"/>
                <w:lang w:val="es-ES" w:eastAsia="es-ES"/>
              </w:rPr>
            </w:pPr>
          </w:p>
        </w:tc>
      </w:tr>
      <w:tr w:rsidR="00BD6173" w:rsidRPr="006420DA" w:rsidTr="000A4C01">
        <w:trPr>
          <w:trHeight w:val="312"/>
          <w:jc w:val="center"/>
        </w:trPr>
        <w:tc>
          <w:tcPr>
            <w:tcW w:w="2835" w:type="dxa"/>
            <w:shd w:val="clear" w:color="auto" w:fill="A8CBEE" w:themeFill="accent2" w:themeFillTint="66"/>
            <w:vAlign w:val="center"/>
          </w:tcPr>
          <w:p w:rsidR="00BD6173" w:rsidRPr="006420DA" w:rsidRDefault="00BD6173" w:rsidP="006420DA">
            <w:pPr>
              <w:spacing w:after="0"/>
              <w:ind w:firstLine="0"/>
              <w:jc w:val="lef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AHORRO</w:t>
            </w:r>
          </w:p>
        </w:tc>
        <w:tc>
          <w:tcPr>
            <w:tcW w:w="870" w:type="dxa"/>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0</w:t>
            </w:r>
          </w:p>
        </w:tc>
        <w:tc>
          <w:tcPr>
            <w:tcW w:w="1030" w:type="dxa"/>
            <w:tcBorders>
              <w:right w:val="single" w:sz="4" w:space="0" w:color="auto"/>
            </w:tcBorders>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0</w:t>
            </w:r>
          </w:p>
        </w:tc>
        <w:tc>
          <w:tcPr>
            <w:tcW w:w="2599" w:type="dxa"/>
            <w:tcBorders>
              <w:left w:val="single" w:sz="4" w:space="0" w:color="auto"/>
            </w:tcBorders>
            <w:shd w:val="clear" w:color="auto" w:fill="A8CBEE" w:themeFill="accent2" w:themeFillTint="66"/>
            <w:vAlign w:val="center"/>
          </w:tcPr>
          <w:p w:rsidR="00BD6173" w:rsidRPr="006420DA" w:rsidRDefault="00BD6173" w:rsidP="006420DA">
            <w:pPr>
              <w:spacing w:after="0"/>
              <w:ind w:firstLine="0"/>
              <w:jc w:val="lef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DESAHORRO</w:t>
            </w:r>
          </w:p>
        </w:tc>
        <w:tc>
          <w:tcPr>
            <w:tcW w:w="1070" w:type="dxa"/>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-31.312.138</w:t>
            </w:r>
          </w:p>
        </w:tc>
        <w:tc>
          <w:tcPr>
            <w:tcW w:w="1056" w:type="dxa"/>
            <w:shd w:val="clear" w:color="auto" w:fill="A8CBEE" w:themeFill="accent2" w:themeFillTint="66"/>
            <w:noWrap/>
            <w:vAlign w:val="center"/>
          </w:tcPr>
          <w:p w:rsidR="00BD6173" w:rsidRPr="006420DA" w:rsidRDefault="00BD6173" w:rsidP="006420DA">
            <w:pPr>
              <w:spacing w:after="0"/>
              <w:ind w:firstLine="0"/>
              <w:jc w:val="right"/>
              <w:rPr>
                <w:rFonts w:ascii="Arial" w:hAnsi="Arial" w:cs="Arial"/>
                <w:bCs/>
                <w:color w:val="000000"/>
                <w:sz w:val="16"/>
                <w:szCs w:val="16"/>
                <w:lang w:val="es-ES" w:eastAsia="es-ES"/>
              </w:rPr>
            </w:pPr>
            <w:r w:rsidRPr="006420DA">
              <w:rPr>
                <w:rFonts w:ascii="Arial" w:hAnsi="Arial" w:cs="Arial"/>
                <w:bCs/>
                <w:color w:val="000000"/>
                <w:sz w:val="16"/>
                <w:szCs w:val="16"/>
                <w:lang w:val="es-ES" w:eastAsia="es-ES"/>
              </w:rPr>
              <w:t>-2.779.120</w:t>
            </w:r>
          </w:p>
        </w:tc>
      </w:tr>
    </w:tbl>
    <w:p w:rsidR="006420DA" w:rsidRPr="006420DA" w:rsidRDefault="006420DA" w:rsidP="006420DA">
      <w:pPr>
        <w:spacing w:before="240" w:after="0"/>
        <w:ind w:firstLine="0"/>
        <w:jc w:val="center"/>
        <w:rPr>
          <w:sz w:val="24"/>
          <w:szCs w:val="24"/>
          <w:lang w:val="es-ES" w:eastAsia="es-ES"/>
        </w:rPr>
      </w:pPr>
    </w:p>
    <w:p w:rsidR="006420DA" w:rsidRDefault="00066FA6" w:rsidP="00BC4F7A">
      <w:pPr>
        <w:pStyle w:val="atitulo1"/>
        <w:rPr>
          <w:rFonts w:ascii="Arial (W1)" w:hAnsi="Arial (W1)"/>
          <w:b w:val="0"/>
          <w:spacing w:val="-4"/>
        </w:rPr>
      </w:pPr>
      <w:r>
        <w:t xml:space="preserve"> </w:t>
      </w:r>
      <w:r w:rsidR="006420DA">
        <w:rPr>
          <w:rFonts w:ascii="Arial (W1)" w:hAnsi="Arial (W1)"/>
          <w:spacing w:val="-4"/>
        </w:rPr>
        <w:br w:type="page"/>
      </w:r>
    </w:p>
    <w:p w:rsidR="00882BEB" w:rsidRPr="00D97409" w:rsidRDefault="00703010" w:rsidP="00600704">
      <w:pPr>
        <w:pStyle w:val="atitulo1"/>
      </w:pPr>
      <w:bookmarkStart w:id="27" w:name="_Toc443895231"/>
      <w:r>
        <w:lastRenderedPageBreak/>
        <w:t>I</w:t>
      </w:r>
      <w:r w:rsidR="00074ECC" w:rsidRPr="00D97409">
        <w:t>V</w:t>
      </w:r>
      <w:r w:rsidR="00882BEB" w:rsidRPr="00D97409">
        <w:t xml:space="preserve">. </w:t>
      </w:r>
      <w:r w:rsidR="00840E3E">
        <w:t>O</w:t>
      </w:r>
      <w:r w:rsidR="000B7D3A" w:rsidRPr="00D97409">
        <w:t>bservaciones</w:t>
      </w:r>
      <w:r w:rsidR="00840E3E">
        <w:t xml:space="preserve"> que no afectan a la opinión</w:t>
      </w:r>
      <w:r w:rsidR="000B7D3A" w:rsidRPr="00D97409">
        <w:t xml:space="preserve"> </w:t>
      </w:r>
      <w:r w:rsidR="003370A3" w:rsidRPr="00D97409">
        <w:t>y recomendaciones</w:t>
      </w:r>
      <w:bookmarkEnd w:id="7"/>
      <w:bookmarkEnd w:id="8"/>
      <w:bookmarkEnd w:id="9"/>
      <w:bookmarkEnd w:id="27"/>
      <w:r w:rsidR="00882BEB" w:rsidRPr="00D97409">
        <w:t xml:space="preserve"> </w:t>
      </w:r>
      <w:bookmarkEnd w:id="10"/>
    </w:p>
    <w:p w:rsidR="00FD1DD0" w:rsidRDefault="00FD1DD0" w:rsidP="00E55C5B">
      <w:pPr>
        <w:pStyle w:val="texto"/>
        <w:tabs>
          <w:tab w:val="clear" w:pos="2835"/>
          <w:tab w:val="clear" w:pos="3969"/>
          <w:tab w:val="clear" w:pos="5103"/>
          <w:tab w:val="clear" w:pos="6237"/>
          <w:tab w:val="clear" w:pos="7371"/>
        </w:tabs>
        <w:rPr>
          <w:szCs w:val="26"/>
        </w:rPr>
      </w:pPr>
      <w:r>
        <w:rPr>
          <w:szCs w:val="26"/>
        </w:rPr>
        <w:t>Como parte de la fiscalización realizada, a continuación se incluyen aquellas observaciones y comentarios que no afectan a la opinión junto con determinada información adicional que esta Cámara considera que puede ser de interés a los destinatarios y usuarios del presente informe.</w:t>
      </w:r>
    </w:p>
    <w:p w:rsidR="00C43DB0" w:rsidRDefault="00FD1DD0" w:rsidP="00E55C5B">
      <w:pPr>
        <w:pStyle w:val="texto"/>
        <w:tabs>
          <w:tab w:val="clear" w:pos="2835"/>
          <w:tab w:val="clear" w:pos="3969"/>
          <w:tab w:val="clear" w:pos="5103"/>
          <w:tab w:val="clear" w:pos="6237"/>
          <w:tab w:val="clear" w:pos="7371"/>
        </w:tabs>
        <w:rPr>
          <w:szCs w:val="26"/>
        </w:rPr>
      </w:pPr>
      <w:r>
        <w:rPr>
          <w:szCs w:val="26"/>
        </w:rPr>
        <w:t xml:space="preserve">Igualmente se incluyen </w:t>
      </w:r>
      <w:r w:rsidR="00E55C5B">
        <w:rPr>
          <w:szCs w:val="26"/>
        </w:rPr>
        <w:t>las recomendaciones emitidas al objeto de mejorar la gestión</w:t>
      </w:r>
      <w:r w:rsidR="00B4716E">
        <w:rPr>
          <w:szCs w:val="26"/>
        </w:rPr>
        <w:t xml:space="preserve"> económico-</w:t>
      </w:r>
      <w:r w:rsidR="006616A1">
        <w:rPr>
          <w:szCs w:val="26"/>
        </w:rPr>
        <w:t>presupuestaria</w:t>
      </w:r>
      <w:r w:rsidR="00F830C3">
        <w:rPr>
          <w:szCs w:val="26"/>
        </w:rPr>
        <w:t xml:space="preserve"> y administrativa</w:t>
      </w:r>
      <w:r w:rsidR="00E55C5B">
        <w:rPr>
          <w:szCs w:val="26"/>
        </w:rPr>
        <w:t xml:space="preserve"> de </w:t>
      </w:r>
      <w:r w:rsidR="003D1006">
        <w:rPr>
          <w:szCs w:val="26"/>
        </w:rPr>
        <w:t>la Universidad</w:t>
      </w:r>
      <w:r w:rsidR="00E55C5B">
        <w:rPr>
          <w:szCs w:val="26"/>
        </w:rPr>
        <w:t>.</w:t>
      </w:r>
    </w:p>
    <w:p w:rsidR="00036341" w:rsidRDefault="00036341" w:rsidP="00E55C5B">
      <w:pPr>
        <w:pStyle w:val="texto"/>
        <w:tabs>
          <w:tab w:val="clear" w:pos="2835"/>
          <w:tab w:val="clear" w:pos="3969"/>
          <w:tab w:val="clear" w:pos="5103"/>
          <w:tab w:val="clear" w:pos="6237"/>
          <w:tab w:val="clear" w:pos="7371"/>
        </w:tabs>
        <w:rPr>
          <w:szCs w:val="26"/>
        </w:rPr>
      </w:pPr>
      <w:r>
        <w:rPr>
          <w:szCs w:val="26"/>
        </w:rPr>
        <w:t>Este epígrafe se estructura en los siguientes</w:t>
      </w:r>
      <w:r w:rsidR="00F830C3">
        <w:rPr>
          <w:szCs w:val="26"/>
        </w:rPr>
        <w:t xml:space="preserve"> cinco</w:t>
      </w:r>
      <w:r>
        <w:rPr>
          <w:szCs w:val="26"/>
        </w:rPr>
        <w:t xml:space="preserve"> apartados:</w:t>
      </w:r>
    </w:p>
    <w:p w:rsidR="000A26BE" w:rsidRPr="00E37ED0" w:rsidRDefault="00036341" w:rsidP="000363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E37ED0">
        <w:t xml:space="preserve">Situación </w:t>
      </w:r>
      <w:r w:rsidR="004C4D2E" w:rsidRPr="00E37ED0">
        <w:t xml:space="preserve">presupuestaria y </w:t>
      </w:r>
      <w:r w:rsidRPr="00E37ED0">
        <w:t>financiera de la Universidad a 31 de diciembre de 2014</w:t>
      </w:r>
      <w:r w:rsidR="007058B0" w:rsidRPr="00E37ED0">
        <w:t xml:space="preserve"> </w:t>
      </w:r>
      <w:r w:rsidR="004C4D2E" w:rsidRPr="00E37ED0">
        <w:t>y otra</w:t>
      </w:r>
      <w:r w:rsidR="007058B0" w:rsidRPr="00E37ED0">
        <w:t xml:space="preserve"> información no financiera sobre la misma.</w:t>
      </w:r>
      <w:r w:rsidR="000668B0" w:rsidRPr="00E37ED0">
        <w:t xml:space="preserve"> </w:t>
      </w:r>
    </w:p>
    <w:p w:rsidR="00036341" w:rsidRPr="00E37ED0" w:rsidRDefault="00C80248" w:rsidP="000363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E37ED0">
        <w:t>Seguimiento de recomendaciones de informes anteriores de esta Cámara.</w:t>
      </w:r>
      <w:r w:rsidR="00DB1D21" w:rsidRPr="00E37ED0">
        <w:t xml:space="preserve"> </w:t>
      </w:r>
    </w:p>
    <w:p w:rsidR="003D1006" w:rsidRPr="00E37ED0" w:rsidRDefault="00B86CD0" w:rsidP="003D100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P</w:t>
      </w:r>
      <w:r w:rsidR="003D1006" w:rsidRPr="00E37ED0">
        <w:t>rincipios de estabilidad presupuestaria y sostenibilidad financiera.</w:t>
      </w:r>
    </w:p>
    <w:p w:rsidR="000A26BE" w:rsidRDefault="00FD1DD0" w:rsidP="000A26B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Á</w:t>
      </w:r>
      <w:r w:rsidR="000A26BE" w:rsidRPr="00E37ED0">
        <w:t>reas de gestión relevantes</w:t>
      </w:r>
      <w:r>
        <w:t>.</w:t>
      </w:r>
    </w:p>
    <w:p w:rsidR="003E3BCC" w:rsidRPr="00E37ED0" w:rsidRDefault="003E3BCC" w:rsidP="00832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300"/>
        <w:ind w:left="0" w:firstLine="289"/>
      </w:pPr>
      <w:r w:rsidRPr="00E37ED0">
        <w:t>Observancia de la normativa para la igualdad efectiva de mujeres y ho</w:t>
      </w:r>
      <w:r w:rsidRPr="00E37ED0">
        <w:t>m</w:t>
      </w:r>
      <w:r w:rsidRPr="00E37ED0">
        <w:t>bres en todo aquello que, de conformidad con dicha normativa, pudiera tener relación con el objeto de las actuaciones fiscalizadoras.</w:t>
      </w:r>
    </w:p>
    <w:p w:rsidR="00D03E5F" w:rsidRDefault="00D03E5F" w:rsidP="0009411D">
      <w:pPr>
        <w:pStyle w:val="atitulo2"/>
        <w:spacing w:before="240"/>
      </w:pPr>
      <w:bookmarkStart w:id="28" w:name="_Toc443895232"/>
      <w:r>
        <w:t>IV.</w:t>
      </w:r>
      <w:r w:rsidR="001F52CA">
        <w:t>1</w:t>
      </w:r>
      <w:r>
        <w:t xml:space="preserve">. Situación </w:t>
      </w:r>
      <w:r w:rsidR="00130F3E">
        <w:t xml:space="preserve">presupuestaria y </w:t>
      </w:r>
      <w:r>
        <w:t>financiera de la Universidad a 31 de d</w:t>
      </w:r>
      <w:r>
        <w:t>i</w:t>
      </w:r>
      <w:r>
        <w:t xml:space="preserve">ciembre de 2014 </w:t>
      </w:r>
      <w:r w:rsidR="004C4D2E">
        <w:t>y otra</w:t>
      </w:r>
      <w:r>
        <w:t xml:space="preserve"> información </w:t>
      </w:r>
      <w:r w:rsidR="00AE781F">
        <w:t xml:space="preserve">de naturaleza </w:t>
      </w:r>
      <w:r>
        <w:t>no financi</w:t>
      </w:r>
      <w:r w:rsidR="004C4D2E">
        <w:t>e</w:t>
      </w:r>
      <w:r>
        <w:t>ra.</w:t>
      </w:r>
      <w:bookmarkEnd w:id="28"/>
    </w:p>
    <w:p w:rsidR="00E04DEF" w:rsidRPr="00BC4F7A" w:rsidRDefault="00D03E5F" w:rsidP="008325B4">
      <w:pPr>
        <w:pStyle w:val="texto"/>
        <w:tabs>
          <w:tab w:val="clear" w:pos="2835"/>
          <w:tab w:val="clear" w:pos="3969"/>
          <w:tab w:val="clear" w:pos="5103"/>
          <w:tab w:val="clear" w:pos="6237"/>
          <w:tab w:val="clear" w:pos="7371"/>
        </w:tabs>
        <w:spacing w:after="300"/>
        <w:rPr>
          <w:rFonts w:ascii="Times New (W1)" w:hAnsi="Times New (W1)"/>
          <w:szCs w:val="26"/>
        </w:rPr>
      </w:pPr>
      <w:r w:rsidRPr="00BC4F7A">
        <w:rPr>
          <w:rFonts w:ascii="Times New (W1)" w:hAnsi="Times New (W1)"/>
          <w:szCs w:val="26"/>
        </w:rPr>
        <w:t>En este apartado</w:t>
      </w:r>
      <w:r w:rsidR="006616A1" w:rsidRPr="00BC4F7A">
        <w:rPr>
          <w:rFonts w:ascii="Times New (W1)" w:hAnsi="Times New (W1)"/>
          <w:szCs w:val="26"/>
        </w:rPr>
        <w:t xml:space="preserve"> se analiza</w:t>
      </w:r>
      <w:r w:rsidRPr="00BC4F7A">
        <w:rPr>
          <w:rFonts w:ascii="Times New (W1)" w:hAnsi="Times New (W1)"/>
          <w:szCs w:val="26"/>
        </w:rPr>
        <w:t xml:space="preserve">, por un lado, la situación </w:t>
      </w:r>
      <w:r w:rsidR="00130F3E" w:rsidRPr="00BC4F7A">
        <w:rPr>
          <w:rFonts w:ascii="Times New (W1)" w:hAnsi="Times New (W1)"/>
          <w:szCs w:val="26"/>
        </w:rPr>
        <w:t xml:space="preserve">presupuestaria y </w:t>
      </w:r>
      <w:r w:rsidRPr="00BC4F7A">
        <w:rPr>
          <w:rFonts w:ascii="Times New (W1)" w:hAnsi="Times New (W1)"/>
          <w:szCs w:val="26"/>
        </w:rPr>
        <w:t>fina</w:t>
      </w:r>
      <w:r w:rsidRPr="00BC4F7A">
        <w:rPr>
          <w:rFonts w:ascii="Times New (W1)" w:hAnsi="Times New (W1)"/>
          <w:szCs w:val="26"/>
        </w:rPr>
        <w:t>n</w:t>
      </w:r>
      <w:r w:rsidRPr="00BC4F7A">
        <w:rPr>
          <w:rFonts w:ascii="Times New (W1)" w:hAnsi="Times New (W1)"/>
          <w:szCs w:val="26"/>
        </w:rPr>
        <w:t xml:space="preserve">ciera a 31 de diciembre de 2014 y su comparación con el ejercicio anterior; </w:t>
      </w:r>
      <w:r w:rsidR="00247777" w:rsidRPr="00BC4F7A">
        <w:rPr>
          <w:rFonts w:ascii="Times New (W1)" w:hAnsi="Times New (W1)"/>
          <w:szCs w:val="26"/>
        </w:rPr>
        <w:t xml:space="preserve">y, </w:t>
      </w:r>
      <w:r w:rsidR="006616A1" w:rsidRPr="00BC4F7A">
        <w:rPr>
          <w:rFonts w:ascii="Times New (W1)" w:hAnsi="Times New (W1)"/>
          <w:szCs w:val="26"/>
        </w:rPr>
        <w:t xml:space="preserve">por otro, </w:t>
      </w:r>
      <w:r w:rsidRPr="00BC4F7A">
        <w:rPr>
          <w:rFonts w:ascii="Times New (W1)" w:hAnsi="Times New (W1)"/>
          <w:szCs w:val="26"/>
        </w:rPr>
        <w:t>la evolución de una serie de indicadores no financieros de la Unive</w:t>
      </w:r>
      <w:r w:rsidRPr="00BC4F7A">
        <w:rPr>
          <w:rFonts w:ascii="Times New (W1)" w:hAnsi="Times New (W1)"/>
          <w:szCs w:val="26"/>
        </w:rPr>
        <w:t>r</w:t>
      </w:r>
      <w:r w:rsidRPr="00BC4F7A">
        <w:rPr>
          <w:rFonts w:ascii="Times New (W1)" w:hAnsi="Times New (W1)"/>
          <w:szCs w:val="26"/>
        </w:rPr>
        <w:t xml:space="preserve">sidad relativos a empleados, titulaciones, </w:t>
      </w:r>
      <w:r w:rsidR="00976679" w:rsidRPr="00BC4F7A">
        <w:rPr>
          <w:rFonts w:ascii="Times New (W1)" w:hAnsi="Times New (W1)"/>
          <w:szCs w:val="26"/>
        </w:rPr>
        <w:t>estudiantes</w:t>
      </w:r>
      <w:r w:rsidRPr="00BC4F7A">
        <w:rPr>
          <w:rFonts w:ascii="Times New (W1)" w:hAnsi="Times New (W1)"/>
          <w:szCs w:val="26"/>
        </w:rPr>
        <w:t xml:space="preserve"> e investigación entre los ejercicios de 2009, 2012 y 2014.</w:t>
      </w:r>
      <w:r w:rsidR="009333E2" w:rsidRPr="00BC4F7A">
        <w:rPr>
          <w:rFonts w:ascii="Times New (W1)" w:hAnsi="Times New (W1)"/>
          <w:szCs w:val="26"/>
        </w:rPr>
        <w:t xml:space="preserve"> </w:t>
      </w:r>
    </w:p>
    <w:p w:rsidR="00D03E5F" w:rsidRDefault="00E04DEF" w:rsidP="00E04DEF">
      <w:pPr>
        <w:pStyle w:val="atitulo3"/>
      </w:pPr>
      <w:r>
        <w:t>IV.</w:t>
      </w:r>
      <w:r w:rsidR="00DD6D5A">
        <w:t>1</w:t>
      </w:r>
      <w:r>
        <w:t xml:space="preserve">.1. Situación </w:t>
      </w:r>
      <w:r w:rsidR="005D73DA">
        <w:t xml:space="preserve">presupuestaria y </w:t>
      </w:r>
      <w:r>
        <w:t>financiera de la Universidad a 31 de diciembre de 2014</w:t>
      </w:r>
      <w:r w:rsidR="00D03E5F">
        <w:t xml:space="preserve"> </w:t>
      </w:r>
    </w:p>
    <w:p w:rsidR="0013107B" w:rsidRPr="005F6E05" w:rsidRDefault="0013107B" w:rsidP="0013107B">
      <w:pPr>
        <w:pStyle w:val="texto"/>
        <w:numPr>
          <w:ilvl w:val="0"/>
          <w:numId w:val="5"/>
        </w:numPr>
        <w:tabs>
          <w:tab w:val="clear" w:pos="2835"/>
          <w:tab w:val="clear" w:pos="3969"/>
          <w:tab w:val="clear" w:pos="5103"/>
          <w:tab w:val="clear" w:pos="6237"/>
          <w:tab w:val="clear" w:pos="7371"/>
        </w:tabs>
        <w:rPr>
          <w:b/>
          <w:szCs w:val="26"/>
        </w:rPr>
      </w:pPr>
      <w:r w:rsidRPr="005F6E05">
        <w:rPr>
          <w:b/>
          <w:szCs w:val="26"/>
        </w:rPr>
        <w:t>Presupuesto de 2014</w:t>
      </w:r>
      <w:r w:rsidR="00DA1384" w:rsidRPr="005F6E05">
        <w:rPr>
          <w:b/>
          <w:szCs w:val="26"/>
        </w:rPr>
        <w:t xml:space="preserve"> y su liquidación</w:t>
      </w:r>
    </w:p>
    <w:p w:rsidR="00130F3E" w:rsidRDefault="00BB2F69" w:rsidP="003C5916">
      <w:pPr>
        <w:pStyle w:val="texto"/>
        <w:tabs>
          <w:tab w:val="clear" w:pos="2835"/>
          <w:tab w:val="clear" w:pos="3969"/>
          <w:tab w:val="clear" w:pos="5103"/>
          <w:tab w:val="clear" w:pos="6237"/>
          <w:tab w:val="clear" w:pos="7371"/>
        </w:tabs>
        <w:rPr>
          <w:szCs w:val="26"/>
        </w:rPr>
      </w:pPr>
      <w:r w:rsidRPr="00130F3E">
        <w:rPr>
          <w:szCs w:val="26"/>
        </w:rPr>
        <w:t xml:space="preserve">El presupuesto inicial de la </w:t>
      </w:r>
      <w:r w:rsidR="00130F3E" w:rsidRPr="00130F3E">
        <w:rPr>
          <w:szCs w:val="26"/>
        </w:rPr>
        <w:t>Universidad</w:t>
      </w:r>
      <w:r w:rsidRPr="00130F3E">
        <w:rPr>
          <w:szCs w:val="26"/>
        </w:rPr>
        <w:t xml:space="preserve"> para 2014 fue aprobado por el Co</w:t>
      </w:r>
      <w:r w:rsidRPr="00130F3E">
        <w:rPr>
          <w:szCs w:val="26"/>
        </w:rPr>
        <w:t>n</w:t>
      </w:r>
      <w:r w:rsidRPr="00130F3E">
        <w:rPr>
          <w:szCs w:val="26"/>
        </w:rPr>
        <w:t>sejo Social en su sesión del 27 de diciembre de 2013 y su importe</w:t>
      </w:r>
      <w:r w:rsidR="002C7BC0">
        <w:rPr>
          <w:szCs w:val="26"/>
        </w:rPr>
        <w:t xml:space="preserve"> global</w:t>
      </w:r>
      <w:r w:rsidRPr="00130F3E">
        <w:rPr>
          <w:szCs w:val="26"/>
        </w:rPr>
        <w:t xml:space="preserve"> a</w:t>
      </w:r>
      <w:r w:rsidRPr="00130F3E">
        <w:rPr>
          <w:szCs w:val="26"/>
        </w:rPr>
        <w:t>s</w:t>
      </w:r>
      <w:r w:rsidRPr="00130F3E">
        <w:rPr>
          <w:szCs w:val="26"/>
        </w:rPr>
        <w:t>cendía a 66,47 millones.</w:t>
      </w:r>
      <w:r w:rsidR="00130F3E">
        <w:rPr>
          <w:szCs w:val="26"/>
        </w:rPr>
        <w:t xml:space="preserve"> </w:t>
      </w:r>
      <w:r w:rsidRPr="00130F3E">
        <w:rPr>
          <w:szCs w:val="26"/>
        </w:rPr>
        <w:t>En este presupuesto inicial figuraba</w:t>
      </w:r>
      <w:r w:rsidR="003C5916">
        <w:rPr>
          <w:szCs w:val="26"/>
        </w:rPr>
        <w:t>:</w:t>
      </w:r>
      <w:r w:rsidRPr="00130F3E">
        <w:rPr>
          <w:szCs w:val="26"/>
        </w:rPr>
        <w:t xml:space="preserve"> </w:t>
      </w:r>
    </w:p>
    <w:p w:rsidR="00BB2F69" w:rsidRPr="0051140E" w:rsidRDefault="00130F3E" w:rsidP="00130F3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0"/>
          <w:szCs w:val="26"/>
        </w:rPr>
      </w:pPr>
      <w:r w:rsidRPr="0051140E">
        <w:rPr>
          <w:rFonts w:ascii="Times New (W1)" w:hAnsi="Times New (W1)"/>
          <w:spacing w:val="0"/>
          <w:szCs w:val="26"/>
        </w:rPr>
        <w:t>Una</w:t>
      </w:r>
      <w:r w:rsidR="00BB2F69" w:rsidRPr="0051140E">
        <w:rPr>
          <w:rFonts w:ascii="Times New (W1)" w:hAnsi="Times New (W1)"/>
          <w:spacing w:val="0"/>
          <w:szCs w:val="26"/>
        </w:rPr>
        <w:t xml:space="preserve"> aportación del Gobierno de Navarra para la financiación básica</w:t>
      </w:r>
      <w:r w:rsidR="001215DC" w:rsidRPr="0051140E">
        <w:rPr>
          <w:rFonts w:ascii="Times New (W1)" w:hAnsi="Times New (W1)"/>
          <w:spacing w:val="0"/>
          <w:szCs w:val="26"/>
        </w:rPr>
        <w:t xml:space="preserve"> o incond</w:t>
      </w:r>
      <w:r w:rsidR="001215DC" w:rsidRPr="0051140E">
        <w:rPr>
          <w:rFonts w:ascii="Times New (W1)" w:hAnsi="Times New (W1)"/>
          <w:spacing w:val="0"/>
          <w:szCs w:val="26"/>
        </w:rPr>
        <w:t>i</w:t>
      </w:r>
      <w:r w:rsidR="001215DC" w:rsidRPr="0051140E">
        <w:rPr>
          <w:rFonts w:ascii="Times New (W1)" w:hAnsi="Times New (W1)"/>
          <w:spacing w:val="0"/>
          <w:szCs w:val="26"/>
        </w:rPr>
        <w:t>cionada</w:t>
      </w:r>
      <w:r w:rsidR="00894636" w:rsidRPr="0051140E">
        <w:rPr>
          <w:rFonts w:ascii="Times New (W1)" w:hAnsi="Times New (W1)"/>
          <w:spacing w:val="0"/>
          <w:szCs w:val="26"/>
        </w:rPr>
        <w:t xml:space="preserve"> </w:t>
      </w:r>
      <w:r w:rsidR="00BB2F69" w:rsidRPr="0051140E">
        <w:rPr>
          <w:rFonts w:ascii="Times New (W1)" w:hAnsi="Times New (W1)"/>
          <w:spacing w:val="0"/>
          <w:szCs w:val="26"/>
        </w:rPr>
        <w:t xml:space="preserve">de la </w:t>
      </w:r>
      <w:r w:rsidR="0081699E">
        <w:rPr>
          <w:rFonts w:ascii="Times New (W1)" w:hAnsi="Times New (W1)"/>
          <w:spacing w:val="0"/>
          <w:szCs w:val="26"/>
        </w:rPr>
        <w:t>Universidad</w:t>
      </w:r>
      <w:r w:rsidR="00BB2F69" w:rsidRPr="0051140E">
        <w:rPr>
          <w:rFonts w:ascii="Times New (W1)" w:hAnsi="Times New (W1)"/>
          <w:spacing w:val="0"/>
          <w:szCs w:val="26"/>
        </w:rPr>
        <w:t xml:space="preserve"> por importe de 49,46 millones</w:t>
      </w:r>
      <w:r w:rsidR="00894636" w:rsidRPr="0051140E">
        <w:rPr>
          <w:rFonts w:ascii="Times New (W1)" w:hAnsi="Times New (W1)"/>
          <w:spacing w:val="0"/>
          <w:szCs w:val="26"/>
        </w:rPr>
        <w:t xml:space="preserve"> y una financiación cond</w:t>
      </w:r>
      <w:r w:rsidR="00894636" w:rsidRPr="0051140E">
        <w:rPr>
          <w:rFonts w:ascii="Times New (W1)" w:hAnsi="Times New (W1)"/>
          <w:spacing w:val="0"/>
          <w:szCs w:val="26"/>
        </w:rPr>
        <w:t>i</w:t>
      </w:r>
      <w:r w:rsidR="00894636" w:rsidRPr="0051140E">
        <w:rPr>
          <w:rFonts w:ascii="Times New (W1)" w:hAnsi="Times New (W1)"/>
          <w:spacing w:val="0"/>
          <w:szCs w:val="26"/>
        </w:rPr>
        <w:t>cionada de 2,97 millones para retribuciones complementarias del profesorado</w:t>
      </w:r>
      <w:r w:rsidR="003C5916" w:rsidRPr="0051140E">
        <w:rPr>
          <w:rFonts w:ascii="Times New (W1)" w:hAnsi="Times New (W1)"/>
          <w:spacing w:val="0"/>
          <w:szCs w:val="26"/>
        </w:rPr>
        <w:t>.</w:t>
      </w:r>
    </w:p>
    <w:p w:rsidR="007F2175" w:rsidRDefault="00FB7B14" w:rsidP="007F217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 u</w:t>
      </w:r>
      <w:r w:rsidR="00130F3E" w:rsidRPr="00130F3E">
        <w:rPr>
          <w:szCs w:val="26"/>
        </w:rPr>
        <w:t>tilización de</w:t>
      </w:r>
      <w:r w:rsidR="002C7BC0">
        <w:rPr>
          <w:szCs w:val="26"/>
        </w:rPr>
        <w:t xml:space="preserve"> parte de</w:t>
      </w:r>
      <w:r w:rsidR="00130F3E" w:rsidRPr="00130F3E">
        <w:rPr>
          <w:szCs w:val="26"/>
        </w:rPr>
        <w:t xml:space="preserve">l remanente de tesorería </w:t>
      </w:r>
      <w:r w:rsidR="003C5916">
        <w:rPr>
          <w:szCs w:val="26"/>
        </w:rPr>
        <w:t>no afecto</w:t>
      </w:r>
      <w:r w:rsidR="005D73DA">
        <w:rPr>
          <w:szCs w:val="26"/>
        </w:rPr>
        <w:t xml:space="preserve"> de ejercicios anteriores</w:t>
      </w:r>
      <w:r w:rsidR="003C5916">
        <w:rPr>
          <w:szCs w:val="26"/>
        </w:rPr>
        <w:t xml:space="preserve"> </w:t>
      </w:r>
      <w:r w:rsidR="00130F3E" w:rsidRPr="00130F3E">
        <w:rPr>
          <w:szCs w:val="26"/>
        </w:rPr>
        <w:t>para financiar los gastos</w:t>
      </w:r>
      <w:r w:rsidR="003C5916">
        <w:rPr>
          <w:szCs w:val="26"/>
        </w:rPr>
        <w:t xml:space="preserve"> presupuestarios</w:t>
      </w:r>
      <w:r w:rsidR="008C1973">
        <w:rPr>
          <w:szCs w:val="26"/>
        </w:rPr>
        <w:t xml:space="preserve"> de 2014</w:t>
      </w:r>
      <w:r w:rsidR="003C5916">
        <w:rPr>
          <w:szCs w:val="26"/>
        </w:rPr>
        <w:t xml:space="preserve"> por importe de </w:t>
      </w:r>
      <w:r w:rsidR="00130F3E" w:rsidRPr="00130F3E">
        <w:rPr>
          <w:szCs w:val="26"/>
        </w:rPr>
        <w:t xml:space="preserve">0,64 </w:t>
      </w:r>
      <w:r w:rsidR="00130F3E" w:rsidRPr="00130F3E">
        <w:rPr>
          <w:szCs w:val="26"/>
        </w:rPr>
        <w:lastRenderedPageBreak/>
        <w:t>millones</w:t>
      </w:r>
      <w:r w:rsidR="003C5916">
        <w:rPr>
          <w:szCs w:val="26"/>
        </w:rPr>
        <w:t>.</w:t>
      </w:r>
      <w:r w:rsidR="008C1973">
        <w:rPr>
          <w:szCs w:val="26"/>
        </w:rPr>
        <w:t xml:space="preserve"> La previsión sobre la utilización del remanente no afecto</w:t>
      </w:r>
      <w:r w:rsidR="002C7BC0">
        <w:rPr>
          <w:szCs w:val="26"/>
        </w:rPr>
        <w:t xml:space="preserve"> en el pres</w:t>
      </w:r>
      <w:r w:rsidR="002C7BC0">
        <w:rPr>
          <w:szCs w:val="26"/>
        </w:rPr>
        <w:t>u</w:t>
      </w:r>
      <w:r w:rsidR="002C7BC0">
        <w:rPr>
          <w:szCs w:val="26"/>
        </w:rPr>
        <w:t>puesto inicial</w:t>
      </w:r>
      <w:r w:rsidR="008C1973">
        <w:rPr>
          <w:szCs w:val="26"/>
        </w:rPr>
        <w:t xml:space="preserve"> está </w:t>
      </w:r>
      <w:r>
        <w:rPr>
          <w:szCs w:val="26"/>
        </w:rPr>
        <w:t>contemplado</w:t>
      </w:r>
      <w:r w:rsidR="008C1973">
        <w:rPr>
          <w:szCs w:val="26"/>
        </w:rPr>
        <w:t xml:space="preserve"> en la LOU.</w:t>
      </w:r>
    </w:p>
    <w:p w:rsidR="008C1973" w:rsidRDefault="00BB2F69" w:rsidP="00130F3E">
      <w:pPr>
        <w:pStyle w:val="texto"/>
        <w:tabs>
          <w:tab w:val="clear" w:pos="2835"/>
          <w:tab w:val="clear" w:pos="3969"/>
          <w:tab w:val="clear" w:pos="5103"/>
          <w:tab w:val="clear" w:pos="6237"/>
          <w:tab w:val="clear" w:pos="7371"/>
        </w:tabs>
        <w:rPr>
          <w:szCs w:val="26"/>
        </w:rPr>
      </w:pPr>
      <w:r w:rsidRPr="00130F3E">
        <w:rPr>
          <w:szCs w:val="26"/>
        </w:rPr>
        <w:t>Ante la falta de aprobación</w:t>
      </w:r>
      <w:r w:rsidR="00692A67">
        <w:rPr>
          <w:szCs w:val="26"/>
        </w:rPr>
        <w:t xml:space="preserve"> por el Parlamento</w:t>
      </w:r>
      <w:r w:rsidRPr="00130F3E">
        <w:rPr>
          <w:szCs w:val="26"/>
        </w:rPr>
        <w:t xml:space="preserve"> del presupuesto del Gobierno de Navarra pa</w:t>
      </w:r>
      <w:r w:rsidR="00692A67">
        <w:rPr>
          <w:szCs w:val="26"/>
        </w:rPr>
        <w:t>ra 2014</w:t>
      </w:r>
      <w:r w:rsidRPr="00130F3E">
        <w:rPr>
          <w:szCs w:val="26"/>
        </w:rPr>
        <w:t>, nuevamente se prorroga el presupuesto de 2012.</w:t>
      </w:r>
      <w:r w:rsidR="00130F3E">
        <w:rPr>
          <w:szCs w:val="26"/>
        </w:rPr>
        <w:t xml:space="preserve"> </w:t>
      </w:r>
      <w:r w:rsidRPr="00130F3E">
        <w:rPr>
          <w:szCs w:val="26"/>
        </w:rPr>
        <w:t>Por aplicación de</w:t>
      </w:r>
      <w:r w:rsidR="002C7BC0">
        <w:rPr>
          <w:szCs w:val="26"/>
        </w:rPr>
        <w:t>l</w:t>
      </w:r>
      <w:r w:rsidRPr="00130F3E">
        <w:rPr>
          <w:szCs w:val="26"/>
        </w:rPr>
        <w:t xml:space="preserve"> Acuerdo del Gobierno de 30 de diciembre de 2013, en el que se dictan las normas de ejecución que regirán la </w:t>
      </w:r>
      <w:r w:rsidR="005D73DA">
        <w:rPr>
          <w:szCs w:val="26"/>
        </w:rPr>
        <w:t>anterior prorroga</w:t>
      </w:r>
      <w:r w:rsidRPr="00130F3E">
        <w:rPr>
          <w:szCs w:val="26"/>
        </w:rPr>
        <w:t>, se fija la fina</w:t>
      </w:r>
      <w:r w:rsidRPr="00130F3E">
        <w:rPr>
          <w:szCs w:val="26"/>
        </w:rPr>
        <w:t>n</w:t>
      </w:r>
      <w:r w:rsidRPr="00130F3E">
        <w:rPr>
          <w:szCs w:val="26"/>
        </w:rPr>
        <w:t xml:space="preserve">ciación básica de la </w:t>
      </w:r>
      <w:r w:rsidR="008C1973">
        <w:rPr>
          <w:szCs w:val="26"/>
        </w:rPr>
        <w:t>Universidad</w:t>
      </w:r>
      <w:r w:rsidRPr="00130F3E">
        <w:rPr>
          <w:szCs w:val="26"/>
        </w:rPr>
        <w:t xml:space="preserve"> </w:t>
      </w:r>
      <w:r w:rsidR="006672FC">
        <w:rPr>
          <w:szCs w:val="26"/>
        </w:rPr>
        <w:t xml:space="preserve">para 2014 </w:t>
      </w:r>
      <w:r w:rsidRPr="00130F3E">
        <w:rPr>
          <w:szCs w:val="26"/>
        </w:rPr>
        <w:t>en 48,83 millones, es decir, 0,63 millones inferior a la que contempla el presupuesto</w:t>
      </w:r>
      <w:r w:rsidR="008C1973">
        <w:rPr>
          <w:szCs w:val="26"/>
        </w:rPr>
        <w:t xml:space="preserve"> inicial de la propia Unive</w:t>
      </w:r>
      <w:r w:rsidR="008C1973">
        <w:rPr>
          <w:szCs w:val="26"/>
        </w:rPr>
        <w:t>r</w:t>
      </w:r>
      <w:r w:rsidR="008C1973">
        <w:rPr>
          <w:szCs w:val="26"/>
        </w:rPr>
        <w:t>sidad</w:t>
      </w:r>
      <w:r w:rsidR="001215DC">
        <w:rPr>
          <w:szCs w:val="26"/>
        </w:rPr>
        <w:t>, manteniéndose sin modificaciones los</w:t>
      </w:r>
      <w:r w:rsidR="005905D7">
        <w:rPr>
          <w:szCs w:val="26"/>
        </w:rPr>
        <w:t xml:space="preserve"> 2,97 millones para la financiación de retribuciones complementarias al profesorado.</w:t>
      </w:r>
    </w:p>
    <w:p w:rsidR="00BB2F69" w:rsidRPr="00130F3E" w:rsidRDefault="00BB2F69" w:rsidP="00130F3E">
      <w:pPr>
        <w:pStyle w:val="texto"/>
        <w:tabs>
          <w:tab w:val="clear" w:pos="2835"/>
          <w:tab w:val="clear" w:pos="3969"/>
          <w:tab w:val="clear" w:pos="5103"/>
          <w:tab w:val="clear" w:pos="6237"/>
          <w:tab w:val="clear" w:pos="7371"/>
        </w:tabs>
        <w:rPr>
          <w:szCs w:val="26"/>
        </w:rPr>
      </w:pPr>
      <w:r w:rsidRPr="00130F3E">
        <w:rPr>
          <w:szCs w:val="26"/>
        </w:rPr>
        <w:t>En dicho Acuerdo del Gobierno se establece, igualmente, el reparto del obj</w:t>
      </w:r>
      <w:r w:rsidRPr="00130F3E">
        <w:rPr>
          <w:szCs w:val="26"/>
        </w:rPr>
        <w:t>e</w:t>
      </w:r>
      <w:r w:rsidRPr="00130F3E">
        <w:rPr>
          <w:szCs w:val="26"/>
        </w:rPr>
        <w:t>tivo de estabilidad presupuestaria, fijándose para la U</w:t>
      </w:r>
      <w:r w:rsidR="008C1973">
        <w:rPr>
          <w:szCs w:val="26"/>
        </w:rPr>
        <w:t>niversidad</w:t>
      </w:r>
      <w:r w:rsidRPr="00130F3E">
        <w:rPr>
          <w:szCs w:val="26"/>
        </w:rPr>
        <w:t xml:space="preserve"> una situación de equilibrio, por lo que no puede generar déficit. Resultado de ello, se impos</w:t>
      </w:r>
      <w:r w:rsidRPr="00130F3E">
        <w:rPr>
          <w:szCs w:val="26"/>
        </w:rPr>
        <w:t>i</w:t>
      </w:r>
      <w:r w:rsidRPr="00130F3E">
        <w:rPr>
          <w:szCs w:val="26"/>
        </w:rPr>
        <w:t xml:space="preserve">bilita la utilización del remanente de tesorería </w:t>
      </w:r>
      <w:r w:rsidR="00130F3E">
        <w:rPr>
          <w:szCs w:val="26"/>
        </w:rPr>
        <w:t>no afecto</w:t>
      </w:r>
      <w:r w:rsidRPr="00130F3E">
        <w:rPr>
          <w:szCs w:val="26"/>
        </w:rPr>
        <w:t xml:space="preserve"> </w:t>
      </w:r>
      <w:r w:rsidR="00884D0B">
        <w:rPr>
          <w:szCs w:val="26"/>
        </w:rPr>
        <w:t>como fuente de fina</w:t>
      </w:r>
      <w:r w:rsidR="00884D0B">
        <w:rPr>
          <w:szCs w:val="26"/>
        </w:rPr>
        <w:t>n</w:t>
      </w:r>
      <w:r w:rsidR="00884D0B">
        <w:rPr>
          <w:szCs w:val="26"/>
        </w:rPr>
        <w:t xml:space="preserve">ciación </w:t>
      </w:r>
      <w:r w:rsidRPr="00130F3E">
        <w:rPr>
          <w:szCs w:val="26"/>
        </w:rPr>
        <w:t>que contempla el presupuesto inicial de la U</w:t>
      </w:r>
      <w:r w:rsidR="00FB7B14">
        <w:rPr>
          <w:szCs w:val="26"/>
        </w:rPr>
        <w:t>niversidad</w:t>
      </w:r>
      <w:r w:rsidR="00884D0B">
        <w:rPr>
          <w:szCs w:val="26"/>
        </w:rPr>
        <w:t xml:space="preserve"> </w:t>
      </w:r>
      <w:r w:rsidRPr="00130F3E">
        <w:rPr>
          <w:szCs w:val="26"/>
        </w:rPr>
        <w:t>y que asciende a 0,64 millones.</w:t>
      </w:r>
    </w:p>
    <w:p w:rsidR="00BB2F69" w:rsidRPr="00130F3E" w:rsidRDefault="00BB2F69" w:rsidP="00130F3E">
      <w:pPr>
        <w:pStyle w:val="texto"/>
        <w:tabs>
          <w:tab w:val="clear" w:pos="2835"/>
          <w:tab w:val="clear" w:pos="3969"/>
          <w:tab w:val="clear" w:pos="5103"/>
          <w:tab w:val="clear" w:pos="6237"/>
          <w:tab w:val="clear" w:pos="7371"/>
        </w:tabs>
        <w:rPr>
          <w:szCs w:val="26"/>
        </w:rPr>
      </w:pPr>
      <w:r w:rsidRPr="00130F3E">
        <w:rPr>
          <w:szCs w:val="26"/>
        </w:rPr>
        <w:t xml:space="preserve">Como consecuencia de las dos anteriores situaciones, y mediante resolución del </w:t>
      </w:r>
      <w:r w:rsidR="00F25739">
        <w:rPr>
          <w:szCs w:val="26"/>
        </w:rPr>
        <w:t>r</w:t>
      </w:r>
      <w:r w:rsidRPr="00130F3E">
        <w:rPr>
          <w:szCs w:val="26"/>
        </w:rPr>
        <w:t>ector, se lleva a cabo en el presupuesto de gastos una retención de no di</w:t>
      </w:r>
      <w:r w:rsidRPr="00130F3E">
        <w:rPr>
          <w:szCs w:val="26"/>
        </w:rPr>
        <w:t>s</w:t>
      </w:r>
      <w:r w:rsidRPr="00130F3E">
        <w:rPr>
          <w:szCs w:val="26"/>
        </w:rPr>
        <w:t>ponibilidad</w:t>
      </w:r>
      <w:r w:rsidR="00692A67">
        <w:rPr>
          <w:szCs w:val="26"/>
        </w:rPr>
        <w:t xml:space="preserve"> en determinadas partidas por</w:t>
      </w:r>
      <w:r w:rsidRPr="00130F3E">
        <w:rPr>
          <w:szCs w:val="26"/>
        </w:rPr>
        <w:t xml:space="preserve"> importe</w:t>
      </w:r>
      <w:r w:rsidR="00692A67">
        <w:rPr>
          <w:szCs w:val="26"/>
        </w:rPr>
        <w:t xml:space="preserve"> global</w:t>
      </w:r>
      <w:r w:rsidRPr="00130F3E">
        <w:rPr>
          <w:szCs w:val="26"/>
        </w:rPr>
        <w:t xml:space="preserve"> de 1,27 millones.</w:t>
      </w:r>
    </w:p>
    <w:p w:rsidR="00BB2F69" w:rsidRPr="00130F3E" w:rsidRDefault="00BB2F69" w:rsidP="00130F3E">
      <w:pPr>
        <w:pStyle w:val="texto"/>
        <w:tabs>
          <w:tab w:val="clear" w:pos="2835"/>
          <w:tab w:val="clear" w:pos="3969"/>
          <w:tab w:val="clear" w:pos="5103"/>
          <w:tab w:val="clear" w:pos="6237"/>
          <w:tab w:val="clear" w:pos="7371"/>
        </w:tabs>
        <w:rPr>
          <w:szCs w:val="26"/>
        </w:rPr>
      </w:pPr>
      <w:r w:rsidRPr="00130F3E">
        <w:rPr>
          <w:szCs w:val="26"/>
        </w:rPr>
        <w:t xml:space="preserve">Por otra parte, se modifica </w:t>
      </w:r>
      <w:r w:rsidR="00A661CE">
        <w:rPr>
          <w:szCs w:val="26"/>
        </w:rPr>
        <w:t>el calendario de matrícula anual inicialmente pr</w:t>
      </w:r>
      <w:r w:rsidR="00A661CE">
        <w:rPr>
          <w:szCs w:val="26"/>
        </w:rPr>
        <w:t>e</w:t>
      </w:r>
      <w:r w:rsidR="00A661CE">
        <w:rPr>
          <w:szCs w:val="26"/>
        </w:rPr>
        <w:t>visto para el curso 2014/15, quedando con matrícula semestral algunas titul</w:t>
      </w:r>
      <w:r w:rsidR="00A661CE">
        <w:rPr>
          <w:szCs w:val="26"/>
        </w:rPr>
        <w:t>a</w:t>
      </w:r>
      <w:r w:rsidR="00A661CE">
        <w:rPr>
          <w:szCs w:val="26"/>
        </w:rPr>
        <w:t>ciones. Ello implica una reducción</w:t>
      </w:r>
      <w:r w:rsidR="003F606D">
        <w:rPr>
          <w:szCs w:val="26"/>
        </w:rPr>
        <w:t xml:space="preserve"> de 0,29 millones</w:t>
      </w:r>
      <w:r w:rsidR="00A661CE">
        <w:rPr>
          <w:szCs w:val="26"/>
        </w:rPr>
        <w:t xml:space="preserve"> en las previsiones de i</w:t>
      </w:r>
      <w:r w:rsidR="00A661CE">
        <w:rPr>
          <w:szCs w:val="26"/>
        </w:rPr>
        <w:t>n</w:t>
      </w:r>
      <w:r w:rsidR="00A661CE">
        <w:rPr>
          <w:szCs w:val="26"/>
        </w:rPr>
        <w:t>gre</w:t>
      </w:r>
      <w:r w:rsidR="003F606D">
        <w:rPr>
          <w:szCs w:val="26"/>
        </w:rPr>
        <w:t xml:space="preserve">sos de 2014 </w:t>
      </w:r>
      <w:r w:rsidR="00A661CE">
        <w:rPr>
          <w:szCs w:val="26"/>
        </w:rPr>
        <w:t>que se trasladan al ejercicio de 2015</w:t>
      </w:r>
      <w:r w:rsidRPr="00130F3E">
        <w:rPr>
          <w:szCs w:val="26"/>
        </w:rPr>
        <w:t xml:space="preserve">. Por resolución del </w:t>
      </w:r>
      <w:r w:rsidR="00F25739">
        <w:rPr>
          <w:szCs w:val="26"/>
        </w:rPr>
        <w:t>r</w:t>
      </w:r>
      <w:r w:rsidRPr="00130F3E">
        <w:rPr>
          <w:szCs w:val="26"/>
        </w:rPr>
        <w:t>ector, se lleva a cabo una retención de no disponibilidad de los créditos para gastos por el citado importe.</w:t>
      </w:r>
    </w:p>
    <w:p w:rsidR="002C7BC0" w:rsidRDefault="00BB2F69" w:rsidP="00130F3E">
      <w:pPr>
        <w:pStyle w:val="texto"/>
        <w:tabs>
          <w:tab w:val="clear" w:pos="2835"/>
          <w:tab w:val="clear" w:pos="3969"/>
          <w:tab w:val="clear" w:pos="5103"/>
          <w:tab w:val="clear" w:pos="6237"/>
          <w:tab w:val="clear" w:pos="7371"/>
        </w:tabs>
        <w:rPr>
          <w:szCs w:val="26"/>
        </w:rPr>
      </w:pPr>
      <w:r w:rsidRPr="00130F3E">
        <w:rPr>
          <w:szCs w:val="26"/>
        </w:rPr>
        <w:t xml:space="preserve">Resultado de estas retenciones de no disponibilidad, los estados de ejecución del presupuesto de gastos e ingresos de 2014 incluyen, además de las columnas </w:t>
      </w:r>
      <w:r w:rsidR="00130F3E">
        <w:rPr>
          <w:szCs w:val="26"/>
        </w:rPr>
        <w:t>habituales</w:t>
      </w:r>
      <w:r w:rsidRPr="00130F3E">
        <w:rPr>
          <w:szCs w:val="26"/>
        </w:rPr>
        <w:t>, otra columna con las previsiones de ingresos y el crédito de gastos definitivos “ajustados”.</w:t>
      </w:r>
      <w:r w:rsidR="00130F3E">
        <w:rPr>
          <w:szCs w:val="26"/>
        </w:rPr>
        <w:t xml:space="preserve"> Sobre esta columna de “ajustados” se calculan los</w:t>
      </w:r>
      <w:r w:rsidR="00884D0B">
        <w:rPr>
          <w:szCs w:val="26"/>
        </w:rPr>
        <w:t xml:space="preserve"> an</w:t>
      </w:r>
      <w:r w:rsidR="00884D0B">
        <w:rPr>
          <w:szCs w:val="26"/>
        </w:rPr>
        <w:t>á</w:t>
      </w:r>
      <w:r w:rsidR="00884D0B">
        <w:rPr>
          <w:szCs w:val="26"/>
        </w:rPr>
        <w:t>lisis e</w:t>
      </w:r>
      <w:r w:rsidR="00130F3E">
        <w:rPr>
          <w:szCs w:val="26"/>
        </w:rPr>
        <w:t xml:space="preserve"> indicadores</w:t>
      </w:r>
      <w:r w:rsidR="00884D0B">
        <w:rPr>
          <w:szCs w:val="26"/>
        </w:rPr>
        <w:t xml:space="preserve"> de ejecución presupuestaria</w:t>
      </w:r>
      <w:r w:rsidR="00130F3E">
        <w:rPr>
          <w:szCs w:val="26"/>
        </w:rPr>
        <w:t xml:space="preserve"> que se describ</w:t>
      </w:r>
      <w:r w:rsidR="00884D0B">
        <w:rPr>
          <w:szCs w:val="26"/>
        </w:rPr>
        <w:t>en</w:t>
      </w:r>
      <w:r w:rsidR="00130F3E">
        <w:rPr>
          <w:szCs w:val="26"/>
        </w:rPr>
        <w:t xml:space="preserve"> posteriormente.</w:t>
      </w:r>
    </w:p>
    <w:p w:rsidR="002C7BC0" w:rsidRPr="002C7BC0"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Los créditos iniciales</w:t>
      </w:r>
      <w:r w:rsidRPr="002C7BC0">
        <w:rPr>
          <w:szCs w:val="26"/>
        </w:rPr>
        <w:t xml:space="preserve"> experimentan unas modificaciones netas</w:t>
      </w:r>
      <w:r w:rsidR="00244BB0">
        <w:rPr>
          <w:szCs w:val="26"/>
        </w:rPr>
        <w:t xml:space="preserve"> </w:t>
      </w:r>
      <w:r w:rsidR="00150D33">
        <w:rPr>
          <w:szCs w:val="26"/>
        </w:rPr>
        <w:t xml:space="preserve">ligadas a ingresos finalistas </w:t>
      </w:r>
      <w:r w:rsidR="00244BB0">
        <w:rPr>
          <w:szCs w:val="26"/>
        </w:rPr>
        <w:t>por un total de 15,07 millones</w:t>
      </w:r>
      <w:r w:rsidRPr="002C7BC0">
        <w:rPr>
          <w:szCs w:val="26"/>
        </w:rPr>
        <w:t xml:space="preserve">, es decir, </w:t>
      </w:r>
      <w:r w:rsidR="00244BB0">
        <w:rPr>
          <w:szCs w:val="26"/>
        </w:rPr>
        <w:t>un aumento del</w:t>
      </w:r>
      <w:r w:rsidRPr="002C7BC0">
        <w:rPr>
          <w:szCs w:val="26"/>
        </w:rPr>
        <w:t xml:space="preserve"> 23 por ciento. Al respecto, señalamos:</w:t>
      </w:r>
    </w:p>
    <w:p w:rsidR="002C7BC0" w:rsidRPr="002C7BC0" w:rsidRDefault="002C7BC0" w:rsidP="002C7BC0">
      <w:pPr>
        <w:pStyle w:val="texto"/>
        <w:tabs>
          <w:tab w:val="clear" w:pos="2835"/>
          <w:tab w:val="clear" w:pos="3969"/>
          <w:tab w:val="clear" w:pos="5103"/>
          <w:tab w:val="clear" w:pos="6237"/>
          <w:tab w:val="clear" w:pos="7371"/>
        </w:tabs>
        <w:rPr>
          <w:szCs w:val="26"/>
        </w:rPr>
      </w:pPr>
      <w:r w:rsidRPr="002C7BC0">
        <w:rPr>
          <w:szCs w:val="26"/>
        </w:rPr>
        <w:t>a) En gastos, destacan el incremento en bienes corrientes y servicios</w:t>
      </w:r>
      <w:r w:rsidR="001761C3">
        <w:rPr>
          <w:szCs w:val="26"/>
        </w:rPr>
        <w:t xml:space="preserve">, </w:t>
      </w:r>
      <w:r w:rsidRPr="002C7BC0">
        <w:rPr>
          <w:szCs w:val="26"/>
        </w:rPr>
        <w:t>8,83 mi</w:t>
      </w:r>
      <w:r w:rsidR="00AF2F5F">
        <w:rPr>
          <w:szCs w:val="26"/>
        </w:rPr>
        <w:t>llones</w:t>
      </w:r>
      <w:r w:rsidRPr="002C7BC0">
        <w:rPr>
          <w:szCs w:val="26"/>
        </w:rPr>
        <w:t xml:space="preserve"> </w:t>
      </w:r>
      <w:r w:rsidR="001761C3">
        <w:rPr>
          <w:szCs w:val="26"/>
        </w:rPr>
        <w:t>-</w:t>
      </w:r>
      <w:r w:rsidRPr="002C7BC0">
        <w:rPr>
          <w:szCs w:val="26"/>
        </w:rPr>
        <w:t>que suponen un aumento del 75 por ciento del crédito inicial-, pers</w:t>
      </w:r>
      <w:r w:rsidRPr="002C7BC0">
        <w:rPr>
          <w:szCs w:val="26"/>
        </w:rPr>
        <w:t>o</w:t>
      </w:r>
      <w:r w:rsidRPr="002C7BC0">
        <w:rPr>
          <w:szCs w:val="26"/>
        </w:rPr>
        <w:t>nal</w:t>
      </w:r>
      <w:r w:rsidR="00886CB4">
        <w:rPr>
          <w:szCs w:val="26"/>
        </w:rPr>
        <w:t>, 4,48 millones –</w:t>
      </w:r>
      <w:r w:rsidRPr="002C7BC0">
        <w:rPr>
          <w:szCs w:val="26"/>
        </w:rPr>
        <w:t>es decir, un aumento del nueve por ciento</w:t>
      </w:r>
      <w:r w:rsidR="00886CB4">
        <w:rPr>
          <w:szCs w:val="26"/>
        </w:rPr>
        <w:t>–</w:t>
      </w:r>
      <w:r w:rsidRPr="002C7BC0">
        <w:rPr>
          <w:szCs w:val="26"/>
        </w:rPr>
        <w:t xml:space="preserve"> y transferencias corrientes</w:t>
      </w:r>
      <w:r w:rsidR="001761C3">
        <w:rPr>
          <w:szCs w:val="26"/>
        </w:rPr>
        <w:t>, 1,05 millones</w:t>
      </w:r>
      <w:r w:rsidRPr="002C7BC0">
        <w:rPr>
          <w:szCs w:val="26"/>
        </w:rPr>
        <w:t xml:space="preserve"> </w:t>
      </w:r>
      <w:r w:rsidR="00886CB4">
        <w:rPr>
          <w:szCs w:val="26"/>
        </w:rPr>
        <w:t>–</w:t>
      </w:r>
      <w:r w:rsidRPr="002C7BC0">
        <w:rPr>
          <w:szCs w:val="26"/>
        </w:rPr>
        <w:t>esto es, aumenta en un 107 por ciento</w:t>
      </w:r>
      <w:r w:rsidR="00886CB4">
        <w:rPr>
          <w:szCs w:val="26"/>
        </w:rPr>
        <w:t>–</w:t>
      </w:r>
      <w:r w:rsidR="001761C3">
        <w:rPr>
          <w:szCs w:val="26"/>
        </w:rPr>
        <w:t>.</w:t>
      </w:r>
    </w:p>
    <w:p w:rsidR="002C7BC0" w:rsidRPr="002C7BC0" w:rsidRDefault="002C7BC0" w:rsidP="002C7BC0">
      <w:pPr>
        <w:pStyle w:val="texto"/>
        <w:tabs>
          <w:tab w:val="clear" w:pos="2835"/>
          <w:tab w:val="clear" w:pos="3969"/>
          <w:tab w:val="clear" w:pos="5103"/>
          <w:tab w:val="clear" w:pos="6237"/>
          <w:tab w:val="clear" w:pos="7371"/>
        </w:tabs>
        <w:rPr>
          <w:szCs w:val="26"/>
        </w:rPr>
      </w:pPr>
      <w:r w:rsidRPr="002C7BC0">
        <w:rPr>
          <w:szCs w:val="26"/>
        </w:rPr>
        <w:t>b) En ingresos, los mayores incrementos se observan en activos financieros</w:t>
      </w:r>
      <w:r w:rsidR="001761C3">
        <w:rPr>
          <w:szCs w:val="26"/>
        </w:rPr>
        <w:t xml:space="preserve"> con </w:t>
      </w:r>
      <w:r w:rsidRPr="002C7BC0">
        <w:rPr>
          <w:szCs w:val="26"/>
        </w:rPr>
        <w:t>7,71 millones, transferencias corrientes</w:t>
      </w:r>
      <w:r w:rsidR="001761C3">
        <w:rPr>
          <w:szCs w:val="26"/>
        </w:rPr>
        <w:t xml:space="preserve"> con </w:t>
      </w:r>
      <w:r w:rsidRPr="002C7BC0">
        <w:rPr>
          <w:szCs w:val="26"/>
        </w:rPr>
        <w:t>5,02 millones y tasas y precios público</w:t>
      </w:r>
      <w:r w:rsidR="002338F8">
        <w:rPr>
          <w:szCs w:val="26"/>
        </w:rPr>
        <w:t>s</w:t>
      </w:r>
      <w:r w:rsidR="001761C3">
        <w:rPr>
          <w:szCs w:val="26"/>
        </w:rPr>
        <w:t xml:space="preserve"> con 2,29 millones</w:t>
      </w:r>
      <w:r w:rsidRPr="002C7BC0">
        <w:rPr>
          <w:szCs w:val="26"/>
        </w:rPr>
        <w:t xml:space="preserve">. </w:t>
      </w:r>
    </w:p>
    <w:p w:rsidR="002C7BC0" w:rsidRPr="002C7BC0" w:rsidRDefault="002C7BC0" w:rsidP="0051140E">
      <w:pPr>
        <w:pStyle w:val="texto"/>
        <w:tabs>
          <w:tab w:val="clear" w:pos="2835"/>
          <w:tab w:val="clear" w:pos="3969"/>
          <w:tab w:val="clear" w:pos="5103"/>
          <w:tab w:val="clear" w:pos="6237"/>
          <w:tab w:val="clear" w:pos="7371"/>
        </w:tabs>
        <w:spacing w:after="240"/>
        <w:rPr>
          <w:szCs w:val="26"/>
        </w:rPr>
      </w:pPr>
      <w:r w:rsidRPr="002C7BC0">
        <w:rPr>
          <w:szCs w:val="26"/>
        </w:rPr>
        <w:lastRenderedPageBreak/>
        <w:t>c) La naturaleza de estas modificaciones presupuestarias se refleja en el cu</w:t>
      </w:r>
      <w:r w:rsidRPr="002C7BC0">
        <w:rPr>
          <w:szCs w:val="26"/>
        </w:rPr>
        <w:t>a</w:t>
      </w:r>
      <w:r w:rsidRPr="002C7BC0">
        <w:rPr>
          <w:szCs w:val="26"/>
        </w:rPr>
        <w:t>dro siguiente</w:t>
      </w:r>
      <w:r w:rsidR="0051140E">
        <w:rPr>
          <w:szCs w:val="26"/>
        </w:rPr>
        <w:t xml:space="preserve">, en </w:t>
      </w:r>
      <w:r w:rsidRPr="002C7BC0">
        <w:rPr>
          <w:szCs w:val="26"/>
        </w:rPr>
        <w:t>miles de euros</w:t>
      </w:r>
      <w:r w:rsidR="0051140E">
        <w:rPr>
          <w:szCs w:val="26"/>
        </w:rPr>
        <w:t>.</w:t>
      </w:r>
    </w:p>
    <w:tbl>
      <w:tblPr>
        <w:tblW w:w="8835" w:type="dxa"/>
        <w:jc w:val="center"/>
        <w:tblLayout w:type="fixed"/>
        <w:tblLook w:val="01E0" w:firstRow="1" w:lastRow="1" w:firstColumn="1" w:lastColumn="1" w:noHBand="0" w:noVBand="0"/>
      </w:tblPr>
      <w:tblGrid>
        <w:gridCol w:w="6284"/>
        <w:gridCol w:w="2551"/>
      </w:tblGrid>
      <w:tr w:rsidR="002C7BC0" w:rsidRPr="005438AF" w:rsidTr="000A4C01">
        <w:trPr>
          <w:trHeight w:val="284"/>
          <w:jc w:val="center"/>
        </w:trPr>
        <w:tc>
          <w:tcPr>
            <w:tcW w:w="6284" w:type="dxa"/>
            <w:tcBorders>
              <w:top w:val="single" w:sz="4" w:space="0" w:color="auto"/>
              <w:bottom w:val="single" w:sz="4" w:space="0" w:color="auto"/>
            </w:tcBorders>
            <w:shd w:val="clear" w:color="auto" w:fill="A8CBEE" w:themeFill="accent2" w:themeFillTint="66"/>
            <w:vAlign w:val="center"/>
          </w:tcPr>
          <w:p w:rsidR="002C7BC0" w:rsidRPr="003C315E" w:rsidRDefault="003C315E" w:rsidP="003C315E">
            <w:pPr>
              <w:spacing w:after="0"/>
              <w:ind w:left="50"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M</w:t>
            </w:r>
            <w:r w:rsidR="002C7BC0" w:rsidRPr="003C315E">
              <w:rPr>
                <w:rFonts w:ascii="Arial" w:hAnsi="Arial" w:cs="Arial"/>
                <w:bCs/>
                <w:color w:val="000000"/>
                <w:sz w:val="18"/>
                <w:szCs w:val="18"/>
                <w:lang w:val="es-ES" w:eastAsia="es-ES"/>
              </w:rPr>
              <w:t>odificaci</w:t>
            </w:r>
            <w:r>
              <w:rPr>
                <w:rFonts w:ascii="Arial" w:hAnsi="Arial" w:cs="Arial"/>
                <w:bCs/>
                <w:color w:val="000000"/>
                <w:sz w:val="18"/>
                <w:szCs w:val="18"/>
                <w:lang w:val="es-ES" w:eastAsia="es-ES"/>
              </w:rPr>
              <w:t>ones</w:t>
            </w:r>
            <w:r w:rsidR="002C7BC0" w:rsidRPr="003C315E">
              <w:rPr>
                <w:rFonts w:ascii="Arial" w:hAnsi="Arial" w:cs="Arial"/>
                <w:bCs/>
                <w:color w:val="000000"/>
                <w:sz w:val="18"/>
                <w:szCs w:val="18"/>
                <w:lang w:val="es-ES" w:eastAsia="es-ES"/>
              </w:rPr>
              <w:t xml:space="preserve"> presupuestaria</w:t>
            </w:r>
            <w:r>
              <w:rPr>
                <w:rFonts w:ascii="Arial" w:hAnsi="Arial" w:cs="Arial"/>
                <w:bCs/>
                <w:color w:val="000000"/>
                <w:sz w:val="18"/>
                <w:szCs w:val="18"/>
                <w:lang w:val="es-ES" w:eastAsia="es-ES"/>
              </w:rPr>
              <w:t>-Tipo</w:t>
            </w:r>
          </w:p>
        </w:tc>
        <w:tc>
          <w:tcPr>
            <w:tcW w:w="2551" w:type="dxa"/>
            <w:tcBorders>
              <w:top w:val="single" w:sz="4" w:space="0" w:color="auto"/>
              <w:bottom w:val="single" w:sz="4" w:space="0" w:color="auto"/>
            </w:tcBorders>
            <w:shd w:val="clear" w:color="auto" w:fill="A8CBEE" w:themeFill="accent2" w:themeFillTint="66"/>
            <w:vAlign w:val="center"/>
          </w:tcPr>
          <w:p w:rsidR="002C7BC0" w:rsidRPr="003C315E" w:rsidRDefault="002C7BC0" w:rsidP="0051140E">
            <w:pPr>
              <w:spacing w:after="0"/>
              <w:ind w:left="50" w:firstLine="0"/>
              <w:jc w:val="righ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Importe</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Ampliación de crédito</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1.031</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Transferencias de crédito positivas</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540</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Transferencias de crédito negativas</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-540</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Incorporaciones de crédito</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7.709</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Créditos generados</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6.340</w:t>
            </w:r>
          </w:p>
        </w:tc>
      </w:tr>
      <w:tr w:rsidR="002C7BC0" w:rsidRPr="00492623" w:rsidTr="0051140E">
        <w:trPr>
          <w:trHeight w:val="284"/>
          <w:jc w:val="center"/>
        </w:trPr>
        <w:tc>
          <w:tcPr>
            <w:tcW w:w="6284" w:type="dxa"/>
            <w:tcBorders>
              <w:top w:val="single" w:sz="4"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Bajas por anulación</w:t>
            </w:r>
          </w:p>
        </w:tc>
        <w:tc>
          <w:tcPr>
            <w:tcW w:w="2551" w:type="dxa"/>
            <w:tcBorders>
              <w:top w:val="single" w:sz="4"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-8</w:t>
            </w:r>
          </w:p>
        </w:tc>
      </w:tr>
      <w:tr w:rsidR="002C7BC0" w:rsidRPr="00492623" w:rsidTr="0051140E">
        <w:trPr>
          <w:trHeight w:val="284"/>
          <w:jc w:val="center"/>
        </w:trPr>
        <w:tc>
          <w:tcPr>
            <w:tcW w:w="6284" w:type="dxa"/>
            <w:tcBorders>
              <w:top w:val="single" w:sz="2"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Otros expedientes positivos</w:t>
            </w:r>
          </w:p>
        </w:tc>
        <w:tc>
          <w:tcPr>
            <w:tcW w:w="2551" w:type="dxa"/>
            <w:tcBorders>
              <w:top w:val="single" w:sz="2"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5.291</w:t>
            </w:r>
          </w:p>
        </w:tc>
      </w:tr>
      <w:tr w:rsidR="002C7BC0" w:rsidRPr="00492623" w:rsidTr="0051140E">
        <w:trPr>
          <w:trHeight w:val="284"/>
          <w:jc w:val="center"/>
        </w:trPr>
        <w:tc>
          <w:tcPr>
            <w:tcW w:w="6284" w:type="dxa"/>
            <w:tcBorders>
              <w:top w:val="single" w:sz="2" w:space="0" w:color="auto"/>
              <w:bottom w:val="single" w:sz="2" w:space="0" w:color="auto"/>
            </w:tcBorders>
            <w:vAlign w:val="center"/>
          </w:tcPr>
          <w:p w:rsidR="002C7BC0" w:rsidRPr="003C315E" w:rsidRDefault="002C7BC0" w:rsidP="003C315E">
            <w:pPr>
              <w:spacing w:after="0"/>
              <w:ind w:firstLine="0"/>
              <w:jc w:val="left"/>
              <w:rPr>
                <w:rFonts w:ascii="Arial Narrow" w:hAnsi="Arial Narrow"/>
                <w:sz w:val="18"/>
                <w:szCs w:val="18"/>
                <w:lang w:val="es-ES" w:eastAsia="es-ES"/>
              </w:rPr>
            </w:pPr>
            <w:r w:rsidRPr="003C315E">
              <w:rPr>
                <w:rFonts w:ascii="Arial Narrow" w:hAnsi="Arial Narrow"/>
                <w:sz w:val="18"/>
                <w:szCs w:val="18"/>
                <w:lang w:val="es-ES" w:eastAsia="es-ES"/>
              </w:rPr>
              <w:t>Otros expedientes negativos</w:t>
            </w:r>
          </w:p>
        </w:tc>
        <w:tc>
          <w:tcPr>
            <w:tcW w:w="2551" w:type="dxa"/>
            <w:tcBorders>
              <w:top w:val="single" w:sz="2" w:space="0" w:color="auto"/>
              <w:bottom w:val="single" w:sz="2" w:space="0" w:color="auto"/>
            </w:tcBorders>
            <w:vAlign w:val="center"/>
          </w:tcPr>
          <w:p w:rsidR="002C7BC0" w:rsidRPr="003C315E" w:rsidRDefault="002C7BC0" w:rsidP="0051140E">
            <w:pPr>
              <w:spacing w:after="0"/>
              <w:ind w:firstLine="0"/>
              <w:jc w:val="right"/>
              <w:rPr>
                <w:rFonts w:ascii="Arial Narrow" w:hAnsi="Arial Narrow"/>
                <w:sz w:val="18"/>
                <w:szCs w:val="18"/>
                <w:lang w:val="es-ES" w:eastAsia="es-ES"/>
              </w:rPr>
            </w:pPr>
            <w:r w:rsidRPr="003C315E">
              <w:rPr>
                <w:rFonts w:ascii="Arial Narrow" w:hAnsi="Arial Narrow"/>
                <w:sz w:val="18"/>
                <w:szCs w:val="18"/>
                <w:lang w:val="es-ES" w:eastAsia="es-ES"/>
              </w:rPr>
              <w:t>-5.291</w:t>
            </w:r>
          </w:p>
        </w:tc>
      </w:tr>
      <w:tr w:rsidR="002C7BC0" w:rsidRPr="0051140E" w:rsidTr="000A4C01">
        <w:trPr>
          <w:trHeight w:val="284"/>
          <w:jc w:val="center"/>
        </w:trPr>
        <w:tc>
          <w:tcPr>
            <w:tcW w:w="6284" w:type="dxa"/>
            <w:tcBorders>
              <w:top w:val="single" w:sz="2" w:space="0" w:color="auto"/>
              <w:bottom w:val="single" w:sz="2" w:space="0" w:color="auto"/>
            </w:tcBorders>
            <w:shd w:val="clear" w:color="auto" w:fill="A8CBEE" w:themeFill="accent2" w:themeFillTint="66"/>
            <w:vAlign w:val="center"/>
          </w:tcPr>
          <w:p w:rsidR="002C7BC0" w:rsidRPr="0051140E" w:rsidRDefault="002C7BC0" w:rsidP="003C315E">
            <w:pPr>
              <w:spacing w:after="0"/>
              <w:ind w:firstLine="0"/>
              <w:jc w:val="left"/>
              <w:rPr>
                <w:rFonts w:ascii="Arial" w:hAnsi="Arial" w:cs="Arial"/>
                <w:sz w:val="18"/>
                <w:szCs w:val="18"/>
                <w:lang w:val="es-ES" w:eastAsia="es-ES"/>
              </w:rPr>
            </w:pPr>
            <w:r w:rsidRPr="0051140E">
              <w:rPr>
                <w:rFonts w:ascii="Arial" w:hAnsi="Arial" w:cs="Arial"/>
                <w:sz w:val="18"/>
                <w:szCs w:val="18"/>
                <w:lang w:val="es-ES" w:eastAsia="es-ES"/>
              </w:rPr>
              <w:t xml:space="preserve">Total </w:t>
            </w:r>
          </w:p>
        </w:tc>
        <w:tc>
          <w:tcPr>
            <w:tcW w:w="2551" w:type="dxa"/>
            <w:tcBorders>
              <w:top w:val="single" w:sz="2" w:space="0" w:color="auto"/>
              <w:bottom w:val="single" w:sz="2" w:space="0" w:color="auto"/>
            </w:tcBorders>
            <w:shd w:val="clear" w:color="auto" w:fill="A8CBEE" w:themeFill="accent2" w:themeFillTint="66"/>
            <w:vAlign w:val="center"/>
          </w:tcPr>
          <w:p w:rsidR="002C7BC0" w:rsidRPr="0051140E" w:rsidRDefault="002C7BC0" w:rsidP="0051140E">
            <w:pPr>
              <w:spacing w:after="0"/>
              <w:ind w:firstLine="0"/>
              <w:jc w:val="right"/>
              <w:rPr>
                <w:rFonts w:ascii="Arial" w:hAnsi="Arial" w:cs="Arial"/>
                <w:sz w:val="18"/>
                <w:szCs w:val="18"/>
                <w:lang w:val="es-ES" w:eastAsia="es-ES"/>
              </w:rPr>
            </w:pPr>
            <w:r w:rsidRPr="0051140E">
              <w:rPr>
                <w:rFonts w:ascii="Arial" w:hAnsi="Arial" w:cs="Arial"/>
                <w:sz w:val="18"/>
                <w:szCs w:val="18"/>
                <w:lang w:val="es-ES" w:eastAsia="es-ES"/>
              </w:rPr>
              <w:t>15.071</w:t>
            </w:r>
          </w:p>
        </w:tc>
      </w:tr>
    </w:tbl>
    <w:p w:rsidR="002C7BC0" w:rsidRDefault="002C7BC0" w:rsidP="0051140E">
      <w:pPr>
        <w:pStyle w:val="texto"/>
        <w:tabs>
          <w:tab w:val="num" w:pos="300"/>
        </w:tabs>
        <w:spacing w:after="0"/>
        <w:rPr>
          <w:rFonts w:ascii="Arial" w:hAnsi="Arial" w:cs="Arial"/>
        </w:rPr>
      </w:pPr>
    </w:p>
    <w:p w:rsidR="002C7BC0"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C7BC0">
        <w:rPr>
          <w:szCs w:val="26"/>
        </w:rPr>
        <w:t>Los créditos definitivos ascienden a 81,54 millones; s</w:t>
      </w:r>
      <w:r w:rsidR="0035588B">
        <w:rPr>
          <w:szCs w:val="26"/>
        </w:rPr>
        <w:t>i</w:t>
      </w:r>
      <w:r w:rsidRPr="002C7BC0">
        <w:rPr>
          <w:szCs w:val="26"/>
        </w:rPr>
        <w:t xml:space="preserve"> consideramos el concepto de “ajustado” –es decir, una vez eliminadas las retenciones por no disponibilidad</w:t>
      </w:r>
      <w:r w:rsidR="0051140E">
        <w:rPr>
          <w:szCs w:val="26"/>
        </w:rPr>
        <w:t>–</w:t>
      </w:r>
      <w:r w:rsidRPr="002C7BC0">
        <w:rPr>
          <w:szCs w:val="26"/>
        </w:rPr>
        <w:t xml:space="preserve"> ese crédito definitivo ajustado es de 79,97 millones. Este últ</w:t>
      </w:r>
      <w:r w:rsidRPr="002C7BC0">
        <w:rPr>
          <w:szCs w:val="26"/>
        </w:rPr>
        <w:t>i</w:t>
      </w:r>
      <w:r w:rsidRPr="002C7BC0">
        <w:rPr>
          <w:szCs w:val="26"/>
        </w:rPr>
        <w:t>mo importe es el aplicado por la U</w:t>
      </w:r>
      <w:r w:rsidR="002338F8">
        <w:rPr>
          <w:szCs w:val="26"/>
        </w:rPr>
        <w:t>niversidad</w:t>
      </w:r>
      <w:r w:rsidRPr="002C7BC0">
        <w:rPr>
          <w:szCs w:val="26"/>
        </w:rPr>
        <w:t xml:space="preserve"> para los análisis de la ejecución presupuestaria.</w:t>
      </w:r>
    </w:p>
    <w:p w:rsidR="007F2175" w:rsidRPr="002C7BC0" w:rsidRDefault="007F2175" w:rsidP="007F2175">
      <w:pPr>
        <w:pStyle w:val="texto"/>
        <w:tabs>
          <w:tab w:val="clear" w:pos="2835"/>
          <w:tab w:val="clear" w:pos="3969"/>
          <w:tab w:val="clear" w:pos="5103"/>
          <w:tab w:val="clear" w:pos="6237"/>
          <w:tab w:val="clear" w:pos="7371"/>
          <w:tab w:val="num" w:pos="300"/>
        </w:tabs>
        <w:rPr>
          <w:szCs w:val="26"/>
        </w:rPr>
      </w:pPr>
      <w:r>
        <w:rPr>
          <w:szCs w:val="26"/>
        </w:rPr>
        <w:t xml:space="preserve">De ese crédito ajustado, </w:t>
      </w:r>
      <w:r w:rsidR="00017BF7">
        <w:rPr>
          <w:szCs w:val="26"/>
        </w:rPr>
        <w:t xml:space="preserve">un importe de </w:t>
      </w:r>
      <w:r>
        <w:rPr>
          <w:szCs w:val="26"/>
        </w:rPr>
        <w:t>15,19 millones tiene la consideración de afectado y el resto, 64,78 millones, de no afectado.</w:t>
      </w:r>
    </w:p>
    <w:p w:rsidR="002C7BC0"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C7BC0">
        <w:rPr>
          <w:szCs w:val="26"/>
        </w:rPr>
        <w:t>Las obligaciones reconocidas suponen un importe de 70,56 millones, con un grado de ejecución del 88 por ciento. Destacamos el alto porcentaje de ej</w:t>
      </w:r>
      <w:r w:rsidRPr="002C7BC0">
        <w:rPr>
          <w:szCs w:val="26"/>
        </w:rPr>
        <w:t>e</w:t>
      </w:r>
      <w:r w:rsidRPr="002C7BC0">
        <w:rPr>
          <w:szCs w:val="26"/>
        </w:rPr>
        <w:t xml:space="preserve">cución de personal </w:t>
      </w:r>
      <w:r w:rsidR="004C6745">
        <w:rPr>
          <w:szCs w:val="26"/>
        </w:rPr>
        <w:t>–</w:t>
      </w:r>
      <w:r w:rsidRPr="002C7BC0">
        <w:rPr>
          <w:szCs w:val="26"/>
        </w:rPr>
        <w:t>97 por ciento</w:t>
      </w:r>
      <w:r w:rsidR="004C6745">
        <w:rPr>
          <w:szCs w:val="26"/>
        </w:rPr>
        <w:t xml:space="preserve">– </w:t>
      </w:r>
      <w:r w:rsidRPr="002C7BC0">
        <w:rPr>
          <w:szCs w:val="26"/>
        </w:rPr>
        <w:t xml:space="preserve">y el </w:t>
      </w:r>
      <w:r w:rsidR="003C315E">
        <w:rPr>
          <w:szCs w:val="26"/>
        </w:rPr>
        <w:t>reducido</w:t>
      </w:r>
      <w:r w:rsidRPr="002C7BC0">
        <w:rPr>
          <w:szCs w:val="26"/>
        </w:rPr>
        <w:t xml:space="preserve"> en bienes corrientes y serv</w:t>
      </w:r>
      <w:r w:rsidRPr="002C7BC0">
        <w:rPr>
          <w:szCs w:val="26"/>
        </w:rPr>
        <w:t>i</w:t>
      </w:r>
      <w:r w:rsidRPr="002C7BC0">
        <w:rPr>
          <w:szCs w:val="26"/>
        </w:rPr>
        <w:t xml:space="preserve">cios </w:t>
      </w:r>
      <w:r w:rsidR="0051140E">
        <w:rPr>
          <w:szCs w:val="26"/>
        </w:rPr>
        <w:t>–</w:t>
      </w:r>
      <w:r w:rsidRPr="002C7BC0">
        <w:rPr>
          <w:szCs w:val="26"/>
        </w:rPr>
        <w:t>66 por ciento</w:t>
      </w:r>
      <w:r w:rsidR="0051140E">
        <w:rPr>
          <w:szCs w:val="26"/>
        </w:rPr>
        <w:t>–</w:t>
      </w:r>
      <w:r w:rsidRPr="002C7BC0">
        <w:rPr>
          <w:szCs w:val="26"/>
        </w:rPr>
        <w:t>.</w:t>
      </w:r>
    </w:p>
    <w:p w:rsidR="0051140E" w:rsidRPr="002C7BC0" w:rsidRDefault="00E32CB9" w:rsidP="008E7D7B">
      <w:pPr>
        <w:pStyle w:val="texto"/>
        <w:tabs>
          <w:tab w:val="clear" w:pos="2835"/>
          <w:tab w:val="clear" w:pos="3969"/>
          <w:tab w:val="clear" w:pos="5103"/>
          <w:tab w:val="clear" w:pos="6237"/>
          <w:tab w:val="clear" w:pos="7371"/>
          <w:tab w:val="num" w:pos="300"/>
        </w:tabs>
        <w:rPr>
          <w:szCs w:val="26"/>
        </w:rPr>
      </w:pPr>
      <w:r>
        <w:rPr>
          <w:szCs w:val="26"/>
        </w:rPr>
        <w:t>El 10 por ciento de las obligaciones reconocidas en 2014 corresponde a ga</w:t>
      </w:r>
      <w:r>
        <w:rPr>
          <w:szCs w:val="26"/>
        </w:rPr>
        <w:t>s</w:t>
      </w:r>
      <w:r>
        <w:rPr>
          <w:szCs w:val="26"/>
        </w:rPr>
        <w:t>tos financiados con ingresos finalistas, es decir, 7,28 millones.</w:t>
      </w:r>
    </w:p>
    <w:p w:rsidR="0096490F" w:rsidRDefault="004A0E00" w:rsidP="00886C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Los gastos de personal ascienden a 51,65 millones, que representan el 73 por ciento del gasto total</w:t>
      </w:r>
      <w:r w:rsidR="002D0099">
        <w:rPr>
          <w:szCs w:val="26"/>
        </w:rPr>
        <w:t xml:space="preserve">. </w:t>
      </w:r>
      <w:r w:rsidR="0096490F">
        <w:rPr>
          <w:szCs w:val="26"/>
        </w:rPr>
        <w:t>E</w:t>
      </w:r>
      <w:r w:rsidR="000F2A2A">
        <w:rPr>
          <w:szCs w:val="26"/>
        </w:rPr>
        <w:t>ste</w:t>
      </w:r>
      <w:r w:rsidR="0096490F">
        <w:rPr>
          <w:szCs w:val="26"/>
        </w:rPr>
        <w:t xml:space="preserve"> gasto de personal</w:t>
      </w:r>
      <w:r w:rsidR="0051140E">
        <w:rPr>
          <w:szCs w:val="26"/>
        </w:rPr>
        <w:t>, en miles de euros,</w:t>
      </w:r>
      <w:r w:rsidR="0096490F">
        <w:rPr>
          <w:szCs w:val="26"/>
        </w:rPr>
        <w:t xml:space="preserve"> se distr</w:t>
      </w:r>
      <w:r w:rsidR="0096490F">
        <w:rPr>
          <w:szCs w:val="26"/>
        </w:rPr>
        <w:t>i</w:t>
      </w:r>
      <w:r w:rsidR="0096490F">
        <w:rPr>
          <w:szCs w:val="26"/>
        </w:rPr>
        <w:t>buye</w:t>
      </w:r>
      <w:r w:rsidR="00B60ECE">
        <w:rPr>
          <w:szCs w:val="26"/>
        </w:rPr>
        <w:t xml:space="preserve"> </w:t>
      </w:r>
      <w:r w:rsidR="0051140E">
        <w:rPr>
          <w:szCs w:val="26"/>
        </w:rPr>
        <w:t>de la siguiente forma:</w:t>
      </w:r>
    </w:p>
    <w:tbl>
      <w:tblPr>
        <w:tblW w:w="8711"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5955"/>
        <w:gridCol w:w="1624"/>
        <w:gridCol w:w="1132"/>
      </w:tblGrid>
      <w:tr w:rsidR="0096490F" w:rsidRPr="003A2934" w:rsidTr="000A4C01">
        <w:trPr>
          <w:trHeight w:hRule="exact" w:val="284"/>
          <w:jc w:val="center"/>
        </w:trPr>
        <w:tc>
          <w:tcPr>
            <w:tcW w:w="5955" w:type="dxa"/>
            <w:tcBorders>
              <w:top w:val="single" w:sz="4" w:space="0" w:color="auto"/>
              <w:bottom w:val="single" w:sz="4" w:space="0" w:color="auto"/>
            </w:tcBorders>
            <w:shd w:val="clear" w:color="auto" w:fill="A8CBEE" w:themeFill="accent2" w:themeFillTint="66"/>
            <w:noWrap/>
            <w:vAlign w:val="center"/>
          </w:tcPr>
          <w:p w:rsidR="0096490F" w:rsidRPr="00875AC4" w:rsidRDefault="0096490F" w:rsidP="0096490F">
            <w:pPr>
              <w:pStyle w:val="cuadroCabe"/>
              <w:rPr>
                <w:lang w:val="es-ES" w:eastAsia="es-ES"/>
              </w:rPr>
            </w:pPr>
            <w:r>
              <w:rPr>
                <w:lang w:val="es-ES" w:eastAsia="es-ES"/>
              </w:rPr>
              <w:t xml:space="preserve">Gastos de personal </w:t>
            </w:r>
          </w:p>
        </w:tc>
        <w:tc>
          <w:tcPr>
            <w:tcW w:w="1624" w:type="dxa"/>
            <w:tcBorders>
              <w:top w:val="single" w:sz="4" w:space="0" w:color="auto"/>
              <w:bottom w:val="single" w:sz="4" w:space="0" w:color="auto"/>
            </w:tcBorders>
            <w:shd w:val="clear" w:color="auto" w:fill="A8CBEE" w:themeFill="accent2" w:themeFillTint="66"/>
            <w:noWrap/>
            <w:vAlign w:val="center"/>
          </w:tcPr>
          <w:p w:rsidR="0096490F" w:rsidRPr="003A2934" w:rsidRDefault="0096490F" w:rsidP="0051140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c>
          <w:tcPr>
            <w:tcW w:w="1132" w:type="dxa"/>
            <w:tcBorders>
              <w:top w:val="single" w:sz="4" w:space="0" w:color="auto"/>
              <w:bottom w:val="single" w:sz="4" w:space="0" w:color="auto"/>
            </w:tcBorders>
            <w:shd w:val="clear" w:color="auto" w:fill="A8CBEE" w:themeFill="accent2" w:themeFillTint="66"/>
            <w:noWrap/>
            <w:vAlign w:val="center"/>
          </w:tcPr>
          <w:p w:rsidR="0096490F" w:rsidRPr="003A2934" w:rsidRDefault="0096490F" w:rsidP="0051140E">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w:t>
            </w:r>
          </w:p>
        </w:tc>
      </w:tr>
      <w:tr w:rsidR="0096490F" w:rsidRPr="005314C6" w:rsidTr="000A4C01">
        <w:trPr>
          <w:trHeight w:hRule="exact" w:val="284"/>
          <w:jc w:val="center"/>
        </w:trPr>
        <w:tc>
          <w:tcPr>
            <w:tcW w:w="5955" w:type="dxa"/>
            <w:tcBorders>
              <w:top w:val="single" w:sz="4" w:space="0" w:color="auto"/>
              <w:bottom w:val="single" w:sz="2" w:space="0" w:color="auto"/>
            </w:tcBorders>
            <w:shd w:val="clear" w:color="auto" w:fill="auto"/>
            <w:noWrap/>
            <w:vAlign w:val="center"/>
          </w:tcPr>
          <w:p w:rsidR="0096490F" w:rsidRPr="000B16D4" w:rsidRDefault="0096490F" w:rsidP="0096490F">
            <w:pPr>
              <w:spacing w:after="0"/>
              <w:ind w:firstLine="0"/>
              <w:jc w:val="left"/>
              <w:rPr>
                <w:rFonts w:ascii="Arial Narrow" w:hAnsi="Arial Narrow"/>
                <w:sz w:val="18"/>
                <w:szCs w:val="18"/>
                <w:lang w:val="es-ES" w:eastAsia="es-ES"/>
              </w:rPr>
            </w:pPr>
            <w:r w:rsidRPr="000B16D4">
              <w:rPr>
                <w:rFonts w:ascii="Arial Narrow" w:hAnsi="Arial Narrow"/>
                <w:sz w:val="18"/>
                <w:szCs w:val="18"/>
                <w:lang w:val="es-ES" w:eastAsia="es-ES"/>
              </w:rPr>
              <w:t>Retribuciones PDI</w:t>
            </w:r>
          </w:p>
        </w:tc>
        <w:tc>
          <w:tcPr>
            <w:tcW w:w="1624" w:type="dxa"/>
            <w:tcBorders>
              <w:top w:val="single" w:sz="4" w:space="0" w:color="auto"/>
              <w:bottom w:val="single" w:sz="2" w:space="0" w:color="auto"/>
            </w:tcBorders>
            <w:shd w:val="clear" w:color="auto" w:fill="auto"/>
            <w:noWrap/>
            <w:vAlign w:val="center"/>
          </w:tcPr>
          <w:p w:rsidR="0096490F" w:rsidRPr="000B16D4" w:rsidRDefault="0096490F" w:rsidP="0051140E">
            <w:pPr>
              <w:spacing w:after="0"/>
              <w:ind w:firstLine="0"/>
              <w:jc w:val="right"/>
              <w:rPr>
                <w:rFonts w:ascii="Arial Narrow" w:hAnsi="Arial Narrow"/>
                <w:sz w:val="18"/>
                <w:szCs w:val="18"/>
                <w:lang w:val="es-ES" w:eastAsia="es-ES"/>
              </w:rPr>
            </w:pPr>
            <w:r w:rsidRPr="000B16D4">
              <w:rPr>
                <w:rFonts w:ascii="Arial Narrow" w:hAnsi="Arial Narrow"/>
                <w:sz w:val="18"/>
                <w:szCs w:val="18"/>
                <w:lang w:val="es-ES" w:eastAsia="es-ES"/>
              </w:rPr>
              <w:t>27.400</w:t>
            </w:r>
          </w:p>
        </w:tc>
        <w:tc>
          <w:tcPr>
            <w:tcW w:w="1132" w:type="dxa"/>
            <w:tcBorders>
              <w:top w:val="single" w:sz="4" w:space="0" w:color="auto"/>
              <w:bottom w:val="single" w:sz="2" w:space="0" w:color="auto"/>
            </w:tcBorders>
            <w:shd w:val="clear" w:color="auto" w:fill="auto"/>
            <w:noWrap/>
            <w:vAlign w:val="center"/>
          </w:tcPr>
          <w:p w:rsidR="0096490F" w:rsidRPr="000B16D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53</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Pr="003A2934" w:rsidRDefault="0096490F" w:rsidP="0096490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Retribuciones PAS</w:t>
            </w:r>
          </w:p>
        </w:tc>
        <w:tc>
          <w:tcPr>
            <w:tcW w:w="1624"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13.784</w:t>
            </w:r>
          </w:p>
        </w:tc>
        <w:tc>
          <w:tcPr>
            <w:tcW w:w="1132"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27</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Default="0096490F" w:rsidP="0096490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Retribuciones personal investigador</w:t>
            </w:r>
          </w:p>
        </w:tc>
        <w:tc>
          <w:tcPr>
            <w:tcW w:w="1624"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3.569</w:t>
            </w:r>
          </w:p>
        </w:tc>
        <w:tc>
          <w:tcPr>
            <w:tcW w:w="1132"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Default="0096490F" w:rsidP="0096490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Cargas sociales</w:t>
            </w:r>
          </w:p>
        </w:tc>
        <w:tc>
          <w:tcPr>
            <w:tcW w:w="1624"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6.833</w:t>
            </w:r>
          </w:p>
        </w:tc>
        <w:tc>
          <w:tcPr>
            <w:tcW w:w="1132" w:type="dxa"/>
            <w:tcBorders>
              <w:top w:val="single" w:sz="2" w:space="0" w:color="auto"/>
              <w:bottom w:val="single" w:sz="2" w:space="0" w:color="auto"/>
            </w:tcBorders>
            <w:shd w:val="clear" w:color="auto" w:fill="auto"/>
            <w:noWrap/>
            <w:vAlign w:val="center"/>
          </w:tcPr>
          <w:p w:rsidR="0096490F" w:rsidRPr="003A2934"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13</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uto"/>
            <w:noWrap/>
            <w:vAlign w:val="center"/>
          </w:tcPr>
          <w:p w:rsidR="0096490F" w:rsidRDefault="0096490F" w:rsidP="0096490F">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Formación</w:t>
            </w:r>
          </w:p>
        </w:tc>
        <w:tc>
          <w:tcPr>
            <w:tcW w:w="1624" w:type="dxa"/>
            <w:tcBorders>
              <w:top w:val="single" w:sz="2" w:space="0" w:color="auto"/>
              <w:bottom w:val="single" w:sz="2" w:space="0" w:color="auto"/>
            </w:tcBorders>
            <w:shd w:val="clear" w:color="auto" w:fill="auto"/>
            <w:noWrap/>
            <w:vAlign w:val="center"/>
          </w:tcPr>
          <w:p w:rsidR="0096490F"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64</w:t>
            </w:r>
          </w:p>
        </w:tc>
        <w:tc>
          <w:tcPr>
            <w:tcW w:w="1132" w:type="dxa"/>
            <w:tcBorders>
              <w:top w:val="single" w:sz="2" w:space="0" w:color="auto"/>
              <w:bottom w:val="single" w:sz="2" w:space="0" w:color="auto"/>
            </w:tcBorders>
            <w:shd w:val="clear" w:color="auto" w:fill="auto"/>
            <w:noWrap/>
            <w:vAlign w:val="center"/>
          </w:tcPr>
          <w:p w:rsidR="0096490F" w:rsidRDefault="0096490F" w:rsidP="0051140E">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w:t>
            </w:r>
          </w:p>
        </w:tc>
      </w:tr>
      <w:tr w:rsidR="0096490F" w:rsidRPr="003A2934" w:rsidTr="000A4C01">
        <w:trPr>
          <w:trHeight w:hRule="exact" w:val="284"/>
          <w:jc w:val="center"/>
        </w:trPr>
        <w:tc>
          <w:tcPr>
            <w:tcW w:w="5955" w:type="dxa"/>
            <w:tcBorders>
              <w:top w:val="single" w:sz="2" w:space="0" w:color="auto"/>
              <w:bottom w:val="single" w:sz="2" w:space="0" w:color="auto"/>
            </w:tcBorders>
            <w:shd w:val="clear" w:color="auto" w:fill="A8CBEE" w:themeFill="accent2" w:themeFillTint="66"/>
            <w:noWrap/>
            <w:vAlign w:val="center"/>
          </w:tcPr>
          <w:p w:rsidR="0096490F" w:rsidRPr="000B16D4" w:rsidRDefault="0096490F" w:rsidP="0096490F">
            <w:pPr>
              <w:pStyle w:val="cuadroCabe"/>
              <w:rPr>
                <w:lang w:val="es-ES" w:eastAsia="es-ES"/>
              </w:rPr>
            </w:pPr>
            <w:r w:rsidRPr="000B16D4">
              <w:rPr>
                <w:lang w:val="es-ES" w:eastAsia="es-ES"/>
              </w:rPr>
              <w:t>Total gastos de personal</w:t>
            </w:r>
          </w:p>
        </w:tc>
        <w:tc>
          <w:tcPr>
            <w:tcW w:w="1624" w:type="dxa"/>
            <w:tcBorders>
              <w:top w:val="single" w:sz="2" w:space="0" w:color="auto"/>
              <w:bottom w:val="single" w:sz="2" w:space="0" w:color="auto"/>
            </w:tcBorders>
            <w:shd w:val="clear" w:color="auto" w:fill="A8CBEE" w:themeFill="accent2" w:themeFillTint="66"/>
            <w:noWrap/>
            <w:vAlign w:val="center"/>
          </w:tcPr>
          <w:p w:rsidR="0096490F" w:rsidRPr="000B16D4" w:rsidRDefault="0096490F" w:rsidP="0051140E">
            <w:pPr>
              <w:pStyle w:val="cuadroCabe"/>
              <w:jc w:val="right"/>
              <w:rPr>
                <w:lang w:val="es-ES" w:eastAsia="es-ES"/>
              </w:rPr>
            </w:pPr>
            <w:r w:rsidRPr="000B16D4">
              <w:rPr>
                <w:lang w:val="es-ES" w:eastAsia="es-ES"/>
              </w:rPr>
              <w:t>51.650</w:t>
            </w:r>
          </w:p>
        </w:tc>
        <w:tc>
          <w:tcPr>
            <w:tcW w:w="1132" w:type="dxa"/>
            <w:tcBorders>
              <w:top w:val="single" w:sz="2" w:space="0" w:color="auto"/>
              <w:bottom w:val="single" w:sz="2" w:space="0" w:color="auto"/>
            </w:tcBorders>
            <w:shd w:val="clear" w:color="auto" w:fill="A8CBEE" w:themeFill="accent2" w:themeFillTint="66"/>
            <w:noWrap/>
            <w:vAlign w:val="center"/>
          </w:tcPr>
          <w:p w:rsidR="0096490F" w:rsidRPr="000B16D4" w:rsidRDefault="0096490F" w:rsidP="0051140E">
            <w:pPr>
              <w:pStyle w:val="cuadroCabe"/>
              <w:jc w:val="right"/>
              <w:rPr>
                <w:lang w:val="es-ES" w:eastAsia="es-ES"/>
              </w:rPr>
            </w:pPr>
            <w:r w:rsidRPr="000B16D4">
              <w:rPr>
                <w:lang w:val="es-ES" w:eastAsia="es-ES"/>
              </w:rPr>
              <w:t>100</w:t>
            </w:r>
          </w:p>
        </w:tc>
      </w:tr>
    </w:tbl>
    <w:p w:rsidR="000F2A2A" w:rsidRDefault="000F2A2A" w:rsidP="0051140E">
      <w:pPr>
        <w:pStyle w:val="texto"/>
        <w:tabs>
          <w:tab w:val="clear" w:pos="2835"/>
          <w:tab w:val="clear" w:pos="3969"/>
          <w:tab w:val="clear" w:pos="5103"/>
          <w:tab w:val="clear" w:pos="6237"/>
          <w:tab w:val="clear" w:pos="7371"/>
          <w:tab w:val="left" w:pos="480"/>
          <w:tab w:val="num" w:pos="928"/>
          <w:tab w:val="num" w:pos="6597"/>
        </w:tabs>
        <w:spacing w:after="0"/>
        <w:ind w:left="289" w:firstLine="0"/>
        <w:rPr>
          <w:szCs w:val="26"/>
        </w:rPr>
      </w:pPr>
    </w:p>
    <w:p w:rsidR="00E130CE" w:rsidRDefault="00E130CE">
      <w:pPr>
        <w:spacing w:after="0"/>
        <w:ind w:firstLine="0"/>
        <w:jc w:val="left"/>
        <w:rPr>
          <w:spacing w:val="6"/>
          <w:sz w:val="26"/>
          <w:szCs w:val="26"/>
        </w:rPr>
      </w:pPr>
      <w:r>
        <w:rPr>
          <w:szCs w:val="26"/>
        </w:rPr>
        <w:br w:type="page"/>
      </w:r>
    </w:p>
    <w:p w:rsidR="000F2A2A" w:rsidRDefault="000F2A2A" w:rsidP="00E130CE">
      <w:pPr>
        <w:pStyle w:val="texto"/>
        <w:tabs>
          <w:tab w:val="clear" w:pos="2835"/>
          <w:tab w:val="clear" w:pos="3969"/>
          <w:tab w:val="clear" w:pos="5103"/>
          <w:tab w:val="clear" w:pos="6237"/>
          <w:tab w:val="clear" w:pos="7371"/>
          <w:tab w:val="num" w:pos="300"/>
        </w:tabs>
        <w:spacing w:after="240"/>
        <w:rPr>
          <w:szCs w:val="26"/>
        </w:rPr>
      </w:pPr>
      <w:r>
        <w:rPr>
          <w:szCs w:val="26"/>
        </w:rPr>
        <w:lastRenderedPageBreak/>
        <w:t>A 31 de diciembre de 2014, trabajan en la Universidad un total de 1.329 pe</w:t>
      </w:r>
      <w:r>
        <w:rPr>
          <w:szCs w:val="26"/>
        </w:rPr>
        <w:t>r</w:t>
      </w:r>
      <w:r>
        <w:rPr>
          <w:szCs w:val="26"/>
        </w:rPr>
        <w:t>sonas, de acuerdo con el siguiente detalle:</w:t>
      </w:r>
    </w:p>
    <w:tbl>
      <w:tblPr>
        <w:tblW w:w="8928" w:type="dxa"/>
        <w:jc w:val="center"/>
        <w:tblLayout w:type="fixed"/>
        <w:tblLook w:val="01E0" w:firstRow="1" w:lastRow="1" w:firstColumn="1" w:lastColumn="1" w:noHBand="0" w:noVBand="0"/>
      </w:tblPr>
      <w:tblGrid>
        <w:gridCol w:w="6704"/>
        <w:gridCol w:w="2155"/>
        <w:gridCol w:w="69"/>
      </w:tblGrid>
      <w:tr w:rsidR="000F2A2A" w:rsidRPr="00E65196" w:rsidTr="000A4C01">
        <w:trPr>
          <w:gridAfter w:val="1"/>
          <w:wAfter w:w="69" w:type="dxa"/>
          <w:trHeight w:val="284"/>
          <w:jc w:val="center"/>
        </w:trPr>
        <w:tc>
          <w:tcPr>
            <w:tcW w:w="6704" w:type="dxa"/>
            <w:tcBorders>
              <w:top w:val="single" w:sz="4" w:space="0" w:color="auto"/>
              <w:bottom w:val="single" w:sz="4" w:space="0" w:color="auto"/>
            </w:tcBorders>
            <w:shd w:val="clear" w:color="auto" w:fill="A8CBEE" w:themeFill="accent2" w:themeFillTint="66"/>
            <w:vAlign w:val="center"/>
          </w:tcPr>
          <w:p w:rsidR="000F2A2A" w:rsidRPr="00E65196" w:rsidRDefault="000F2A2A" w:rsidP="00807816">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Empleados de la Universidad-2014</w:t>
            </w:r>
          </w:p>
        </w:tc>
        <w:tc>
          <w:tcPr>
            <w:tcW w:w="2155" w:type="dxa"/>
            <w:tcBorders>
              <w:top w:val="single" w:sz="4" w:space="0" w:color="auto"/>
              <w:bottom w:val="single" w:sz="4" w:space="0" w:color="auto"/>
            </w:tcBorders>
            <w:shd w:val="clear" w:color="auto" w:fill="A8CBEE" w:themeFill="accent2" w:themeFillTint="66"/>
            <w:vAlign w:val="center"/>
          </w:tcPr>
          <w:p w:rsidR="000F2A2A" w:rsidRPr="00E65196" w:rsidRDefault="000F2A2A" w:rsidP="005114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tc>
      </w:tr>
      <w:tr w:rsidR="000F2A2A" w:rsidRPr="0051140E" w:rsidTr="00E130CE">
        <w:trPr>
          <w:trHeight w:val="284"/>
          <w:jc w:val="center"/>
        </w:trPr>
        <w:tc>
          <w:tcPr>
            <w:tcW w:w="6704" w:type="dxa"/>
            <w:tcBorders>
              <w:top w:val="single" w:sz="4" w:space="0" w:color="auto"/>
              <w:bottom w:val="single" w:sz="2" w:space="0" w:color="auto"/>
            </w:tcBorders>
            <w:vAlign w:val="center"/>
          </w:tcPr>
          <w:p w:rsidR="000F2A2A" w:rsidRPr="0051140E" w:rsidRDefault="000F2A2A" w:rsidP="00807816">
            <w:pPr>
              <w:spacing w:after="0"/>
              <w:ind w:firstLine="0"/>
              <w:jc w:val="left"/>
              <w:rPr>
                <w:rFonts w:ascii="Arial Narrow" w:hAnsi="Arial Narrow"/>
                <w:lang w:val="es-ES" w:eastAsia="es-ES"/>
              </w:rPr>
            </w:pPr>
            <w:r w:rsidRPr="0051140E">
              <w:rPr>
                <w:rFonts w:ascii="Arial Narrow" w:hAnsi="Arial Narrow"/>
                <w:lang w:val="es-ES" w:eastAsia="es-ES"/>
              </w:rPr>
              <w:t>Personal Docente e Investigador (PDI)</w:t>
            </w:r>
          </w:p>
        </w:tc>
        <w:tc>
          <w:tcPr>
            <w:tcW w:w="2224" w:type="dxa"/>
            <w:gridSpan w:val="2"/>
            <w:tcBorders>
              <w:top w:val="single" w:sz="4" w:space="0" w:color="auto"/>
              <w:bottom w:val="single" w:sz="2" w:space="0" w:color="auto"/>
            </w:tcBorders>
            <w:vAlign w:val="center"/>
          </w:tcPr>
          <w:p w:rsidR="000F2A2A" w:rsidRPr="0051140E" w:rsidRDefault="000F2A2A" w:rsidP="0051140E">
            <w:pPr>
              <w:spacing w:after="0"/>
              <w:ind w:firstLine="0"/>
              <w:jc w:val="right"/>
              <w:rPr>
                <w:rFonts w:ascii="Arial Narrow" w:hAnsi="Arial Narrow"/>
                <w:lang w:val="es-ES" w:eastAsia="es-ES"/>
              </w:rPr>
            </w:pPr>
            <w:r w:rsidRPr="0051140E">
              <w:rPr>
                <w:rFonts w:ascii="Arial Narrow" w:hAnsi="Arial Narrow"/>
                <w:lang w:val="es-ES" w:eastAsia="es-ES"/>
              </w:rPr>
              <w:t>856</w:t>
            </w:r>
          </w:p>
        </w:tc>
      </w:tr>
      <w:tr w:rsidR="000F2A2A" w:rsidRPr="0051140E" w:rsidTr="00E130CE">
        <w:trPr>
          <w:trHeight w:val="284"/>
          <w:jc w:val="center"/>
        </w:trPr>
        <w:tc>
          <w:tcPr>
            <w:tcW w:w="6704" w:type="dxa"/>
            <w:tcBorders>
              <w:top w:val="single" w:sz="4" w:space="0" w:color="auto"/>
              <w:bottom w:val="single" w:sz="2" w:space="0" w:color="auto"/>
            </w:tcBorders>
            <w:vAlign w:val="center"/>
          </w:tcPr>
          <w:p w:rsidR="000F2A2A" w:rsidRPr="0051140E" w:rsidRDefault="000F2A2A" w:rsidP="00807816">
            <w:pPr>
              <w:spacing w:after="0"/>
              <w:ind w:firstLine="0"/>
              <w:jc w:val="left"/>
              <w:rPr>
                <w:rFonts w:ascii="Arial Narrow" w:hAnsi="Arial Narrow"/>
                <w:lang w:val="es-ES" w:eastAsia="es-ES"/>
              </w:rPr>
            </w:pPr>
            <w:r w:rsidRPr="0051140E">
              <w:rPr>
                <w:rFonts w:ascii="Arial Narrow" w:hAnsi="Arial Narrow"/>
                <w:lang w:val="es-ES" w:eastAsia="es-ES"/>
              </w:rPr>
              <w:t>Personal de Administración y Servicios (PAS)</w:t>
            </w:r>
          </w:p>
        </w:tc>
        <w:tc>
          <w:tcPr>
            <w:tcW w:w="2224" w:type="dxa"/>
            <w:gridSpan w:val="2"/>
            <w:tcBorders>
              <w:top w:val="single" w:sz="4" w:space="0" w:color="auto"/>
              <w:bottom w:val="single" w:sz="2" w:space="0" w:color="auto"/>
            </w:tcBorders>
            <w:vAlign w:val="center"/>
          </w:tcPr>
          <w:p w:rsidR="000F2A2A" w:rsidRPr="0051140E" w:rsidRDefault="000F2A2A" w:rsidP="0051140E">
            <w:pPr>
              <w:spacing w:after="0"/>
              <w:ind w:firstLine="0"/>
              <w:jc w:val="right"/>
              <w:rPr>
                <w:rFonts w:ascii="Arial Narrow" w:hAnsi="Arial Narrow"/>
                <w:lang w:val="es-ES" w:eastAsia="es-ES"/>
              </w:rPr>
            </w:pPr>
            <w:r w:rsidRPr="0051140E">
              <w:rPr>
                <w:rFonts w:ascii="Arial Narrow" w:hAnsi="Arial Narrow"/>
                <w:lang w:val="es-ES" w:eastAsia="es-ES"/>
              </w:rPr>
              <w:t>473</w:t>
            </w:r>
          </w:p>
        </w:tc>
      </w:tr>
      <w:tr w:rsidR="000F2A2A" w:rsidRPr="0051140E" w:rsidTr="000A4C01">
        <w:trPr>
          <w:trHeight w:val="284"/>
          <w:jc w:val="center"/>
        </w:trPr>
        <w:tc>
          <w:tcPr>
            <w:tcW w:w="6704" w:type="dxa"/>
            <w:tcBorders>
              <w:top w:val="single" w:sz="4" w:space="0" w:color="auto"/>
              <w:bottom w:val="single" w:sz="2" w:space="0" w:color="auto"/>
            </w:tcBorders>
            <w:shd w:val="clear" w:color="auto" w:fill="A8CBEE" w:themeFill="accent2" w:themeFillTint="66"/>
            <w:vAlign w:val="center"/>
          </w:tcPr>
          <w:p w:rsidR="000F2A2A" w:rsidRPr="0051140E" w:rsidRDefault="000F2A2A" w:rsidP="00807816">
            <w:pPr>
              <w:spacing w:after="0"/>
              <w:ind w:firstLine="0"/>
              <w:jc w:val="left"/>
              <w:rPr>
                <w:rFonts w:ascii="Arial" w:hAnsi="Arial" w:cs="Arial"/>
                <w:sz w:val="18"/>
                <w:szCs w:val="18"/>
                <w:lang w:val="es-ES" w:eastAsia="es-ES"/>
              </w:rPr>
            </w:pPr>
            <w:r w:rsidRPr="0051140E">
              <w:rPr>
                <w:rFonts w:ascii="Arial" w:hAnsi="Arial" w:cs="Arial"/>
                <w:sz w:val="18"/>
                <w:szCs w:val="18"/>
                <w:lang w:val="es-ES" w:eastAsia="es-ES"/>
              </w:rPr>
              <w:t>Total Personal</w:t>
            </w:r>
          </w:p>
        </w:tc>
        <w:tc>
          <w:tcPr>
            <w:tcW w:w="2224" w:type="dxa"/>
            <w:gridSpan w:val="2"/>
            <w:tcBorders>
              <w:top w:val="single" w:sz="4" w:space="0" w:color="auto"/>
              <w:bottom w:val="single" w:sz="2" w:space="0" w:color="auto"/>
            </w:tcBorders>
            <w:shd w:val="clear" w:color="auto" w:fill="A8CBEE" w:themeFill="accent2" w:themeFillTint="66"/>
            <w:vAlign w:val="center"/>
          </w:tcPr>
          <w:p w:rsidR="000F2A2A" w:rsidRPr="0051140E" w:rsidRDefault="000F2A2A" w:rsidP="0051140E">
            <w:pPr>
              <w:spacing w:after="0"/>
              <w:ind w:firstLine="0"/>
              <w:jc w:val="right"/>
              <w:rPr>
                <w:rFonts w:ascii="Arial" w:hAnsi="Arial" w:cs="Arial"/>
                <w:sz w:val="18"/>
                <w:szCs w:val="18"/>
                <w:lang w:val="es-ES" w:eastAsia="es-ES"/>
              </w:rPr>
            </w:pPr>
            <w:r w:rsidRPr="0051140E">
              <w:rPr>
                <w:rFonts w:ascii="Arial" w:hAnsi="Arial" w:cs="Arial"/>
                <w:sz w:val="18"/>
                <w:szCs w:val="18"/>
                <w:lang w:val="es-ES" w:eastAsia="es-ES"/>
              </w:rPr>
              <w:t>1.329</w:t>
            </w:r>
          </w:p>
        </w:tc>
      </w:tr>
    </w:tbl>
    <w:p w:rsidR="002D0099" w:rsidRDefault="002D0099" w:rsidP="0051140E">
      <w:pPr>
        <w:pStyle w:val="texto"/>
        <w:tabs>
          <w:tab w:val="clear" w:pos="2835"/>
          <w:tab w:val="clear" w:pos="3969"/>
          <w:tab w:val="clear" w:pos="5103"/>
          <w:tab w:val="clear" w:pos="6237"/>
          <w:tab w:val="clear" w:pos="7371"/>
          <w:tab w:val="left" w:pos="480"/>
          <w:tab w:val="num" w:pos="928"/>
          <w:tab w:val="num" w:pos="6597"/>
        </w:tabs>
        <w:spacing w:after="0"/>
        <w:ind w:firstLine="0"/>
        <w:rPr>
          <w:szCs w:val="26"/>
        </w:rPr>
      </w:pPr>
    </w:p>
    <w:p w:rsidR="0026400E" w:rsidRDefault="0026400E"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En bienes corrientes y servicios, la Universidad ha gast</w:t>
      </w:r>
      <w:r w:rsidR="00400F2E">
        <w:rPr>
          <w:szCs w:val="26"/>
        </w:rPr>
        <w:t>ado</w:t>
      </w:r>
      <w:r>
        <w:rPr>
          <w:szCs w:val="26"/>
        </w:rPr>
        <w:t xml:space="preserve"> un total de 13,36 millones, es decir, el 19 por ciento del gasto total.</w:t>
      </w:r>
      <w:r w:rsidR="00400F2E">
        <w:rPr>
          <w:szCs w:val="26"/>
        </w:rPr>
        <w:t xml:space="preserve"> De este importe </w:t>
      </w:r>
      <w:r w:rsidR="00F25739">
        <w:rPr>
          <w:szCs w:val="26"/>
        </w:rPr>
        <w:t>dest</w:t>
      </w:r>
      <w:r w:rsidR="00F25739">
        <w:rPr>
          <w:szCs w:val="26"/>
        </w:rPr>
        <w:t>a</w:t>
      </w:r>
      <w:r w:rsidR="00F25739">
        <w:rPr>
          <w:szCs w:val="26"/>
        </w:rPr>
        <w:t>can</w:t>
      </w:r>
      <w:r w:rsidR="00400F2E">
        <w:rPr>
          <w:szCs w:val="26"/>
        </w:rPr>
        <w:t xml:space="preserve"> los gastos derivados de trabajos realizados por otras empresas (contratos de limpieza, seguridad…) por 4,13 millones, suministros con 2,40 millones y los gastos asociados a proyecto</w:t>
      </w:r>
      <w:r w:rsidR="002338F8">
        <w:rPr>
          <w:szCs w:val="26"/>
        </w:rPr>
        <w:t>s</w:t>
      </w:r>
      <w:r w:rsidR="00400F2E">
        <w:rPr>
          <w:szCs w:val="26"/>
        </w:rPr>
        <w:t xml:space="preserve"> y contratos de investigación con 1,57 millones.</w:t>
      </w:r>
    </w:p>
    <w:p w:rsidR="00B60ECE" w:rsidRDefault="00B60ECE"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Los gastos por inversiones han ascendido a 3,8 millones</w:t>
      </w:r>
      <w:r w:rsidR="00331017">
        <w:rPr>
          <w:szCs w:val="26"/>
        </w:rPr>
        <w:t>, es decir, el cinco por ciento sobre el gasto total</w:t>
      </w:r>
      <w:r>
        <w:rPr>
          <w:szCs w:val="26"/>
        </w:rPr>
        <w:t>. De este importe, el 43 por ciento corresponde a fondos bibliográficos, el 15 por ciento a actuaciones en edificios y el ocho por ciento a inversiones</w:t>
      </w:r>
      <w:r w:rsidR="00BB79EE">
        <w:rPr>
          <w:szCs w:val="26"/>
        </w:rPr>
        <w:t xml:space="preserve"> de</w:t>
      </w:r>
      <w:r>
        <w:rPr>
          <w:szCs w:val="26"/>
        </w:rPr>
        <w:t xml:space="preserve"> proyectos y contratos de investigación.</w:t>
      </w:r>
    </w:p>
    <w:p w:rsidR="00982BD1" w:rsidRDefault="002C7BC0" w:rsidP="002C7BC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C7BC0">
        <w:rPr>
          <w:szCs w:val="26"/>
        </w:rPr>
        <w:t>Los derechos reconocidos suponen un total de 71,74 millones, con un gr</w:t>
      </w:r>
      <w:r w:rsidRPr="002C7BC0">
        <w:rPr>
          <w:szCs w:val="26"/>
        </w:rPr>
        <w:t>a</w:t>
      </w:r>
      <w:r w:rsidRPr="002C7BC0">
        <w:rPr>
          <w:szCs w:val="26"/>
        </w:rPr>
        <w:t>do de cumplimiento del 90 por ciento. Los capítulos que presentan un mayor porcentaje son tasas y precios públicos con un 103 por ciento y transferencias corrientes con el 99 por ciento.</w:t>
      </w:r>
      <w:r w:rsidR="00982BD1">
        <w:rPr>
          <w:szCs w:val="26"/>
        </w:rPr>
        <w:t xml:space="preserve"> </w:t>
      </w:r>
    </w:p>
    <w:p w:rsidR="00087E89" w:rsidRDefault="00087E89" w:rsidP="00087E89">
      <w:pPr>
        <w:pStyle w:val="texto"/>
        <w:tabs>
          <w:tab w:val="clear" w:pos="2835"/>
          <w:tab w:val="clear" w:pos="3969"/>
          <w:tab w:val="clear" w:pos="5103"/>
          <w:tab w:val="clear" w:pos="6237"/>
          <w:tab w:val="clear" w:pos="7371"/>
          <w:tab w:val="num" w:pos="300"/>
          <w:tab w:val="num" w:pos="720"/>
        </w:tabs>
        <w:rPr>
          <w:szCs w:val="26"/>
        </w:rPr>
      </w:pPr>
      <w:r>
        <w:rPr>
          <w:szCs w:val="26"/>
        </w:rPr>
        <w:t>El nueve por ciento de los derechos reconocidos en 2014 corresponde a i</w:t>
      </w:r>
      <w:r>
        <w:rPr>
          <w:szCs w:val="26"/>
        </w:rPr>
        <w:t>n</w:t>
      </w:r>
      <w:r>
        <w:rPr>
          <w:szCs w:val="26"/>
        </w:rPr>
        <w:t>gresos finalistas, es decir, 6,63 millones.</w:t>
      </w:r>
    </w:p>
    <w:p w:rsidR="002A76F7" w:rsidRDefault="000D0F6C" w:rsidP="00E130C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Los precios públicos en 2014 han ascendido a 12,14 millones y presentan el siguiente detalle en miles de euros:</w:t>
      </w:r>
    </w:p>
    <w:tbl>
      <w:tblPr>
        <w:tblW w:w="8828" w:type="dxa"/>
        <w:jc w:val="center"/>
        <w:tblLayout w:type="fixed"/>
        <w:tblLook w:val="01E0" w:firstRow="1" w:lastRow="1" w:firstColumn="1" w:lastColumn="1" w:noHBand="0" w:noVBand="0"/>
      </w:tblPr>
      <w:tblGrid>
        <w:gridCol w:w="6462"/>
        <w:gridCol w:w="2366"/>
      </w:tblGrid>
      <w:tr w:rsidR="000D0F6C" w:rsidRPr="00E65196" w:rsidTr="000A4C01">
        <w:trPr>
          <w:trHeight w:val="284"/>
          <w:jc w:val="center"/>
        </w:trPr>
        <w:tc>
          <w:tcPr>
            <w:tcW w:w="6462" w:type="dxa"/>
            <w:tcBorders>
              <w:top w:val="single" w:sz="4" w:space="0" w:color="auto"/>
              <w:bottom w:val="single" w:sz="4" w:space="0" w:color="auto"/>
            </w:tcBorders>
            <w:shd w:val="clear" w:color="auto" w:fill="A8CBEE" w:themeFill="accent2" w:themeFillTint="66"/>
            <w:vAlign w:val="center"/>
          </w:tcPr>
          <w:p w:rsidR="000D0F6C" w:rsidRPr="00E65196" w:rsidRDefault="000D0F6C" w:rsidP="00144DF9">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Precios públicos-2014</w:t>
            </w:r>
          </w:p>
        </w:tc>
        <w:tc>
          <w:tcPr>
            <w:tcW w:w="2366" w:type="dxa"/>
            <w:tcBorders>
              <w:top w:val="single" w:sz="4" w:space="0" w:color="auto"/>
              <w:bottom w:val="single" w:sz="4" w:space="0" w:color="auto"/>
            </w:tcBorders>
            <w:shd w:val="clear" w:color="auto" w:fill="A8CBEE" w:themeFill="accent2" w:themeFillTint="66"/>
            <w:vAlign w:val="center"/>
          </w:tcPr>
          <w:p w:rsidR="000D0F6C" w:rsidRPr="00E65196" w:rsidRDefault="000D0F6C" w:rsidP="008C27C2">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r>
      <w:tr w:rsidR="000D0F6C" w:rsidRPr="00E65196" w:rsidTr="00E130CE">
        <w:trPr>
          <w:trHeight w:val="284"/>
          <w:jc w:val="center"/>
        </w:trPr>
        <w:tc>
          <w:tcPr>
            <w:tcW w:w="6462" w:type="dxa"/>
            <w:tcBorders>
              <w:top w:val="single" w:sz="4" w:space="0" w:color="auto"/>
              <w:bottom w:val="single" w:sz="2" w:space="0" w:color="auto"/>
            </w:tcBorders>
            <w:vAlign w:val="center"/>
          </w:tcPr>
          <w:p w:rsidR="000D0F6C" w:rsidRPr="000D0F6C" w:rsidRDefault="000D0F6C" w:rsidP="000D0F6C">
            <w:pPr>
              <w:spacing w:after="0"/>
              <w:ind w:firstLine="0"/>
              <w:jc w:val="left"/>
              <w:rPr>
                <w:rFonts w:ascii="Arial Narrow" w:hAnsi="Arial Narrow"/>
                <w:sz w:val="18"/>
                <w:szCs w:val="18"/>
                <w:lang w:val="es-ES" w:eastAsia="es-ES"/>
              </w:rPr>
            </w:pPr>
            <w:r w:rsidRPr="000D0F6C">
              <w:rPr>
                <w:rFonts w:ascii="Arial Narrow" w:hAnsi="Arial Narrow"/>
                <w:sz w:val="18"/>
                <w:szCs w:val="18"/>
                <w:lang w:val="es-ES" w:eastAsia="es-ES"/>
              </w:rPr>
              <w:t>Derechos de matrícula. Titulaciones Oficiales</w:t>
            </w:r>
          </w:p>
        </w:tc>
        <w:tc>
          <w:tcPr>
            <w:tcW w:w="2366" w:type="dxa"/>
            <w:tcBorders>
              <w:top w:val="single" w:sz="4" w:space="0" w:color="auto"/>
              <w:bottom w:val="single" w:sz="2" w:space="0" w:color="auto"/>
            </w:tcBorders>
            <w:vAlign w:val="center"/>
          </w:tcPr>
          <w:p w:rsidR="000D0F6C" w:rsidRPr="000D0F6C" w:rsidRDefault="000D0F6C" w:rsidP="008C27C2">
            <w:pPr>
              <w:spacing w:after="0"/>
              <w:ind w:firstLine="0"/>
              <w:jc w:val="right"/>
              <w:rPr>
                <w:rFonts w:ascii="Arial Narrow" w:hAnsi="Arial Narrow"/>
                <w:sz w:val="18"/>
                <w:szCs w:val="18"/>
                <w:lang w:val="es-ES" w:eastAsia="es-ES"/>
              </w:rPr>
            </w:pPr>
            <w:r w:rsidRPr="000D0F6C">
              <w:rPr>
                <w:rFonts w:ascii="Arial Narrow" w:hAnsi="Arial Narrow"/>
                <w:sz w:val="18"/>
                <w:szCs w:val="18"/>
                <w:lang w:val="es-ES" w:eastAsia="es-ES"/>
              </w:rPr>
              <w:t>10.482</w:t>
            </w:r>
          </w:p>
        </w:tc>
      </w:tr>
      <w:tr w:rsidR="000D0F6C" w:rsidRPr="00E65196" w:rsidTr="00E130CE">
        <w:trPr>
          <w:trHeight w:val="284"/>
          <w:jc w:val="center"/>
        </w:trPr>
        <w:tc>
          <w:tcPr>
            <w:tcW w:w="6462" w:type="dxa"/>
            <w:tcBorders>
              <w:top w:val="single" w:sz="4" w:space="0" w:color="auto"/>
              <w:bottom w:val="single" w:sz="2" w:space="0" w:color="auto"/>
            </w:tcBorders>
            <w:vAlign w:val="center"/>
          </w:tcPr>
          <w:p w:rsidR="000D0F6C" w:rsidRPr="000D0F6C" w:rsidRDefault="000D0F6C" w:rsidP="00144DF9">
            <w:pPr>
              <w:spacing w:after="0"/>
              <w:ind w:firstLine="0"/>
              <w:jc w:val="left"/>
              <w:rPr>
                <w:rFonts w:ascii="Arial Narrow" w:hAnsi="Arial Narrow"/>
                <w:sz w:val="18"/>
                <w:szCs w:val="18"/>
                <w:lang w:val="es-ES" w:eastAsia="es-ES"/>
              </w:rPr>
            </w:pPr>
            <w:r w:rsidRPr="000D0F6C">
              <w:rPr>
                <w:rFonts w:ascii="Arial Narrow" w:hAnsi="Arial Narrow"/>
                <w:sz w:val="18"/>
                <w:szCs w:val="18"/>
                <w:lang w:val="es-ES" w:eastAsia="es-ES"/>
              </w:rPr>
              <w:t>Derechos de matrícula. Enseñanzas no regladas</w:t>
            </w:r>
          </w:p>
        </w:tc>
        <w:tc>
          <w:tcPr>
            <w:tcW w:w="2366" w:type="dxa"/>
            <w:tcBorders>
              <w:top w:val="single" w:sz="4" w:space="0" w:color="auto"/>
              <w:bottom w:val="single" w:sz="2" w:space="0" w:color="auto"/>
            </w:tcBorders>
            <w:vAlign w:val="center"/>
          </w:tcPr>
          <w:p w:rsidR="000D0F6C" w:rsidRPr="000D0F6C" w:rsidRDefault="000D0F6C" w:rsidP="008C27C2">
            <w:pPr>
              <w:spacing w:after="0"/>
              <w:ind w:firstLine="0"/>
              <w:jc w:val="right"/>
              <w:rPr>
                <w:rFonts w:ascii="Arial Narrow" w:hAnsi="Arial Narrow"/>
                <w:sz w:val="18"/>
                <w:szCs w:val="18"/>
                <w:lang w:val="es-ES" w:eastAsia="es-ES"/>
              </w:rPr>
            </w:pPr>
            <w:r w:rsidRPr="000D0F6C">
              <w:rPr>
                <w:rFonts w:ascii="Arial Narrow" w:hAnsi="Arial Narrow"/>
                <w:sz w:val="18"/>
                <w:szCs w:val="18"/>
                <w:lang w:val="es-ES" w:eastAsia="es-ES"/>
              </w:rPr>
              <w:t>1.272</w:t>
            </w:r>
          </w:p>
        </w:tc>
      </w:tr>
      <w:tr w:rsidR="000D0F6C" w:rsidRPr="00E65196" w:rsidTr="00E130CE">
        <w:trPr>
          <w:trHeight w:val="284"/>
          <w:jc w:val="center"/>
        </w:trPr>
        <w:tc>
          <w:tcPr>
            <w:tcW w:w="6462" w:type="dxa"/>
            <w:tcBorders>
              <w:top w:val="single" w:sz="4" w:space="0" w:color="auto"/>
              <w:bottom w:val="single" w:sz="2" w:space="0" w:color="auto"/>
            </w:tcBorders>
            <w:vAlign w:val="center"/>
          </w:tcPr>
          <w:p w:rsidR="000D0F6C" w:rsidRPr="000D0F6C" w:rsidRDefault="000D0F6C" w:rsidP="00144DF9">
            <w:pPr>
              <w:spacing w:after="0"/>
              <w:ind w:firstLine="0"/>
              <w:jc w:val="left"/>
              <w:rPr>
                <w:rFonts w:ascii="Arial Narrow" w:hAnsi="Arial Narrow"/>
                <w:sz w:val="18"/>
                <w:szCs w:val="18"/>
                <w:lang w:val="es-ES" w:eastAsia="es-ES"/>
              </w:rPr>
            </w:pPr>
            <w:r w:rsidRPr="000D0F6C">
              <w:rPr>
                <w:rFonts w:ascii="Arial Narrow" w:hAnsi="Arial Narrow"/>
                <w:sz w:val="18"/>
                <w:szCs w:val="18"/>
                <w:lang w:val="es-ES" w:eastAsia="es-ES"/>
              </w:rPr>
              <w:t>Por actividades deportivas</w:t>
            </w:r>
          </w:p>
        </w:tc>
        <w:tc>
          <w:tcPr>
            <w:tcW w:w="2366" w:type="dxa"/>
            <w:tcBorders>
              <w:top w:val="single" w:sz="4" w:space="0" w:color="auto"/>
              <w:bottom w:val="single" w:sz="2" w:space="0" w:color="auto"/>
            </w:tcBorders>
            <w:vAlign w:val="center"/>
          </w:tcPr>
          <w:p w:rsidR="000D0F6C" w:rsidRPr="000D0F6C" w:rsidRDefault="000D0F6C" w:rsidP="008C27C2">
            <w:pPr>
              <w:spacing w:after="0"/>
              <w:ind w:firstLine="0"/>
              <w:jc w:val="right"/>
              <w:rPr>
                <w:rFonts w:ascii="Arial Narrow" w:hAnsi="Arial Narrow"/>
                <w:sz w:val="18"/>
                <w:szCs w:val="18"/>
                <w:lang w:val="es-ES" w:eastAsia="es-ES"/>
              </w:rPr>
            </w:pPr>
            <w:r w:rsidRPr="000D0F6C">
              <w:rPr>
                <w:rFonts w:ascii="Arial Narrow" w:hAnsi="Arial Narrow"/>
                <w:sz w:val="18"/>
                <w:szCs w:val="18"/>
                <w:lang w:val="es-ES" w:eastAsia="es-ES"/>
              </w:rPr>
              <w:t>189</w:t>
            </w:r>
          </w:p>
        </w:tc>
      </w:tr>
      <w:tr w:rsidR="000D0F6C" w:rsidRPr="00E65196" w:rsidTr="00E130CE">
        <w:trPr>
          <w:trHeight w:val="284"/>
          <w:jc w:val="center"/>
        </w:trPr>
        <w:tc>
          <w:tcPr>
            <w:tcW w:w="6462" w:type="dxa"/>
            <w:tcBorders>
              <w:top w:val="single" w:sz="4" w:space="0" w:color="auto"/>
              <w:bottom w:val="single" w:sz="4" w:space="0" w:color="auto"/>
            </w:tcBorders>
            <w:vAlign w:val="center"/>
          </w:tcPr>
          <w:p w:rsidR="000D0F6C" w:rsidRPr="000D0F6C" w:rsidRDefault="000D0F6C" w:rsidP="00144DF9">
            <w:pPr>
              <w:spacing w:after="0"/>
              <w:ind w:firstLine="0"/>
              <w:jc w:val="left"/>
              <w:rPr>
                <w:rFonts w:ascii="Arial Narrow" w:hAnsi="Arial Narrow"/>
                <w:sz w:val="18"/>
                <w:szCs w:val="18"/>
                <w:lang w:val="es-ES" w:eastAsia="es-ES"/>
              </w:rPr>
            </w:pPr>
            <w:r w:rsidRPr="000D0F6C">
              <w:rPr>
                <w:rFonts w:ascii="Arial Narrow" w:hAnsi="Arial Narrow"/>
                <w:sz w:val="18"/>
                <w:szCs w:val="18"/>
                <w:lang w:val="es-ES" w:eastAsia="es-ES"/>
              </w:rPr>
              <w:t>Por utilización de locales e instalaciones</w:t>
            </w:r>
          </w:p>
        </w:tc>
        <w:tc>
          <w:tcPr>
            <w:tcW w:w="2366" w:type="dxa"/>
            <w:tcBorders>
              <w:top w:val="single" w:sz="4" w:space="0" w:color="auto"/>
              <w:bottom w:val="single" w:sz="4" w:space="0" w:color="auto"/>
            </w:tcBorders>
            <w:vAlign w:val="center"/>
          </w:tcPr>
          <w:p w:rsidR="000D0F6C" w:rsidRPr="000D0F6C" w:rsidRDefault="000D0F6C" w:rsidP="008C27C2">
            <w:pPr>
              <w:spacing w:after="0"/>
              <w:ind w:firstLine="0"/>
              <w:jc w:val="right"/>
              <w:rPr>
                <w:rFonts w:ascii="Arial Narrow" w:hAnsi="Arial Narrow"/>
                <w:sz w:val="18"/>
                <w:szCs w:val="18"/>
                <w:lang w:val="es-ES" w:eastAsia="es-ES"/>
              </w:rPr>
            </w:pPr>
            <w:r w:rsidRPr="000D0F6C">
              <w:rPr>
                <w:rFonts w:ascii="Arial Narrow" w:hAnsi="Arial Narrow"/>
                <w:sz w:val="18"/>
                <w:szCs w:val="18"/>
                <w:lang w:val="es-ES" w:eastAsia="es-ES"/>
              </w:rPr>
              <w:t>129</w:t>
            </w:r>
          </w:p>
        </w:tc>
      </w:tr>
      <w:tr w:rsidR="000D0F6C" w:rsidRPr="00E65196" w:rsidTr="00E130CE">
        <w:trPr>
          <w:trHeight w:val="284"/>
          <w:jc w:val="center"/>
        </w:trPr>
        <w:tc>
          <w:tcPr>
            <w:tcW w:w="6462" w:type="dxa"/>
            <w:tcBorders>
              <w:top w:val="single" w:sz="4" w:space="0" w:color="auto"/>
              <w:bottom w:val="single" w:sz="4" w:space="0" w:color="auto"/>
            </w:tcBorders>
            <w:vAlign w:val="center"/>
          </w:tcPr>
          <w:p w:rsidR="000D0F6C" w:rsidRPr="000D0F6C" w:rsidRDefault="000D0F6C" w:rsidP="00144DF9">
            <w:pPr>
              <w:spacing w:after="0"/>
              <w:ind w:firstLine="0"/>
              <w:jc w:val="left"/>
              <w:rPr>
                <w:rFonts w:ascii="Arial Narrow" w:hAnsi="Arial Narrow"/>
                <w:sz w:val="18"/>
                <w:szCs w:val="18"/>
                <w:lang w:val="es-ES" w:eastAsia="es-ES"/>
              </w:rPr>
            </w:pPr>
            <w:r w:rsidRPr="000D0F6C">
              <w:rPr>
                <w:rFonts w:ascii="Arial Narrow" w:hAnsi="Arial Narrow"/>
                <w:sz w:val="18"/>
                <w:szCs w:val="18"/>
                <w:lang w:val="es-ES" w:eastAsia="es-ES"/>
              </w:rPr>
              <w:t>Otros precios públicos</w:t>
            </w:r>
          </w:p>
        </w:tc>
        <w:tc>
          <w:tcPr>
            <w:tcW w:w="2366" w:type="dxa"/>
            <w:tcBorders>
              <w:top w:val="single" w:sz="4" w:space="0" w:color="auto"/>
              <w:bottom w:val="single" w:sz="4" w:space="0" w:color="auto"/>
            </w:tcBorders>
            <w:vAlign w:val="center"/>
          </w:tcPr>
          <w:p w:rsidR="000D0F6C" w:rsidRPr="000D0F6C" w:rsidRDefault="000D0F6C" w:rsidP="008C27C2">
            <w:pPr>
              <w:spacing w:after="0"/>
              <w:ind w:firstLine="0"/>
              <w:jc w:val="right"/>
              <w:rPr>
                <w:rFonts w:ascii="Arial Narrow" w:hAnsi="Arial Narrow"/>
                <w:sz w:val="18"/>
                <w:szCs w:val="18"/>
                <w:lang w:val="es-ES" w:eastAsia="es-ES"/>
              </w:rPr>
            </w:pPr>
            <w:r w:rsidRPr="000D0F6C">
              <w:rPr>
                <w:rFonts w:ascii="Arial Narrow" w:hAnsi="Arial Narrow"/>
                <w:sz w:val="18"/>
                <w:szCs w:val="18"/>
                <w:lang w:val="es-ES" w:eastAsia="es-ES"/>
              </w:rPr>
              <w:t>67</w:t>
            </w:r>
          </w:p>
        </w:tc>
      </w:tr>
      <w:tr w:rsidR="000D0F6C" w:rsidRPr="0051140E" w:rsidTr="000A4C01">
        <w:trPr>
          <w:trHeight w:val="284"/>
          <w:jc w:val="center"/>
        </w:trPr>
        <w:tc>
          <w:tcPr>
            <w:tcW w:w="6462" w:type="dxa"/>
            <w:tcBorders>
              <w:top w:val="single" w:sz="4" w:space="0" w:color="auto"/>
              <w:bottom w:val="single" w:sz="2" w:space="0" w:color="auto"/>
            </w:tcBorders>
            <w:shd w:val="clear" w:color="auto" w:fill="A8CBEE" w:themeFill="accent2" w:themeFillTint="66"/>
            <w:vAlign w:val="center"/>
          </w:tcPr>
          <w:p w:rsidR="000D0F6C" w:rsidRPr="0051140E" w:rsidRDefault="000D0F6C" w:rsidP="00144DF9">
            <w:pPr>
              <w:spacing w:after="0"/>
              <w:ind w:firstLine="0"/>
              <w:jc w:val="left"/>
              <w:rPr>
                <w:rFonts w:ascii="Arial" w:hAnsi="Arial" w:cs="Arial"/>
                <w:sz w:val="18"/>
                <w:szCs w:val="18"/>
                <w:lang w:val="es-ES" w:eastAsia="es-ES"/>
              </w:rPr>
            </w:pPr>
            <w:r w:rsidRPr="0051140E">
              <w:rPr>
                <w:rFonts w:ascii="Arial" w:hAnsi="Arial" w:cs="Arial"/>
                <w:sz w:val="18"/>
                <w:szCs w:val="18"/>
                <w:lang w:val="es-ES" w:eastAsia="es-ES"/>
              </w:rPr>
              <w:t>Total precios públicos</w:t>
            </w:r>
          </w:p>
        </w:tc>
        <w:tc>
          <w:tcPr>
            <w:tcW w:w="2366" w:type="dxa"/>
            <w:tcBorders>
              <w:top w:val="single" w:sz="4" w:space="0" w:color="auto"/>
              <w:bottom w:val="single" w:sz="2" w:space="0" w:color="auto"/>
            </w:tcBorders>
            <w:shd w:val="clear" w:color="auto" w:fill="A8CBEE" w:themeFill="accent2" w:themeFillTint="66"/>
            <w:vAlign w:val="center"/>
          </w:tcPr>
          <w:p w:rsidR="000D0F6C" w:rsidRPr="0051140E" w:rsidRDefault="000D0F6C" w:rsidP="008C27C2">
            <w:pPr>
              <w:spacing w:after="0"/>
              <w:ind w:firstLine="0"/>
              <w:jc w:val="right"/>
              <w:rPr>
                <w:rFonts w:ascii="Arial" w:hAnsi="Arial" w:cs="Arial"/>
                <w:sz w:val="18"/>
                <w:szCs w:val="18"/>
                <w:lang w:val="es-ES" w:eastAsia="es-ES"/>
              </w:rPr>
            </w:pPr>
            <w:r w:rsidRPr="0051140E">
              <w:rPr>
                <w:rFonts w:ascii="Arial" w:hAnsi="Arial" w:cs="Arial"/>
                <w:sz w:val="18"/>
                <w:szCs w:val="18"/>
                <w:lang w:val="es-ES" w:eastAsia="es-ES"/>
              </w:rPr>
              <w:t>12.138</w:t>
            </w:r>
          </w:p>
        </w:tc>
      </w:tr>
    </w:tbl>
    <w:p w:rsidR="00E5521A" w:rsidRDefault="00E5521A" w:rsidP="00E130CE">
      <w:pPr>
        <w:pStyle w:val="texto"/>
        <w:tabs>
          <w:tab w:val="clear" w:pos="2835"/>
          <w:tab w:val="clear" w:pos="3969"/>
          <w:tab w:val="clear" w:pos="5103"/>
          <w:tab w:val="clear" w:pos="6237"/>
          <w:tab w:val="clear" w:pos="7371"/>
          <w:tab w:val="num" w:pos="300"/>
          <w:tab w:val="num" w:pos="720"/>
        </w:tabs>
        <w:spacing w:after="0"/>
        <w:rPr>
          <w:szCs w:val="26"/>
        </w:rPr>
      </w:pPr>
    </w:p>
    <w:p w:rsidR="000D0F6C" w:rsidRDefault="000D0F6C" w:rsidP="000D0F6C">
      <w:pPr>
        <w:pStyle w:val="texto"/>
        <w:tabs>
          <w:tab w:val="clear" w:pos="2835"/>
          <w:tab w:val="clear" w:pos="3969"/>
          <w:tab w:val="clear" w:pos="5103"/>
          <w:tab w:val="clear" w:pos="6237"/>
          <w:tab w:val="clear" w:pos="7371"/>
          <w:tab w:val="num" w:pos="300"/>
          <w:tab w:val="num" w:pos="720"/>
        </w:tabs>
        <w:rPr>
          <w:szCs w:val="26"/>
        </w:rPr>
      </w:pPr>
      <w:r>
        <w:rPr>
          <w:szCs w:val="26"/>
        </w:rPr>
        <w:t>Dentro de titulaciones oficiales se contemplan las matrículas de ciclos, gr</w:t>
      </w:r>
      <w:r>
        <w:rPr>
          <w:szCs w:val="26"/>
        </w:rPr>
        <w:t>a</w:t>
      </w:r>
      <w:r>
        <w:rPr>
          <w:szCs w:val="26"/>
        </w:rPr>
        <w:t>dos, doctorados y m</w:t>
      </w:r>
      <w:r w:rsidR="00667BDF">
        <w:rPr>
          <w:szCs w:val="26"/>
        </w:rPr>
        <w:t>á</w:t>
      </w:r>
      <w:r>
        <w:rPr>
          <w:szCs w:val="26"/>
        </w:rPr>
        <w:t>ster; en enseñanzas no regladas, se reflejan básicamente los derechos de los títulos propios y del centro superior de idiomas.</w:t>
      </w:r>
    </w:p>
    <w:p w:rsidR="00E130CE" w:rsidRDefault="00E130CE" w:rsidP="000D0F6C">
      <w:pPr>
        <w:pStyle w:val="texto"/>
        <w:tabs>
          <w:tab w:val="clear" w:pos="2835"/>
          <w:tab w:val="clear" w:pos="3969"/>
          <w:tab w:val="clear" w:pos="5103"/>
          <w:tab w:val="clear" w:pos="6237"/>
          <w:tab w:val="clear" w:pos="7371"/>
          <w:tab w:val="num" w:pos="300"/>
          <w:tab w:val="num" w:pos="720"/>
        </w:tabs>
        <w:rPr>
          <w:szCs w:val="26"/>
        </w:rPr>
      </w:pPr>
    </w:p>
    <w:p w:rsidR="00E130CE" w:rsidRDefault="00E130CE" w:rsidP="000D0F6C">
      <w:pPr>
        <w:pStyle w:val="texto"/>
        <w:tabs>
          <w:tab w:val="clear" w:pos="2835"/>
          <w:tab w:val="clear" w:pos="3969"/>
          <w:tab w:val="clear" w:pos="5103"/>
          <w:tab w:val="clear" w:pos="6237"/>
          <w:tab w:val="clear" w:pos="7371"/>
          <w:tab w:val="num" w:pos="300"/>
          <w:tab w:val="num" w:pos="720"/>
        </w:tabs>
        <w:rPr>
          <w:szCs w:val="26"/>
        </w:rPr>
      </w:pPr>
    </w:p>
    <w:p w:rsidR="00F25739" w:rsidRDefault="00F25739">
      <w:pPr>
        <w:spacing w:after="0"/>
        <w:ind w:firstLine="0"/>
        <w:jc w:val="left"/>
        <w:rPr>
          <w:spacing w:val="6"/>
          <w:sz w:val="26"/>
          <w:szCs w:val="26"/>
        </w:rPr>
      </w:pPr>
      <w:r>
        <w:rPr>
          <w:szCs w:val="26"/>
        </w:rPr>
        <w:br w:type="page"/>
      </w:r>
    </w:p>
    <w:p w:rsidR="00716C1F" w:rsidRDefault="002A76F7" w:rsidP="004C674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lastRenderedPageBreak/>
        <w:t>En 2014, l</w:t>
      </w:r>
      <w:r w:rsidR="002D0099">
        <w:rPr>
          <w:szCs w:val="26"/>
        </w:rPr>
        <w:t>os</w:t>
      </w:r>
      <w:r>
        <w:rPr>
          <w:szCs w:val="26"/>
        </w:rPr>
        <w:t xml:space="preserve"> ingresos</w:t>
      </w:r>
      <w:r w:rsidR="00CA3746">
        <w:rPr>
          <w:szCs w:val="26"/>
        </w:rPr>
        <w:t xml:space="preserve"> </w:t>
      </w:r>
      <w:r w:rsidR="00716C1F">
        <w:rPr>
          <w:szCs w:val="26"/>
        </w:rPr>
        <w:t>procedentes del convenio de financiación con el G</w:t>
      </w:r>
      <w:r w:rsidR="00716C1F">
        <w:rPr>
          <w:szCs w:val="26"/>
        </w:rPr>
        <w:t>o</w:t>
      </w:r>
      <w:r w:rsidR="00716C1F">
        <w:rPr>
          <w:szCs w:val="26"/>
        </w:rPr>
        <w:t>bierno de Navarra</w:t>
      </w:r>
      <w:r w:rsidR="00CA3746">
        <w:rPr>
          <w:szCs w:val="26"/>
        </w:rPr>
        <w:t xml:space="preserve"> </w:t>
      </w:r>
      <w:r w:rsidR="00716C1F" w:rsidRPr="001C4B7F">
        <w:rPr>
          <w:szCs w:val="26"/>
        </w:rPr>
        <w:t>presenta</w:t>
      </w:r>
      <w:r w:rsidR="00CA3746">
        <w:rPr>
          <w:szCs w:val="26"/>
        </w:rPr>
        <w:t>n</w:t>
      </w:r>
      <w:r w:rsidR="00716C1F" w:rsidRPr="001C4B7F">
        <w:rPr>
          <w:szCs w:val="26"/>
        </w:rPr>
        <w:t xml:space="preserve"> los siguientes movimientos</w:t>
      </w:r>
      <w:r w:rsidR="004C6745">
        <w:rPr>
          <w:szCs w:val="26"/>
        </w:rPr>
        <w:t xml:space="preserve">, en </w:t>
      </w:r>
      <w:r w:rsidR="00716C1F" w:rsidRPr="001C4B7F">
        <w:rPr>
          <w:szCs w:val="26"/>
        </w:rPr>
        <w:t>miles de euros</w:t>
      </w:r>
      <w:r w:rsidR="004C6745">
        <w:rPr>
          <w:szCs w:val="26"/>
        </w:rPr>
        <w:t>.</w:t>
      </w:r>
    </w:p>
    <w:tbl>
      <w:tblPr>
        <w:tblW w:w="8791" w:type="dxa"/>
        <w:jc w:val="center"/>
        <w:tblInd w:w="2" w:type="dxa"/>
        <w:tblLayout w:type="fixed"/>
        <w:tblLook w:val="01E0" w:firstRow="1" w:lastRow="1" w:firstColumn="1" w:lastColumn="1" w:noHBand="0" w:noVBand="0"/>
      </w:tblPr>
      <w:tblGrid>
        <w:gridCol w:w="1903"/>
        <w:gridCol w:w="1276"/>
        <w:gridCol w:w="1271"/>
        <w:gridCol w:w="1218"/>
        <w:gridCol w:w="1090"/>
        <w:gridCol w:w="1041"/>
        <w:gridCol w:w="992"/>
      </w:tblGrid>
      <w:tr w:rsidR="00716C1F" w:rsidRPr="004C6745" w:rsidTr="000A4C01">
        <w:trPr>
          <w:trHeight w:val="255"/>
          <w:jc w:val="center"/>
        </w:trPr>
        <w:tc>
          <w:tcPr>
            <w:tcW w:w="1903" w:type="dxa"/>
            <w:tcBorders>
              <w:top w:val="single" w:sz="4" w:space="0" w:color="auto"/>
              <w:bottom w:val="single" w:sz="4" w:space="0" w:color="auto"/>
            </w:tcBorders>
            <w:shd w:val="clear" w:color="auto" w:fill="A8CBEE" w:themeFill="accent2" w:themeFillTint="66"/>
            <w:vAlign w:val="center"/>
          </w:tcPr>
          <w:p w:rsidR="00716C1F" w:rsidRPr="004C6745" w:rsidRDefault="00716C1F" w:rsidP="00842F6C">
            <w:pPr>
              <w:spacing w:after="0"/>
              <w:ind w:firstLine="0"/>
              <w:jc w:val="left"/>
              <w:rPr>
                <w:rFonts w:ascii="Arial" w:hAnsi="Arial" w:cs="Arial"/>
                <w:color w:val="000000"/>
                <w:sz w:val="17"/>
                <w:szCs w:val="17"/>
                <w:lang w:val="es-ES" w:eastAsia="es-ES"/>
              </w:rPr>
            </w:pPr>
            <w:r w:rsidRPr="004C6745">
              <w:rPr>
                <w:rFonts w:ascii="Arial" w:hAnsi="Arial" w:cs="Arial"/>
                <w:color w:val="000000"/>
                <w:sz w:val="17"/>
                <w:szCs w:val="17"/>
                <w:lang w:val="es-ES" w:eastAsia="es-ES"/>
              </w:rPr>
              <w:t>Convenio 2014</w:t>
            </w:r>
          </w:p>
        </w:tc>
        <w:tc>
          <w:tcPr>
            <w:tcW w:w="1276"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lang w:val="es-ES" w:eastAsia="es-ES"/>
              </w:rPr>
            </w:pPr>
            <w:r w:rsidRPr="004C6745">
              <w:rPr>
                <w:rFonts w:ascii="Arial" w:hAnsi="Arial" w:cs="Arial"/>
                <w:color w:val="000000"/>
                <w:sz w:val="17"/>
                <w:szCs w:val="17"/>
                <w:lang w:val="es-ES" w:eastAsia="es-ES"/>
              </w:rPr>
              <w:t>Previsiones iniciales</w:t>
            </w:r>
          </w:p>
        </w:tc>
        <w:tc>
          <w:tcPr>
            <w:tcW w:w="1271"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lang w:val="es-ES" w:eastAsia="es-ES"/>
              </w:rPr>
            </w:pPr>
            <w:r w:rsidRPr="004C6745">
              <w:rPr>
                <w:rFonts w:ascii="Arial" w:hAnsi="Arial" w:cs="Arial"/>
                <w:color w:val="000000"/>
                <w:sz w:val="17"/>
                <w:szCs w:val="17"/>
                <w:lang w:val="es-ES" w:eastAsia="es-ES"/>
              </w:rPr>
              <w:t>Reducciones</w:t>
            </w:r>
          </w:p>
        </w:tc>
        <w:tc>
          <w:tcPr>
            <w:tcW w:w="1218"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lang w:val="es-ES" w:eastAsia="es-ES"/>
              </w:rPr>
            </w:pPr>
            <w:r w:rsidRPr="004C6745">
              <w:rPr>
                <w:rFonts w:ascii="Arial" w:hAnsi="Arial" w:cs="Arial"/>
                <w:color w:val="000000"/>
                <w:sz w:val="17"/>
                <w:szCs w:val="17"/>
                <w:lang w:val="es-ES" w:eastAsia="es-ES"/>
              </w:rPr>
              <w:t>Importe final</w:t>
            </w:r>
          </w:p>
        </w:tc>
        <w:tc>
          <w:tcPr>
            <w:tcW w:w="1090"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lang w:val="es-ES" w:eastAsia="es-ES"/>
              </w:rPr>
            </w:pPr>
            <w:r w:rsidRPr="004C6745">
              <w:rPr>
                <w:rFonts w:ascii="Arial" w:hAnsi="Arial" w:cs="Arial"/>
                <w:color w:val="000000"/>
                <w:sz w:val="17"/>
                <w:szCs w:val="17"/>
                <w:lang w:val="es-ES" w:eastAsia="es-ES"/>
              </w:rPr>
              <w:t>Justificado y aceptado</w:t>
            </w:r>
          </w:p>
        </w:tc>
        <w:tc>
          <w:tcPr>
            <w:tcW w:w="1041" w:type="dxa"/>
            <w:tcBorders>
              <w:top w:val="single" w:sz="4" w:space="0" w:color="auto"/>
              <w:bottom w:val="single" w:sz="4"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color w:val="000000"/>
                <w:sz w:val="17"/>
                <w:szCs w:val="17"/>
                <w:lang w:val="es-ES" w:eastAsia="es-ES"/>
              </w:rPr>
            </w:pPr>
            <w:r w:rsidRPr="004C6745">
              <w:rPr>
                <w:rFonts w:ascii="Arial" w:hAnsi="Arial" w:cs="Arial"/>
                <w:color w:val="000000"/>
                <w:sz w:val="17"/>
                <w:szCs w:val="17"/>
                <w:lang w:val="es-ES" w:eastAsia="es-ES"/>
              </w:rPr>
              <w:t>Cobros</w:t>
            </w:r>
          </w:p>
        </w:tc>
        <w:tc>
          <w:tcPr>
            <w:tcW w:w="992" w:type="dxa"/>
            <w:tcBorders>
              <w:top w:val="single" w:sz="4" w:space="0" w:color="auto"/>
              <w:bottom w:val="single" w:sz="4" w:space="0" w:color="auto"/>
            </w:tcBorders>
            <w:shd w:val="clear" w:color="auto" w:fill="A8CBEE" w:themeFill="accent2" w:themeFillTint="66"/>
            <w:vAlign w:val="center"/>
          </w:tcPr>
          <w:p w:rsidR="00716C1F" w:rsidRPr="004C6745" w:rsidRDefault="004C6745" w:rsidP="004C6745">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Pend</w:t>
            </w:r>
            <w:r w:rsidR="00716C1F" w:rsidRPr="004C6745">
              <w:rPr>
                <w:rFonts w:ascii="Arial" w:hAnsi="Arial" w:cs="Arial"/>
                <w:color w:val="000000"/>
                <w:sz w:val="17"/>
                <w:szCs w:val="17"/>
                <w:lang w:val="es-ES" w:eastAsia="es-ES"/>
              </w:rPr>
              <w:t>te</w:t>
            </w:r>
            <w:r>
              <w:rPr>
                <w:rFonts w:ascii="Arial" w:hAnsi="Arial" w:cs="Arial"/>
                <w:color w:val="000000"/>
                <w:sz w:val="17"/>
                <w:szCs w:val="17"/>
                <w:lang w:val="es-ES" w:eastAsia="es-ES"/>
              </w:rPr>
              <w:t>.</w:t>
            </w:r>
            <w:r w:rsidR="00716C1F" w:rsidRPr="004C6745">
              <w:rPr>
                <w:rFonts w:ascii="Arial" w:hAnsi="Arial" w:cs="Arial"/>
                <w:color w:val="000000"/>
                <w:sz w:val="17"/>
                <w:szCs w:val="17"/>
                <w:lang w:val="es-ES" w:eastAsia="es-ES"/>
              </w:rPr>
              <w:t xml:space="preserve"> justificar</w:t>
            </w:r>
          </w:p>
        </w:tc>
      </w:tr>
      <w:tr w:rsidR="00716C1F" w:rsidRPr="004C6745" w:rsidTr="004C6745">
        <w:trPr>
          <w:trHeight w:val="255"/>
          <w:jc w:val="center"/>
        </w:trPr>
        <w:tc>
          <w:tcPr>
            <w:tcW w:w="1903" w:type="dxa"/>
            <w:tcBorders>
              <w:top w:val="single" w:sz="4" w:space="0" w:color="auto"/>
              <w:bottom w:val="single" w:sz="2" w:space="0" w:color="auto"/>
            </w:tcBorders>
            <w:vAlign w:val="center"/>
          </w:tcPr>
          <w:p w:rsidR="00716C1F" w:rsidRPr="004C6745" w:rsidRDefault="00716C1F" w:rsidP="00842F6C">
            <w:pPr>
              <w:spacing w:after="0"/>
              <w:ind w:firstLine="0"/>
              <w:jc w:val="left"/>
              <w:rPr>
                <w:rFonts w:ascii="Arial Narrow" w:hAnsi="Arial Narrow"/>
                <w:sz w:val="18"/>
                <w:szCs w:val="18"/>
                <w:lang w:val="es-ES" w:eastAsia="es-ES"/>
              </w:rPr>
            </w:pPr>
            <w:r w:rsidRPr="004C6745">
              <w:rPr>
                <w:rFonts w:ascii="Arial Narrow" w:hAnsi="Arial Narrow"/>
                <w:sz w:val="18"/>
                <w:szCs w:val="18"/>
                <w:lang w:val="es-ES" w:eastAsia="es-ES"/>
              </w:rPr>
              <w:t>Financiación Docente e Investigadora</w:t>
            </w:r>
          </w:p>
        </w:tc>
        <w:tc>
          <w:tcPr>
            <w:tcW w:w="1276"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49.464</w:t>
            </w:r>
          </w:p>
        </w:tc>
        <w:tc>
          <w:tcPr>
            <w:tcW w:w="127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636</w:t>
            </w:r>
          </w:p>
        </w:tc>
        <w:tc>
          <w:tcPr>
            <w:tcW w:w="1218"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48.828</w:t>
            </w:r>
          </w:p>
        </w:tc>
        <w:tc>
          <w:tcPr>
            <w:tcW w:w="1090"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p>
        </w:tc>
        <w:tc>
          <w:tcPr>
            <w:tcW w:w="104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48.828</w:t>
            </w:r>
          </w:p>
        </w:tc>
        <w:tc>
          <w:tcPr>
            <w:tcW w:w="992"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p>
        </w:tc>
      </w:tr>
      <w:tr w:rsidR="00716C1F" w:rsidRPr="004C6745" w:rsidTr="004C6745">
        <w:trPr>
          <w:trHeight w:val="255"/>
          <w:jc w:val="center"/>
        </w:trPr>
        <w:tc>
          <w:tcPr>
            <w:tcW w:w="1903" w:type="dxa"/>
            <w:tcBorders>
              <w:top w:val="single" w:sz="4" w:space="0" w:color="auto"/>
              <w:bottom w:val="single" w:sz="2" w:space="0" w:color="auto"/>
            </w:tcBorders>
            <w:vAlign w:val="center"/>
          </w:tcPr>
          <w:p w:rsidR="00716C1F" w:rsidRPr="004C6745" w:rsidRDefault="00716C1F" w:rsidP="00963DD2">
            <w:pPr>
              <w:spacing w:after="0"/>
              <w:ind w:firstLine="0"/>
              <w:jc w:val="left"/>
              <w:rPr>
                <w:rFonts w:ascii="Arial Narrow" w:hAnsi="Arial Narrow"/>
                <w:i/>
                <w:sz w:val="18"/>
                <w:szCs w:val="18"/>
                <w:lang w:val="es-ES" w:eastAsia="es-ES"/>
              </w:rPr>
            </w:pPr>
            <w:r w:rsidRPr="004C6745">
              <w:rPr>
                <w:rFonts w:ascii="Arial Narrow" w:hAnsi="Arial Narrow"/>
                <w:i/>
                <w:sz w:val="18"/>
                <w:szCs w:val="18"/>
                <w:lang w:val="es-ES" w:eastAsia="es-ES"/>
              </w:rPr>
              <w:t>Subtotal Financiación básica</w:t>
            </w:r>
            <w:r w:rsidR="008441A7" w:rsidRPr="004C6745">
              <w:rPr>
                <w:rFonts w:ascii="Arial Narrow" w:hAnsi="Arial Narrow"/>
                <w:i/>
                <w:sz w:val="18"/>
                <w:szCs w:val="18"/>
                <w:lang w:val="es-ES" w:eastAsia="es-ES"/>
              </w:rPr>
              <w:t xml:space="preserve"> o </w:t>
            </w:r>
            <w:r w:rsidR="00963DD2" w:rsidRPr="004C6745">
              <w:rPr>
                <w:rFonts w:ascii="Arial Narrow" w:hAnsi="Arial Narrow"/>
                <w:i/>
                <w:sz w:val="18"/>
                <w:szCs w:val="18"/>
                <w:lang w:val="es-ES" w:eastAsia="es-ES"/>
              </w:rPr>
              <w:t xml:space="preserve">no </w:t>
            </w:r>
            <w:r w:rsidR="008441A7" w:rsidRPr="004C6745">
              <w:rPr>
                <w:rFonts w:ascii="Arial Narrow" w:hAnsi="Arial Narrow"/>
                <w:i/>
                <w:sz w:val="18"/>
                <w:szCs w:val="18"/>
                <w:lang w:val="es-ES" w:eastAsia="es-ES"/>
              </w:rPr>
              <w:t>condicionada</w:t>
            </w:r>
          </w:p>
        </w:tc>
        <w:tc>
          <w:tcPr>
            <w:tcW w:w="1276"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49.464</w:t>
            </w:r>
          </w:p>
        </w:tc>
        <w:tc>
          <w:tcPr>
            <w:tcW w:w="127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636</w:t>
            </w:r>
          </w:p>
        </w:tc>
        <w:tc>
          <w:tcPr>
            <w:tcW w:w="1218"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48.828</w:t>
            </w:r>
          </w:p>
        </w:tc>
        <w:tc>
          <w:tcPr>
            <w:tcW w:w="1090"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p>
        </w:tc>
        <w:tc>
          <w:tcPr>
            <w:tcW w:w="104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48.828</w:t>
            </w:r>
          </w:p>
        </w:tc>
        <w:tc>
          <w:tcPr>
            <w:tcW w:w="992"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p>
        </w:tc>
      </w:tr>
      <w:tr w:rsidR="00716C1F" w:rsidRPr="004C6745" w:rsidTr="004C6745">
        <w:trPr>
          <w:trHeight w:val="255"/>
          <w:jc w:val="center"/>
        </w:trPr>
        <w:tc>
          <w:tcPr>
            <w:tcW w:w="1903" w:type="dxa"/>
            <w:tcBorders>
              <w:top w:val="single" w:sz="4" w:space="0" w:color="auto"/>
              <w:bottom w:val="single" w:sz="2" w:space="0" w:color="auto"/>
            </w:tcBorders>
            <w:vAlign w:val="center"/>
          </w:tcPr>
          <w:p w:rsidR="00716C1F" w:rsidRPr="004C6745" w:rsidRDefault="00716C1F" w:rsidP="00842F6C">
            <w:pPr>
              <w:spacing w:after="0"/>
              <w:ind w:firstLine="0"/>
              <w:jc w:val="left"/>
              <w:rPr>
                <w:rFonts w:ascii="Arial Narrow" w:hAnsi="Arial Narrow"/>
                <w:sz w:val="18"/>
                <w:szCs w:val="18"/>
                <w:lang w:val="es-ES" w:eastAsia="es-ES"/>
              </w:rPr>
            </w:pPr>
            <w:r w:rsidRPr="004C6745">
              <w:rPr>
                <w:rFonts w:ascii="Arial Narrow" w:hAnsi="Arial Narrow"/>
                <w:sz w:val="18"/>
                <w:szCs w:val="18"/>
                <w:lang w:val="es-ES" w:eastAsia="es-ES"/>
              </w:rPr>
              <w:t>Retribuciones compl</w:t>
            </w:r>
            <w:r w:rsidRPr="004C6745">
              <w:rPr>
                <w:rFonts w:ascii="Arial Narrow" w:hAnsi="Arial Narrow"/>
                <w:sz w:val="18"/>
                <w:szCs w:val="18"/>
                <w:lang w:val="es-ES" w:eastAsia="es-ES"/>
              </w:rPr>
              <w:t>e</w:t>
            </w:r>
            <w:r w:rsidRPr="004C6745">
              <w:rPr>
                <w:rFonts w:ascii="Arial Narrow" w:hAnsi="Arial Narrow"/>
                <w:sz w:val="18"/>
                <w:szCs w:val="18"/>
                <w:lang w:val="es-ES" w:eastAsia="es-ES"/>
              </w:rPr>
              <w:t>mentarias profesorado</w:t>
            </w:r>
          </w:p>
        </w:tc>
        <w:tc>
          <w:tcPr>
            <w:tcW w:w="1276"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2.966</w:t>
            </w:r>
          </w:p>
        </w:tc>
        <w:tc>
          <w:tcPr>
            <w:tcW w:w="127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p>
        </w:tc>
        <w:tc>
          <w:tcPr>
            <w:tcW w:w="1218"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2.966</w:t>
            </w:r>
          </w:p>
        </w:tc>
        <w:tc>
          <w:tcPr>
            <w:tcW w:w="1090"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2.933</w:t>
            </w:r>
          </w:p>
        </w:tc>
        <w:tc>
          <w:tcPr>
            <w:tcW w:w="1041"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2.933</w:t>
            </w:r>
          </w:p>
        </w:tc>
        <w:tc>
          <w:tcPr>
            <w:tcW w:w="992" w:type="dxa"/>
            <w:tcBorders>
              <w:top w:val="single" w:sz="4" w:space="0" w:color="auto"/>
              <w:bottom w:val="single" w:sz="2" w:space="0" w:color="auto"/>
            </w:tcBorders>
            <w:vAlign w:val="center"/>
          </w:tcPr>
          <w:p w:rsidR="00716C1F" w:rsidRPr="004C6745" w:rsidRDefault="00716C1F" w:rsidP="004C6745">
            <w:pPr>
              <w:spacing w:after="0"/>
              <w:ind w:firstLine="0"/>
              <w:jc w:val="right"/>
              <w:rPr>
                <w:rFonts w:ascii="Arial Narrow" w:hAnsi="Arial Narrow"/>
                <w:sz w:val="18"/>
                <w:szCs w:val="18"/>
                <w:lang w:val="es-ES" w:eastAsia="es-ES"/>
              </w:rPr>
            </w:pPr>
            <w:r w:rsidRPr="004C6745">
              <w:rPr>
                <w:rFonts w:ascii="Arial Narrow" w:hAnsi="Arial Narrow"/>
                <w:sz w:val="18"/>
                <w:szCs w:val="18"/>
                <w:lang w:val="es-ES" w:eastAsia="es-ES"/>
              </w:rPr>
              <w:t>34</w:t>
            </w:r>
          </w:p>
        </w:tc>
      </w:tr>
      <w:tr w:rsidR="00716C1F" w:rsidRPr="004C6745" w:rsidTr="004C6745">
        <w:trPr>
          <w:trHeight w:val="255"/>
          <w:jc w:val="center"/>
        </w:trPr>
        <w:tc>
          <w:tcPr>
            <w:tcW w:w="1903" w:type="dxa"/>
            <w:tcBorders>
              <w:top w:val="single" w:sz="4" w:space="0" w:color="auto"/>
              <w:bottom w:val="single" w:sz="4" w:space="0" w:color="auto"/>
            </w:tcBorders>
            <w:vAlign w:val="center"/>
          </w:tcPr>
          <w:p w:rsidR="00716C1F" w:rsidRPr="004C6745" w:rsidRDefault="00716C1F" w:rsidP="00842F6C">
            <w:pPr>
              <w:spacing w:after="0"/>
              <w:ind w:firstLine="0"/>
              <w:jc w:val="left"/>
              <w:rPr>
                <w:rFonts w:ascii="Arial Narrow" w:hAnsi="Arial Narrow"/>
                <w:i/>
                <w:sz w:val="18"/>
                <w:szCs w:val="18"/>
                <w:lang w:val="es-ES" w:eastAsia="es-ES"/>
              </w:rPr>
            </w:pPr>
            <w:r w:rsidRPr="004C6745">
              <w:rPr>
                <w:rFonts w:ascii="Arial Narrow" w:hAnsi="Arial Narrow"/>
                <w:i/>
                <w:sz w:val="18"/>
                <w:szCs w:val="18"/>
                <w:lang w:val="es-ES" w:eastAsia="es-ES"/>
              </w:rPr>
              <w:t>Subtotal Financiación condicionada</w:t>
            </w:r>
          </w:p>
        </w:tc>
        <w:tc>
          <w:tcPr>
            <w:tcW w:w="1276"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2.966</w:t>
            </w:r>
          </w:p>
        </w:tc>
        <w:tc>
          <w:tcPr>
            <w:tcW w:w="1271"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p>
        </w:tc>
        <w:tc>
          <w:tcPr>
            <w:tcW w:w="1218"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2.966</w:t>
            </w:r>
          </w:p>
        </w:tc>
        <w:tc>
          <w:tcPr>
            <w:tcW w:w="1090"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2.933</w:t>
            </w:r>
          </w:p>
        </w:tc>
        <w:tc>
          <w:tcPr>
            <w:tcW w:w="1041"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2.933</w:t>
            </w:r>
          </w:p>
        </w:tc>
        <w:tc>
          <w:tcPr>
            <w:tcW w:w="992" w:type="dxa"/>
            <w:tcBorders>
              <w:top w:val="single" w:sz="4" w:space="0" w:color="auto"/>
              <w:bottom w:val="single" w:sz="4" w:space="0" w:color="auto"/>
            </w:tcBorders>
            <w:vAlign w:val="center"/>
          </w:tcPr>
          <w:p w:rsidR="00716C1F" w:rsidRPr="004C6745" w:rsidRDefault="00716C1F" w:rsidP="004C6745">
            <w:pPr>
              <w:spacing w:after="0"/>
              <w:ind w:firstLine="0"/>
              <w:jc w:val="right"/>
              <w:rPr>
                <w:rFonts w:ascii="Arial Narrow" w:hAnsi="Arial Narrow"/>
                <w:i/>
                <w:sz w:val="18"/>
                <w:szCs w:val="18"/>
                <w:lang w:val="es-ES" w:eastAsia="es-ES"/>
              </w:rPr>
            </w:pPr>
            <w:r w:rsidRPr="004C6745">
              <w:rPr>
                <w:rFonts w:ascii="Arial Narrow" w:hAnsi="Arial Narrow"/>
                <w:i/>
                <w:sz w:val="18"/>
                <w:szCs w:val="18"/>
                <w:lang w:val="es-ES" w:eastAsia="es-ES"/>
              </w:rPr>
              <w:t>34</w:t>
            </w:r>
          </w:p>
        </w:tc>
      </w:tr>
      <w:tr w:rsidR="00716C1F" w:rsidRPr="004C6745" w:rsidTr="000A4C01">
        <w:trPr>
          <w:trHeight w:val="255"/>
          <w:jc w:val="center"/>
        </w:trPr>
        <w:tc>
          <w:tcPr>
            <w:tcW w:w="1903" w:type="dxa"/>
            <w:tcBorders>
              <w:top w:val="single" w:sz="4" w:space="0" w:color="auto"/>
              <w:bottom w:val="single" w:sz="2" w:space="0" w:color="auto"/>
            </w:tcBorders>
            <w:shd w:val="clear" w:color="auto" w:fill="A8CBEE" w:themeFill="accent2" w:themeFillTint="66"/>
            <w:vAlign w:val="center"/>
          </w:tcPr>
          <w:p w:rsidR="00716C1F" w:rsidRPr="004C6745" w:rsidRDefault="00716C1F" w:rsidP="00842F6C">
            <w:pPr>
              <w:spacing w:after="0"/>
              <w:ind w:firstLine="0"/>
              <w:jc w:val="left"/>
              <w:rPr>
                <w:rFonts w:ascii="Arial" w:hAnsi="Arial" w:cs="Arial"/>
                <w:sz w:val="18"/>
                <w:szCs w:val="18"/>
                <w:lang w:val="es-ES" w:eastAsia="es-ES"/>
              </w:rPr>
            </w:pPr>
            <w:r w:rsidRPr="004C6745">
              <w:rPr>
                <w:rFonts w:ascii="Arial" w:hAnsi="Arial" w:cs="Arial"/>
                <w:sz w:val="18"/>
                <w:szCs w:val="18"/>
                <w:lang w:val="es-ES" w:eastAsia="es-ES"/>
              </w:rPr>
              <w:t>Total Convenio</w:t>
            </w:r>
          </w:p>
        </w:tc>
        <w:tc>
          <w:tcPr>
            <w:tcW w:w="1276"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52.430</w:t>
            </w:r>
          </w:p>
        </w:tc>
        <w:tc>
          <w:tcPr>
            <w:tcW w:w="1271"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636</w:t>
            </w:r>
          </w:p>
        </w:tc>
        <w:tc>
          <w:tcPr>
            <w:tcW w:w="1218"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51.794</w:t>
            </w:r>
          </w:p>
        </w:tc>
        <w:tc>
          <w:tcPr>
            <w:tcW w:w="1090"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2.932</w:t>
            </w:r>
          </w:p>
        </w:tc>
        <w:tc>
          <w:tcPr>
            <w:tcW w:w="1041"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51.761</w:t>
            </w:r>
          </w:p>
        </w:tc>
        <w:tc>
          <w:tcPr>
            <w:tcW w:w="992" w:type="dxa"/>
            <w:tcBorders>
              <w:top w:val="single" w:sz="4" w:space="0" w:color="auto"/>
              <w:bottom w:val="single" w:sz="2" w:space="0" w:color="auto"/>
            </w:tcBorders>
            <w:shd w:val="clear" w:color="auto" w:fill="A8CBEE" w:themeFill="accent2" w:themeFillTint="66"/>
            <w:vAlign w:val="center"/>
          </w:tcPr>
          <w:p w:rsidR="00716C1F" w:rsidRPr="004C6745" w:rsidRDefault="00716C1F"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34</w:t>
            </w:r>
          </w:p>
        </w:tc>
      </w:tr>
    </w:tbl>
    <w:p w:rsidR="007935D9" w:rsidRDefault="007935D9" w:rsidP="00E5521A">
      <w:pPr>
        <w:pStyle w:val="texto"/>
        <w:tabs>
          <w:tab w:val="clear" w:pos="2835"/>
          <w:tab w:val="clear" w:pos="3969"/>
          <w:tab w:val="clear" w:pos="5103"/>
          <w:tab w:val="clear" w:pos="6237"/>
          <w:tab w:val="clear" w:pos="7371"/>
          <w:tab w:val="num" w:pos="300"/>
          <w:tab w:val="num" w:pos="720"/>
        </w:tabs>
        <w:spacing w:after="0"/>
        <w:rPr>
          <w:szCs w:val="26"/>
        </w:rPr>
      </w:pPr>
    </w:p>
    <w:p w:rsidR="00716C1F" w:rsidRDefault="00716C1F" w:rsidP="00E5521A">
      <w:pPr>
        <w:pStyle w:val="texto"/>
        <w:tabs>
          <w:tab w:val="clear" w:pos="2835"/>
          <w:tab w:val="clear" w:pos="3969"/>
          <w:tab w:val="clear" w:pos="5103"/>
          <w:tab w:val="clear" w:pos="6237"/>
          <w:tab w:val="clear" w:pos="7371"/>
          <w:tab w:val="num" w:pos="300"/>
          <w:tab w:val="num" w:pos="720"/>
        </w:tabs>
        <w:spacing w:after="0"/>
        <w:rPr>
          <w:szCs w:val="26"/>
        </w:rPr>
      </w:pPr>
      <w:r>
        <w:rPr>
          <w:szCs w:val="26"/>
        </w:rPr>
        <w:t>Los derechos reconocidos netos por el convenio ascienden</w:t>
      </w:r>
      <w:r w:rsidR="00CA3746">
        <w:rPr>
          <w:szCs w:val="26"/>
        </w:rPr>
        <w:t>, en 2014,</w:t>
      </w:r>
      <w:r>
        <w:rPr>
          <w:szCs w:val="26"/>
        </w:rPr>
        <w:t xml:space="preserve"> a 51,75 millones, al no justificarse 33.656 euros de retribuciones complementarias del profesorado y haberse producido la devolución de 10.087 euros por un menor gasto del capítulo 1 personal de 2013.</w:t>
      </w:r>
    </w:p>
    <w:p w:rsidR="00133BB9" w:rsidRDefault="006C3795" w:rsidP="008441A7">
      <w:pPr>
        <w:pStyle w:val="texto"/>
        <w:tabs>
          <w:tab w:val="clear" w:pos="2835"/>
          <w:tab w:val="clear" w:pos="3969"/>
          <w:tab w:val="clear" w:pos="5103"/>
          <w:tab w:val="clear" w:pos="6237"/>
          <w:tab w:val="clear" w:pos="7371"/>
          <w:tab w:val="num" w:pos="300"/>
          <w:tab w:val="num" w:pos="720"/>
        </w:tabs>
        <w:rPr>
          <w:szCs w:val="26"/>
        </w:rPr>
      </w:pPr>
      <w:r>
        <w:rPr>
          <w:szCs w:val="26"/>
        </w:rPr>
        <w:t xml:space="preserve">Las retribuciones complementarias han sido percibidas por un total de 348 profesores. </w:t>
      </w:r>
      <w:r w:rsidR="00133BB9">
        <w:rPr>
          <w:szCs w:val="26"/>
        </w:rPr>
        <w:t>El importe pendiente de justificar hace referencia a que, por ci</w:t>
      </w:r>
      <w:r w:rsidR="00133BB9">
        <w:rPr>
          <w:szCs w:val="26"/>
        </w:rPr>
        <w:t>r</w:t>
      </w:r>
      <w:r w:rsidR="00133BB9">
        <w:rPr>
          <w:szCs w:val="26"/>
        </w:rPr>
        <w:t>cunstancias personal</w:t>
      </w:r>
      <w:r w:rsidR="008441A7">
        <w:rPr>
          <w:szCs w:val="26"/>
        </w:rPr>
        <w:t>es de determinados profesores (bajas, licencias, excede</w:t>
      </w:r>
      <w:r w:rsidR="008441A7">
        <w:rPr>
          <w:szCs w:val="26"/>
        </w:rPr>
        <w:t>n</w:t>
      </w:r>
      <w:r w:rsidR="008441A7">
        <w:rPr>
          <w:szCs w:val="26"/>
        </w:rPr>
        <w:t>cias…)</w:t>
      </w:r>
      <w:r w:rsidR="0047774A">
        <w:rPr>
          <w:szCs w:val="26"/>
        </w:rPr>
        <w:t>,</w:t>
      </w:r>
      <w:r w:rsidR="00133BB9">
        <w:rPr>
          <w:szCs w:val="26"/>
        </w:rPr>
        <w:t xml:space="preserve"> las retr</w:t>
      </w:r>
      <w:r w:rsidR="008441A7">
        <w:rPr>
          <w:szCs w:val="26"/>
        </w:rPr>
        <w:t>i</w:t>
      </w:r>
      <w:r w:rsidR="00133BB9">
        <w:rPr>
          <w:szCs w:val="26"/>
        </w:rPr>
        <w:t>buciones com</w:t>
      </w:r>
      <w:r w:rsidR="008441A7">
        <w:rPr>
          <w:szCs w:val="26"/>
        </w:rPr>
        <w:t>pl</w:t>
      </w:r>
      <w:r w:rsidR="00133BB9">
        <w:rPr>
          <w:szCs w:val="26"/>
        </w:rPr>
        <w:t>ementa</w:t>
      </w:r>
      <w:r w:rsidR="008441A7">
        <w:rPr>
          <w:szCs w:val="26"/>
        </w:rPr>
        <w:t>r</w:t>
      </w:r>
      <w:r w:rsidR="00133BB9">
        <w:rPr>
          <w:szCs w:val="26"/>
        </w:rPr>
        <w:t>ias abonadas</w:t>
      </w:r>
      <w:r w:rsidR="008441A7">
        <w:rPr>
          <w:szCs w:val="26"/>
        </w:rPr>
        <w:t xml:space="preserve"> a los mismos</w:t>
      </w:r>
      <w:r w:rsidR="00133BB9">
        <w:rPr>
          <w:szCs w:val="26"/>
        </w:rPr>
        <w:t xml:space="preserve"> </w:t>
      </w:r>
      <w:r w:rsidR="00963DD2">
        <w:rPr>
          <w:szCs w:val="26"/>
        </w:rPr>
        <w:t>han sido</w:t>
      </w:r>
      <w:r w:rsidR="00133BB9">
        <w:rPr>
          <w:szCs w:val="26"/>
        </w:rPr>
        <w:t xml:space="preserve"> i</w:t>
      </w:r>
      <w:r w:rsidR="00133BB9">
        <w:rPr>
          <w:szCs w:val="26"/>
        </w:rPr>
        <w:t>n</w:t>
      </w:r>
      <w:r w:rsidR="00133BB9">
        <w:rPr>
          <w:szCs w:val="26"/>
        </w:rPr>
        <w:t xml:space="preserve">feriores a las previstas. </w:t>
      </w:r>
    </w:p>
    <w:p w:rsidR="00B60ECE" w:rsidRPr="008441A7" w:rsidRDefault="00B60ECE" w:rsidP="008441A7">
      <w:pPr>
        <w:pStyle w:val="texto"/>
        <w:tabs>
          <w:tab w:val="clear" w:pos="2835"/>
          <w:tab w:val="clear" w:pos="3969"/>
          <w:tab w:val="clear" w:pos="5103"/>
          <w:tab w:val="clear" w:pos="6237"/>
          <w:tab w:val="clear" w:pos="7371"/>
          <w:tab w:val="num" w:pos="300"/>
          <w:tab w:val="num" w:pos="720"/>
        </w:tabs>
        <w:rPr>
          <w:szCs w:val="26"/>
        </w:rPr>
      </w:pPr>
      <w:r>
        <w:rPr>
          <w:szCs w:val="26"/>
        </w:rPr>
        <w:t xml:space="preserve">Dentro </w:t>
      </w:r>
      <w:r w:rsidR="001761C3">
        <w:rPr>
          <w:szCs w:val="26"/>
        </w:rPr>
        <w:t>d</w:t>
      </w:r>
      <w:r>
        <w:rPr>
          <w:szCs w:val="26"/>
        </w:rPr>
        <w:t>el convenio de 2014, no se contempla financiación específica para inversiones.</w:t>
      </w:r>
    </w:p>
    <w:p w:rsidR="006208EB" w:rsidRPr="00FB75AE" w:rsidRDefault="00716C1F" w:rsidP="00FB75AE">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En</w:t>
      </w:r>
      <w:r w:rsidR="00982BD1">
        <w:rPr>
          <w:szCs w:val="26"/>
        </w:rPr>
        <w:t xml:space="preserve"> </w:t>
      </w:r>
      <w:r w:rsidR="002D0099">
        <w:rPr>
          <w:szCs w:val="26"/>
        </w:rPr>
        <w:t>ingresos</w:t>
      </w:r>
      <w:r w:rsidR="00086F19">
        <w:rPr>
          <w:szCs w:val="26"/>
        </w:rPr>
        <w:t xml:space="preserve"> netos</w:t>
      </w:r>
      <w:r w:rsidR="002D0099">
        <w:rPr>
          <w:szCs w:val="26"/>
        </w:rPr>
        <w:t xml:space="preserve"> por </w:t>
      </w:r>
      <w:r w:rsidR="00982BD1">
        <w:rPr>
          <w:szCs w:val="26"/>
        </w:rPr>
        <w:t>pasivos financieros, se reflejan</w:t>
      </w:r>
      <w:r w:rsidR="00100119">
        <w:rPr>
          <w:szCs w:val="26"/>
        </w:rPr>
        <w:t xml:space="preserve"> en 2014</w:t>
      </w:r>
      <w:r w:rsidR="00982BD1">
        <w:rPr>
          <w:szCs w:val="26"/>
        </w:rPr>
        <w:t xml:space="preserve"> tres antic</w:t>
      </w:r>
      <w:r w:rsidR="00982BD1">
        <w:rPr>
          <w:szCs w:val="26"/>
        </w:rPr>
        <w:t>i</w:t>
      </w:r>
      <w:r w:rsidR="00982BD1">
        <w:rPr>
          <w:szCs w:val="26"/>
        </w:rPr>
        <w:t>pos por 38.838 euros para proyectos de investigación. Estos anticipos no gen</w:t>
      </w:r>
      <w:r w:rsidR="00982BD1">
        <w:rPr>
          <w:szCs w:val="26"/>
        </w:rPr>
        <w:t>e</w:t>
      </w:r>
      <w:r w:rsidR="00982BD1">
        <w:rPr>
          <w:szCs w:val="26"/>
        </w:rPr>
        <w:t xml:space="preserve">rarán salida de fondos en el caso de que los proyectos se ejecuten y justifiquen adecuadamente. </w:t>
      </w:r>
    </w:p>
    <w:p w:rsidR="002C7BC0" w:rsidRDefault="002C7BC0" w:rsidP="004C674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2C7BC0">
        <w:rPr>
          <w:szCs w:val="26"/>
        </w:rPr>
        <w:t>En resumen, cada 100 euros gastados por la U</w:t>
      </w:r>
      <w:r w:rsidR="002338F8">
        <w:rPr>
          <w:szCs w:val="26"/>
        </w:rPr>
        <w:t>niversidad</w:t>
      </w:r>
      <w:r w:rsidRPr="002C7BC0">
        <w:rPr>
          <w:szCs w:val="26"/>
        </w:rPr>
        <w:t xml:space="preserve"> en 2014 se han destinado y financiado con:</w:t>
      </w:r>
    </w:p>
    <w:tbl>
      <w:tblPr>
        <w:tblW w:w="8686" w:type="dxa"/>
        <w:jc w:val="center"/>
        <w:tblCellMar>
          <w:left w:w="70" w:type="dxa"/>
          <w:right w:w="70" w:type="dxa"/>
        </w:tblCellMar>
        <w:tblLook w:val="0000" w:firstRow="0" w:lastRow="0" w:firstColumn="0" w:lastColumn="0" w:noHBand="0" w:noVBand="0"/>
      </w:tblPr>
      <w:tblGrid>
        <w:gridCol w:w="3608"/>
        <w:gridCol w:w="913"/>
        <w:gridCol w:w="3165"/>
        <w:gridCol w:w="1000"/>
      </w:tblGrid>
      <w:tr w:rsidR="003C315E" w:rsidTr="000A4C01">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3C315E" w:rsidRPr="003C315E" w:rsidRDefault="003C315E" w:rsidP="003C315E">
            <w:pPr>
              <w:spacing w:after="0"/>
              <w:ind w:left="50" w:firstLine="0"/>
              <w:jc w:val="lef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Naturaleza del Gasto</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3C315E" w:rsidRPr="003C315E" w:rsidRDefault="003C315E" w:rsidP="004C6745">
            <w:pPr>
              <w:spacing w:after="0"/>
              <w:ind w:left="50" w:right="95" w:firstLine="0"/>
              <w:jc w:val="righ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Import</w:t>
            </w:r>
            <w:r>
              <w:rPr>
                <w:rFonts w:ascii="Arial" w:hAnsi="Arial" w:cs="Arial"/>
                <w:bCs/>
                <w:color w:val="000000"/>
                <w:sz w:val="18"/>
                <w:szCs w:val="18"/>
                <w:lang w:val="es-ES" w:eastAsia="es-ES"/>
              </w:rPr>
              <w:t>e</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3C315E" w:rsidRPr="003C315E" w:rsidRDefault="003C315E" w:rsidP="004C6745">
            <w:pPr>
              <w:spacing w:after="0"/>
              <w:ind w:left="164" w:firstLine="0"/>
              <w:jc w:val="lef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Fuente de financiación</w:t>
            </w:r>
          </w:p>
        </w:tc>
        <w:tc>
          <w:tcPr>
            <w:tcW w:w="1000" w:type="dxa"/>
            <w:tcBorders>
              <w:top w:val="single" w:sz="4" w:space="0" w:color="auto"/>
              <w:bottom w:val="single" w:sz="4" w:space="0" w:color="auto"/>
            </w:tcBorders>
            <w:shd w:val="clear" w:color="auto" w:fill="A8CBEE" w:themeFill="accent2" w:themeFillTint="66"/>
            <w:noWrap/>
            <w:vAlign w:val="center"/>
          </w:tcPr>
          <w:p w:rsidR="003C315E" w:rsidRPr="003C315E" w:rsidRDefault="003C315E" w:rsidP="004C6745">
            <w:pPr>
              <w:spacing w:after="0"/>
              <w:ind w:left="50" w:firstLine="0"/>
              <w:jc w:val="righ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Importe</w:t>
            </w:r>
          </w:p>
        </w:tc>
      </w:tr>
      <w:tr w:rsidR="002C7BC0" w:rsidRPr="004C6745" w:rsidTr="005F6E05">
        <w:trPr>
          <w:trHeight w:val="284"/>
          <w:jc w:val="center"/>
        </w:trPr>
        <w:tc>
          <w:tcPr>
            <w:tcW w:w="3608" w:type="dxa"/>
            <w:tcBorders>
              <w:top w:val="single" w:sz="4" w:space="0" w:color="auto"/>
              <w:bottom w:val="single" w:sz="2" w:space="0" w:color="auto"/>
            </w:tcBorders>
            <w:shd w:val="clear" w:color="auto" w:fill="auto"/>
            <w:noWrap/>
            <w:vAlign w:val="center"/>
          </w:tcPr>
          <w:p w:rsidR="002C7BC0" w:rsidRPr="004C6745" w:rsidRDefault="002C7BC0" w:rsidP="003C315E">
            <w:pPr>
              <w:spacing w:after="0"/>
              <w:ind w:firstLine="0"/>
              <w:jc w:val="left"/>
              <w:rPr>
                <w:rFonts w:ascii="Arial Narrow" w:hAnsi="Arial Narrow"/>
                <w:lang w:val="es-ES" w:eastAsia="es-ES"/>
              </w:rPr>
            </w:pPr>
            <w:r w:rsidRPr="004C6745">
              <w:rPr>
                <w:rFonts w:ascii="Arial Narrow" w:hAnsi="Arial Narrow"/>
                <w:lang w:val="es-ES" w:eastAsia="es-ES"/>
              </w:rPr>
              <w:t>Personal</w:t>
            </w:r>
          </w:p>
        </w:tc>
        <w:tc>
          <w:tcPr>
            <w:tcW w:w="913" w:type="dxa"/>
            <w:tcBorders>
              <w:top w:val="single" w:sz="4" w:space="0" w:color="auto"/>
              <w:bottom w:val="single" w:sz="2"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lang w:val="es-ES" w:eastAsia="es-ES"/>
              </w:rPr>
            </w:pPr>
            <w:r w:rsidRPr="004C6745">
              <w:rPr>
                <w:rFonts w:ascii="Arial Narrow" w:hAnsi="Arial Narrow"/>
                <w:lang w:val="es-ES" w:eastAsia="es-ES"/>
              </w:rPr>
              <w:t>73</w:t>
            </w:r>
          </w:p>
        </w:tc>
        <w:tc>
          <w:tcPr>
            <w:tcW w:w="3165" w:type="dxa"/>
            <w:tcBorders>
              <w:top w:val="single" w:sz="4" w:space="0" w:color="auto"/>
              <w:left w:val="single" w:sz="2" w:space="0" w:color="auto"/>
              <w:bottom w:val="single" w:sz="2" w:space="0" w:color="auto"/>
            </w:tcBorders>
            <w:shd w:val="clear" w:color="auto" w:fill="auto"/>
            <w:noWrap/>
            <w:vAlign w:val="center"/>
          </w:tcPr>
          <w:p w:rsidR="002C7BC0" w:rsidRPr="004C6745" w:rsidRDefault="002C7BC0" w:rsidP="004C6745">
            <w:pPr>
              <w:spacing w:after="0"/>
              <w:ind w:left="164" w:firstLine="0"/>
              <w:jc w:val="left"/>
              <w:rPr>
                <w:rFonts w:ascii="Arial Narrow" w:hAnsi="Arial Narrow"/>
                <w:lang w:val="es-ES" w:eastAsia="es-ES"/>
              </w:rPr>
            </w:pPr>
            <w:r w:rsidRPr="004C6745">
              <w:rPr>
                <w:rFonts w:ascii="Arial Narrow" w:hAnsi="Arial Narrow"/>
                <w:lang w:val="es-ES" w:eastAsia="es-ES"/>
              </w:rPr>
              <w:t>Tasas, precios públicos</w:t>
            </w:r>
          </w:p>
        </w:tc>
        <w:tc>
          <w:tcPr>
            <w:tcW w:w="1000" w:type="dxa"/>
            <w:tcBorders>
              <w:top w:val="single" w:sz="4" w:space="0" w:color="auto"/>
              <w:bottom w:val="single" w:sz="2" w:space="0" w:color="auto"/>
            </w:tcBorders>
            <w:shd w:val="clear" w:color="auto" w:fill="auto"/>
            <w:noWrap/>
            <w:vAlign w:val="center"/>
          </w:tcPr>
          <w:p w:rsidR="002C7BC0" w:rsidRPr="004C6745" w:rsidRDefault="002C7BC0" w:rsidP="004C6745">
            <w:pPr>
              <w:spacing w:after="0"/>
              <w:ind w:firstLine="0"/>
              <w:jc w:val="right"/>
              <w:rPr>
                <w:rFonts w:ascii="Arial Narrow" w:hAnsi="Arial Narrow"/>
                <w:lang w:val="es-ES" w:eastAsia="es-ES"/>
              </w:rPr>
            </w:pPr>
            <w:r w:rsidRPr="004C6745">
              <w:rPr>
                <w:rFonts w:ascii="Arial Narrow" w:hAnsi="Arial Narrow"/>
                <w:lang w:val="es-ES" w:eastAsia="es-ES"/>
              </w:rPr>
              <w:t>21</w:t>
            </w:r>
          </w:p>
        </w:tc>
      </w:tr>
      <w:tr w:rsidR="002C7BC0" w:rsidRPr="004C6745" w:rsidTr="005F6E05">
        <w:trPr>
          <w:trHeight w:val="284"/>
          <w:jc w:val="center"/>
        </w:trPr>
        <w:tc>
          <w:tcPr>
            <w:tcW w:w="3608" w:type="dxa"/>
            <w:tcBorders>
              <w:top w:val="single" w:sz="2" w:space="0" w:color="auto"/>
              <w:bottom w:val="single" w:sz="2" w:space="0" w:color="auto"/>
            </w:tcBorders>
            <w:shd w:val="clear" w:color="auto" w:fill="auto"/>
            <w:noWrap/>
            <w:vAlign w:val="center"/>
          </w:tcPr>
          <w:p w:rsidR="002C7BC0" w:rsidRPr="004C6745" w:rsidRDefault="002C7BC0" w:rsidP="003C315E">
            <w:pPr>
              <w:spacing w:after="0"/>
              <w:ind w:firstLine="0"/>
              <w:jc w:val="left"/>
              <w:rPr>
                <w:rFonts w:ascii="Arial Narrow" w:hAnsi="Arial Narrow"/>
                <w:lang w:val="es-ES" w:eastAsia="es-ES"/>
              </w:rPr>
            </w:pPr>
            <w:r w:rsidRPr="004C6745">
              <w:rPr>
                <w:rFonts w:ascii="Arial Narrow" w:hAnsi="Arial Narrow"/>
                <w:lang w:val="es-ES" w:eastAsia="es-ES"/>
              </w:rPr>
              <w:t>Bienes corrientes y servicios</w:t>
            </w:r>
          </w:p>
        </w:tc>
        <w:tc>
          <w:tcPr>
            <w:tcW w:w="913" w:type="dxa"/>
            <w:tcBorders>
              <w:top w:val="single" w:sz="2" w:space="0" w:color="auto"/>
              <w:bottom w:val="single" w:sz="2"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lang w:val="es-ES" w:eastAsia="es-ES"/>
              </w:rPr>
            </w:pPr>
            <w:r w:rsidRPr="004C6745">
              <w:rPr>
                <w:rFonts w:ascii="Arial Narrow" w:hAnsi="Arial Narrow"/>
                <w:lang w:val="es-ES" w:eastAsia="es-ES"/>
              </w:rPr>
              <w:t>19</w:t>
            </w:r>
          </w:p>
        </w:tc>
        <w:tc>
          <w:tcPr>
            <w:tcW w:w="3165" w:type="dxa"/>
            <w:tcBorders>
              <w:top w:val="single" w:sz="2" w:space="0" w:color="auto"/>
              <w:left w:val="single" w:sz="2" w:space="0" w:color="auto"/>
              <w:bottom w:val="single" w:sz="2" w:space="0" w:color="auto"/>
            </w:tcBorders>
            <w:shd w:val="clear" w:color="auto" w:fill="auto"/>
            <w:noWrap/>
            <w:vAlign w:val="center"/>
          </w:tcPr>
          <w:p w:rsidR="002C7BC0" w:rsidRPr="004C6745" w:rsidRDefault="002C7BC0" w:rsidP="004C6745">
            <w:pPr>
              <w:spacing w:after="0"/>
              <w:ind w:left="164" w:firstLine="0"/>
              <w:jc w:val="left"/>
              <w:rPr>
                <w:rFonts w:ascii="Arial Narrow" w:hAnsi="Arial Narrow"/>
                <w:lang w:val="es-ES" w:eastAsia="es-ES"/>
              </w:rPr>
            </w:pPr>
            <w:r w:rsidRPr="004C6745">
              <w:rPr>
                <w:rFonts w:ascii="Arial Narrow" w:hAnsi="Arial Narrow"/>
                <w:lang w:val="es-ES" w:eastAsia="es-ES"/>
              </w:rPr>
              <w:t>Ingresos por transferencias</w:t>
            </w:r>
          </w:p>
        </w:tc>
        <w:tc>
          <w:tcPr>
            <w:tcW w:w="1000" w:type="dxa"/>
            <w:tcBorders>
              <w:top w:val="single" w:sz="2" w:space="0" w:color="auto"/>
              <w:bottom w:val="single" w:sz="2" w:space="0" w:color="auto"/>
            </w:tcBorders>
            <w:shd w:val="clear" w:color="auto" w:fill="auto"/>
            <w:noWrap/>
            <w:vAlign w:val="center"/>
          </w:tcPr>
          <w:p w:rsidR="002C7BC0" w:rsidRPr="004C6745" w:rsidRDefault="002C7BC0" w:rsidP="004C6745">
            <w:pPr>
              <w:spacing w:after="0"/>
              <w:ind w:firstLine="0"/>
              <w:jc w:val="right"/>
              <w:rPr>
                <w:rFonts w:ascii="Arial Narrow" w:hAnsi="Arial Narrow"/>
                <w:lang w:val="es-ES" w:eastAsia="es-ES"/>
              </w:rPr>
            </w:pPr>
            <w:r w:rsidRPr="004C6745">
              <w:rPr>
                <w:rFonts w:ascii="Arial Narrow" w:hAnsi="Arial Narrow"/>
                <w:lang w:val="es-ES" w:eastAsia="es-ES"/>
              </w:rPr>
              <w:t>79</w:t>
            </w:r>
          </w:p>
        </w:tc>
      </w:tr>
      <w:tr w:rsidR="002C7BC0" w:rsidRPr="004C6745" w:rsidTr="005F6E05">
        <w:trPr>
          <w:trHeight w:val="284"/>
          <w:jc w:val="center"/>
        </w:trPr>
        <w:tc>
          <w:tcPr>
            <w:tcW w:w="3608" w:type="dxa"/>
            <w:tcBorders>
              <w:top w:val="single" w:sz="2" w:space="0" w:color="auto"/>
              <w:bottom w:val="single" w:sz="2" w:space="0" w:color="auto"/>
            </w:tcBorders>
            <w:shd w:val="clear" w:color="auto" w:fill="auto"/>
            <w:noWrap/>
            <w:vAlign w:val="center"/>
          </w:tcPr>
          <w:p w:rsidR="002C7BC0" w:rsidRPr="004C6745" w:rsidRDefault="002C7BC0" w:rsidP="003C315E">
            <w:pPr>
              <w:spacing w:after="0"/>
              <w:ind w:firstLine="0"/>
              <w:jc w:val="left"/>
              <w:rPr>
                <w:rFonts w:ascii="Arial Narrow" w:hAnsi="Arial Narrow"/>
                <w:lang w:val="es-ES" w:eastAsia="es-ES"/>
              </w:rPr>
            </w:pPr>
            <w:r w:rsidRPr="004C6745">
              <w:rPr>
                <w:rFonts w:ascii="Arial Narrow" w:hAnsi="Arial Narrow"/>
                <w:lang w:val="es-ES" w:eastAsia="es-ES"/>
              </w:rPr>
              <w:t>Gastos Transferencias</w:t>
            </w:r>
          </w:p>
        </w:tc>
        <w:tc>
          <w:tcPr>
            <w:tcW w:w="913" w:type="dxa"/>
            <w:tcBorders>
              <w:top w:val="single" w:sz="2" w:space="0" w:color="auto"/>
              <w:bottom w:val="single" w:sz="2"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lang w:val="es-ES" w:eastAsia="es-ES"/>
              </w:rPr>
            </w:pPr>
            <w:r w:rsidRPr="004C6745">
              <w:rPr>
                <w:rFonts w:ascii="Arial Narrow" w:hAnsi="Arial Narrow"/>
                <w:lang w:val="es-ES" w:eastAsia="es-ES"/>
              </w:rPr>
              <w:t>2</w:t>
            </w:r>
          </w:p>
        </w:tc>
        <w:tc>
          <w:tcPr>
            <w:tcW w:w="3165" w:type="dxa"/>
            <w:tcBorders>
              <w:top w:val="single" w:sz="2" w:space="0" w:color="auto"/>
              <w:left w:val="single" w:sz="2" w:space="0" w:color="auto"/>
              <w:bottom w:val="single" w:sz="2" w:space="0" w:color="auto"/>
            </w:tcBorders>
            <w:shd w:val="clear" w:color="auto" w:fill="auto"/>
            <w:noWrap/>
            <w:vAlign w:val="center"/>
          </w:tcPr>
          <w:p w:rsidR="002C7BC0" w:rsidRPr="004C6745" w:rsidRDefault="002C7BC0" w:rsidP="004C6745">
            <w:pPr>
              <w:pStyle w:val="texto"/>
              <w:spacing w:after="0"/>
              <w:ind w:left="164" w:firstLine="0"/>
              <w:rPr>
                <w:rFonts w:ascii="GillSans Light" w:hAnsi="GillSans Light" w:cs="Arial"/>
                <w:b/>
                <w:sz w:val="20"/>
                <w:szCs w:val="20"/>
              </w:rPr>
            </w:pPr>
          </w:p>
        </w:tc>
        <w:tc>
          <w:tcPr>
            <w:tcW w:w="1000" w:type="dxa"/>
            <w:tcBorders>
              <w:top w:val="single" w:sz="2" w:space="0" w:color="auto"/>
              <w:bottom w:val="single" w:sz="2" w:space="0" w:color="auto"/>
            </w:tcBorders>
            <w:shd w:val="clear" w:color="auto" w:fill="auto"/>
            <w:noWrap/>
            <w:vAlign w:val="center"/>
          </w:tcPr>
          <w:p w:rsidR="002C7BC0" w:rsidRPr="004C6745" w:rsidRDefault="002C7BC0" w:rsidP="004C6745">
            <w:pPr>
              <w:spacing w:after="0"/>
              <w:ind w:firstLine="0"/>
              <w:jc w:val="right"/>
              <w:rPr>
                <w:rFonts w:ascii="Arial Narrow" w:hAnsi="Arial Narrow"/>
                <w:lang w:val="es-ES" w:eastAsia="es-ES"/>
              </w:rPr>
            </w:pPr>
          </w:p>
        </w:tc>
      </w:tr>
      <w:tr w:rsidR="002C7BC0" w:rsidRPr="004C6745" w:rsidTr="005F6E05">
        <w:trPr>
          <w:trHeight w:val="284"/>
          <w:jc w:val="center"/>
        </w:trPr>
        <w:tc>
          <w:tcPr>
            <w:tcW w:w="3608" w:type="dxa"/>
            <w:tcBorders>
              <w:top w:val="single" w:sz="2" w:space="0" w:color="auto"/>
              <w:bottom w:val="single" w:sz="4" w:space="0" w:color="auto"/>
            </w:tcBorders>
            <w:shd w:val="clear" w:color="auto" w:fill="auto"/>
            <w:noWrap/>
            <w:vAlign w:val="center"/>
          </w:tcPr>
          <w:p w:rsidR="002C7BC0" w:rsidRPr="004C6745" w:rsidRDefault="002C7BC0" w:rsidP="003C315E">
            <w:pPr>
              <w:spacing w:after="0"/>
              <w:ind w:firstLine="0"/>
              <w:jc w:val="left"/>
              <w:rPr>
                <w:rFonts w:ascii="Arial Narrow" w:hAnsi="Arial Narrow"/>
                <w:lang w:val="es-ES" w:eastAsia="es-ES"/>
              </w:rPr>
            </w:pPr>
            <w:r w:rsidRPr="004C6745">
              <w:rPr>
                <w:rFonts w:ascii="Arial Narrow" w:hAnsi="Arial Narrow"/>
                <w:lang w:val="es-ES" w:eastAsia="es-ES"/>
              </w:rPr>
              <w:t>Inversiones reales</w:t>
            </w:r>
          </w:p>
        </w:tc>
        <w:tc>
          <w:tcPr>
            <w:tcW w:w="913" w:type="dxa"/>
            <w:tcBorders>
              <w:top w:val="single" w:sz="2" w:space="0" w:color="auto"/>
              <w:bottom w:val="single" w:sz="4" w:space="0" w:color="auto"/>
              <w:right w:val="single" w:sz="2" w:space="0" w:color="auto"/>
            </w:tcBorders>
            <w:shd w:val="clear" w:color="auto" w:fill="auto"/>
            <w:noWrap/>
            <w:vAlign w:val="center"/>
          </w:tcPr>
          <w:p w:rsidR="002C7BC0" w:rsidRPr="004C6745" w:rsidRDefault="002C7BC0" w:rsidP="004C6745">
            <w:pPr>
              <w:spacing w:after="0"/>
              <w:ind w:right="95" w:firstLine="0"/>
              <w:jc w:val="right"/>
              <w:rPr>
                <w:rFonts w:ascii="Arial Narrow" w:hAnsi="Arial Narrow"/>
                <w:lang w:val="es-ES" w:eastAsia="es-ES"/>
              </w:rPr>
            </w:pPr>
            <w:r w:rsidRPr="004C6745">
              <w:rPr>
                <w:rFonts w:ascii="Arial Narrow" w:hAnsi="Arial Narrow"/>
                <w:lang w:val="es-ES" w:eastAsia="es-ES"/>
              </w:rPr>
              <w:t>6</w:t>
            </w:r>
          </w:p>
        </w:tc>
        <w:tc>
          <w:tcPr>
            <w:tcW w:w="3165" w:type="dxa"/>
            <w:tcBorders>
              <w:top w:val="single" w:sz="2" w:space="0" w:color="auto"/>
              <w:left w:val="single" w:sz="2" w:space="0" w:color="auto"/>
              <w:bottom w:val="single" w:sz="4" w:space="0" w:color="auto"/>
            </w:tcBorders>
            <w:shd w:val="clear" w:color="auto" w:fill="auto"/>
            <w:noWrap/>
            <w:vAlign w:val="center"/>
          </w:tcPr>
          <w:p w:rsidR="002C7BC0" w:rsidRPr="004C6745" w:rsidRDefault="002C7BC0" w:rsidP="004C6745">
            <w:pPr>
              <w:pStyle w:val="texto"/>
              <w:spacing w:after="0"/>
              <w:ind w:left="164" w:firstLine="0"/>
              <w:rPr>
                <w:rFonts w:ascii="GillSans Light" w:hAnsi="GillSans Light" w:cs="Arial"/>
                <w:b/>
                <w:sz w:val="20"/>
                <w:szCs w:val="20"/>
              </w:rPr>
            </w:pPr>
          </w:p>
        </w:tc>
        <w:tc>
          <w:tcPr>
            <w:tcW w:w="1000" w:type="dxa"/>
            <w:tcBorders>
              <w:top w:val="single" w:sz="2" w:space="0" w:color="auto"/>
              <w:bottom w:val="single" w:sz="4" w:space="0" w:color="auto"/>
            </w:tcBorders>
            <w:shd w:val="clear" w:color="auto" w:fill="auto"/>
            <w:noWrap/>
            <w:vAlign w:val="center"/>
          </w:tcPr>
          <w:p w:rsidR="002C7BC0" w:rsidRPr="004C6745" w:rsidRDefault="002C7BC0" w:rsidP="004C6745">
            <w:pPr>
              <w:spacing w:after="0"/>
              <w:ind w:firstLine="0"/>
              <w:jc w:val="right"/>
              <w:rPr>
                <w:rFonts w:ascii="Arial Narrow" w:hAnsi="Arial Narrow"/>
                <w:lang w:val="es-ES" w:eastAsia="es-ES"/>
              </w:rPr>
            </w:pPr>
          </w:p>
        </w:tc>
      </w:tr>
      <w:tr w:rsidR="002C7BC0" w:rsidRPr="004C6745" w:rsidTr="000A4C01">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2C7BC0" w:rsidRPr="004C6745" w:rsidRDefault="002C7BC0" w:rsidP="002C7BC0">
            <w:pPr>
              <w:pStyle w:val="texto"/>
              <w:spacing w:after="0"/>
              <w:ind w:firstLine="0"/>
              <w:rPr>
                <w:rFonts w:ascii="Arial" w:hAnsi="Arial" w:cs="Arial"/>
                <w:b/>
                <w:sz w:val="20"/>
              </w:rPr>
            </w:pPr>
            <w:r w:rsidRPr="004C6745">
              <w:rPr>
                <w:rFonts w:ascii="Arial" w:hAnsi="Arial" w:cs="Arial"/>
                <w:b/>
                <w:sz w:val="20"/>
              </w:rPr>
              <w:t> </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2C7BC0" w:rsidRPr="004C6745" w:rsidRDefault="002C7BC0" w:rsidP="004C6745">
            <w:pPr>
              <w:spacing w:after="0"/>
              <w:ind w:right="95" w:firstLine="0"/>
              <w:jc w:val="right"/>
              <w:rPr>
                <w:rFonts w:ascii="Arial" w:hAnsi="Arial" w:cs="Arial"/>
                <w:sz w:val="18"/>
                <w:szCs w:val="18"/>
                <w:lang w:val="es-ES" w:eastAsia="es-ES"/>
              </w:rPr>
            </w:pPr>
            <w:r w:rsidRPr="004C6745">
              <w:rPr>
                <w:rFonts w:ascii="Arial" w:hAnsi="Arial" w:cs="Arial"/>
                <w:sz w:val="18"/>
                <w:szCs w:val="18"/>
                <w:lang w:val="es-ES" w:eastAsia="es-ES"/>
              </w:rPr>
              <w:t>100</w:t>
            </w:r>
            <w:r w:rsidR="003C315E" w:rsidRPr="004C6745">
              <w:rPr>
                <w:rFonts w:ascii="Arial" w:hAnsi="Arial" w:cs="Arial"/>
                <w:sz w:val="18"/>
                <w:szCs w:val="18"/>
                <w:lang w:val="es-ES" w:eastAsia="es-ES"/>
              </w:rPr>
              <w:t xml:space="preserve"> </w:t>
            </w:r>
            <w:r w:rsidRPr="004C6745">
              <w:rPr>
                <w:rFonts w:ascii="Arial" w:hAnsi="Arial" w:cs="Arial"/>
                <w:sz w:val="18"/>
                <w:szCs w:val="18"/>
                <w:lang w:val="es-ES" w:eastAsia="es-ES"/>
              </w:rPr>
              <w:t>e</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2C7BC0" w:rsidRPr="004C6745" w:rsidRDefault="002C7BC0" w:rsidP="004C6745">
            <w:pPr>
              <w:pStyle w:val="texto"/>
              <w:spacing w:after="0"/>
              <w:ind w:left="164" w:firstLine="0"/>
              <w:rPr>
                <w:rFonts w:ascii="Arial" w:hAnsi="Arial" w:cs="Arial"/>
                <w:b/>
                <w:sz w:val="20"/>
              </w:rPr>
            </w:pPr>
            <w:r w:rsidRPr="004C6745">
              <w:rPr>
                <w:rFonts w:ascii="Arial" w:hAnsi="Arial" w:cs="Arial"/>
                <w:b/>
                <w:sz w:val="20"/>
              </w:rPr>
              <w:t> </w:t>
            </w:r>
          </w:p>
        </w:tc>
        <w:tc>
          <w:tcPr>
            <w:tcW w:w="1000" w:type="dxa"/>
            <w:tcBorders>
              <w:top w:val="single" w:sz="4" w:space="0" w:color="auto"/>
              <w:bottom w:val="single" w:sz="4" w:space="0" w:color="auto"/>
            </w:tcBorders>
            <w:shd w:val="clear" w:color="auto" w:fill="A8CBEE" w:themeFill="accent2" w:themeFillTint="66"/>
            <w:noWrap/>
            <w:vAlign w:val="center"/>
          </w:tcPr>
          <w:p w:rsidR="002C7BC0" w:rsidRPr="004C6745" w:rsidRDefault="002C7BC0" w:rsidP="004C6745">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100</w:t>
            </w:r>
            <w:r w:rsidR="003C315E" w:rsidRPr="004C6745">
              <w:rPr>
                <w:rFonts w:ascii="Arial" w:hAnsi="Arial" w:cs="Arial"/>
                <w:sz w:val="18"/>
                <w:szCs w:val="18"/>
                <w:lang w:val="es-ES" w:eastAsia="es-ES"/>
              </w:rPr>
              <w:t xml:space="preserve"> </w:t>
            </w:r>
            <w:r w:rsidRPr="004C6745">
              <w:rPr>
                <w:rFonts w:ascii="Arial" w:hAnsi="Arial" w:cs="Arial"/>
                <w:sz w:val="18"/>
                <w:szCs w:val="18"/>
                <w:lang w:val="es-ES" w:eastAsia="es-ES"/>
              </w:rPr>
              <w:t>e</w:t>
            </w:r>
          </w:p>
        </w:tc>
      </w:tr>
    </w:tbl>
    <w:p w:rsidR="000212A1" w:rsidRDefault="000212A1" w:rsidP="00E130CE">
      <w:pPr>
        <w:pStyle w:val="texto"/>
        <w:tabs>
          <w:tab w:val="clear" w:pos="2835"/>
          <w:tab w:val="clear" w:pos="3969"/>
          <w:tab w:val="clear" w:pos="5103"/>
          <w:tab w:val="clear" w:pos="6237"/>
          <w:tab w:val="clear" w:pos="7371"/>
        </w:tabs>
        <w:spacing w:after="0"/>
        <w:ind w:left="646" w:firstLine="0"/>
        <w:rPr>
          <w:i/>
          <w:szCs w:val="26"/>
        </w:rPr>
      </w:pPr>
    </w:p>
    <w:p w:rsidR="00077853" w:rsidRDefault="00AA2AD2" w:rsidP="004C674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P</w:t>
      </w:r>
      <w:r w:rsidR="00DA1384">
        <w:rPr>
          <w:szCs w:val="26"/>
        </w:rPr>
        <w:t>olíticas de gasto.</w:t>
      </w:r>
      <w:r>
        <w:rPr>
          <w:szCs w:val="26"/>
        </w:rPr>
        <w:t xml:space="preserve"> </w:t>
      </w:r>
      <w:r w:rsidR="00DA1384">
        <w:rPr>
          <w:szCs w:val="26"/>
        </w:rPr>
        <w:t>E</w:t>
      </w:r>
      <w:r w:rsidR="000212A1" w:rsidRPr="00BA79C8">
        <w:rPr>
          <w:szCs w:val="26"/>
        </w:rPr>
        <w:t>n el cuadro siguiente</w:t>
      </w:r>
      <w:r w:rsidR="000212A1">
        <w:rPr>
          <w:szCs w:val="26"/>
        </w:rPr>
        <w:t xml:space="preserve"> se muestra</w:t>
      </w:r>
      <w:r w:rsidR="004C6745">
        <w:rPr>
          <w:szCs w:val="26"/>
        </w:rPr>
        <w:t>, en miles de euros,</w:t>
      </w:r>
      <w:r w:rsidR="000212A1">
        <w:rPr>
          <w:szCs w:val="26"/>
        </w:rPr>
        <w:t xml:space="preserve"> las políticas de gasto de la </w:t>
      </w:r>
      <w:r w:rsidR="002338F8" w:rsidRPr="002C7BC0">
        <w:rPr>
          <w:szCs w:val="26"/>
        </w:rPr>
        <w:t>U</w:t>
      </w:r>
      <w:r w:rsidR="002338F8">
        <w:rPr>
          <w:szCs w:val="26"/>
        </w:rPr>
        <w:t xml:space="preserve">niversidad </w:t>
      </w:r>
      <w:r w:rsidR="000212A1">
        <w:rPr>
          <w:szCs w:val="26"/>
        </w:rPr>
        <w:t>en 2014, de acuerdo con la nueva clasific</w:t>
      </w:r>
      <w:r w:rsidR="000212A1">
        <w:rPr>
          <w:szCs w:val="26"/>
        </w:rPr>
        <w:t>a</w:t>
      </w:r>
      <w:r w:rsidR="000212A1">
        <w:rPr>
          <w:szCs w:val="26"/>
        </w:rPr>
        <w:t>ción presupuestaria implantada en dicho año.</w:t>
      </w:r>
      <w:r w:rsidR="009A37D9">
        <w:rPr>
          <w:szCs w:val="26"/>
        </w:rPr>
        <w:t xml:space="preserve"> </w:t>
      </w:r>
    </w:p>
    <w:p w:rsidR="00E130CE" w:rsidRPr="001537AF" w:rsidRDefault="00E130CE" w:rsidP="00E130CE">
      <w:pPr>
        <w:pStyle w:val="texto"/>
        <w:tabs>
          <w:tab w:val="clear" w:pos="2835"/>
          <w:tab w:val="clear" w:pos="3969"/>
          <w:tab w:val="clear" w:pos="5103"/>
          <w:tab w:val="clear" w:pos="6237"/>
          <w:tab w:val="clear" w:pos="7371"/>
          <w:tab w:val="left" w:pos="480"/>
          <w:tab w:val="num" w:pos="928"/>
          <w:tab w:val="num" w:pos="6597"/>
        </w:tabs>
        <w:spacing w:after="240"/>
        <w:ind w:left="289" w:firstLine="0"/>
        <w:rPr>
          <w:szCs w:val="26"/>
        </w:rPr>
      </w:pPr>
    </w:p>
    <w:tbl>
      <w:tblPr>
        <w:tblW w:w="496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809"/>
        <w:gridCol w:w="4760"/>
        <w:gridCol w:w="1044"/>
        <w:gridCol w:w="578"/>
        <w:gridCol w:w="1106"/>
        <w:gridCol w:w="562"/>
      </w:tblGrid>
      <w:tr w:rsidR="00077297" w:rsidRPr="00ED1670" w:rsidTr="000A4C01">
        <w:trPr>
          <w:trHeight w:val="284"/>
          <w:jc w:val="center"/>
        </w:trPr>
        <w:tc>
          <w:tcPr>
            <w:tcW w:w="3144" w:type="pct"/>
            <w:gridSpan w:val="2"/>
            <w:shd w:val="clear" w:color="auto" w:fill="A8CBEE" w:themeFill="accent2" w:themeFillTint="66"/>
            <w:vAlign w:val="center"/>
          </w:tcPr>
          <w:p w:rsidR="00077297" w:rsidRPr="00ED1670" w:rsidRDefault="009A37D9" w:rsidP="004C6745">
            <w:pPr>
              <w:spacing w:after="0"/>
              <w:ind w:firstLine="0"/>
              <w:rPr>
                <w:rFonts w:ascii="Arial" w:hAnsi="Arial" w:cs="Arial"/>
                <w:bCs/>
                <w:color w:val="000000"/>
                <w:sz w:val="18"/>
                <w:szCs w:val="18"/>
                <w:lang w:val="es-ES" w:eastAsia="es-ES"/>
              </w:rPr>
            </w:pPr>
            <w:r>
              <w:rPr>
                <w:rFonts w:ascii="Arial" w:hAnsi="Arial" w:cs="Arial"/>
                <w:bCs/>
                <w:color w:val="000000"/>
                <w:sz w:val="18"/>
                <w:szCs w:val="18"/>
                <w:lang w:val="es-ES" w:eastAsia="es-ES"/>
              </w:rPr>
              <w:lastRenderedPageBreak/>
              <w:t>Políticas de gasto 2014</w:t>
            </w:r>
          </w:p>
        </w:tc>
        <w:tc>
          <w:tcPr>
            <w:tcW w:w="589" w:type="pct"/>
            <w:shd w:val="clear" w:color="auto" w:fill="A8CBEE" w:themeFill="accent2" w:themeFillTint="66"/>
            <w:vAlign w:val="center"/>
          </w:tcPr>
          <w:p w:rsidR="00077297" w:rsidRPr="00ED1670" w:rsidRDefault="00077297" w:rsidP="004C674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Ppto.Inicial</w:t>
            </w:r>
          </w:p>
        </w:tc>
        <w:tc>
          <w:tcPr>
            <w:tcW w:w="326" w:type="pct"/>
            <w:shd w:val="clear" w:color="auto" w:fill="A8CBEE" w:themeFill="accent2" w:themeFillTint="66"/>
            <w:vAlign w:val="center"/>
          </w:tcPr>
          <w:p w:rsidR="00077297" w:rsidRPr="00ED1670" w:rsidRDefault="00077297" w:rsidP="004C674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w:t>
            </w:r>
          </w:p>
        </w:tc>
        <w:tc>
          <w:tcPr>
            <w:tcW w:w="624" w:type="pct"/>
            <w:shd w:val="clear" w:color="auto" w:fill="A8CBEE" w:themeFill="accent2" w:themeFillTint="66"/>
            <w:vAlign w:val="center"/>
          </w:tcPr>
          <w:p w:rsidR="00077297" w:rsidRDefault="00077297" w:rsidP="004C674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Ejecutado</w:t>
            </w:r>
          </w:p>
        </w:tc>
        <w:tc>
          <w:tcPr>
            <w:tcW w:w="318" w:type="pct"/>
            <w:shd w:val="clear" w:color="auto" w:fill="A8CBEE" w:themeFill="accent2" w:themeFillTint="66"/>
            <w:vAlign w:val="center"/>
          </w:tcPr>
          <w:p w:rsidR="00077297" w:rsidRDefault="00077297" w:rsidP="004C6745">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w:t>
            </w:r>
          </w:p>
        </w:tc>
      </w:tr>
      <w:tr w:rsidR="000212A1" w:rsidRPr="00ED1670" w:rsidTr="00E130CE">
        <w:trPr>
          <w:trHeight w:val="284"/>
          <w:jc w:val="center"/>
        </w:trPr>
        <w:tc>
          <w:tcPr>
            <w:tcW w:w="3144" w:type="pct"/>
            <w:gridSpan w:val="2"/>
            <w:tcBorders>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1 Gestión Docencia</w:t>
            </w:r>
          </w:p>
        </w:tc>
        <w:tc>
          <w:tcPr>
            <w:tcW w:w="589" w:type="pct"/>
            <w:tcBorders>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3.10</w:t>
            </w:r>
            <w:r w:rsidR="00077297" w:rsidRPr="003E2274">
              <w:rPr>
                <w:rFonts w:ascii="Arial Narrow" w:hAnsi="Arial Narrow"/>
                <w:sz w:val="18"/>
                <w:szCs w:val="18"/>
                <w:lang w:val="es-ES" w:eastAsia="es-ES"/>
              </w:rPr>
              <w:t>5</w:t>
            </w:r>
          </w:p>
        </w:tc>
        <w:tc>
          <w:tcPr>
            <w:tcW w:w="326" w:type="pct"/>
            <w:tcBorders>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5</w:t>
            </w:r>
          </w:p>
        </w:tc>
        <w:tc>
          <w:tcPr>
            <w:tcW w:w="624" w:type="pct"/>
            <w:tcBorders>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4.202</w:t>
            </w:r>
          </w:p>
        </w:tc>
        <w:tc>
          <w:tcPr>
            <w:tcW w:w="318" w:type="pct"/>
            <w:tcBorders>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6</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2 Desarrollo de la Docencia e Investigación</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36.58</w:t>
            </w:r>
            <w:r w:rsidR="00077297" w:rsidRPr="003E2274">
              <w:rPr>
                <w:rFonts w:ascii="Arial Narrow" w:hAnsi="Arial Narrow"/>
                <w:sz w:val="18"/>
                <w:szCs w:val="18"/>
                <w:lang w:val="es-ES" w:eastAsia="es-ES"/>
              </w:rPr>
              <w:t>8</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55</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35.89</w:t>
            </w:r>
            <w:r w:rsidR="00077297" w:rsidRPr="003E2274">
              <w:rPr>
                <w:rFonts w:ascii="Arial Narrow" w:hAnsi="Arial Narrow"/>
                <w:sz w:val="18"/>
                <w:szCs w:val="18"/>
                <w:lang w:val="es-ES" w:eastAsia="es-ES"/>
              </w:rPr>
              <w:t>2</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51</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3 Investigación Científica, Técnica y Aplicada</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4.020</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6</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8.687</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12</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4 Relaciones Exteriores</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543</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1.20</w:t>
            </w:r>
            <w:r w:rsidR="00077297" w:rsidRPr="003E2274">
              <w:rPr>
                <w:rFonts w:ascii="Arial Narrow" w:hAnsi="Arial Narrow"/>
                <w:sz w:val="18"/>
                <w:szCs w:val="18"/>
                <w:lang w:val="es-ES" w:eastAsia="es-ES"/>
              </w:rPr>
              <w:t>2</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2</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5 Acción Social</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486</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360</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w:t>
            </w:r>
          </w:p>
        </w:tc>
      </w:tr>
      <w:tr w:rsidR="000212A1" w:rsidRPr="00ED1670" w:rsidTr="00E130CE">
        <w:trPr>
          <w:trHeight w:val="284"/>
          <w:jc w:val="center"/>
        </w:trPr>
        <w:tc>
          <w:tcPr>
            <w:tcW w:w="3144" w:type="pct"/>
            <w:gridSpan w:val="2"/>
            <w:tcBorders>
              <w:top w:val="single" w:sz="2" w:space="0" w:color="auto"/>
              <w:bottom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 xml:space="preserve">6 Extensión Universitaria </w:t>
            </w:r>
          </w:p>
        </w:tc>
        <w:tc>
          <w:tcPr>
            <w:tcW w:w="589"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1.505</w:t>
            </w:r>
          </w:p>
        </w:tc>
        <w:tc>
          <w:tcPr>
            <w:tcW w:w="326" w:type="pct"/>
            <w:tcBorders>
              <w:top w:val="single" w:sz="2" w:space="0" w:color="auto"/>
              <w:bottom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2</w:t>
            </w:r>
          </w:p>
        </w:tc>
        <w:tc>
          <w:tcPr>
            <w:tcW w:w="624"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1.48</w:t>
            </w:r>
            <w:r w:rsidR="00077297" w:rsidRPr="003E2274">
              <w:rPr>
                <w:rFonts w:ascii="Arial Narrow" w:hAnsi="Arial Narrow"/>
                <w:sz w:val="18"/>
                <w:szCs w:val="18"/>
                <w:lang w:val="es-ES" w:eastAsia="es-ES"/>
              </w:rPr>
              <w:t>6</w:t>
            </w:r>
          </w:p>
        </w:tc>
        <w:tc>
          <w:tcPr>
            <w:tcW w:w="318" w:type="pct"/>
            <w:tcBorders>
              <w:top w:val="single" w:sz="2" w:space="0" w:color="auto"/>
              <w:bottom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2</w:t>
            </w:r>
          </w:p>
        </w:tc>
      </w:tr>
      <w:tr w:rsidR="000212A1" w:rsidRPr="00ED1670" w:rsidTr="00E130CE">
        <w:trPr>
          <w:trHeight w:val="284"/>
          <w:jc w:val="center"/>
        </w:trPr>
        <w:tc>
          <w:tcPr>
            <w:tcW w:w="3144" w:type="pct"/>
            <w:gridSpan w:val="2"/>
            <w:tcBorders>
              <w:top w:val="single" w:sz="2" w:space="0" w:color="auto"/>
            </w:tcBorders>
            <w:noWrap/>
            <w:vAlign w:val="center"/>
          </w:tcPr>
          <w:p w:rsidR="000212A1" w:rsidRPr="003E2274" w:rsidRDefault="000212A1" w:rsidP="003E2274">
            <w:pPr>
              <w:spacing w:after="0"/>
              <w:ind w:firstLine="0"/>
              <w:jc w:val="left"/>
              <w:rPr>
                <w:rFonts w:ascii="Arial Narrow" w:hAnsi="Arial Narrow"/>
                <w:sz w:val="18"/>
                <w:szCs w:val="18"/>
                <w:lang w:val="es-ES" w:eastAsia="es-ES"/>
              </w:rPr>
            </w:pPr>
            <w:r w:rsidRPr="003E2274">
              <w:rPr>
                <w:rFonts w:ascii="Arial Narrow" w:hAnsi="Arial Narrow"/>
                <w:sz w:val="18"/>
                <w:szCs w:val="18"/>
                <w:lang w:val="es-ES" w:eastAsia="es-ES"/>
              </w:rPr>
              <w:t>7 Actividades de Carácter General</w:t>
            </w:r>
          </w:p>
        </w:tc>
        <w:tc>
          <w:tcPr>
            <w:tcW w:w="589" w:type="pct"/>
            <w:tcBorders>
              <w:top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20.2</w:t>
            </w:r>
            <w:r w:rsidR="00077297" w:rsidRPr="003E2274">
              <w:rPr>
                <w:rFonts w:ascii="Arial Narrow" w:hAnsi="Arial Narrow"/>
                <w:sz w:val="18"/>
                <w:szCs w:val="18"/>
                <w:lang w:val="es-ES" w:eastAsia="es-ES"/>
              </w:rPr>
              <w:t>20</w:t>
            </w:r>
          </w:p>
        </w:tc>
        <w:tc>
          <w:tcPr>
            <w:tcW w:w="326" w:type="pct"/>
            <w:tcBorders>
              <w:top w:val="single" w:sz="2" w:space="0" w:color="auto"/>
            </w:tcBorders>
            <w:noWrap/>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30</w:t>
            </w:r>
          </w:p>
        </w:tc>
        <w:tc>
          <w:tcPr>
            <w:tcW w:w="624" w:type="pct"/>
            <w:tcBorders>
              <w:top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18.72</w:t>
            </w:r>
            <w:r w:rsidR="00077297" w:rsidRPr="003E2274">
              <w:rPr>
                <w:rFonts w:ascii="Arial Narrow" w:hAnsi="Arial Narrow"/>
                <w:sz w:val="18"/>
                <w:szCs w:val="18"/>
                <w:lang w:val="es-ES" w:eastAsia="es-ES"/>
              </w:rPr>
              <w:t>9</w:t>
            </w:r>
          </w:p>
        </w:tc>
        <w:tc>
          <w:tcPr>
            <w:tcW w:w="318" w:type="pct"/>
            <w:tcBorders>
              <w:top w:val="single" w:sz="2" w:space="0" w:color="auto"/>
            </w:tcBorders>
            <w:vAlign w:val="center"/>
          </w:tcPr>
          <w:p w:rsidR="000212A1" w:rsidRPr="003E2274" w:rsidRDefault="000212A1" w:rsidP="004C6745">
            <w:pPr>
              <w:spacing w:after="0"/>
              <w:ind w:firstLine="0"/>
              <w:jc w:val="right"/>
              <w:rPr>
                <w:rFonts w:ascii="Arial Narrow" w:hAnsi="Arial Narrow"/>
                <w:sz w:val="18"/>
                <w:szCs w:val="18"/>
                <w:lang w:val="es-ES" w:eastAsia="es-ES"/>
              </w:rPr>
            </w:pPr>
            <w:r w:rsidRPr="003E2274">
              <w:rPr>
                <w:rFonts w:ascii="Arial Narrow" w:hAnsi="Arial Narrow"/>
                <w:sz w:val="18"/>
                <w:szCs w:val="18"/>
                <w:lang w:val="es-ES" w:eastAsia="es-ES"/>
              </w:rPr>
              <w:t>26</w:t>
            </w:r>
          </w:p>
        </w:tc>
      </w:tr>
      <w:tr w:rsidR="000212A1" w:rsidRPr="00ED1670" w:rsidTr="000A4C01">
        <w:trPr>
          <w:trHeight w:val="284"/>
          <w:jc w:val="center"/>
        </w:trPr>
        <w:tc>
          <w:tcPr>
            <w:tcW w:w="457" w:type="pct"/>
            <w:shd w:val="clear" w:color="auto" w:fill="A8CBEE" w:themeFill="accent2" w:themeFillTint="66"/>
            <w:noWrap/>
            <w:vAlign w:val="center"/>
          </w:tcPr>
          <w:p w:rsidR="000212A1" w:rsidRPr="00ED1670" w:rsidRDefault="000212A1" w:rsidP="003B66CB">
            <w:pPr>
              <w:spacing w:after="0"/>
              <w:ind w:left="50" w:firstLine="0"/>
              <w:jc w:val="left"/>
              <w:rPr>
                <w:rFonts w:ascii="Arial" w:hAnsi="Arial" w:cs="Arial"/>
                <w:bCs/>
                <w:sz w:val="18"/>
                <w:szCs w:val="18"/>
                <w:lang w:val="es-ES" w:eastAsia="es-ES"/>
              </w:rPr>
            </w:pPr>
            <w:r w:rsidRPr="00ED1670">
              <w:rPr>
                <w:rFonts w:ascii="Arial" w:hAnsi="Arial" w:cs="Arial"/>
                <w:bCs/>
                <w:sz w:val="18"/>
                <w:szCs w:val="18"/>
                <w:lang w:val="es-ES" w:eastAsia="es-ES"/>
              </w:rPr>
              <w:t>Total</w:t>
            </w:r>
          </w:p>
        </w:tc>
        <w:tc>
          <w:tcPr>
            <w:tcW w:w="2687" w:type="pct"/>
            <w:shd w:val="clear" w:color="auto" w:fill="A8CBEE" w:themeFill="accent2" w:themeFillTint="66"/>
            <w:noWrap/>
            <w:vAlign w:val="center"/>
          </w:tcPr>
          <w:p w:rsidR="000212A1" w:rsidRPr="00ED1670" w:rsidRDefault="000212A1" w:rsidP="004C6745">
            <w:pPr>
              <w:spacing w:after="0"/>
              <w:ind w:firstLine="0"/>
              <w:rPr>
                <w:rFonts w:ascii="Arial" w:hAnsi="Arial" w:cs="Arial"/>
                <w:bCs/>
                <w:sz w:val="18"/>
                <w:szCs w:val="18"/>
                <w:lang w:val="es-ES" w:eastAsia="es-ES"/>
              </w:rPr>
            </w:pPr>
          </w:p>
        </w:tc>
        <w:tc>
          <w:tcPr>
            <w:tcW w:w="589" w:type="pct"/>
            <w:shd w:val="clear" w:color="auto" w:fill="A8CBEE" w:themeFill="accent2" w:themeFillTint="66"/>
            <w:noWrap/>
            <w:vAlign w:val="center"/>
          </w:tcPr>
          <w:p w:rsidR="000212A1" w:rsidRPr="00ED1670" w:rsidRDefault="000212A1" w:rsidP="004C6745">
            <w:pPr>
              <w:spacing w:after="0"/>
              <w:ind w:firstLine="0"/>
              <w:jc w:val="right"/>
              <w:rPr>
                <w:rFonts w:ascii="Arial" w:hAnsi="Arial" w:cs="Arial"/>
                <w:bCs/>
                <w:sz w:val="18"/>
                <w:szCs w:val="18"/>
                <w:lang w:val="es-ES" w:eastAsia="es-ES"/>
              </w:rPr>
            </w:pPr>
            <w:r w:rsidRPr="00ED1670">
              <w:rPr>
                <w:rFonts w:ascii="Arial" w:hAnsi="Arial" w:cs="Arial"/>
                <w:bCs/>
                <w:sz w:val="18"/>
                <w:szCs w:val="18"/>
                <w:lang w:val="es-ES" w:eastAsia="es-ES"/>
              </w:rPr>
              <w:t>66.467</w:t>
            </w:r>
          </w:p>
        </w:tc>
        <w:tc>
          <w:tcPr>
            <w:tcW w:w="326" w:type="pct"/>
            <w:shd w:val="clear" w:color="auto" w:fill="A8CBEE" w:themeFill="accent2" w:themeFillTint="66"/>
            <w:noWrap/>
            <w:vAlign w:val="center"/>
          </w:tcPr>
          <w:p w:rsidR="000212A1" w:rsidRPr="00ED1670" w:rsidRDefault="000212A1" w:rsidP="004C6745">
            <w:pPr>
              <w:spacing w:after="0"/>
              <w:ind w:firstLine="0"/>
              <w:jc w:val="right"/>
              <w:rPr>
                <w:rFonts w:ascii="Arial" w:hAnsi="Arial" w:cs="Arial"/>
                <w:bCs/>
                <w:sz w:val="18"/>
                <w:szCs w:val="18"/>
                <w:lang w:val="es-ES" w:eastAsia="es-ES"/>
              </w:rPr>
            </w:pPr>
            <w:r w:rsidRPr="00ED1670">
              <w:rPr>
                <w:rFonts w:ascii="Arial" w:hAnsi="Arial" w:cs="Arial"/>
                <w:bCs/>
                <w:sz w:val="18"/>
                <w:szCs w:val="18"/>
                <w:lang w:val="es-ES" w:eastAsia="es-ES"/>
              </w:rPr>
              <w:t>100</w:t>
            </w:r>
          </w:p>
        </w:tc>
        <w:tc>
          <w:tcPr>
            <w:tcW w:w="624" w:type="pct"/>
            <w:shd w:val="clear" w:color="auto" w:fill="A8CBEE" w:themeFill="accent2" w:themeFillTint="66"/>
            <w:vAlign w:val="center"/>
          </w:tcPr>
          <w:p w:rsidR="000212A1" w:rsidRPr="00ED1670" w:rsidRDefault="000212A1" w:rsidP="004C6745">
            <w:pPr>
              <w:spacing w:after="0"/>
              <w:ind w:firstLine="0"/>
              <w:jc w:val="right"/>
              <w:rPr>
                <w:rFonts w:ascii="Arial" w:hAnsi="Arial" w:cs="Arial"/>
                <w:bCs/>
                <w:sz w:val="18"/>
                <w:szCs w:val="18"/>
                <w:lang w:val="es-ES" w:eastAsia="es-ES"/>
              </w:rPr>
            </w:pPr>
            <w:r w:rsidRPr="00FE3482">
              <w:rPr>
                <w:rFonts w:ascii="Arial" w:hAnsi="Arial" w:cs="Arial"/>
                <w:bCs/>
                <w:sz w:val="18"/>
                <w:szCs w:val="18"/>
                <w:lang w:val="es-ES" w:eastAsia="es-ES"/>
              </w:rPr>
              <w:t>70.55</w:t>
            </w:r>
            <w:r w:rsidR="00EC53AA">
              <w:rPr>
                <w:rFonts w:ascii="Arial" w:hAnsi="Arial" w:cs="Arial"/>
                <w:bCs/>
                <w:sz w:val="18"/>
                <w:szCs w:val="18"/>
                <w:lang w:val="es-ES" w:eastAsia="es-ES"/>
              </w:rPr>
              <w:t>8</w:t>
            </w:r>
          </w:p>
        </w:tc>
        <w:tc>
          <w:tcPr>
            <w:tcW w:w="318" w:type="pct"/>
            <w:shd w:val="clear" w:color="auto" w:fill="A8CBEE" w:themeFill="accent2" w:themeFillTint="66"/>
            <w:vAlign w:val="center"/>
          </w:tcPr>
          <w:p w:rsidR="000212A1" w:rsidRPr="00ED1670" w:rsidRDefault="000212A1" w:rsidP="004C6745">
            <w:pPr>
              <w:spacing w:after="0"/>
              <w:ind w:firstLine="0"/>
              <w:jc w:val="right"/>
              <w:rPr>
                <w:rFonts w:ascii="Arial" w:hAnsi="Arial" w:cs="Arial"/>
                <w:bCs/>
                <w:sz w:val="18"/>
                <w:szCs w:val="18"/>
                <w:lang w:val="es-ES" w:eastAsia="es-ES"/>
              </w:rPr>
            </w:pPr>
            <w:r>
              <w:rPr>
                <w:rFonts w:ascii="Arial" w:hAnsi="Arial" w:cs="Arial"/>
                <w:bCs/>
                <w:sz w:val="18"/>
                <w:szCs w:val="18"/>
                <w:lang w:val="es-ES" w:eastAsia="es-ES"/>
              </w:rPr>
              <w:t>100</w:t>
            </w:r>
          </w:p>
        </w:tc>
      </w:tr>
    </w:tbl>
    <w:p w:rsidR="000212A1" w:rsidRDefault="000212A1" w:rsidP="00E130CE">
      <w:pPr>
        <w:pStyle w:val="texto"/>
        <w:tabs>
          <w:tab w:val="clear" w:pos="2835"/>
          <w:tab w:val="clear" w:pos="3969"/>
          <w:tab w:val="clear" w:pos="5103"/>
          <w:tab w:val="clear" w:pos="6237"/>
          <w:tab w:val="clear" w:pos="7371"/>
        </w:tabs>
        <w:spacing w:before="240"/>
        <w:rPr>
          <w:szCs w:val="26"/>
        </w:rPr>
      </w:pPr>
      <w:r w:rsidRPr="008B79CA">
        <w:rPr>
          <w:szCs w:val="26"/>
        </w:rPr>
        <w:t xml:space="preserve">Como se observa, el </w:t>
      </w:r>
      <w:r>
        <w:rPr>
          <w:szCs w:val="26"/>
        </w:rPr>
        <w:t>95</w:t>
      </w:r>
      <w:r w:rsidRPr="008B79CA">
        <w:rPr>
          <w:szCs w:val="26"/>
        </w:rPr>
        <w:t xml:space="preserve"> por ciento del gasto de la </w:t>
      </w:r>
      <w:r w:rsidR="002338F8" w:rsidRPr="002C7BC0">
        <w:rPr>
          <w:szCs w:val="26"/>
        </w:rPr>
        <w:t>U</w:t>
      </w:r>
      <w:r w:rsidR="002338F8">
        <w:rPr>
          <w:szCs w:val="26"/>
        </w:rPr>
        <w:t>niversidad</w:t>
      </w:r>
      <w:r w:rsidR="002338F8" w:rsidRPr="008B79CA">
        <w:rPr>
          <w:szCs w:val="26"/>
        </w:rPr>
        <w:t xml:space="preserve"> </w:t>
      </w:r>
      <w:r w:rsidRPr="008B79CA">
        <w:rPr>
          <w:szCs w:val="26"/>
        </w:rPr>
        <w:t>en 2014</w:t>
      </w:r>
      <w:r>
        <w:rPr>
          <w:szCs w:val="26"/>
        </w:rPr>
        <w:t xml:space="preserve"> se concentra en desarrollo </w:t>
      </w:r>
      <w:r w:rsidR="004C6745">
        <w:rPr>
          <w:szCs w:val="26"/>
        </w:rPr>
        <w:t>de la docencia e investigación –</w:t>
      </w:r>
      <w:r>
        <w:rPr>
          <w:szCs w:val="26"/>
        </w:rPr>
        <w:t>51 por ciento</w:t>
      </w:r>
      <w:r w:rsidR="004C6745">
        <w:rPr>
          <w:szCs w:val="26"/>
        </w:rPr>
        <w:t>–</w:t>
      </w:r>
      <w:r>
        <w:rPr>
          <w:szCs w:val="26"/>
        </w:rPr>
        <w:t>, activ</w:t>
      </w:r>
      <w:r>
        <w:rPr>
          <w:szCs w:val="26"/>
        </w:rPr>
        <w:t>i</w:t>
      </w:r>
      <w:r>
        <w:rPr>
          <w:szCs w:val="26"/>
        </w:rPr>
        <w:t xml:space="preserve">dades de carácter general </w:t>
      </w:r>
      <w:r w:rsidR="004C6745">
        <w:rPr>
          <w:szCs w:val="26"/>
        </w:rPr>
        <w:t>–</w:t>
      </w:r>
      <w:r>
        <w:rPr>
          <w:szCs w:val="26"/>
        </w:rPr>
        <w:t>26 por ciento</w:t>
      </w:r>
      <w:r w:rsidR="004C6745">
        <w:rPr>
          <w:szCs w:val="26"/>
        </w:rPr>
        <w:t>–</w:t>
      </w:r>
      <w:r>
        <w:rPr>
          <w:szCs w:val="26"/>
        </w:rPr>
        <w:t xml:space="preserve">, en investigación científica </w:t>
      </w:r>
      <w:r w:rsidR="004C6745">
        <w:rPr>
          <w:szCs w:val="26"/>
        </w:rPr>
        <w:t>–</w:t>
      </w:r>
      <w:r>
        <w:rPr>
          <w:szCs w:val="26"/>
        </w:rPr>
        <w:t>12 por ciento</w:t>
      </w:r>
      <w:r w:rsidR="004C6745">
        <w:rPr>
          <w:szCs w:val="26"/>
        </w:rPr>
        <w:t>–</w:t>
      </w:r>
      <w:r>
        <w:rPr>
          <w:szCs w:val="26"/>
        </w:rPr>
        <w:t xml:space="preserve"> y gestión docente </w:t>
      </w:r>
      <w:r w:rsidR="004C6745">
        <w:rPr>
          <w:szCs w:val="26"/>
        </w:rPr>
        <w:t>–</w:t>
      </w:r>
      <w:r>
        <w:rPr>
          <w:szCs w:val="26"/>
        </w:rPr>
        <w:t>6 por ciento</w:t>
      </w:r>
      <w:r w:rsidR="004C6745">
        <w:rPr>
          <w:szCs w:val="26"/>
        </w:rPr>
        <w:t>–</w:t>
      </w:r>
      <w:r>
        <w:rPr>
          <w:szCs w:val="26"/>
        </w:rPr>
        <w:t>.</w:t>
      </w:r>
    </w:p>
    <w:p w:rsidR="00023F3E" w:rsidRDefault="000212A1" w:rsidP="009A37D9">
      <w:pPr>
        <w:pStyle w:val="texto"/>
        <w:tabs>
          <w:tab w:val="clear" w:pos="2835"/>
          <w:tab w:val="clear" w:pos="3969"/>
          <w:tab w:val="clear" w:pos="5103"/>
          <w:tab w:val="clear" w:pos="6237"/>
          <w:tab w:val="clear" w:pos="7371"/>
        </w:tabs>
        <w:rPr>
          <w:szCs w:val="26"/>
        </w:rPr>
      </w:pPr>
      <w:r>
        <w:rPr>
          <w:szCs w:val="26"/>
        </w:rPr>
        <w:t>Sobre las previsiones iniciales, el gasto se ha incrementado en un seis por ciento –cuatro millones más</w:t>
      </w:r>
      <w:r w:rsidR="004C6745">
        <w:rPr>
          <w:szCs w:val="26"/>
        </w:rPr>
        <w:t>–</w:t>
      </w:r>
      <w:r>
        <w:rPr>
          <w:szCs w:val="26"/>
        </w:rPr>
        <w:t>. En porcentajes, los mayores incrementos se o</w:t>
      </w:r>
      <w:r>
        <w:rPr>
          <w:szCs w:val="26"/>
        </w:rPr>
        <w:t>b</w:t>
      </w:r>
      <w:r>
        <w:rPr>
          <w:szCs w:val="26"/>
        </w:rPr>
        <w:t>servan en relaciones exteriores e investigación científica, y los decrementos más significativos en acción social y actividades de carácter general.</w:t>
      </w:r>
    </w:p>
    <w:p w:rsidR="006376AE" w:rsidRPr="005F6E05" w:rsidRDefault="006376AE" w:rsidP="003B66CB">
      <w:pPr>
        <w:pStyle w:val="texto"/>
        <w:numPr>
          <w:ilvl w:val="0"/>
          <w:numId w:val="5"/>
        </w:numPr>
        <w:tabs>
          <w:tab w:val="clear" w:pos="2835"/>
          <w:tab w:val="clear" w:pos="3969"/>
          <w:tab w:val="clear" w:pos="5103"/>
          <w:tab w:val="clear" w:pos="6237"/>
          <w:tab w:val="clear" w:pos="7371"/>
        </w:tabs>
        <w:rPr>
          <w:b/>
          <w:szCs w:val="26"/>
        </w:rPr>
      </w:pPr>
      <w:r w:rsidRPr="005F6E05">
        <w:rPr>
          <w:b/>
          <w:szCs w:val="26"/>
        </w:rPr>
        <w:t>Comparación 2013 y 2014</w:t>
      </w:r>
      <w:r w:rsidR="001761C3" w:rsidRPr="005F6E05">
        <w:rPr>
          <w:b/>
          <w:szCs w:val="26"/>
        </w:rPr>
        <w:t xml:space="preserve"> y evolución desde 2009</w:t>
      </w:r>
    </w:p>
    <w:p w:rsidR="00513C54" w:rsidRDefault="006C00F5" w:rsidP="00E130CE">
      <w:pPr>
        <w:pStyle w:val="texto"/>
        <w:tabs>
          <w:tab w:val="clear" w:pos="2835"/>
          <w:tab w:val="clear" w:pos="3969"/>
          <w:tab w:val="clear" w:pos="5103"/>
          <w:tab w:val="clear" w:pos="6237"/>
          <w:tab w:val="clear" w:pos="7371"/>
          <w:tab w:val="num" w:pos="300"/>
          <w:tab w:val="num" w:pos="720"/>
        </w:tabs>
        <w:spacing w:after="180"/>
        <w:rPr>
          <w:szCs w:val="26"/>
        </w:rPr>
      </w:pPr>
      <w:r>
        <w:rPr>
          <w:szCs w:val="26"/>
        </w:rPr>
        <w:t>En el cuadro siguiente</w:t>
      </w:r>
      <w:r w:rsidR="004A0B4D">
        <w:rPr>
          <w:szCs w:val="26"/>
        </w:rPr>
        <w:t xml:space="preserve"> s</w:t>
      </w:r>
      <w:r>
        <w:rPr>
          <w:szCs w:val="26"/>
        </w:rPr>
        <w:t xml:space="preserve">e muestra la evolución 2013 y 2014 de una serie de indicadores y magnitudes </w:t>
      </w:r>
      <w:r w:rsidR="004A0B4D">
        <w:rPr>
          <w:szCs w:val="26"/>
        </w:rPr>
        <w:t xml:space="preserve">presupuestarias y </w:t>
      </w:r>
      <w:r>
        <w:rPr>
          <w:szCs w:val="26"/>
        </w:rPr>
        <w:t>financieras de la Universidad.</w:t>
      </w:r>
      <w:r w:rsidR="00707D2B">
        <w:rPr>
          <w:szCs w:val="26"/>
        </w:rPr>
        <w:t xml:space="preserve"> </w:t>
      </w:r>
      <w:r w:rsidR="00560102">
        <w:rPr>
          <w:szCs w:val="26"/>
        </w:rPr>
        <w:t>Para determinados indicadores, se analiza, igualmente, su evolución desde el ejerc</w:t>
      </w:r>
      <w:r w:rsidR="00560102">
        <w:rPr>
          <w:szCs w:val="26"/>
        </w:rPr>
        <w:t>i</w:t>
      </w:r>
      <w:r w:rsidR="00560102">
        <w:rPr>
          <w:szCs w:val="26"/>
        </w:rPr>
        <w:t>cio de 2009.</w:t>
      </w:r>
    </w:p>
    <w:tbl>
      <w:tblPr>
        <w:tblW w:w="8791" w:type="dxa"/>
        <w:jc w:val="center"/>
        <w:tblInd w:w="3" w:type="dxa"/>
        <w:tblCellMar>
          <w:left w:w="70" w:type="dxa"/>
          <w:right w:w="70" w:type="dxa"/>
        </w:tblCellMar>
        <w:tblLook w:val="04A0" w:firstRow="1" w:lastRow="0" w:firstColumn="1" w:lastColumn="0" w:noHBand="0" w:noVBand="1"/>
      </w:tblPr>
      <w:tblGrid>
        <w:gridCol w:w="5327"/>
        <w:gridCol w:w="1390"/>
        <w:gridCol w:w="904"/>
        <w:gridCol w:w="1170"/>
      </w:tblGrid>
      <w:tr w:rsidR="00A278E7" w:rsidRPr="00BB2F69" w:rsidTr="000A4C01">
        <w:trPr>
          <w:trHeight w:val="227"/>
          <w:jc w:val="center"/>
        </w:trPr>
        <w:tc>
          <w:tcPr>
            <w:tcW w:w="5327" w:type="dxa"/>
            <w:tcBorders>
              <w:top w:val="single" w:sz="4" w:space="0" w:color="auto"/>
              <w:left w:val="nil"/>
              <w:bottom w:val="single" w:sz="4" w:space="0" w:color="auto"/>
              <w:right w:val="nil"/>
            </w:tcBorders>
            <w:shd w:val="clear" w:color="auto" w:fill="A8CBEE" w:themeFill="accent2" w:themeFillTint="66"/>
            <w:noWrap/>
            <w:vAlign w:val="center"/>
            <w:hideMark/>
          </w:tcPr>
          <w:p w:rsidR="00A278E7" w:rsidRPr="003A2934" w:rsidRDefault="00A278E7" w:rsidP="00842F6C">
            <w:pPr>
              <w:spacing w:after="0"/>
              <w:ind w:left="50"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I</w:t>
            </w:r>
            <w:r w:rsidRPr="003A2934">
              <w:rPr>
                <w:rFonts w:ascii="Arial" w:hAnsi="Arial" w:cs="Arial"/>
                <w:bCs/>
                <w:color w:val="000000"/>
                <w:sz w:val="18"/>
                <w:szCs w:val="18"/>
                <w:lang w:val="es-ES" w:eastAsia="es-ES"/>
              </w:rPr>
              <w:t>ndicadores y magnitudes (en miles de euros)</w:t>
            </w:r>
          </w:p>
        </w:tc>
        <w:tc>
          <w:tcPr>
            <w:tcW w:w="1390" w:type="dxa"/>
            <w:tcBorders>
              <w:top w:val="single" w:sz="4" w:space="0" w:color="auto"/>
              <w:left w:val="nil"/>
              <w:bottom w:val="single" w:sz="4" w:space="0" w:color="auto"/>
              <w:right w:val="nil"/>
            </w:tcBorders>
            <w:shd w:val="clear" w:color="auto" w:fill="A8CBEE" w:themeFill="accent2" w:themeFillTint="66"/>
            <w:noWrap/>
            <w:vAlign w:val="center"/>
          </w:tcPr>
          <w:p w:rsidR="00A278E7" w:rsidRPr="003A2934" w:rsidRDefault="002B6745" w:rsidP="00842F6C">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2013</w:t>
            </w:r>
          </w:p>
        </w:tc>
        <w:tc>
          <w:tcPr>
            <w:tcW w:w="904" w:type="dxa"/>
            <w:tcBorders>
              <w:top w:val="single" w:sz="4" w:space="0" w:color="auto"/>
              <w:left w:val="nil"/>
              <w:bottom w:val="single" w:sz="4" w:space="0" w:color="auto"/>
              <w:right w:val="nil"/>
            </w:tcBorders>
            <w:shd w:val="clear" w:color="auto" w:fill="A8CBEE" w:themeFill="accent2" w:themeFillTint="66"/>
            <w:noWrap/>
            <w:vAlign w:val="center"/>
          </w:tcPr>
          <w:p w:rsidR="00A278E7" w:rsidRPr="003A2934" w:rsidRDefault="002B6745" w:rsidP="00842F6C">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c>
          <w:tcPr>
            <w:tcW w:w="1170" w:type="dxa"/>
            <w:tcBorders>
              <w:top w:val="single" w:sz="4" w:space="0" w:color="auto"/>
              <w:left w:val="nil"/>
              <w:bottom w:val="single" w:sz="4" w:space="0" w:color="auto"/>
              <w:right w:val="nil"/>
            </w:tcBorders>
            <w:shd w:val="clear" w:color="auto" w:fill="A8CBEE" w:themeFill="accent2" w:themeFillTint="66"/>
            <w:vAlign w:val="center"/>
            <w:hideMark/>
          </w:tcPr>
          <w:p w:rsidR="00A278E7" w:rsidRPr="003A2934" w:rsidRDefault="00A278E7" w:rsidP="00A47BD5">
            <w:pPr>
              <w:spacing w:after="0"/>
              <w:ind w:left="50"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%Variación 2014/13</w:t>
            </w:r>
          </w:p>
        </w:tc>
      </w:tr>
      <w:tr w:rsidR="00A278E7" w:rsidRPr="00BB2F69" w:rsidTr="005F6E05">
        <w:trPr>
          <w:trHeight w:val="284"/>
          <w:jc w:val="center"/>
        </w:trPr>
        <w:tc>
          <w:tcPr>
            <w:tcW w:w="5327"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Presupuesto inicial</w:t>
            </w:r>
          </w:p>
        </w:tc>
        <w:tc>
          <w:tcPr>
            <w:tcW w:w="1390"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68.896</w:t>
            </w:r>
          </w:p>
        </w:tc>
        <w:tc>
          <w:tcPr>
            <w:tcW w:w="904"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66.467</w:t>
            </w:r>
          </w:p>
        </w:tc>
        <w:tc>
          <w:tcPr>
            <w:tcW w:w="1170" w:type="dxa"/>
            <w:tcBorders>
              <w:top w:val="single" w:sz="4"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w:t>
            </w:r>
            <w:r>
              <w:rPr>
                <w:rFonts w:ascii="Arial Narrow" w:hAnsi="Arial Narrow"/>
                <w:sz w:val="18"/>
                <w:szCs w:val="18"/>
                <w:lang w:val="es-ES" w:eastAsia="es-ES"/>
              </w:rPr>
              <w:t>4</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xml:space="preserve">Presupuesto definitivo </w:t>
            </w:r>
            <w:r>
              <w:rPr>
                <w:rFonts w:ascii="Arial Narrow" w:hAnsi="Arial Narrow"/>
                <w:sz w:val="18"/>
                <w:szCs w:val="18"/>
                <w:lang w:val="es-ES" w:eastAsia="es-ES"/>
              </w:rPr>
              <w:t>"</w:t>
            </w:r>
            <w:r w:rsidRPr="003A2934">
              <w:rPr>
                <w:rFonts w:ascii="Arial Narrow" w:hAnsi="Arial Narrow"/>
                <w:sz w:val="18"/>
                <w:szCs w:val="18"/>
                <w:lang w:val="es-ES" w:eastAsia="es-ES"/>
              </w:rPr>
              <w:t>ajustado</w:t>
            </w:r>
            <w:r>
              <w:rPr>
                <w:rFonts w:ascii="Arial Narrow" w:hAnsi="Arial Narrow"/>
                <w:sz w:val="18"/>
                <w:szCs w:val="18"/>
                <w:lang w:val="es-ES" w:eastAsia="es-ES"/>
              </w:rPr>
              <w:t>"</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82.531</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79.975</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modificación del presupuesto inicial de gastos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w:t>
            </w:r>
            <w:r>
              <w:rPr>
                <w:rFonts w:ascii="Arial Narrow" w:hAnsi="Arial Narrow"/>
                <w:sz w:val="18"/>
                <w:szCs w:val="18"/>
                <w:lang w:val="es-ES" w:eastAsia="es-ES"/>
              </w:rPr>
              <w:t>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w:t>
            </w:r>
            <w:r>
              <w:rPr>
                <w:rFonts w:ascii="Arial Narrow" w:hAnsi="Arial Narrow"/>
                <w:sz w:val="18"/>
                <w:szCs w:val="18"/>
                <w:lang w:val="es-ES" w:eastAsia="es-ES"/>
              </w:rPr>
              <w:t>3</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Total Obligaciones reconocidas</w:t>
            </w:r>
            <w:r>
              <w:rPr>
                <w:rFonts w:ascii="Arial Narrow" w:hAnsi="Arial Narrow"/>
                <w:sz w:val="18"/>
                <w:szCs w:val="18"/>
                <w:lang w:val="es-ES" w:eastAsia="es-ES"/>
              </w:rPr>
              <w:t xml:space="preserve"> netas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71.445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70.558</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Total Derechos liquidados</w:t>
            </w:r>
            <w:r>
              <w:rPr>
                <w:rFonts w:ascii="Arial Narrow" w:hAnsi="Arial Narrow"/>
                <w:sz w:val="18"/>
                <w:szCs w:val="18"/>
                <w:lang w:val="es-ES" w:eastAsia="es-ES"/>
              </w:rPr>
              <w:t xml:space="preserve"> netos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70.106</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71.743</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w:t>
            </w: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ejecución gastos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8</w:t>
            </w:r>
            <w:r>
              <w:rPr>
                <w:rFonts w:ascii="Arial Narrow" w:hAnsi="Arial Narrow"/>
                <w:sz w:val="18"/>
                <w:szCs w:val="18"/>
                <w:lang w:val="es-ES" w:eastAsia="es-ES"/>
              </w:rPr>
              <w:t>7</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88</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cumplimiento ingresos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8</w:t>
            </w:r>
            <w:r>
              <w:rPr>
                <w:rFonts w:ascii="Arial Narrow" w:hAnsi="Arial Narrow"/>
                <w:sz w:val="18"/>
                <w:szCs w:val="18"/>
                <w:lang w:val="es-ES" w:eastAsia="es-ES"/>
              </w:rPr>
              <w:t>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90</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pagos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9</w:t>
            </w:r>
            <w:r>
              <w:rPr>
                <w:rFonts w:ascii="Arial Narrow" w:hAnsi="Arial Narrow"/>
                <w:sz w:val="18"/>
                <w:szCs w:val="18"/>
                <w:lang w:val="es-ES" w:eastAsia="es-ES"/>
              </w:rPr>
              <w:t>7</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96</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p>
        </w:tc>
      </w:tr>
      <w:tr w:rsidR="00A278E7"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cobros</w:t>
            </w:r>
          </w:p>
        </w:tc>
        <w:tc>
          <w:tcPr>
            <w:tcW w:w="139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9</w:t>
            </w:r>
            <w:r>
              <w:rPr>
                <w:rFonts w:ascii="Arial Narrow" w:hAnsi="Arial Narrow"/>
                <w:sz w:val="18"/>
                <w:szCs w:val="18"/>
                <w:lang w:val="es-ES" w:eastAsia="es-ES"/>
              </w:rPr>
              <w:t>5</w:t>
            </w:r>
          </w:p>
        </w:tc>
        <w:tc>
          <w:tcPr>
            <w:tcW w:w="904"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97</w:t>
            </w:r>
          </w:p>
        </w:tc>
        <w:tc>
          <w:tcPr>
            <w:tcW w:w="1170" w:type="dxa"/>
            <w:tcBorders>
              <w:top w:val="single" w:sz="2" w:space="0" w:color="auto"/>
              <w:left w:val="nil"/>
              <w:bottom w:val="single" w:sz="2" w:space="0" w:color="auto"/>
              <w:right w:val="nil"/>
            </w:tcBorders>
            <w:shd w:val="clear" w:color="auto" w:fill="auto"/>
            <w:noWrap/>
            <w:vAlign w:val="center"/>
            <w:hideMark/>
          </w:tcPr>
          <w:p w:rsidR="00A278E7" w:rsidRPr="003A2934" w:rsidRDefault="00A278E7" w:rsidP="00A47BD5">
            <w:pPr>
              <w:spacing w:after="0"/>
              <w:ind w:firstLine="0"/>
              <w:jc w:val="right"/>
              <w:rPr>
                <w:rFonts w:ascii="Arial Narrow" w:hAnsi="Arial Narrow"/>
                <w:sz w:val="18"/>
                <w:szCs w:val="18"/>
                <w:lang w:val="es-ES" w:eastAsia="es-ES"/>
              </w:rPr>
            </w:pP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Gastos de personal</w:t>
            </w:r>
          </w:p>
        </w:tc>
        <w:tc>
          <w:tcPr>
            <w:tcW w:w="1390"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51.320</w:t>
            </w:r>
          </w:p>
        </w:tc>
        <w:tc>
          <w:tcPr>
            <w:tcW w:w="904" w:type="dxa"/>
            <w:tcBorders>
              <w:top w:val="single" w:sz="2" w:space="0" w:color="auto"/>
              <w:left w:val="nil"/>
              <w:bottom w:val="single" w:sz="2" w:space="0" w:color="auto"/>
              <w:right w:val="nil"/>
            </w:tcBorders>
            <w:shd w:val="clear" w:color="auto" w:fill="auto"/>
            <w:noWrap/>
            <w:vAlign w:val="center"/>
          </w:tcPr>
          <w:p w:rsidR="002B6745" w:rsidRDefault="002B6745"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51.650</w:t>
            </w:r>
          </w:p>
        </w:tc>
        <w:tc>
          <w:tcPr>
            <w:tcW w:w="1170" w:type="dxa"/>
            <w:tcBorders>
              <w:top w:val="single" w:sz="2" w:space="0" w:color="auto"/>
              <w:left w:val="nil"/>
              <w:bottom w:val="single" w:sz="2" w:space="0" w:color="auto"/>
              <w:right w:val="nil"/>
            </w:tcBorders>
            <w:shd w:val="clear" w:color="auto" w:fill="auto"/>
            <w:noWrap/>
            <w:vAlign w:val="center"/>
          </w:tcPr>
          <w:p w:rsidR="002B6745" w:rsidRPr="003A2934" w:rsidRDefault="002B6745" w:rsidP="00A47BD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2B6745" w:rsidRPr="003A2934" w:rsidRDefault="002B6745" w:rsidP="008C401B">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gastos de personal sobre total gastos</w:t>
            </w:r>
          </w:p>
        </w:tc>
        <w:tc>
          <w:tcPr>
            <w:tcW w:w="1390" w:type="dxa"/>
            <w:tcBorders>
              <w:top w:val="single" w:sz="2" w:space="0" w:color="auto"/>
              <w:left w:val="nil"/>
              <w:bottom w:val="single" w:sz="2" w:space="0" w:color="auto"/>
              <w:right w:val="nil"/>
            </w:tcBorders>
            <w:shd w:val="clear" w:color="auto" w:fill="auto"/>
            <w:noWrap/>
            <w:vAlign w:val="center"/>
          </w:tcPr>
          <w:p w:rsidR="002B6745" w:rsidRPr="003A2934" w:rsidRDefault="002B6745" w:rsidP="008C401B">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w:t>
            </w:r>
            <w:r>
              <w:rPr>
                <w:rFonts w:ascii="Arial Narrow" w:hAnsi="Arial Narrow"/>
                <w:sz w:val="18"/>
                <w:szCs w:val="18"/>
                <w:lang w:val="es-ES" w:eastAsia="es-ES"/>
              </w:rPr>
              <w:t>2</w:t>
            </w:r>
          </w:p>
        </w:tc>
        <w:tc>
          <w:tcPr>
            <w:tcW w:w="904" w:type="dxa"/>
            <w:tcBorders>
              <w:top w:val="single" w:sz="2" w:space="0" w:color="auto"/>
              <w:left w:val="nil"/>
              <w:bottom w:val="single" w:sz="2" w:space="0" w:color="auto"/>
              <w:right w:val="nil"/>
            </w:tcBorders>
            <w:shd w:val="clear" w:color="auto" w:fill="auto"/>
            <w:noWrap/>
            <w:vAlign w:val="center"/>
          </w:tcPr>
          <w:p w:rsidR="002B6745" w:rsidRPr="003A2934" w:rsidRDefault="002B6745" w:rsidP="008C401B">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73</w:t>
            </w:r>
          </w:p>
        </w:tc>
        <w:tc>
          <w:tcPr>
            <w:tcW w:w="1170" w:type="dxa"/>
            <w:tcBorders>
              <w:top w:val="single" w:sz="2" w:space="0" w:color="auto"/>
              <w:left w:val="nil"/>
              <w:bottom w:val="single" w:sz="2" w:space="0" w:color="auto"/>
              <w:right w:val="nil"/>
            </w:tcBorders>
            <w:shd w:val="clear" w:color="auto" w:fill="auto"/>
            <w:noWrap/>
            <w:vAlign w:val="center"/>
          </w:tcPr>
          <w:p w:rsidR="002B6745" w:rsidRPr="003A2934" w:rsidRDefault="002B6745" w:rsidP="00A47BD5">
            <w:pPr>
              <w:spacing w:after="0"/>
              <w:ind w:firstLine="0"/>
              <w:jc w:val="right"/>
              <w:rPr>
                <w:rFonts w:ascii="Arial Narrow" w:hAnsi="Arial Narrow"/>
                <w:sz w:val="18"/>
                <w:szCs w:val="18"/>
                <w:lang w:val="es-ES" w:eastAsia="es-ES"/>
              </w:rPr>
            </w:pP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Gastos corrientes  (1 a 4)</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66.789</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66.666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Gastos de funcionamiento (1, 2 y 4)</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66.778</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66.656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Carga financiera (3 y 9)</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23</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105</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35</w:t>
            </w:r>
            <w:r>
              <w:rPr>
                <w:rFonts w:ascii="Arial Narrow" w:hAnsi="Arial Narrow"/>
                <w:sz w:val="18"/>
                <w:szCs w:val="18"/>
                <w:lang w:val="es-ES" w:eastAsia="es-ES"/>
              </w:rPr>
              <w:t>7</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Gastos en inversiones (6 y 7)</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4.644</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3.796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-18</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Gastos op</w:t>
            </w:r>
            <w:r>
              <w:rPr>
                <w:rFonts w:ascii="Arial Narrow" w:hAnsi="Arial Narrow"/>
                <w:sz w:val="18"/>
                <w:szCs w:val="18"/>
                <w:lang w:val="es-ES" w:eastAsia="es-ES"/>
              </w:rPr>
              <w:t>eraciones</w:t>
            </w:r>
            <w:r w:rsidRPr="003A2934">
              <w:rPr>
                <w:rFonts w:ascii="Arial Narrow" w:hAnsi="Arial Narrow"/>
                <w:sz w:val="18"/>
                <w:szCs w:val="18"/>
                <w:lang w:val="es-ES" w:eastAsia="es-ES"/>
              </w:rPr>
              <w:t xml:space="preserve"> </w:t>
            </w:r>
            <w:r>
              <w:rPr>
                <w:rFonts w:ascii="Arial Narrow" w:hAnsi="Arial Narrow"/>
                <w:sz w:val="18"/>
                <w:szCs w:val="18"/>
                <w:lang w:val="es-ES" w:eastAsia="es-ES"/>
              </w:rPr>
              <w:t>f</w:t>
            </w:r>
            <w:r w:rsidRPr="003A2934">
              <w:rPr>
                <w:rFonts w:ascii="Arial Narrow" w:hAnsi="Arial Narrow"/>
                <w:sz w:val="18"/>
                <w:szCs w:val="18"/>
                <w:lang w:val="es-ES" w:eastAsia="es-ES"/>
              </w:rPr>
              <w:t>inancieras (8 y 9)</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12</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96</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700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xml:space="preserve">Ingresos </w:t>
            </w:r>
            <w:r>
              <w:rPr>
                <w:rFonts w:ascii="Arial Narrow" w:hAnsi="Arial Narrow"/>
                <w:sz w:val="18"/>
                <w:szCs w:val="18"/>
                <w:lang w:val="es-ES" w:eastAsia="es-ES"/>
              </w:rPr>
              <w:t>por tasas, precios públicos y otros (3)</w:t>
            </w:r>
          </w:p>
        </w:tc>
        <w:tc>
          <w:tcPr>
            <w:tcW w:w="1390"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13.813</w:t>
            </w:r>
          </w:p>
        </w:tc>
        <w:tc>
          <w:tcPr>
            <w:tcW w:w="904" w:type="dxa"/>
            <w:tcBorders>
              <w:top w:val="single" w:sz="2" w:space="0" w:color="auto"/>
              <w:left w:val="nil"/>
              <w:bottom w:val="single" w:sz="2"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15.144</w:t>
            </w:r>
          </w:p>
        </w:tc>
        <w:tc>
          <w:tcPr>
            <w:tcW w:w="1170" w:type="dxa"/>
            <w:tcBorders>
              <w:top w:val="single" w:sz="2" w:space="0" w:color="auto"/>
              <w:left w:val="nil"/>
              <w:bottom w:val="single" w:sz="2" w:space="0" w:color="auto"/>
              <w:right w:val="nil"/>
            </w:tcBorders>
            <w:shd w:val="clear" w:color="auto" w:fill="auto"/>
            <w:noWrap/>
            <w:vAlign w:val="center"/>
          </w:tcPr>
          <w:p w:rsidR="002B6745" w:rsidRPr="003A2934" w:rsidRDefault="002B6745" w:rsidP="00A47BD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w:t>
            </w:r>
          </w:p>
        </w:tc>
      </w:tr>
      <w:tr w:rsidR="002B6745" w:rsidRPr="00BB2F69" w:rsidTr="005F6E05">
        <w:trPr>
          <w:trHeight w:val="284"/>
          <w:jc w:val="center"/>
        </w:trPr>
        <w:tc>
          <w:tcPr>
            <w:tcW w:w="5327" w:type="dxa"/>
            <w:tcBorders>
              <w:top w:val="single" w:sz="2" w:space="0" w:color="auto"/>
              <w:left w:val="nil"/>
              <w:bottom w:val="single" w:sz="4" w:space="0" w:color="auto"/>
              <w:right w:val="nil"/>
            </w:tcBorders>
            <w:shd w:val="clear" w:color="auto" w:fill="auto"/>
            <w:noWrap/>
            <w:vAlign w:val="center"/>
          </w:tcPr>
          <w:p w:rsidR="002B6745" w:rsidRPr="00161184" w:rsidRDefault="002B6745" w:rsidP="00842F6C">
            <w:pPr>
              <w:spacing w:after="0"/>
              <w:ind w:firstLine="0"/>
              <w:jc w:val="left"/>
              <w:rPr>
                <w:rFonts w:ascii="Arial Narrow" w:hAnsi="Arial Narrow"/>
                <w:sz w:val="18"/>
                <w:szCs w:val="18"/>
                <w:lang w:val="es-ES" w:eastAsia="es-ES"/>
              </w:rPr>
            </w:pPr>
            <w:r w:rsidRPr="00161184">
              <w:rPr>
                <w:rFonts w:ascii="Arial Narrow" w:hAnsi="Arial Narrow"/>
                <w:sz w:val="18"/>
                <w:szCs w:val="18"/>
                <w:lang w:val="es-ES" w:eastAsia="es-ES"/>
              </w:rPr>
              <w:t>% ingresos por tasas sobre gastos corrientes</w:t>
            </w:r>
          </w:p>
        </w:tc>
        <w:tc>
          <w:tcPr>
            <w:tcW w:w="1390" w:type="dxa"/>
            <w:tcBorders>
              <w:top w:val="single" w:sz="2" w:space="0" w:color="auto"/>
              <w:left w:val="nil"/>
              <w:bottom w:val="single" w:sz="4"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21</w:t>
            </w:r>
          </w:p>
        </w:tc>
        <w:tc>
          <w:tcPr>
            <w:tcW w:w="904" w:type="dxa"/>
            <w:tcBorders>
              <w:top w:val="single" w:sz="2" w:space="0" w:color="auto"/>
              <w:left w:val="nil"/>
              <w:bottom w:val="single" w:sz="4" w:space="0" w:color="auto"/>
              <w:right w:val="nil"/>
            </w:tcBorders>
            <w:shd w:val="clear" w:color="auto" w:fill="auto"/>
            <w:noWrap/>
            <w:vAlign w:val="center"/>
          </w:tcPr>
          <w:p w:rsidR="002B6745" w:rsidRPr="003A2934" w:rsidRDefault="002B6745"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23</w:t>
            </w:r>
          </w:p>
        </w:tc>
        <w:tc>
          <w:tcPr>
            <w:tcW w:w="1170" w:type="dxa"/>
            <w:tcBorders>
              <w:top w:val="single" w:sz="2" w:space="0" w:color="auto"/>
              <w:left w:val="nil"/>
              <w:bottom w:val="single" w:sz="4" w:space="0" w:color="auto"/>
              <w:right w:val="nil"/>
            </w:tcBorders>
            <w:shd w:val="clear" w:color="auto" w:fill="auto"/>
            <w:noWrap/>
            <w:vAlign w:val="center"/>
          </w:tcPr>
          <w:p w:rsidR="002B6745" w:rsidRDefault="002B6745" w:rsidP="00A47BD5">
            <w:pPr>
              <w:spacing w:after="0"/>
              <w:ind w:firstLine="0"/>
              <w:jc w:val="right"/>
              <w:rPr>
                <w:rFonts w:ascii="Arial Narrow" w:hAnsi="Arial Narrow"/>
                <w:sz w:val="18"/>
                <w:szCs w:val="18"/>
                <w:lang w:val="es-ES" w:eastAsia="es-ES"/>
              </w:rPr>
            </w:pPr>
          </w:p>
        </w:tc>
      </w:tr>
      <w:tr w:rsidR="00E130CE" w:rsidRPr="00BB2F69" w:rsidTr="000A4C01">
        <w:trPr>
          <w:trHeight w:val="284"/>
          <w:jc w:val="center"/>
        </w:trPr>
        <w:tc>
          <w:tcPr>
            <w:tcW w:w="5327" w:type="dxa"/>
            <w:tcBorders>
              <w:top w:val="single" w:sz="4" w:space="0" w:color="auto"/>
              <w:left w:val="nil"/>
              <w:bottom w:val="single" w:sz="4" w:space="0" w:color="auto"/>
              <w:right w:val="nil"/>
            </w:tcBorders>
            <w:shd w:val="clear" w:color="auto" w:fill="A8CBEE" w:themeFill="accent2" w:themeFillTint="66"/>
            <w:noWrap/>
            <w:vAlign w:val="center"/>
            <w:hideMark/>
          </w:tcPr>
          <w:p w:rsidR="00E130CE" w:rsidRPr="003A2934" w:rsidRDefault="00E130CE" w:rsidP="00E130CE">
            <w:pPr>
              <w:spacing w:after="0"/>
              <w:ind w:left="50"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lastRenderedPageBreak/>
              <w:t>I</w:t>
            </w:r>
            <w:r w:rsidRPr="003A2934">
              <w:rPr>
                <w:rFonts w:ascii="Arial" w:hAnsi="Arial" w:cs="Arial"/>
                <w:bCs/>
                <w:color w:val="000000"/>
                <w:sz w:val="18"/>
                <w:szCs w:val="18"/>
                <w:lang w:val="es-ES" w:eastAsia="es-ES"/>
              </w:rPr>
              <w:t>ndicadores y magnitudes (en miles de euros)</w:t>
            </w:r>
          </w:p>
        </w:tc>
        <w:tc>
          <w:tcPr>
            <w:tcW w:w="1390" w:type="dxa"/>
            <w:tcBorders>
              <w:top w:val="single" w:sz="4" w:space="0" w:color="auto"/>
              <w:left w:val="nil"/>
              <w:bottom w:val="single" w:sz="4" w:space="0" w:color="auto"/>
              <w:right w:val="nil"/>
            </w:tcBorders>
            <w:shd w:val="clear" w:color="auto" w:fill="A8CBEE" w:themeFill="accent2" w:themeFillTint="66"/>
            <w:noWrap/>
            <w:vAlign w:val="center"/>
          </w:tcPr>
          <w:p w:rsidR="00E130CE" w:rsidRPr="003A2934" w:rsidRDefault="00E130CE" w:rsidP="00E130CE">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2013</w:t>
            </w:r>
          </w:p>
        </w:tc>
        <w:tc>
          <w:tcPr>
            <w:tcW w:w="904" w:type="dxa"/>
            <w:tcBorders>
              <w:top w:val="single" w:sz="4" w:space="0" w:color="auto"/>
              <w:left w:val="nil"/>
              <w:bottom w:val="single" w:sz="4" w:space="0" w:color="auto"/>
              <w:right w:val="nil"/>
            </w:tcBorders>
            <w:shd w:val="clear" w:color="auto" w:fill="A8CBEE" w:themeFill="accent2" w:themeFillTint="66"/>
            <w:noWrap/>
            <w:vAlign w:val="center"/>
          </w:tcPr>
          <w:p w:rsidR="00E130CE" w:rsidRPr="003A2934" w:rsidRDefault="00E130CE" w:rsidP="00E130CE">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2014</w:t>
            </w:r>
          </w:p>
        </w:tc>
        <w:tc>
          <w:tcPr>
            <w:tcW w:w="1170" w:type="dxa"/>
            <w:tcBorders>
              <w:top w:val="single" w:sz="4" w:space="0" w:color="auto"/>
              <w:left w:val="nil"/>
              <w:bottom w:val="single" w:sz="4" w:space="0" w:color="auto"/>
              <w:right w:val="nil"/>
            </w:tcBorders>
            <w:shd w:val="clear" w:color="auto" w:fill="A8CBEE" w:themeFill="accent2" w:themeFillTint="66"/>
            <w:vAlign w:val="center"/>
            <w:hideMark/>
          </w:tcPr>
          <w:p w:rsidR="00E130CE" w:rsidRPr="003A2934" w:rsidRDefault="00E130CE" w:rsidP="00E130CE">
            <w:pPr>
              <w:spacing w:after="0"/>
              <w:ind w:left="50"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%Variación 2014/13</w:t>
            </w:r>
          </w:p>
        </w:tc>
      </w:tr>
      <w:tr w:rsidR="002B6745" w:rsidRPr="00BB2F69" w:rsidTr="005F6E05">
        <w:trPr>
          <w:trHeight w:val="284"/>
          <w:jc w:val="center"/>
        </w:trPr>
        <w:tc>
          <w:tcPr>
            <w:tcW w:w="5327"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Ingresos corrientes (3 a 5)</w:t>
            </w:r>
          </w:p>
        </w:tc>
        <w:tc>
          <w:tcPr>
            <w:tcW w:w="1390"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70.104</w:t>
            </w:r>
          </w:p>
        </w:tc>
        <w:tc>
          <w:tcPr>
            <w:tcW w:w="904"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71.704</w:t>
            </w:r>
          </w:p>
        </w:tc>
        <w:tc>
          <w:tcPr>
            <w:tcW w:w="1170" w:type="dxa"/>
            <w:tcBorders>
              <w:top w:val="single" w:sz="4"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ingresos por transferencias sobre el total de ingresos</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80</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79</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Ingresos oper</w:t>
            </w:r>
            <w:r>
              <w:rPr>
                <w:rFonts w:ascii="Arial Narrow" w:hAnsi="Arial Narrow"/>
                <w:sz w:val="18"/>
                <w:szCs w:val="18"/>
                <w:lang w:val="es-ES" w:eastAsia="es-ES"/>
              </w:rPr>
              <w:t>aciones financi</w:t>
            </w:r>
            <w:r w:rsidRPr="003A2934">
              <w:rPr>
                <w:rFonts w:ascii="Arial Narrow" w:hAnsi="Arial Narrow"/>
                <w:sz w:val="18"/>
                <w:szCs w:val="18"/>
                <w:lang w:val="es-ES" w:eastAsia="es-ES"/>
              </w:rPr>
              <w:t>eras (8 y 9)</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39</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w:t>
            </w:r>
            <w:r>
              <w:rPr>
                <w:rFonts w:ascii="Arial Narrow" w:hAnsi="Arial Narrow"/>
                <w:sz w:val="18"/>
                <w:szCs w:val="18"/>
                <w:lang w:val="es-ES" w:eastAsia="es-ES"/>
              </w:rPr>
              <w:t>.</w:t>
            </w:r>
            <w:r w:rsidRPr="003A2934">
              <w:rPr>
                <w:rFonts w:ascii="Arial Narrow" w:hAnsi="Arial Narrow"/>
                <w:sz w:val="18"/>
                <w:szCs w:val="18"/>
                <w:lang w:val="es-ES" w:eastAsia="es-ES"/>
              </w:rPr>
              <w:t>800</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Ahorro bruto</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3.327</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5.049</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5</w:t>
            </w:r>
            <w:r>
              <w:rPr>
                <w:rFonts w:ascii="Arial Narrow" w:hAnsi="Arial Narrow"/>
                <w:sz w:val="18"/>
                <w:szCs w:val="18"/>
                <w:lang w:val="es-ES" w:eastAsia="es-ES"/>
              </w:rPr>
              <w:t>2</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Carga financiera (cap. 3 y 9 de gastos)</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23</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105</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35</w:t>
            </w:r>
            <w:r>
              <w:rPr>
                <w:rFonts w:ascii="Arial Narrow" w:hAnsi="Arial Narrow"/>
                <w:sz w:val="18"/>
                <w:szCs w:val="18"/>
                <w:lang w:val="es-ES" w:eastAsia="es-ES"/>
              </w:rPr>
              <w:t>7</w:t>
            </w:r>
          </w:p>
        </w:tc>
      </w:tr>
      <w:tr w:rsidR="002B6745"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Ahorro neto</w:t>
            </w:r>
          </w:p>
        </w:tc>
        <w:tc>
          <w:tcPr>
            <w:tcW w:w="139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3.30</w:t>
            </w:r>
            <w:r>
              <w:rPr>
                <w:rFonts w:ascii="Arial Narrow" w:hAnsi="Arial Narrow"/>
                <w:sz w:val="18"/>
                <w:szCs w:val="18"/>
                <w:lang w:val="es-ES" w:eastAsia="es-ES"/>
              </w:rPr>
              <w:t>4</w:t>
            </w:r>
          </w:p>
        </w:tc>
        <w:tc>
          <w:tcPr>
            <w:tcW w:w="904"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4.94</w:t>
            </w:r>
            <w:r>
              <w:rPr>
                <w:rFonts w:ascii="Arial Narrow" w:hAnsi="Arial Narrow"/>
                <w:sz w:val="18"/>
                <w:szCs w:val="18"/>
                <w:lang w:val="es-ES" w:eastAsia="es-ES"/>
              </w:rPr>
              <w:t>4</w:t>
            </w:r>
          </w:p>
        </w:tc>
        <w:tc>
          <w:tcPr>
            <w:tcW w:w="1170" w:type="dxa"/>
            <w:tcBorders>
              <w:top w:val="single" w:sz="2" w:space="0" w:color="auto"/>
              <w:left w:val="nil"/>
              <w:bottom w:val="single" w:sz="2" w:space="0" w:color="auto"/>
              <w:right w:val="nil"/>
            </w:tcBorders>
            <w:shd w:val="clear" w:color="auto" w:fill="auto"/>
            <w:noWrap/>
            <w:vAlign w:val="center"/>
            <w:hideMark/>
          </w:tcPr>
          <w:p w:rsidR="002B6745" w:rsidRPr="003A2934" w:rsidRDefault="002B6745" w:rsidP="00A47BD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50</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B60A2D" w:rsidRPr="003A2934" w:rsidRDefault="00B60A2D" w:rsidP="006431B3">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Saldo Pr</w:t>
            </w:r>
            <w:r>
              <w:rPr>
                <w:rFonts w:ascii="Arial Narrow" w:hAnsi="Arial Narrow"/>
                <w:sz w:val="18"/>
                <w:szCs w:val="18"/>
                <w:lang w:val="es-ES" w:eastAsia="es-ES"/>
              </w:rPr>
              <w:t xml:space="preserve">esupuestario No Financiero </w:t>
            </w:r>
          </w:p>
        </w:tc>
        <w:tc>
          <w:tcPr>
            <w:tcW w:w="1390" w:type="dxa"/>
            <w:tcBorders>
              <w:top w:val="single" w:sz="2" w:space="0" w:color="auto"/>
              <w:left w:val="nil"/>
              <w:bottom w:val="single" w:sz="2" w:space="0" w:color="auto"/>
              <w:right w:val="nil"/>
            </w:tcBorders>
            <w:shd w:val="clear" w:color="auto" w:fill="auto"/>
            <w:noWrap/>
            <w:vAlign w:val="center"/>
          </w:tcPr>
          <w:p w:rsidR="00B60A2D" w:rsidRPr="003A2934" w:rsidRDefault="00B60A2D" w:rsidP="006431B3">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-1.328</w:t>
            </w:r>
          </w:p>
        </w:tc>
        <w:tc>
          <w:tcPr>
            <w:tcW w:w="904" w:type="dxa"/>
            <w:tcBorders>
              <w:top w:val="single" w:sz="2" w:space="0" w:color="auto"/>
              <w:left w:val="nil"/>
              <w:bottom w:val="single" w:sz="2" w:space="0" w:color="auto"/>
              <w:right w:val="nil"/>
            </w:tcBorders>
            <w:shd w:val="clear" w:color="auto" w:fill="auto"/>
            <w:noWrap/>
            <w:vAlign w:val="center"/>
          </w:tcPr>
          <w:p w:rsidR="00B60A2D" w:rsidRPr="003A2934" w:rsidRDefault="00B60A2D" w:rsidP="006431B3">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1.242</w:t>
            </w:r>
          </w:p>
        </w:tc>
        <w:tc>
          <w:tcPr>
            <w:tcW w:w="1170" w:type="dxa"/>
            <w:tcBorders>
              <w:top w:val="single" w:sz="2" w:space="0" w:color="auto"/>
              <w:left w:val="nil"/>
              <w:bottom w:val="single" w:sz="2" w:space="0" w:color="auto"/>
              <w:right w:val="nil"/>
            </w:tcBorders>
            <w:shd w:val="clear" w:color="auto" w:fill="auto"/>
            <w:noWrap/>
            <w:vAlign w:val="center"/>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19</w:t>
            </w:r>
            <w:r>
              <w:rPr>
                <w:rFonts w:ascii="Arial Narrow" w:hAnsi="Arial Narrow"/>
                <w:sz w:val="18"/>
                <w:szCs w:val="18"/>
                <w:lang w:val="es-ES" w:eastAsia="es-ES"/>
              </w:rPr>
              <w:t>4</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xml:space="preserve">Resultado </w:t>
            </w:r>
            <w:r>
              <w:rPr>
                <w:rFonts w:ascii="Arial Narrow" w:hAnsi="Arial Narrow"/>
                <w:sz w:val="18"/>
                <w:szCs w:val="18"/>
                <w:lang w:val="es-ES" w:eastAsia="es-ES"/>
              </w:rPr>
              <w:t>P</w:t>
            </w:r>
            <w:r w:rsidRPr="003A2934">
              <w:rPr>
                <w:rFonts w:ascii="Arial Narrow" w:hAnsi="Arial Narrow"/>
                <w:sz w:val="18"/>
                <w:szCs w:val="18"/>
                <w:lang w:val="es-ES" w:eastAsia="es-ES"/>
              </w:rPr>
              <w:t>resupuestario</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1.061</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2.059</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94</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Remanente de Tesorería Total</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11.631</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13.116</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w:t>
            </w:r>
            <w:r>
              <w:rPr>
                <w:rFonts w:ascii="Arial Narrow" w:hAnsi="Arial Narrow"/>
                <w:sz w:val="18"/>
                <w:szCs w:val="18"/>
                <w:lang w:val="es-ES" w:eastAsia="es-ES"/>
              </w:rPr>
              <w:t>3</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tcPr>
          <w:p w:rsidR="00B60A2D" w:rsidRPr="003A2934" w:rsidRDefault="00B60A2D" w:rsidP="00842F6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Remanente de Tesorería afectado</w:t>
            </w:r>
          </w:p>
        </w:tc>
        <w:tc>
          <w:tcPr>
            <w:tcW w:w="1390" w:type="dxa"/>
            <w:tcBorders>
              <w:top w:val="single" w:sz="2" w:space="0" w:color="auto"/>
              <w:left w:val="nil"/>
              <w:bottom w:val="single" w:sz="2" w:space="0" w:color="auto"/>
              <w:right w:val="nil"/>
            </w:tcBorders>
            <w:shd w:val="clear" w:color="auto" w:fill="auto"/>
            <w:noWrap/>
            <w:vAlign w:val="center"/>
          </w:tcPr>
          <w:p w:rsidR="00B60A2D" w:rsidRPr="003A2934" w:rsidRDefault="00B60A2D"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7.709</w:t>
            </w:r>
          </w:p>
        </w:tc>
        <w:tc>
          <w:tcPr>
            <w:tcW w:w="904" w:type="dxa"/>
            <w:tcBorders>
              <w:top w:val="single" w:sz="2" w:space="0" w:color="auto"/>
              <w:left w:val="nil"/>
              <w:bottom w:val="single" w:sz="2" w:space="0" w:color="auto"/>
              <w:right w:val="nil"/>
            </w:tcBorders>
            <w:shd w:val="clear" w:color="auto" w:fill="auto"/>
            <w:noWrap/>
            <w:vAlign w:val="center"/>
          </w:tcPr>
          <w:p w:rsidR="00B60A2D" w:rsidRPr="003A2934" w:rsidRDefault="00B60A2D"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6.835</w:t>
            </w:r>
          </w:p>
        </w:tc>
        <w:tc>
          <w:tcPr>
            <w:tcW w:w="1170" w:type="dxa"/>
            <w:tcBorders>
              <w:top w:val="single" w:sz="2" w:space="0" w:color="auto"/>
              <w:left w:val="nil"/>
              <w:bottom w:val="single" w:sz="2" w:space="0" w:color="auto"/>
              <w:right w:val="nil"/>
            </w:tcBorders>
            <w:shd w:val="clear" w:color="auto" w:fill="auto"/>
            <w:noWrap/>
            <w:vAlign w:val="center"/>
          </w:tcPr>
          <w:p w:rsidR="00B60A2D" w:rsidRPr="003A2934" w:rsidRDefault="00B60A2D" w:rsidP="00A47BD5">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-11</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xml:space="preserve">Remanente de Tesorería </w:t>
            </w:r>
            <w:r>
              <w:rPr>
                <w:rFonts w:ascii="Arial Narrow" w:hAnsi="Arial Narrow"/>
                <w:sz w:val="18"/>
                <w:szCs w:val="18"/>
                <w:lang w:val="es-ES" w:eastAsia="es-ES"/>
              </w:rPr>
              <w:t xml:space="preserve">no afectado o </w:t>
            </w:r>
            <w:r w:rsidRPr="003A2934">
              <w:rPr>
                <w:rFonts w:ascii="Arial Narrow" w:hAnsi="Arial Narrow"/>
                <w:sz w:val="18"/>
                <w:szCs w:val="18"/>
                <w:lang w:val="es-ES" w:eastAsia="es-ES"/>
              </w:rPr>
              <w:t>para gastos generales</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3.922</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6.281</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60</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Endeudamiento financiero (largo y corto plazo)</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2.649</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2.592</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-2</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 endeudamiento sobre ingresos corrientes</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FD2E6C" w:rsidP="00FD2E6C">
            <w:pPr>
              <w:spacing w:after="0"/>
              <w:ind w:firstLine="0"/>
              <w:jc w:val="left"/>
              <w:rPr>
                <w:rFonts w:ascii="Arial Narrow" w:hAnsi="Arial Narrow"/>
                <w:sz w:val="18"/>
                <w:szCs w:val="18"/>
                <w:lang w:val="es-ES" w:eastAsia="es-ES"/>
              </w:rPr>
            </w:pPr>
            <w:r>
              <w:rPr>
                <w:rFonts w:ascii="Arial Narrow" w:hAnsi="Arial Narrow"/>
                <w:sz w:val="18"/>
                <w:szCs w:val="18"/>
                <w:lang w:val="es-ES" w:eastAsia="es-ES"/>
              </w:rPr>
              <w:t>Compromisos de gastos presupuestarios</w:t>
            </w:r>
            <w:r w:rsidR="00B60A2D" w:rsidRPr="003A2934">
              <w:rPr>
                <w:rFonts w:ascii="Arial Narrow" w:hAnsi="Arial Narrow"/>
                <w:sz w:val="18"/>
                <w:szCs w:val="18"/>
                <w:lang w:val="es-ES" w:eastAsia="es-ES"/>
              </w:rPr>
              <w:t xml:space="preserve"> para ejercicios futuros</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6.179</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8.06</w:t>
            </w:r>
            <w:r>
              <w:rPr>
                <w:rFonts w:ascii="Arial Narrow" w:hAnsi="Arial Narrow"/>
                <w:sz w:val="18"/>
                <w:szCs w:val="18"/>
                <w:lang w:val="es-ES" w:eastAsia="es-ES"/>
              </w:rPr>
              <w:t>5</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w:t>
            </w:r>
            <w:r>
              <w:rPr>
                <w:rFonts w:ascii="Arial Narrow" w:hAnsi="Arial Narrow"/>
                <w:sz w:val="18"/>
                <w:szCs w:val="18"/>
                <w:lang w:val="es-ES" w:eastAsia="es-ES"/>
              </w:rPr>
              <w:t>1</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Tesorería</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4.230</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3.654</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w:t>
            </w:r>
            <w:r>
              <w:rPr>
                <w:rFonts w:ascii="Arial Narrow" w:hAnsi="Arial Narrow"/>
                <w:sz w:val="18"/>
                <w:szCs w:val="18"/>
                <w:lang w:val="es-ES" w:eastAsia="es-ES"/>
              </w:rPr>
              <w:t>4</w:t>
            </w:r>
          </w:p>
        </w:tc>
      </w:tr>
      <w:tr w:rsidR="00B60A2D" w:rsidRPr="00BB2F69" w:rsidTr="00E130CE">
        <w:trPr>
          <w:trHeight w:val="284"/>
          <w:jc w:val="center"/>
        </w:trPr>
        <w:tc>
          <w:tcPr>
            <w:tcW w:w="5327"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Inversiones financieras temporales</w:t>
            </w:r>
          </w:p>
        </w:tc>
        <w:tc>
          <w:tcPr>
            <w:tcW w:w="139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8.000</w:t>
            </w:r>
          </w:p>
        </w:tc>
        <w:tc>
          <w:tcPr>
            <w:tcW w:w="904"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513C54">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11.</w:t>
            </w:r>
            <w:r w:rsidR="00513C54">
              <w:rPr>
                <w:rFonts w:ascii="Arial Narrow" w:hAnsi="Arial Narrow"/>
                <w:sz w:val="18"/>
                <w:szCs w:val="18"/>
                <w:lang w:val="es-ES" w:eastAsia="es-ES"/>
              </w:rPr>
              <w:t>5</w:t>
            </w:r>
            <w:r w:rsidRPr="003A2934">
              <w:rPr>
                <w:rFonts w:ascii="Arial Narrow" w:hAnsi="Arial Narrow"/>
                <w:sz w:val="18"/>
                <w:szCs w:val="18"/>
                <w:lang w:val="es-ES" w:eastAsia="es-ES"/>
              </w:rPr>
              <w:t>00</w:t>
            </w:r>
          </w:p>
        </w:tc>
        <w:tc>
          <w:tcPr>
            <w:tcW w:w="1170" w:type="dxa"/>
            <w:tcBorders>
              <w:top w:val="single" w:sz="2" w:space="0" w:color="auto"/>
              <w:left w:val="nil"/>
              <w:bottom w:val="single" w:sz="2"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4</w:t>
            </w:r>
            <w:r>
              <w:rPr>
                <w:rFonts w:ascii="Arial Narrow" w:hAnsi="Arial Narrow"/>
                <w:sz w:val="18"/>
                <w:szCs w:val="18"/>
                <w:lang w:val="es-ES" w:eastAsia="es-ES"/>
              </w:rPr>
              <w:t>4</w:t>
            </w:r>
          </w:p>
        </w:tc>
      </w:tr>
      <w:tr w:rsidR="00B60A2D" w:rsidRPr="00BB2F69" w:rsidTr="00E130CE">
        <w:trPr>
          <w:trHeight w:val="284"/>
          <w:jc w:val="center"/>
        </w:trPr>
        <w:tc>
          <w:tcPr>
            <w:tcW w:w="5327"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842F6C">
            <w:pPr>
              <w:spacing w:after="0"/>
              <w:ind w:firstLine="0"/>
              <w:jc w:val="left"/>
              <w:rPr>
                <w:rFonts w:ascii="Arial Narrow" w:hAnsi="Arial Narrow"/>
                <w:sz w:val="18"/>
                <w:szCs w:val="18"/>
                <w:lang w:val="es-ES" w:eastAsia="es-ES"/>
              </w:rPr>
            </w:pPr>
            <w:r w:rsidRPr="003A2934">
              <w:rPr>
                <w:rFonts w:ascii="Arial Narrow" w:hAnsi="Arial Narrow"/>
                <w:sz w:val="18"/>
                <w:szCs w:val="18"/>
                <w:lang w:val="es-ES" w:eastAsia="es-ES"/>
              </w:rPr>
              <w:t>Fondo de Maniobra</w:t>
            </w:r>
          </w:p>
        </w:tc>
        <w:tc>
          <w:tcPr>
            <w:tcW w:w="1390"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11.535</w:t>
            </w:r>
          </w:p>
        </w:tc>
        <w:tc>
          <w:tcPr>
            <w:tcW w:w="904"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842F6C">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12.939</w:t>
            </w:r>
          </w:p>
        </w:tc>
        <w:tc>
          <w:tcPr>
            <w:tcW w:w="1170" w:type="dxa"/>
            <w:tcBorders>
              <w:top w:val="single" w:sz="2" w:space="0" w:color="auto"/>
              <w:left w:val="nil"/>
              <w:bottom w:val="single" w:sz="4" w:space="0" w:color="auto"/>
              <w:right w:val="nil"/>
            </w:tcBorders>
            <w:shd w:val="clear" w:color="auto" w:fill="auto"/>
            <w:noWrap/>
            <w:vAlign w:val="center"/>
            <w:hideMark/>
          </w:tcPr>
          <w:p w:rsidR="00B60A2D" w:rsidRPr="003A2934" w:rsidRDefault="00B60A2D" w:rsidP="00A47BD5">
            <w:pPr>
              <w:spacing w:after="0"/>
              <w:ind w:firstLine="0"/>
              <w:jc w:val="right"/>
              <w:rPr>
                <w:rFonts w:ascii="Arial Narrow" w:hAnsi="Arial Narrow"/>
                <w:sz w:val="18"/>
                <w:szCs w:val="18"/>
                <w:lang w:val="es-ES" w:eastAsia="es-ES"/>
              </w:rPr>
            </w:pPr>
            <w:r w:rsidRPr="003A2934">
              <w:rPr>
                <w:rFonts w:ascii="Arial Narrow" w:hAnsi="Arial Narrow"/>
                <w:sz w:val="18"/>
                <w:szCs w:val="18"/>
                <w:lang w:val="es-ES" w:eastAsia="es-ES"/>
              </w:rPr>
              <w:t>12</w:t>
            </w:r>
          </w:p>
        </w:tc>
      </w:tr>
    </w:tbl>
    <w:p w:rsidR="00BA0547" w:rsidRDefault="00BA0547" w:rsidP="00A47BD5">
      <w:pPr>
        <w:pStyle w:val="texto"/>
        <w:tabs>
          <w:tab w:val="clear" w:pos="2835"/>
          <w:tab w:val="clear" w:pos="3969"/>
          <w:tab w:val="clear" w:pos="5103"/>
          <w:tab w:val="clear" w:pos="6237"/>
          <w:tab w:val="clear" w:pos="7371"/>
          <w:tab w:val="num" w:pos="300"/>
          <w:tab w:val="num" w:pos="720"/>
        </w:tabs>
        <w:spacing w:after="0"/>
        <w:rPr>
          <w:szCs w:val="26"/>
        </w:rPr>
      </w:pPr>
    </w:p>
    <w:p w:rsidR="006119E4" w:rsidRDefault="006119E4" w:rsidP="005314C6">
      <w:pPr>
        <w:pStyle w:val="texto"/>
        <w:tabs>
          <w:tab w:val="clear" w:pos="2835"/>
          <w:tab w:val="clear" w:pos="3969"/>
          <w:tab w:val="clear" w:pos="5103"/>
          <w:tab w:val="clear" w:pos="6237"/>
          <w:tab w:val="clear" w:pos="7371"/>
          <w:tab w:val="num" w:pos="300"/>
          <w:tab w:val="num" w:pos="720"/>
        </w:tabs>
        <w:rPr>
          <w:szCs w:val="26"/>
        </w:rPr>
      </w:pPr>
      <w:r w:rsidRPr="006119E4">
        <w:rPr>
          <w:szCs w:val="26"/>
        </w:rPr>
        <w:t>De su análisis destacamos básicamente</w:t>
      </w:r>
      <w:r>
        <w:rPr>
          <w:szCs w:val="26"/>
        </w:rPr>
        <w:t xml:space="preserve"> los siguientes aspectos:</w:t>
      </w:r>
    </w:p>
    <w:p w:rsidR="006119E4" w:rsidRDefault="006119E4" w:rsidP="006119E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presupuesto inicial de 2014 es</w:t>
      </w:r>
      <w:r w:rsidR="001C4B7F" w:rsidRPr="001C4B7F">
        <w:rPr>
          <w:szCs w:val="26"/>
        </w:rPr>
        <w:t xml:space="preserve"> </w:t>
      </w:r>
      <w:r w:rsidR="001C4B7F">
        <w:rPr>
          <w:szCs w:val="26"/>
        </w:rPr>
        <w:t>inferior en</w:t>
      </w:r>
      <w:r>
        <w:rPr>
          <w:szCs w:val="26"/>
        </w:rPr>
        <w:t xml:space="preserve"> un cuatro por ciento al del ejercicio anterior; el definitivo ajustado, se reduce en un tres por ciento.</w:t>
      </w:r>
    </w:p>
    <w:p w:rsidR="006119E4" w:rsidRDefault="006119E4" w:rsidP="006119E4">
      <w:pPr>
        <w:pStyle w:val="texto"/>
        <w:tabs>
          <w:tab w:val="clear" w:pos="2835"/>
          <w:tab w:val="clear" w:pos="3969"/>
          <w:tab w:val="clear" w:pos="5103"/>
          <w:tab w:val="clear" w:pos="6237"/>
          <w:tab w:val="clear" w:pos="7371"/>
          <w:tab w:val="num" w:pos="300"/>
          <w:tab w:val="num" w:pos="720"/>
        </w:tabs>
        <w:rPr>
          <w:szCs w:val="26"/>
        </w:rPr>
      </w:pPr>
      <w:r>
        <w:rPr>
          <w:szCs w:val="26"/>
        </w:rPr>
        <w:t>Sobre 2009</w:t>
      </w:r>
      <w:r>
        <w:rPr>
          <w:rStyle w:val="Refdenotaalpie"/>
          <w:szCs w:val="26"/>
        </w:rPr>
        <w:footnoteReference w:id="5"/>
      </w:r>
      <w:r>
        <w:rPr>
          <w:szCs w:val="26"/>
        </w:rPr>
        <w:t>, el presupuesto inicial y el ajustado de 2014 se han reducido</w:t>
      </w:r>
      <w:r w:rsidR="006206DD">
        <w:rPr>
          <w:szCs w:val="26"/>
        </w:rPr>
        <w:t xml:space="preserve">  globalmente</w:t>
      </w:r>
      <w:r>
        <w:rPr>
          <w:szCs w:val="26"/>
        </w:rPr>
        <w:t xml:space="preserve"> en un 11 por ciento –es decir, ocho millones inferior</w:t>
      </w:r>
      <w:r w:rsidR="00A47BD5">
        <w:rPr>
          <w:szCs w:val="26"/>
        </w:rPr>
        <w:t>–</w:t>
      </w:r>
      <w:r>
        <w:rPr>
          <w:szCs w:val="26"/>
        </w:rPr>
        <w:t xml:space="preserve"> y en un 18 por ciento –esto es, prácticamente, 18 millones</w:t>
      </w:r>
      <w:r w:rsidR="00A47BD5">
        <w:rPr>
          <w:szCs w:val="26"/>
        </w:rPr>
        <w:t>–</w:t>
      </w:r>
      <w:r>
        <w:rPr>
          <w:szCs w:val="26"/>
        </w:rPr>
        <w:t>, respectivamente.</w:t>
      </w:r>
    </w:p>
    <w:p w:rsidR="006119E4" w:rsidRDefault="006119E4" w:rsidP="006206D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Las obligaciones reconocidas de 2014 se han reducido, respecto al año a</w:t>
      </w:r>
      <w:r>
        <w:rPr>
          <w:szCs w:val="26"/>
        </w:rPr>
        <w:t>n</w:t>
      </w:r>
      <w:r>
        <w:rPr>
          <w:szCs w:val="26"/>
        </w:rPr>
        <w:t>terior, en un uno por ciento, en tanto que los derechos han aumentado en un dos por ciento.</w:t>
      </w:r>
    </w:p>
    <w:p w:rsidR="006206DD" w:rsidRDefault="006206DD" w:rsidP="006206DD">
      <w:pPr>
        <w:pStyle w:val="texto"/>
        <w:tabs>
          <w:tab w:val="clear" w:pos="2835"/>
          <w:tab w:val="clear" w:pos="3969"/>
          <w:tab w:val="clear" w:pos="5103"/>
          <w:tab w:val="clear" w:pos="6237"/>
          <w:tab w:val="clear" w:pos="7371"/>
          <w:tab w:val="num" w:pos="300"/>
          <w:tab w:val="num" w:pos="720"/>
        </w:tabs>
        <w:rPr>
          <w:szCs w:val="26"/>
        </w:rPr>
      </w:pPr>
      <w:r>
        <w:rPr>
          <w:szCs w:val="26"/>
        </w:rPr>
        <w:t>Sobre datos de 2009, los gastos e ingresos reconocidos se han reducido gl</w:t>
      </w:r>
      <w:r>
        <w:rPr>
          <w:szCs w:val="26"/>
        </w:rPr>
        <w:t>o</w:t>
      </w:r>
      <w:r>
        <w:rPr>
          <w:szCs w:val="26"/>
        </w:rPr>
        <w:t>balmente en un 14 por ciento –es decir, 11 millones menos</w:t>
      </w:r>
      <w:r w:rsidR="00A47BD5">
        <w:rPr>
          <w:szCs w:val="26"/>
        </w:rPr>
        <w:t>–</w:t>
      </w:r>
      <w:r>
        <w:rPr>
          <w:szCs w:val="26"/>
        </w:rPr>
        <w:t xml:space="preserve"> y en un nueve por ciento –esto es, siete millones</w:t>
      </w:r>
      <w:r w:rsidR="00A47BD5">
        <w:rPr>
          <w:szCs w:val="26"/>
        </w:rPr>
        <w:t>–</w:t>
      </w:r>
      <w:r>
        <w:rPr>
          <w:szCs w:val="26"/>
        </w:rPr>
        <w:t>, respectivamente. La reducción de gastos</w:t>
      </w:r>
      <w:r w:rsidR="00A47BD5">
        <w:rPr>
          <w:szCs w:val="26"/>
        </w:rPr>
        <w:t xml:space="preserve"> –</w:t>
      </w:r>
      <w:r>
        <w:rPr>
          <w:szCs w:val="26"/>
        </w:rPr>
        <w:t>aplicable a todos los capítulos</w:t>
      </w:r>
      <w:r w:rsidR="00A47BD5">
        <w:rPr>
          <w:szCs w:val="26"/>
        </w:rPr>
        <w:t>–</w:t>
      </w:r>
      <w:r>
        <w:rPr>
          <w:szCs w:val="26"/>
        </w:rPr>
        <w:t xml:space="preserve"> se explica fundamentalmente en bienes corrie</w:t>
      </w:r>
      <w:r>
        <w:rPr>
          <w:szCs w:val="26"/>
        </w:rPr>
        <w:t>n</w:t>
      </w:r>
      <w:r>
        <w:rPr>
          <w:szCs w:val="26"/>
        </w:rPr>
        <w:t>tes y servicios y en inversiones, con 5,5 y 4,5 millones menos; en ingresos, se observa</w:t>
      </w:r>
      <w:r w:rsidR="00BD19C5">
        <w:rPr>
          <w:szCs w:val="26"/>
        </w:rPr>
        <w:t>, básicamente,</w:t>
      </w:r>
      <w:r>
        <w:rPr>
          <w:szCs w:val="26"/>
        </w:rPr>
        <w:t xml:space="preserve"> una reducción en los de transferencias de 8,</w:t>
      </w:r>
      <w:r w:rsidR="00BD19C5">
        <w:rPr>
          <w:szCs w:val="26"/>
        </w:rPr>
        <w:t>1</w:t>
      </w:r>
      <w:r>
        <w:rPr>
          <w:szCs w:val="26"/>
        </w:rPr>
        <w:t xml:space="preserve"> millones y en un aumento de las tasas de 1,</w:t>
      </w:r>
      <w:r w:rsidR="00BD19C5">
        <w:rPr>
          <w:szCs w:val="26"/>
        </w:rPr>
        <w:t>1</w:t>
      </w:r>
      <w:r>
        <w:rPr>
          <w:szCs w:val="26"/>
        </w:rPr>
        <w:t xml:space="preserve">5 millones. </w:t>
      </w:r>
    </w:p>
    <w:p w:rsidR="00E87FB0" w:rsidRPr="0096490F" w:rsidRDefault="00E87FB0" w:rsidP="00A47BD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lastRenderedPageBreak/>
        <w:t>Los gastos de personal se han incrementado en 2014</w:t>
      </w:r>
      <w:r w:rsidR="00513C54">
        <w:rPr>
          <w:szCs w:val="26"/>
        </w:rPr>
        <w:t>, respecto al ejercicio anterior,</w:t>
      </w:r>
      <w:r>
        <w:rPr>
          <w:szCs w:val="26"/>
        </w:rPr>
        <w:t xml:space="preserve"> </w:t>
      </w:r>
      <w:r w:rsidR="008C401B">
        <w:rPr>
          <w:szCs w:val="26"/>
        </w:rPr>
        <w:t>en</w:t>
      </w:r>
      <w:r>
        <w:rPr>
          <w:szCs w:val="26"/>
        </w:rPr>
        <w:t xml:space="preserve"> un uno por ciento.</w:t>
      </w:r>
      <w:r w:rsidR="0096490F">
        <w:rPr>
          <w:szCs w:val="26"/>
        </w:rPr>
        <w:t xml:space="preserve"> </w:t>
      </w:r>
      <w:r w:rsidRPr="0096490F">
        <w:rPr>
          <w:szCs w:val="26"/>
        </w:rPr>
        <w:t xml:space="preserve">Desde 2009, </w:t>
      </w:r>
      <w:r w:rsidR="0096490F">
        <w:rPr>
          <w:szCs w:val="26"/>
        </w:rPr>
        <w:t>estos</w:t>
      </w:r>
      <w:r w:rsidR="004259B1">
        <w:rPr>
          <w:szCs w:val="26"/>
        </w:rPr>
        <w:t xml:space="preserve"> gastos </w:t>
      </w:r>
      <w:r w:rsidRPr="0096490F">
        <w:rPr>
          <w:szCs w:val="26"/>
        </w:rPr>
        <w:t>presentan la siguiente evolución en miles de euros</w:t>
      </w:r>
      <w:r w:rsidR="00A47BD5">
        <w:rPr>
          <w:szCs w:val="26"/>
        </w:rPr>
        <w:t>.</w:t>
      </w:r>
    </w:p>
    <w:tbl>
      <w:tblPr>
        <w:tblW w:w="8739" w:type="dxa"/>
        <w:jc w:val="center"/>
        <w:tblInd w:w="-139"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39"/>
        <w:gridCol w:w="960"/>
        <w:gridCol w:w="960"/>
        <w:gridCol w:w="960"/>
        <w:gridCol w:w="840"/>
        <w:gridCol w:w="840"/>
        <w:gridCol w:w="840"/>
      </w:tblGrid>
      <w:tr w:rsidR="00E87FB0" w:rsidRPr="00875AC4" w:rsidTr="00A46FE8">
        <w:trPr>
          <w:trHeight w:hRule="exact" w:val="284"/>
          <w:jc w:val="center"/>
        </w:trPr>
        <w:tc>
          <w:tcPr>
            <w:tcW w:w="3339" w:type="dxa"/>
            <w:tcBorders>
              <w:top w:val="single" w:sz="4" w:space="0" w:color="auto"/>
              <w:bottom w:val="single" w:sz="4" w:space="0" w:color="auto"/>
            </w:tcBorders>
            <w:shd w:val="clear" w:color="auto" w:fill="A8CBEE" w:themeFill="accent2" w:themeFillTint="66"/>
            <w:noWrap/>
            <w:vAlign w:val="center"/>
          </w:tcPr>
          <w:p w:rsidR="00E87FB0" w:rsidRPr="00875AC4" w:rsidRDefault="00E87FB0" w:rsidP="008C401B">
            <w:pPr>
              <w:pStyle w:val="cuadroCabe"/>
              <w:rPr>
                <w:lang w:val="es-ES" w:eastAsia="es-ES"/>
              </w:rPr>
            </w:pPr>
            <w:r>
              <w:rPr>
                <w:lang w:val="es-ES" w:eastAsia="es-ES"/>
              </w:rPr>
              <w:t xml:space="preserve">Gastos de personal </w:t>
            </w:r>
          </w:p>
        </w:tc>
        <w:tc>
          <w:tcPr>
            <w:tcW w:w="96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2009</w:t>
            </w:r>
          </w:p>
        </w:tc>
        <w:tc>
          <w:tcPr>
            <w:tcW w:w="96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2010</w:t>
            </w:r>
          </w:p>
        </w:tc>
        <w:tc>
          <w:tcPr>
            <w:tcW w:w="96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2011</w:t>
            </w:r>
          </w:p>
        </w:tc>
        <w:tc>
          <w:tcPr>
            <w:tcW w:w="840" w:type="dxa"/>
            <w:tcBorders>
              <w:top w:val="single" w:sz="4" w:space="0" w:color="auto"/>
              <w:bottom w:val="single" w:sz="4" w:space="0" w:color="auto"/>
            </w:tcBorders>
            <w:shd w:val="clear" w:color="auto" w:fill="A8CBEE" w:themeFill="accent2" w:themeFillTint="66"/>
            <w:noWrap/>
            <w:vAlign w:val="center"/>
          </w:tcPr>
          <w:p w:rsidR="00E87FB0" w:rsidRPr="003A2934" w:rsidRDefault="00E87FB0"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2012</w:t>
            </w:r>
          </w:p>
        </w:tc>
        <w:tc>
          <w:tcPr>
            <w:tcW w:w="840" w:type="dxa"/>
            <w:tcBorders>
              <w:top w:val="single" w:sz="4" w:space="0" w:color="auto"/>
              <w:bottom w:val="single" w:sz="4" w:space="0" w:color="auto"/>
            </w:tcBorders>
            <w:shd w:val="clear" w:color="auto" w:fill="A8CBEE" w:themeFill="accent2" w:themeFillTint="66"/>
            <w:vAlign w:val="center"/>
          </w:tcPr>
          <w:p w:rsidR="00E87FB0" w:rsidRPr="003A2934" w:rsidRDefault="00E87FB0"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2013</w:t>
            </w:r>
          </w:p>
        </w:tc>
        <w:tc>
          <w:tcPr>
            <w:tcW w:w="840" w:type="dxa"/>
            <w:tcBorders>
              <w:top w:val="single" w:sz="4" w:space="0" w:color="auto"/>
              <w:bottom w:val="single" w:sz="4" w:space="0" w:color="auto"/>
            </w:tcBorders>
            <w:shd w:val="clear" w:color="auto" w:fill="A8CBEE" w:themeFill="accent2" w:themeFillTint="66"/>
            <w:vAlign w:val="center"/>
          </w:tcPr>
          <w:p w:rsidR="00E87FB0" w:rsidRPr="003A2934" w:rsidRDefault="00E87FB0"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2014</w:t>
            </w:r>
          </w:p>
        </w:tc>
      </w:tr>
      <w:tr w:rsidR="00E87FB0" w:rsidRPr="00134033" w:rsidTr="00A47BD5">
        <w:trPr>
          <w:trHeight w:hRule="exact" w:val="284"/>
          <w:jc w:val="center"/>
        </w:trPr>
        <w:tc>
          <w:tcPr>
            <w:tcW w:w="3339" w:type="dxa"/>
            <w:tcBorders>
              <w:top w:val="single" w:sz="4" w:space="0" w:color="auto"/>
              <w:bottom w:val="single" w:sz="2" w:space="0" w:color="auto"/>
            </w:tcBorders>
            <w:shd w:val="clear" w:color="auto" w:fill="auto"/>
            <w:noWrap/>
            <w:vAlign w:val="center"/>
          </w:tcPr>
          <w:p w:rsidR="00E87FB0" w:rsidRPr="00134033" w:rsidRDefault="00E87FB0" w:rsidP="008C401B">
            <w:pPr>
              <w:spacing w:after="0"/>
              <w:ind w:firstLine="0"/>
              <w:jc w:val="left"/>
              <w:rPr>
                <w:rFonts w:ascii="Arial Narrow" w:hAnsi="Arial Narrow" w:cs="Arial"/>
                <w:lang w:val="es-ES" w:eastAsia="es-ES"/>
              </w:rPr>
            </w:pPr>
            <w:r w:rsidRPr="00134033">
              <w:rPr>
                <w:rFonts w:ascii="Arial Narrow" w:hAnsi="Arial Narrow" w:cs="Arial"/>
                <w:lang w:val="es-ES" w:eastAsia="es-ES"/>
              </w:rPr>
              <w:t xml:space="preserve">Importe </w:t>
            </w:r>
            <w:r w:rsidR="00943F97" w:rsidRPr="00134033">
              <w:rPr>
                <w:rFonts w:ascii="Arial Narrow" w:hAnsi="Arial Narrow" w:cs="Arial"/>
                <w:lang w:val="es-ES" w:eastAsia="es-ES"/>
              </w:rPr>
              <w:t xml:space="preserve">Gastos </w:t>
            </w:r>
            <w:r w:rsidRPr="00134033">
              <w:rPr>
                <w:rFonts w:ascii="Arial Narrow" w:hAnsi="Arial Narrow" w:cs="Arial"/>
                <w:lang w:val="es-ES" w:eastAsia="es-ES"/>
              </w:rPr>
              <w:t>Personal</w:t>
            </w:r>
          </w:p>
        </w:tc>
        <w:tc>
          <w:tcPr>
            <w:tcW w:w="96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52.345</w:t>
            </w:r>
          </w:p>
        </w:tc>
        <w:tc>
          <w:tcPr>
            <w:tcW w:w="96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52.064</w:t>
            </w:r>
          </w:p>
        </w:tc>
        <w:tc>
          <w:tcPr>
            <w:tcW w:w="96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51.595</w:t>
            </w:r>
          </w:p>
        </w:tc>
        <w:tc>
          <w:tcPr>
            <w:tcW w:w="840" w:type="dxa"/>
            <w:tcBorders>
              <w:top w:val="single" w:sz="4" w:space="0" w:color="auto"/>
              <w:bottom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49.828</w:t>
            </w:r>
          </w:p>
        </w:tc>
        <w:tc>
          <w:tcPr>
            <w:tcW w:w="840" w:type="dxa"/>
            <w:tcBorders>
              <w:top w:val="single" w:sz="4" w:space="0" w:color="auto"/>
              <w:bottom w:val="single" w:sz="2" w:space="0" w:color="auto"/>
            </w:tcBorders>
            <w:vAlign w:val="center"/>
          </w:tcPr>
          <w:p w:rsidR="00E87FB0" w:rsidRPr="00134033" w:rsidRDefault="00E87FB0"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51.320</w:t>
            </w:r>
          </w:p>
        </w:tc>
        <w:tc>
          <w:tcPr>
            <w:tcW w:w="840" w:type="dxa"/>
            <w:tcBorders>
              <w:top w:val="single" w:sz="4" w:space="0" w:color="auto"/>
              <w:bottom w:val="single" w:sz="2" w:space="0" w:color="auto"/>
            </w:tcBorders>
            <w:vAlign w:val="center"/>
          </w:tcPr>
          <w:p w:rsidR="00E87FB0" w:rsidRPr="00134033" w:rsidRDefault="00E87FB0"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51.650</w:t>
            </w:r>
          </w:p>
        </w:tc>
      </w:tr>
      <w:tr w:rsidR="00E87FB0" w:rsidRPr="00134033" w:rsidTr="00A47BD5">
        <w:trPr>
          <w:trHeight w:hRule="exact" w:val="284"/>
          <w:jc w:val="center"/>
        </w:trPr>
        <w:tc>
          <w:tcPr>
            <w:tcW w:w="3339" w:type="dxa"/>
            <w:tcBorders>
              <w:top w:val="single" w:sz="2" w:space="0" w:color="auto"/>
              <w:bottom w:val="single" w:sz="2" w:space="0" w:color="auto"/>
            </w:tcBorders>
            <w:shd w:val="clear" w:color="auto" w:fill="auto"/>
            <w:noWrap/>
            <w:vAlign w:val="center"/>
          </w:tcPr>
          <w:p w:rsidR="00E87FB0" w:rsidRPr="00134033" w:rsidRDefault="00080099" w:rsidP="008C401B">
            <w:pPr>
              <w:spacing w:after="0"/>
              <w:ind w:firstLine="0"/>
              <w:jc w:val="left"/>
              <w:rPr>
                <w:rFonts w:ascii="Arial Narrow" w:hAnsi="Arial Narrow"/>
                <w:lang w:val="es-ES" w:eastAsia="es-ES"/>
              </w:rPr>
            </w:pPr>
            <w:r w:rsidRPr="00134033">
              <w:rPr>
                <w:rFonts w:ascii="Arial Narrow" w:hAnsi="Arial Narrow"/>
                <w:lang w:val="es-ES" w:eastAsia="es-ES"/>
              </w:rPr>
              <w:t>Índice</w:t>
            </w:r>
          </w:p>
        </w:tc>
        <w:tc>
          <w:tcPr>
            <w:tcW w:w="96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100</w:t>
            </w:r>
          </w:p>
        </w:tc>
        <w:tc>
          <w:tcPr>
            <w:tcW w:w="96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99</w:t>
            </w:r>
          </w:p>
        </w:tc>
        <w:tc>
          <w:tcPr>
            <w:tcW w:w="96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9</w:t>
            </w:r>
            <w:r w:rsidR="006375E2" w:rsidRPr="00134033">
              <w:rPr>
                <w:rFonts w:ascii="Arial Narrow" w:hAnsi="Arial Narrow"/>
                <w:lang w:val="es-ES" w:eastAsia="es-ES"/>
              </w:rPr>
              <w:t>8</w:t>
            </w:r>
          </w:p>
        </w:tc>
        <w:tc>
          <w:tcPr>
            <w:tcW w:w="840" w:type="dxa"/>
            <w:tcBorders>
              <w:top w:val="single" w:sz="2" w:space="0" w:color="auto"/>
              <w:bottom w:val="single" w:sz="2" w:space="0" w:color="auto"/>
            </w:tcBorders>
            <w:shd w:val="clear" w:color="auto" w:fill="auto"/>
            <w:noWrap/>
            <w:vAlign w:val="center"/>
          </w:tcPr>
          <w:p w:rsidR="00E87FB0"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95</w:t>
            </w:r>
          </w:p>
        </w:tc>
        <w:tc>
          <w:tcPr>
            <w:tcW w:w="840" w:type="dxa"/>
            <w:tcBorders>
              <w:top w:val="single" w:sz="2" w:space="0" w:color="auto"/>
              <w:bottom w:val="single" w:sz="2" w:space="0" w:color="auto"/>
            </w:tcBorders>
            <w:vAlign w:val="center"/>
          </w:tcPr>
          <w:p w:rsidR="00E87FB0" w:rsidRPr="00134033" w:rsidRDefault="006375E2" w:rsidP="00A47BD5">
            <w:pPr>
              <w:spacing w:after="0"/>
              <w:ind w:firstLine="0"/>
              <w:jc w:val="right"/>
              <w:rPr>
                <w:rFonts w:ascii="Arial Narrow" w:hAnsi="Arial Narrow"/>
                <w:lang w:val="es-ES" w:eastAsia="es-ES"/>
              </w:rPr>
            </w:pPr>
            <w:r w:rsidRPr="00134033">
              <w:rPr>
                <w:rFonts w:ascii="Arial Narrow" w:hAnsi="Arial Narrow"/>
                <w:lang w:val="es-ES" w:eastAsia="es-ES"/>
              </w:rPr>
              <w:t>98</w:t>
            </w:r>
          </w:p>
        </w:tc>
        <w:tc>
          <w:tcPr>
            <w:tcW w:w="840" w:type="dxa"/>
            <w:tcBorders>
              <w:top w:val="single" w:sz="2" w:space="0" w:color="auto"/>
              <w:bottom w:val="single" w:sz="2" w:space="0" w:color="auto"/>
            </w:tcBorders>
            <w:vAlign w:val="center"/>
          </w:tcPr>
          <w:p w:rsidR="00E87FB0" w:rsidRPr="00134033" w:rsidRDefault="006375E2" w:rsidP="00A47BD5">
            <w:pPr>
              <w:spacing w:after="0"/>
              <w:ind w:firstLine="0"/>
              <w:jc w:val="right"/>
              <w:rPr>
                <w:rFonts w:ascii="Arial Narrow" w:hAnsi="Arial Narrow"/>
                <w:lang w:val="es-ES" w:eastAsia="es-ES"/>
              </w:rPr>
            </w:pPr>
            <w:r w:rsidRPr="00134033">
              <w:rPr>
                <w:rFonts w:ascii="Arial Narrow" w:hAnsi="Arial Narrow"/>
                <w:lang w:val="es-ES" w:eastAsia="es-ES"/>
              </w:rPr>
              <w:t>99</w:t>
            </w:r>
          </w:p>
        </w:tc>
      </w:tr>
      <w:tr w:rsidR="00E87FB0" w:rsidRPr="00134033" w:rsidTr="00A47BD5">
        <w:trPr>
          <w:trHeight w:hRule="exact" w:val="284"/>
          <w:jc w:val="center"/>
        </w:trPr>
        <w:tc>
          <w:tcPr>
            <w:tcW w:w="3339" w:type="dxa"/>
            <w:tcBorders>
              <w:top w:val="single" w:sz="2" w:space="0" w:color="auto"/>
            </w:tcBorders>
            <w:shd w:val="clear" w:color="auto" w:fill="auto"/>
            <w:noWrap/>
            <w:vAlign w:val="center"/>
          </w:tcPr>
          <w:p w:rsidR="00E87FB0" w:rsidRPr="00134033" w:rsidRDefault="00E87FB0" w:rsidP="008C401B">
            <w:pPr>
              <w:spacing w:after="0"/>
              <w:ind w:firstLine="0"/>
              <w:jc w:val="left"/>
              <w:rPr>
                <w:rFonts w:ascii="Arial Narrow" w:hAnsi="Arial Narrow"/>
                <w:lang w:val="es-ES" w:eastAsia="es-ES"/>
              </w:rPr>
            </w:pPr>
            <w:r w:rsidRPr="00134033">
              <w:rPr>
                <w:rFonts w:ascii="Arial Narrow" w:hAnsi="Arial Narrow"/>
                <w:lang w:val="es-ES" w:eastAsia="es-ES"/>
              </w:rPr>
              <w:t>Porcentaje sobre total gastos</w:t>
            </w:r>
          </w:p>
        </w:tc>
        <w:tc>
          <w:tcPr>
            <w:tcW w:w="96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lang w:val="es-ES" w:eastAsia="es-ES"/>
              </w:rPr>
            </w:pPr>
            <w:r w:rsidRPr="00134033">
              <w:rPr>
                <w:rFonts w:ascii="Arial Narrow" w:hAnsi="Arial Narrow"/>
                <w:lang w:val="es-ES" w:eastAsia="es-ES"/>
              </w:rPr>
              <w:t>64</w:t>
            </w:r>
          </w:p>
        </w:tc>
        <w:tc>
          <w:tcPr>
            <w:tcW w:w="96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lang w:val="es-ES" w:eastAsia="es-ES"/>
              </w:rPr>
            </w:pPr>
            <w:r w:rsidRPr="00134033">
              <w:rPr>
                <w:rFonts w:ascii="Arial Narrow" w:hAnsi="Arial Narrow"/>
                <w:lang w:val="es-ES" w:eastAsia="es-ES"/>
              </w:rPr>
              <w:t>65</w:t>
            </w:r>
          </w:p>
        </w:tc>
        <w:tc>
          <w:tcPr>
            <w:tcW w:w="96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lang w:val="es-ES" w:eastAsia="es-ES"/>
              </w:rPr>
            </w:pPr>
            <w:r w:rsidRPr="00134033">
              <w:rPr>
                <w:rFonts w:ascii="Arial Narrow" w:hAnsi="Arial Narrow"/>
                <w:lang w:val="es-ES" w:eastAsia="es-ES"/>
              </w:rPr>
              <w:t>66</w:t>
            </w:r>
          </w:p>
        </w:tc>
        <w:tc>
          <w:tcPr>
            <w:tcW w:w="840" w:type="dxa"/>
            <w:tcBorders>
              <w:top w:val="single" w:sz="2" w:space="0" w:color="auto"/>
            </w:tcBorders>
            <w:shd w:val="clear" w:color="auto" w:fill="auto"/>
            <w:noWrap/>
            <w:vAlign w:val="center"/>
          </w:tcPr>
          <w:p w:rsidR="00E87FB0" w:rsidRPr="00134033" w:rsidRDefault="00E87FB0" w:rsidP="00A47BD5">
            <w:pPr>
              <w:spacing w:after="0"/>
              <w:ind w:firstLine="0"/>
              <w:jc w:val="right"/>
              <w:rPr>
                <w:rFonts w:ascii="Arial Narrow" w:hAnsi="Arial Narrow"/>
                <w:lang w:val="es-ES" w:eastAsia="es-ES"/>
              </w:rPr>
            </w:pPr>
            <w:r w:rsidRPr="00134033">
              <w:rPr>
                <w:rFonts w:ascii="Arial Narrow" w:hAnsi="Arial Narrow"/>
                <w:lang w:val="es-ES" w:eastAsia="es-ES"/>
              </w:rPr>
              <w:t>66</w:t>
            </w:r>
          </w:p>
        </w:tc>
        <w:tc>
          <w:tcPr>
            <w:tcW w:w="840" w:type="dxa"/>
            <w:tcBorders>
              <w:top w:val="single" w:sz="2" w:space="0" w:color="auto"/>
            </w:tcBorders>
            <w:vAlign w:val="center"/>
          </w:tcPr>
          <w:p w:rsidR="00E87FB0" w:rsidRPr="00134033" w:rsidRDefault="00E87FB0" w:rsidP="00A47BD5">
            <w:pPr>
              <w:spacing w:after="0"/>
              <w:ind w:firstLine="0"/>
              <w:jc w:val="right"/>
              <w:rPr>
                <w:rFonts w:ascii="Arial Narrow" w:hAnsi="Arial Narrow"/>
                <w:lang w:val="es-ES" w:eastAsia="es-ES"/>
              </w:rPr>
            </w:pPr>
            <w:r w:rsidRPr="00134033">
              <w:rPr>
                <w:rFonts w:ascii="Arial Narrow" w:hAnsi="Arial Narrow"/>
                <w:lang w:val="es-ES" w:eastAsia="es-ES"/>
              </w:rPr>
              <w:t>72</w:t>
            </w:r>
          </w:p>
        </w:tc>
        <w:tc>
          <w:tcPr>
            <w:tcW w:w="840" w:type="dxa"/>
            <w:tcBorders>
              <w:top w:val="single" w:sz="2" w:space="0" w:color="auto"/>
            </w:tcBorders>
            <w:vAlign w:val="center"/>
          </w:tcPr>
          <w:p w:rsidR="00E87FB0" w:rsidRPr="00134033" w:rsidRDefault="00E87FB0" w:rsidP="00A47BD5">
            <w:pPr>
              <w:spacing w:after="0"/>
              <w:ind w:firstLine="0"/>
              <w:jc w:val="right"/>
              <w:rPr>
                <w:rFonts w:ascii="Arial Narrow" w:hAnsi="Arial Narrow"/>
                <w:lang w:val="es-ES" w:eastAsia="es-ES"/>
              </w:rPr>
            </w:pPr>
            <w:r w:rsidRPr="00134033">
              <w:rPr>
                <w:rFonts w:ascii="Arial Narrow" w:hAnsi="Arial Narrow"/>
                <w:lang w:val="es-ES" w:eastAsia="es-ES"/>
              </w:rPr>
              <w:t>73</w:t>
            </w:r>
          </w:p>
        </w:tc>
      </w:tr>
    </w:tbl>
    <w:p w:rsidR="00560102" w:rsidRDefault="00560102" w:rsidP="00A47BD5">
      <w:pPr>
        <w:pStyle w:val="texto"/>
        <w:tabs>
          <w:tab w:val="clear" w:pos="2835"/>
          <w:tab w:val="clear" w:pos="3969"/>
          <w:tab w:val="clear" w:pos="5103"/>
          <w:tab w:val="clear" w:pos="6237"/>
          <w:tab w:val="clear" w:pos="7371"/>
          <w:tab w:val="num" w:pos="300"/>
          <w:tab w:val="num" w:pos="720"/>
        </w:tabs>
        <w:spacing w:after="0"/>
        <w:rPr>
          <w:szCs w:val="26"/>
        </w:rPr>
      </w:pPr>
    </w:p>
    <w:p w:rsidR="00E87FB0" w:rsidRPr="00A47BD5" w:rsidRDefault="00E87FB0" w:rsidP="00E87FB0">
      <w:pPr>
        <w:pStyle w:val="texto"/>
        <w:tabs>
          <w:tab w:val="clear" w:pos="2835"/>
          <w:tab w:val="clear" w:pos="3969"/>
          <w:tab w:val="clear" w:pos="5103"/>
          <w:tab w:val="clear" w:pos="6237"/>
          <w:tab w:val="clear" w:pos="7371"/>
          <w:tab w:val="num" w:pos="300"/>
          <w:tab w:val="num" w:pos="720"/>
        </w:tabs>
        <w:rPr>
          <w:rFonts w:ascii="Times New (W1)" w:hAnsi="Times New (W1)"/>
          <w:spacing w:val="2"/>
          <w:szCs w:val="26"/>
        </w:rPr>
      </w:pPr>
      <w:r w:rsidRPr="00A47BD5">
        <w:rPr>
          <w:rFonts w:ascii="Times New (W1)" w:hAnsi="Times New (W1)"/>
          <w:spacing w:val="2"/>
          <w:szCs w:val="26"/>
        </w:rPr>
        <w:t>Es decir, a pesar de que el importe de gastos de personal prácticamente se ma</w:t>
      </w:r>
      <w:r w:rsidRPr="00A47BD5">
        <w:rPr>
          <w:rFonts w:ascii="Times New (W1)" w:hAnsi="Times New (W1)"/>
          <w:spacing w:val="2"/>
          <w:szCs w:val="26"/>
        </w:rPr>
        <w:t>n</w:t>
      </w:r>
      <w:r w:rsidRPr="00A47BD5">
        <w:rPr>
          <w:rFonts w:ascii="Times New (W1)" w:hAnsi="Times New (W1)"/>
          <w:spacing w:val="2"/>
          <w:szCs w:val="26"/>
        </w:rPr>
        <w:t>tiene en los mismos niveles, aumenta su peso relativo sobre el total del gasto pr</w:t>
      </w:r>
      <w:r w:rsidRPr="00A47BD5">
        <w:rPr>
          <w:rFonts w:ascii="Times New (W1)" w:hAnsi="Times New (W1)"/>
          <w:spacing w:val="2"/>
          <w:szCs w:val="26"/>
        </w:rPr>
        <w:t>e</w:t>
      </w:r>
      <w:r w:rsidRPr="00A47BD5">
        <w:rPr>
          <w:rFonts w:ascii="Times New (W1)" w:hAnsi="Times New (W1)"/>
          <w:spacing w:val="2"/>
          <w:szCs w:val="26"/>
        </w:rPr>
        <w:t>supuestario. Este aumento de su peso relativo se justifica por la reducción del 14 por ciento del gasto total de la Universidad en el periodo de 2009 a 2014.</w:t>
      </w:r>
    </w:p>
    <w:p w:rsidR="00FB3364" w:rsidRDefault="007F08ED" w:rsidP="00FB336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Los gastos cor</w:t>
      </w:r>
      <w:r w:rsidR="00FB3364">
        <w:rPr>
          <w:szCs w:val="26"/>
        </w:rPr>
        <w:t>r</w:t>
      </w:r>
      <w:r>
        <w:rPr>
          <w:szCs w:val="26"/>
        </w:rPr>
        <w:t>ientes y de funcionamiento, prácticamente no se modifican</w:t>
      </w:r>
      <w:r w:rsidR="00FB3364">
        <w:rPr>
          <w:szCs w:val="26"/>
        </w:rPr>
        <w:t xml:space="preserve"> entre los ejercicios de 2013 y 2014</w:t>
      </w:r>
      <w:r w:rsidR="00080099">
        <w:rPr>
          <w:szCs w:val="26"/>
        </w:rPr>
        <w:t>.</w:t>
      </w:r>
    </w:p>
    <w:p w:rsidR="00080099" w:rsidRDefault="00560102" w:rsidP="00A47BD5">
      <w:pPr>
        <w:pStyle w:val="texto"/>
        <w:tabs>
          <w:tab w:val="clear" w:pos="2835"/>
          <w:tab w:val="clear" w:pos="3969"/>
          <w:tab w:val="clear" w:pos="5103"/>
          <w:tab w:val="clear" w:pos="6237"/>
          <w:tab w:val="clear" w:pos="7371"/>
          <w:tab w:val="num" w:pos="300"/>
          <w:tab w:val="num" w:pos="720"/>
        </w:tabs>
        <w:spacing w:after="240"/>
        <w:rPr>
          <w:szCs w:val="26"/>
        </w:rPr>
      </w:pPr>
      <w:r>
        <w:rPr>
          <w:szCs w:val="26"/>
        </w:rPr>
        <w:t>La evolución de los gastos en bienes corrientes y</w:t>
      </w:r>
      <w:r w:rsidR="00080099">
        <w:rPr>
          <w:szCs w:val="26"/>
        </w:rPr>
        <w:t xml:space="preserve"> s</w:t>
      </w:r>
      <w:r>
        <w:rPr>
          <w:szCs w:val="26"/>
        </w:rPr>
        <w:t>ervicios</w:t>
      </w:r>
      <w:r w:rsidR="00080099">
        <w:rPr>
          <w:szCs w:val="26"/>
        </w:rPr>
        <w:t xml:space="preserve"> (capítulo 2) en el periodo de 2009 a 2014 se indica en el siguiente cuadro en miles de euros</w:t>
      </w:r>
      <w:r w:rsidR="00A47BD5">
        <w:rPr>
          <w:szCs w:val="26"/>
        </w:rPr>
        <w:t>.</w:t>
      </w:r>
    </w:p>
    <w:tbl>
      <w:tblPr>
        <w:tblW w:w="8755"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111"/>
        <w:gridCol w:w="960"/>
        <w:gridCol w:w="960"/>
        <w:gridCol w:w="960"/>
        <w:gridCol w:w="840"/>
        <w:gridCol w:w="840"/>
        <w:gridCol w:w="1084"/>
      </w:tblGrid>
      <w:tr w:rsidR="00080099" w:rsidRPr="00875AC4" w:rsidTr="000A4C01">
        <w:trPr>
          <w:trHeight w:hRule="exact" w:val="284"/>
          <w:jc w:val="center"/>
        </w:trPr>
        <w:tc>
          <w:tcPr>
            <w:tcW w:w="3111" w:type="dxa"/>
            <w:tcBorders>
              <w:top w:val="single" w:sz="4" w:space="0" w:color="auto"/>
              <w:bottom w:val="single" w:sz="4" w:space="0" w:color="auto"/>
            </w:tcBorders>
            <w:shd w:val="clear" w:color="auto" w:fill="A8CBEE" w:themeFill="accent2" w:themeFillTint="66"/>
            <w:noWrap/>
            <w:vAlign w:val="center"/>
          </w:tcPr>
          <w:p w:rsidR="00080099" w:rsidRPr="00875AC4" w:rsidRDefault="00080099" w:rsidP="00A47BD5">
            <w:pPr>
              <w:pStyle w:val="cuadroCabe"/>
              <w:rPr>
                <w:lang w:val="es-ES" w:eastAsia="es-ES"/>
              </w:rPr>
            </w:pPr>
            <w:r>
              <w:rPr>
                <w:lang w:val="es-ES" w:eastAsia="es-ES"/>
              </w:rPr>
              <w:t>Gastos bienes corrtes</w:t>
            </w:r>
            <w:r w:rsidR="00A47BD5">
              <w:rPr>
                <w:lang w:val="es-ES" w:eastAsia="es-ES"/>
              </w:rPr>
              <w:t>.</w:t>
            </w:r>
            <w:r>
              <w:rPr>
                <w:lang w:val="es-ES" w:eastAsia="es-ES"/>
              </w:rPr>
              <w:t xml:space="preserve"> y servicios </w:t>
            </w:r>
          </w:p>
        </w:tc>
        <w:tc>
          <w:tcPr>
            <w:tcW w:w="96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2009</w:t>
            </w:r>
          </w:p>
        </w:tc>
        <w:tc>
          <w:tcPr>
            <w:tcW w:w="96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2010</w:t>
            </w:r>
          </w:p>
        </w:tc>
        <w:tc>
          <w:tcPr>
            <w:tcW w:w="96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2011</w:t>
            </w:r>
          </w:p>
        </w:tc>
        <w:tc>
          <w:tcPr>
            <w:tcW w:w="840" w:type="dxa"/>
            <w:tcBorders>
              <w:top w:val="single" w:sz="4" w:space="0" w:color="auto"/>
              <w:bottom w:val="single" w:sz="4" w:space="0" w:color="auto"/>
            </w:tcBorders>
            <w:shd w:val="clear" w:color="auto" w:fill="A8CBEE" w:themeFill="accent2" w:themeFillTint="66"/>
            <w:noWrap/>
            <w:vAlign w:val="center"/>
          </w:tcPr>
          <w:p w:rsidR="00080099" w:rsidRPr="003A2934" w:rsidRDefault="00080099"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2012</w:t>
            </w:r>
          </w:p>
        </w:tc>
        <w:tc>
          <w:tcPr>
            <w:tcW w:w="840" w:type="dxa"/>
            <w:tcBorders>
              <w:top w:val="single" w:sz="4" w:space="0" w:color="auto"/>
              <w:bottom w:val="single" w:sz="4" w:space="0" w:color="auto"/>
            </w:tcBorders>
            <w:shd w:val="clear" w:color="auto" w:fill="A8CBEE" w:themeFill="accent2" w:themeFillTint="66"/>
            <w:vAlign w:val="center"/>
          </w:tcPr>
          <w:p w:rsidR="00080099" w:rsidRPr="003A2934" w:rsidRDefault="00080099"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2013</w:t>
            </w:r>
          </w:p>
        </w:tc>
        <w:tc>
          <w:tcPr>
            <w:tcW w:w="1084" w:type="dxa"/>
            <w:tcBorders>
              <w:top w:val="single" w:sz="4" w:space="0" w:color="auto"/>
              <w:bottom w:val="single" w:sz="4" w:space="0" w:color="auto"/>
            </w:tcBorders>
            <w:shd w:val="clear" w:color="auto" w:fill="A8CBEE" w:themeFill="accent2" w:themeFillTint="66"/>
            <w:vAlign w:val="center"/>
          </w:tcPr>
          <w:p w:rsidR="00080099" w:rsidRPr="003A2934" w:rsidRDefault="00080099"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2014</w:t>
            </w:r>
          </w:p>
        </w:tc>
      </w:tr>
      <w:tr w:rsidR="00080099" w:rsidRPr="00134033" w:rsidTr="004850F5">
        <w:trPr>
          <w:trHeight w:hRule="exact" w:val="284"/>
          <w:jc w:val="center"/>
        </w:trPr>
        <w:tc>
          <w:tcPr>
            <w:tcW w:w="3111" w:type="dxa"/>
            <w:tcBorders>
              <w:top w:val="single" w:sz="4" w:space="0" w:color="auto"/>
              <w:bottom w:val="single" w:sz="2" w:space="0" w:color="auto"/>
            </w:tcBorders>
            <w:shd w:val="clear" w:color="auto" w:fill="auto"/>
            <w:noWrap/>
            <w:vAlign w:val="center"/>
          </w:tcPr>
          <w:p w:rsidR="00080099" w:rsidRPr="00134033" w:rsidRDefault="005F6E05" w:rsidP="005F6E05">
            <w:pPr>
              <w:spacing w:after="0"/>
              <w:ind w:firstLine="0"/>
              <w:jc w:val="left"/>
              <w:rPr>
                <w:rFonts w:ascii="Arial Narrow" w:hAnsi="Arial Narrow" w:cs="Arial"/>
                <w:lang w:val="es-ES" w:eastAsia="es-ES"/>
              </w:rPr>
            </w:pPr>
            <w:r w:rsidRPr="00134033">
              <w:rPr>
                <w:rFonts w:ascii="Arial Narrow" w:hAnsi="Arial Narrow" w:cs="Arial"/>
                <w:lang w:val="es-ES" w:eastAsia="es-ES"/>
              </w:rPr>
              <w:t>Importe Bienes corr</w:t>
            </w:r>
            <w:r w:rsidR="00080099" w:rsidRPr="00134033">
              <w:rPr>
                <w:rFonts w:ascii="Arial Narrow" w:hAnsi="Arial Narrow" w:cs="Arial"/>
                <w:lang w:val="es-ES" w:eastAsia="es-ES"/>
              </w:rPr>
              <w:t>tes</w:t>
            </w:r>
            <w:r w:rsidRPr="00134033">
              <w:rPr>
                <w:rFonts w:ascii="Arial Narrow" w:hAnsi="Arial Narrow" w:cs="Arial"/>
                <w:lang w:val="es-ES" w:eastAsia="es-ES"/>
              </w:rPr>
              <w:t>.</w:t>
            </w:r>
            <w:r w:rsidR="00080099" w:rsidRPr="00134033">
              <w:rPr>
                <w:rFonts w:ascii="Arial Narrow" w:hAnsi="Arial Narrow" w:cs="Arial"/>
                <w:lang w:val="es-ES" w:eastAsia="es-ES"/>
              </w:rPr>
              <w:t xml:space="preserve"> y servicios</w:t>
            </w:r>
          </w:p>
        </w:tc>
        <w:tc>
          <w:tcPr>
            <w:tcW w:w="96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18.862</w:t>
            </w:r>
          </w:p>
        </w:tc>
        <w:tc>
          <w:tcPr>
            <w:tcW w:w="96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18.671</w:t>
            </w:r>
          </w:p>
        </w:tc>
        <w:tc>
          <w:tcPr>
            <w:tcW w:w="96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17.730</w:t>
            </w:r>
          </w:p>
        </w:tc>
        <w:tc>
          <w:tcPr>
            <w:tcW w:w="840" w:type="dxa"/>
            <w:tcBorders>
              <w:top w:val="single" w:sz="4"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16.578</w:t>
            </w:r>
          </w:p>
        </w:tc>
        <w:tc>
          <w:tcPr>
            <w:tcW w:w="840" w:type="dxa"/>
            <w:tcBorders>
              <w:top w:val="single" w:sz="4" w:space="0" w:color="auto"/>
              <w:bottom w:val="single" w:sz="2" w:space="0" w:color="auto"/>
            </w:tcBorders>
            <w:vAlign w:val="center"/>
          </w:tcPr>
          <w:p w:rsidR="00080099" w:rsidRPr="00134033" w:rsidRDefault="00080099"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13.922</w:t>
            </w:r>
          </w:p>
        </w:tc>
        <w:tc>
          <w:tcPr>
            <w:tcW w:w="1084" w:type="dxa"/>
            <w:tcBorders>
              <w:top w:val="single" w:sz="4" w:space="0" w:color="auto"/>
              <w:bottom w:val="single" w:sz="2" w:space="0" w:color="auto"/>
            </w:tcBorders>
            <w:vAlign w:val="center"/>
          </w:tcPr>
          <w:p w:rsidR="00080099" w:rsidRPr="00134033" w:rsidRDefault="00080099"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13.362</w:t>
            </w:r>
          </w:p>
        </w:tc>
      </w:tr>
      <w:tr w:rsidR="00080099" w:rsidRPr="00134033" w:rsidTr="004850F5">
        <w:trPr>
          <w:trHeight w:hRule="exact" w:val="284"/>
          <w:jc w:val="center"/>
        </w:trPr>
        <w:tc>
          <w:tcPr>
            <w:tcW w:w="3111" w:type="dxa"/>
            <w:tcBorders>
              <w:top w:val="single" w:sz="2" w:space="0" w:color="auto"/>
              <w:bottom w:val="single" w:sz="2" w:space="0" w:color="auto"/>
            </w:tcBorders>
            <w:shd w:val="clear" w:color="auto" w:fill="auto"/>
            <w:noWrap/>
            <w:vAlign w:val="center"/>
          </w:tcPr>
          <w:p w:rsidR="00080099" w:rsidRPr="00134033" w:rsidRDefault="00080099" w:rsidP="00374DE0">
            <w:pPr>
              <w:spacing w:after="0"/>
              <w:ind w:firstLine="0"/>
              <w:jc w:val="left"/>
              <w:rPr>
                <w:rFonts w:ascii="Arial Narrow" w:hAnsi="Arial Narrow"/>
                <w:lang w:val="es-ES" w:eastAsia="es-ES"/>
              </w:rPr>
            </w:pPr>
            <w:r w:rsidRPr="00134033">
              <w:rPr>
                <w:rFonts w:ascii="Arial Narrow" w:hAnsi="Arial Narrow"/>
                <w:lang w:val="es-ES" w:eastAsia="es-ES"/>
              </w:rPr>
              <w:t>Índice</w:t>
            </w:r>
          </w:p>
        </w:tc>
        <w:tc>
          <w:tcPr>
            <w:tcW w:w="96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100</w:t>
            </w:r>
          </w:p>
        </w:tc>
        <w:tc>
          <w:tcPr>
            <w:tcW w:w="96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99</w:t>
            </w:r>
          </w:p>
        </w:tc>
        <w:tc>
          <w:tcPr>
            <w:tcW w:w="96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94</w:t>
            </w:r>
          </w:p>
        </w:tc>
        <w:tc>
          <w:tcPr>
            <w:tcW w:w="840" w:type="dxa"/>
            <w:tcBorders>
              <w:top w:val="single" w:sz="2" w:space="0" w:color="auto"/>
              <w:bottom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88</w:t>
            </w:r>
          </w:p>
        </w:tc>
        <w:tc>
          <w:tcPr>
            <w:tcW w:w="840" w:type="dxa"/>
            <w:tcBorders>
              <w:top w:val="single" w:sz="2" w:space="0" w:color="auto"/>
              <w:bottom w:val="single" w:sz="2" w:space="0" w:color="auto"/>
            </w:tcBorders>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74</w:t>
            </w:r>
          </w:p>
        </w:tc>
        <w:tc>
          <w:tcPr>
            <w:tcW w:w="1084" w:type="dxa"/>
            <w:tcBorders>
              <w:top w:val="single" w:sz="2" w:space="0" w:color="auto"/>
              <w:bottom w:val="single" w:sz="2" w:space="0" w:color="auto"/>
            </w:tcBorders>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71</w:t>
            </w:r>
          </w:p>
        </w:tc>
      </w:tr>
      <w:tr w:rsidR="00080099" w:rsidRPr="00134033" w:rsidTr="004850F5">
        <w:trPr>
          <w:trHeight w:hRule="exact" w:val="284"/>
          <w:jc w:val="center"/>
        </w:trPr>
        <w:tc>
          <w:tcPr>
            <w:tcW w:w="3111" w:type="dxa"/>
            <w:tcBorders>
              <w:top w:val="single" w:sz="2" w:space="0" w:color="auto"/>
            </w:tcBorders>
            <w:shd w:val="clear" w:color="auto" w:fill="auto"/>
            <w:noWrap/>
            <w:vAlign w:val="center"/>
          </w:tcPr>
          <w:p w:rsidR="00080099" w:rsidRPr="00134033" w:rsidRDefault="00080099" w:rsidP="00374DE0">
            <w:pPr>
              <w:spacing w:after="0"/>
              <w:ind w:firstLine="0"/>
              <w:jc w:val="left"/>
              <w:rPr>
                <w:rFonts w:ascii="Arial Narrow" w:hAnsi="Arial Narrow"/>
                <w:lang w:val="es-ES" w:eastAsia="es-ES"/>
              </w:rPr>
            </w:pPr>
            <w:r w:rsidRPr="00134033">
              <w:rPr>
                <w:rFonts w:ascii="Arial Narrow" w:hAnsi="Arial Narrow"/>
                <w:lang w:val="es-ES" w:eastAsia="es-ES"/>
              </w:rPr>
              <w:t>Porcentaje sobre total gastos</w:t>
            </w:r>
          </w:p>
        </w:tc>
        <w:tc>
          <w:tcPr>
            <w:tcW w:w="96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23</w:t>
            </w:r>
          </w:p>
        </w:tc>
        <w:tc>
          <w:tcPr>
            <w:tcW w:w="96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23</w:t>
            </w:r>
          </w:p>
        </w:tc>
        <w:tc>
          <w:tcPr>
            <w:tcW w:w="96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23</w:t>
            </w:r>
          </w:p>
        </w:tc>
        <w:tc>
          <w:tcPr>
            <w:tcW w:w="840" w:type="dxa"/>
            <w:tcBorders>
              <w:top w:val="single" w:sz="2" w:space="0" w:color="auto"/>
            </w:tcBorders>
            <w:shd w:val="clear" w:color="auto" w:fill="auto"/>
            <w:noWrap/>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22</w:t>
            </w:r>
          </w:p>
        </w:tc>
        <w:tc>
          <w:tcPr>
            <w:tcW w:w="840" w:type="dxa"/>
            <w:tcBorders>
              <w:top w:val="single" w:sz="2" w:space="0" w:color="auto"/>
            </w:tcBorders>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19</w:t>
            </w:r>
          </w:p>
        </w:tc>
        <w:tc>
          <w:tcPr>
            <w:tcW w:w="1084" w:type="dxa"/>
            <w:tcBorders>
              <w:top w:val="single" w:sz="2" w:space="0" w:color="auto"/>
            </w:tcBorders>
            <w:vAlign w:val="center"/>
          </w:tcPr>
          <w:p w:rsidR="00080099"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19</w:t>
            </w:r>
          </w:p>
        </w:tc>
      </w:tr>
    </w:tbl>
    <w:p w:rsidR="00080099" w:rsidRDefault="00080099" w:rsidP="00A47BD5">
      <w:pPr>
        <w:pStyle w:val="texto"/>
        <w:tabs>
          <w:tab w:val="clear" w:pos="2835"/>
          <w:tab w:val="clear" w:pos="3969"/>
          <w:tab w:val="clear" w:pos="5103"/>
          <w:tab w:val="clear" w:pos="6237"/>
          <w:tab w:val="clear" w:pos="7371"/>
          <w:tab w:val="num" w:pos="300"/>
          <w:tab w:val="num" w:pos="720"/>
        </w:tabs>
        <w:spacing w:after="0"/>
        <w:ind w:firstLine="0"/>
        <w:rPr>
          <w:szCs w:val="26"/>
        </w:rPr>
      </w:pPr>
    </w:p>
    <w:p w:rsidR="00080099" w:rsidRDefault="00080099" w:rsidP="00080099">
      <w:pPr>
        <w:pStyle w:val="texto"/>
        <w:tabs>
          <w:tab w:val="clear" w:pos="2835"/>
          <w:tab w:val="clear" w:pos="3969"/>
          <w:tab w:val="clear" w:pos="5103"/>
          <w:tab w:val="clear" w:pos="6237"/>
          <w:tab w:val="clear" w:pos="7371"/>
          <w:tab w:val="num" w:pos="300"/>
          <w:tab w:val="num" w:pos="720"/>
        </w:tabs>
        <w:rPr>
          <w:szCs w:val="26"/>
        </w:rPr>
      </w:pPr>
      <w:r>
        <w:rPr>
          <w:szCs w:val="26"/>
        </w:rPr>
        <w:t>En el periodo analizado, estos gastos se han reducido en un 29 por ciento, es decir, en 5,5 millones y su peso relativo sobre el total de gastos de la Univers</w:t>
      </w:r>
      <w:r>
        <w:rPr>
          <w:szCs w:val="26"/>
        </w:rPr>
        <w:t>i</w:t>
      </w:r>
      <w:r>
        <w:rPr>
          <w:szCs w:val="26"/>
        </w:rPr>
        <w:t>dad se ha situado en el 19 por ciento.</w:t>
      </w:r>
      <w:r w:rsidR="00516B03">
        <w:rPr>
          <w:szCs w:val="26"/>
        </w:rPr>
        <w:t xml:space="preserve"> Esta situación es un reflejo de la conte</w:t>
      </w:r>
      <w:r w:rsidR="00516B03">
        <w:rPr>
          <w:szCs w:val="26"/>
        </w:rPr>
        <w:t>n</w:t>
      </w:r>
      <w:r w:rsidR="00516B03">
        <w:rPr>
          <w:szCs w:val="26"/>
        </w:rPr>
        <w:t>ción de gasto corriente efectuada por la Universidad en estos años.</w:t>
      </w:r>
    </w:p>
    <w:p w:rsidR="002969C8" w:rsidRPr="002969C8" w:rsidRDefault="002969C8" w:rsidP="004850F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Desde 2009, los gastos por inversión presenta</w:t>
      </w:r>
      <w:r w:rsidR="00A47BD5">
        <w:rPr>
          <w:szCs w:val="26"/>
        </w:rPr>
        <w:t>n</w:t>
      </w:r>
      <w:r>
        <w:rPr>
          <w:szCs w:val="26"/>
        </w:rPr>
        <w:t xml:space="preserve"> la siguiente evolución en miles de euros:</w:t>
      </w:r>
    </w:p>
    <w:tbl>
      <w:tblPr>
        <w:tblW w:w="8758" w:type="dxa"/>
        <w:jc w:val="center"/>
        <w:tblInd w:w="-202"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26"/>
        <w:gridCol w:w="960"/>
        <w:gridCol w:w="960"/>
        <w:gridCol w:w="960"/>
        <w:gridCol w:w="840"/>
        <w:gridCol w:w="840"/>
        <w:gridCol w:w="872"/>
      </w:tblGrid>
      <w:tr w:rsidR="002969C8" w:rsidRPr="00875AC4" w:rsidTr="000A4C01">
        <w:trPr>
          <w:trHeight w:hRule="exact" w:val="284"/>
          <w:jc w:val="center"/>
        </w:trPr>
        <w:tc>
          <w:tcPr>
            <w:tcW w:w="3326" w:type="dxa"/>
            <w:tcBorders>
              <w:top w:val="single" w:sz="4" w:space="0" w:color="auto"/>
              <w:bottom w:val="single" w:sz="4" w:space="0" w:color="auto"/>
            </w:tcBorders>
            <w:shd w:val="clear" w:color="auto" w:fill="A8CBEE" w:themeFill="accent2" w:themeFillTint="66"/>
            <w:noWrap/>
            <w:vAlign w:val="center"/>
          </w:tcPr>
          <w:p w:rsidR="002969C8" w:rsidRPr="00875AC4" w:rsidRDefault="002969C8" w:rsidP="002969C8">
            <w:pPr>
              <w:pStyle w:val="cuadroCabe"/>
              <w:rPr>
                <w:lang w:val="es-ES" w:eastAsia="es-ES"/>
              </w:rPr>
            </w:pPr>
            <w:r>
              <w:rPr>
                <w:lang w:val="es-ES" w:eastAsia="es-ES"/>
              </w:rPr>
              <w:t xml:space="preserve">Gastos en inversiones reales </w:t>
            </w:r>
          </w:p>
        </w:tc>
        <w:tc>
          <w:tcPr>
            <w:tcW w:w="96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2009</w:t>
            </w:r>
          </w:p>
        </w:tc>
        <w:tc>
          <w:tcPr>
            <w:tcW w:w="96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2010</w:t>
            </w:r>
          </w:p>
        </w:tc>
        <w:tc>
          <w:tcPr>
            <w:tcW w:w="96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2011</w:t>
            </w:r>
          </w:p>
        </w:tc>
        <w:tc>
          <w:tcPr>
            <w:tcW w:w="840" w:type="dxa"/>
            <w:tcBorders>
              <w:top w:val="single" w:sz="4" w:space="0" w:color="auto"/>
              <w:bottom w:val="single" w:sz="4" w:space="0" w:color="auto"/>
            </w:tcBorders>
            <w:shd w:val="clear" w:color="auto" w:fill="A8CBEE" w:themeFill="accent2" w:themeFillTint="66"/>
            <w:noWrap/>
            <w:vAlign w:val="center"/>
          </w:tcPr>
          <w:p w:rsidR="002969C8" w:rsidRPr="003A2934" w:rsidRDefault="002969C8"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2012</w:t>
            </w:r>
          </w:p>
        </w:tc>
        <w:tc>
          <w:tcPr>
            <w:tcW w:w="840" w:type="dxa"/>
            <w:tcBorders>
              <w:top w:val="single" w:sz="4" w:space="0" w:color="auto"/>
              <w:bottom w:val="single" w:sz="4" w:space="0" w:color="auto"/>
            </w:tcBorders>
            <w:shd w:val="clear" w:color="auto" w:fill="A8CBEE" w:themeFill="accent2" w:themeFillTint="66"/>
            <w:vAlign w:val="center"/>
          </w:tcPr>
          <w:p w:rsidR="002969C8" w:rsidRPr="003A2934" w:rsidRDefault="002969C8"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2013</w:t>
            </w:r>
          </w:p>
        </w:tc>
        <w:tc>
          <w:tcPr>
            <w:tcW w:w="872" w:type="dxa"/>
            <w:tcBorders>
              <w:top w:val="single" w:sz="4" w:space="0" w:color="auto"/>
              <w:bottom w:val="single" w:sz="4" w:space="0" w:color="auto"/>
            </w:tcBorders>
            <w:shd w:val="clear" w:color="auto" w:fill="A8CBEE" w:themeFill="accent2" w:themeFillTint="66"/>
            <w:vAlign w:val="center"/>
          </w:tcPr>
          <w:p w:rsidR="002969C8" w:rsidRPr="003A2934" w:rsidRDefault="002969C8" w:rsidP="00A47BD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2014</w:t>
            </w:r>
          </w:p>
        </w:tc>
      </w:tr>
      <w:tr w:rsidR="002969C8" w:rsidRPr="00134033" w:rsidTr="004850F5">
        <w:trPr>
          <w:trHeight w:hRule="exact" w:val="284"/>
          <w:jc w:val="center"/>
        </w:trPr>
        <w:tc>
          <w:tcPr>
            <w:tcW w:w="3326" w:type="dxa"/>
            <w:tcBorders>
              <w:top w:val="single" w:sz="4" w:space="0" w:color="auto"/>
              <w:bottom w:val="single" w:sz="2" w:space="0" w:color="auto"/>
            </w:tcBorders>
            <w:shd w:val="clear" w:color="auto" w:fill="auto"/>
            <w:noWrap/>
            <w:vAlign w:val="center"/>
          </w:tcPr>
          <w:p w:rsidR="002969C8" w:rsidRPr="00134033" w:rsidRDefault="002969C8" w:rsidP="00BA0A92">
            <w:pPr>
              <w:spacing w:after="0"/>
              <w:ind w:firstLine="0"/>
              <w:jc w:val="left"/>
              <w:rPr>
                <w:rFonts w:ascii="Arial Narrow" w:hAnsi="Arial Narrow" w:cs="Arial"/>
                <w:lang w:val="es-ES" w:eastAsia="es-ES"/>
              </w:rPr>
            </w:pPr>
            <w:r w:rsidRPr="00134033">
              <w:rPr>
                <w:rFonts w:ascii="Arial Narrow" w:hAnsi="Arial Narrow" w:cs="Arial"/>
                <w:lang w:val="es-ES" w:eastAsia="es-ES"/>
              </w:rPr>
              <w:t>Importe</w:t>
            </w:r>
            <w:r w:rsidR="009333E2" w:rsidRPr="00134033">
              <w:rPr>
                <w:rFonts w:ascii="Arial Narrow" w:hAnsi="Arial Narrow" w:cs="Arial"/>
                <w:lang w:val="es-ES" w:eastAsia="es-ES"/>
              </w:rPr>
              <w:t xml:space="preserve"> Inversiones</w:t>
            </w:r>
          </w:p>
        </w:tc>
        <w:tc>
          <w:tcPr>
            <w:tcW w:w="96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8.328</w:t>
            </w:r>
          </w:p>
        </w:tc>
        <w:tc>
          <w:tcPr>
            <w:tcW w:w="96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7.343</w:t>
            </w:r>
          </w:p>
        </w:tc>
        <w:tc>
          <w:tcPr>
            <w:tcW w:w="96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6.645</w:t>
            </w:r>
          </w:p>
        </w:tc>
        <w:tc>
          <w:tcPr>
            <w:tcW w:w="840" w:type="dxa"/>
            <w:tcBorders>
              <w:top w:val="single" w:sz="4" w:space="0" w:color="auto"/>
              <w:bottom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6.686</w:t>
            </w:r>
          </w:p>
        </w:tc>
        <w:tc>
          <w:tcPr>
            <w:tcW w:w="840" w:type="dxa"/>
            <w:tcBorders>
              <w:top w:val="single" w:sz="4" w:space="0" w:color="auto"/>
              <w:bottom w:val="single" w:sz="2" w:space="0" w:color="auto"/>
            </w:tcBorders>
            <w:vAlign w:val="center"/>
          </w:tcPr>
          <w:p w:rsidR="002969C8" w:rsidRPr="00134033" w:rsidRDefault="002969C8"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4.620</w:t>
            </w:r>
          </w:p>
        </w:tc>
        <w:tc>
          <w:tcPr>
            <w:tcW w:w="872" w:type="dxa"/>
            <w:tcBorders>
              <w:top w:val="single" w:sz="4" w:space="0" w:color="auto"/>
              <w:bottom w:val="single" w:sz="2" w:space="0" w:color="auto"/>
            </w:tcBorders>
            <w:vAlign w:val="center"/>
          </w:tcPr>
          <w:p w:rsidR="002969C8" w:rsidRPr="00134033" w:rsidRDefault="002969C8" w:rsidP="00A47BD5">
            <w:pPr>
              <w:spacing w:after="0"/>
              <w:ind w:firstLine="0"/>
              <w:jc w:val="right"/>
              <w:rPr>
                <w:rFonts w:ascii="Arial Narrow" w:hAnsi="Arial Narrow" w:cs="Arial"/>
                <w:lang w:val="es-ES" w:eastAsia="es-ES"/>
              </w:rPr>
            </w:pPr>
            <w:r w:rsidRPr="00134033">
              <w:rPr>
                <w:rFonts w:ascii="Arial Narrow" w:hAnsi="Arial Narrow" w:cs="Arial"/>
                <w:lang w:val="es-ES" w:eastAsia="es-ES"/>
              </w:rPr>
              <w:t>3.795</w:t>
            </w:r>
          </w:p>
        </w:tc>
      </w:tr>
      <w:tr w:rsidR="002969C8" w:rsidRPr="00134033" w:rsidTr="004850F5">
        <w:trPr>
          <w:trHeight w:hRule="exact" w:val="284"/>
          <w:jc w:val="center"/>
        </w:trPr>
        <w:tc>
          <w:tcPr>
            <w:tcW w:w="3326" w:type="dxa"/>
            <w:tcBorders>
              <w:top w:val="single" w:sz="2" w:space="0" w:color="auto"/>
              <w:bottom w:val="single" w:sz="2" w:space="0" w:color="auto"/>
            </w:tcBorders>
            <w:shd w:val="clear" w:color="auto" w:fill="auto"/>
            <w:noWrap/>
            <w:vAlign w:val="center"/>
          </w:tcPr>
          <w:p w:rsidR="002969C8" w:rsidRPr="00134033" w:rsidRDefault="00080099" w:rsidP="00BA0A92">
            <w:pPr>
              <w:spacing w:after="0"/>
              <w:ind w:firstLine="0"/>
              <w:jc w:val="left"/>
              <w:rPr>
                <w:rFonts w:ascii="Arial Narrow" w:hAnsi="Arial Narrow"/>
                <w:lang w:val="es-ES" w:eastAsia="es-ES"/>
              </w:rPr>
            </w:pPr>
            <w:r w:rsidRPr="00134033">
              <w:rPr>
                <w:rFonts w:ascii="Arial Narrow" w:hAnsi="Arial Narrow"/>
                <w:lang w:val="es-ES" w:eastAsia="es-ES"/>
              </w:rPr>
              <w:t>Índice</w:t>
            </w:r>
          </w:p>
        </w:tc>
        <w:tc>
          <w:tcPr>
            <w:tcW w:w="960" w:type="dxa"/>
            <w:tcBorders>
              <w:top w:val="single" w:sz="2" w:space="0" w:color="auto"/>
              <w:bottom w:val="single" w:sz="2" w:space="0" w:color="auto"/>
            </w:tcBorders>
            <w:shd w:val="clear" w:color="auto" w:fill="auto"/>
            <w:noWrap/>
            <w:vAlign w:val="center"/>
          </w:tcPr>
          <w:p w:rsidR="002969C8" w:rsidRPr="00134033" w:rsidRDefault="00080099" w:rsidP="00A47BD5">
            <w:pPr>
              <w:spacing w:after="0"/>
              <w:ind w:firstLine="0"/>
              <w:jc w:val="right"/>
              <w:rPr>
                <w:rFonts w:ascii="Arial Narrow" w:hAnsi="Arial Narrow"/>
                <w:lang w:val="es-ES" w:eastAsia="es-ES"/>
              </w:rPr>
            </w:pPr>
            <w:r w:rsidRPr="00134033">
              <w:rPr>
                <w:rFonts w:ascii="Arial Narrow" w:hAnsi="Arial Narrow"/>
                <w:lang w:val="es-ES" w:eastAsia="es-ES"/>
              </w:rPr>
              <w:t>100</w:t>
            </w:r>
          </w:p>
        </w:tc>
        <w:tc>
          <w:tcPr>
            <w:tcW w:w="960" w:type="dxa"/>
            <w:tcBorders>
              <w:top w:val="single" w:sz="2" w:space="0" w:color="auto"/>
              <w:bottom w:val="single" w:sz="2" w:space="0" w:color="auto"/>
            </w:tcBorders>
            <w:shd w:val="clear" w:color="auto" w:fill="auto"/>
            <w:noWrap/>
            <w:vAlign w:val="center"/>
          </w:tcPr>
          <w:p w:rsidR="002969C8" w:rsidRPr="00134033" w:rsidRDefault="00111D80" w:rsidP="00A47BD5">
            <w:pPr>
              <w:spacing w:after="0"/>
              <w:ind w:firstLine="0"/>
              <w:jc w:val="right"/>
              <w:rPr>
                <w:rFonts w:ascii="Arial Narrow" w:hAnsi="Arial Narrow"/>
                <w:lang w:val="es-ES" w:eastAsia="es-ES"/>
              </w:rPr>
            </w:pPr>
            <w:r w:rsidRPr="00134033">
              <w:rPr>
                <w:rFonts w:ascii="Arial Narrow" w:hAnsi="Arial Narrow"/>
                <w:lang w:val="es-ES" w:eastAsia="es-ES"/>
              </w:rPr>
              <w:t>88</w:t>
            </w:r>
          </w:p>
        </w:tc>
        <w:tc>
          <w:tcPr>
            <w:tcW w:w="960" w:type="dxa"/>
            <w:tcBorders>
              <w:top w:val="single" w:sz="2" w:space="0" w:color="auto"/>
              <w:bottom w:val="single" w:sz="2" w:space="0" w:color="auto"/>
            </w:tcBorders>
            <w:shd w:val="clear" w:color="auto" w:fill="auto"/>
            <w:noWrap/>
            <w:vAlign w:val="center"/>
          </w:tcPr>
          <w:p w:rsidR="002969C8" w:rsidRPr="00134033" w:rsidRDefault="00111D80" w:rsidP="00A47BD5">
            <w:pPr>
              <w:spacing w:after="0"/>
              <w:ind w:firstLine="0"/>
              <w:jc w:val="right"/>
              <w:rPr>
                <w:rFonts w:ascii="Arial Narrow" w:hAnsi="Arial Narrow"/>
                <w:lang w:val="es-ES" w:eastAsia="es-ES"/>
              </w:rPr>
            </w:pPr>
            <w:r w:rsidRPr="00134033">
              <w:rPr>
                <w:rFonts w:ascii="Arial Narrow" w:hAnsi="Arial Narrow"/>
                <w:lang w:val="es-ES" w:eastAsia="es-ES"/>
              </w:rPr>
              <w:t>80</w:t>
            </w:r>
          </w:p>
        </w:tc>
        <w:tc>
          <w:tcPr>
            <w:tcW w:w="840" w:type="dxa"/>
            <w:tcBorders>
              <w:top w:val="single" w:sz="2" w:space="0" w:color="auto"/>
              <w:bottom w:val="single" w:sz="2" w:space="0" w:color="auto"/>
            </w:tcBorders>
            <w:shd w:val="clear" w:color="auto" w:fill="auto"/>
            <w:noWrap/>
            <w:vAlign w:val="center"/>
          </w:tcPr>
          <w:p w:rsidR="002969C8" w:rsidRPr="00134033" w:rsidRDefault="00111D80" w:rsidP="00A47BD5">
            <w:pPr>
              <w:spacing w:after="0"/>
              <w:ind w:firstLine="0"/>
              <w:jc w:val="right"/>
              <w:rPr>
                <w:rFonts w:ascii="Arial Narrow" w:hAnsi="Arial Narrow"/>
                <w:lang w:val="es-ES" w:eastAsia="es-ES"/>
              </w:rPr>
            </w:pPr>
            <w:r w:rsidRPr="00134033">
              <w:rPr>
                <w:rFonts w:ascii="Arial Narrow" w:hAnsi="Arial Narrow"/>
                <w:lang w:val="es-ES" w:eastAsia="es-ES"/>
              </w:rPr>
              <w:t>80</w:t>
            </w:r>
          </w:p>
        </w:tc>
        <w:tc>
          <w:tcPr>
            <w:tcW w:w="840" w:type="dxa"/>
            <w:tcBorders>
              <w:top w:val="single" w:sz="2" w:space="0" w:color="auto"/>
              <w:bottom w:val="single" w:sz="2" w:space="0" w:color="auto"/>
            </w:tcBorders>
            <w:vAlign w:val="center"/>
          </w:tcPr>
          <w:p w:rsidR="002969C8" w:rsidRPr="00134033" w:rsidRDefault="00111D80" w:rsidP="00A47BD5">
            <w:pPr>
              <w:spacing w:after="0"/>
              <w:ind w:firstLine="0"/>
              <w:jc w:val="right"/>
              <w:rPr>
                <w:rFonts w:ascii="Arial Narrow" w:hAnsi="Arial Narrow"/>
                <w:lang w:val="es-ES" w:eastAsia="es-ES"/>
              </w:rPr>
            </w:pPr>
            <w:r w:rsidRPr="00134033">
              <w:rPr>
                <w:rFonts w:ascii="Arial Narrow" w:hAnsi="Arial Narrow"/>
                <w:lang w:val="es-ES" w:eastAsia="es-ES"/>
              </w:rPr>
              <w:t>55</w:t>
            </w:r>
          </w:p>
        </w:tc>
        <w:tc>
          <w:tcPr>
            <w:tcW w:w="872" w:type="dxa"/>
            <w:tcBorders>
              <w:top w:val="single" w:sz="2" w:space="0" w:color="auto"/>
              <w:bottom w:val="single" w:sz="2" w:space="0" w:color="auto"/>
            </w:tcBorders>
            <w:vAlign w:val="center"/>
          </w:tcPr>
          <w:p w:rsidR="002969C8" w:rsidRPr="00134033" w:rsidRDefault="00111D80" w:rsidP="00A47BD5">
            <w:pPr>
              <w:spacing w:after="0"/>
              <w:ind w:firstLine="0"/>
              <w:jc w:val="right"/>
              <w:rPr>
                <w:rFonts w:ascii="Arial Narrow" w:hAnsi="Arial Narrow"/>
                <w:lang w:val="es-ES" w:eastAsia="es-ES"/>
              </w:rPr>
            </w:pPr>
            <w:r w:rsidRPr="00134033">
              <w:rPr>
                <w:rFonts w:ascii="Arial Narrow" w:hAnsi="Arial Narrow"/>
                <w:lang w:val="es-ES" w:eastAsia="es-ES"/>
              </w:rPr>
              <w:t>46</w:t>
            </w:r>
          </w:p>
        </w:tc>
      </w:tr>
      <w:tr w:rsidR="002969C8" w:rsidRPr="00134033" w:rsidTr="004850F5">
        <w:trPr>
          <w:trHeight w:hRule="exact" w:val="284"/>
          <w:jc w:val="center"/>
        </w:trPr>
        <w:tc>
          <w:tcPr>
            <w:tcW w:w="3326" w:type="dxa"/>
            <w:tcBorders>
              <w:top w:val="single" w:sz="2" w:space="0" w:color="auto"/>
            </w:tcBorders>
            <w:shd w:val="clear" w:color="auto" w:fill="auto"/>
            <w:noWrap/>
            <w:vAlign w:val="center"/>
          </w:tcPr>
          <w:p w:rsidR="002969C8" w:rsidRPr="00134033" w:rsidRDefault="002969C8" w:rsidP="002969C8">
            <w:pPr>
              <w:spacing w:after="0"/>
              <w:ind w:firstLine="0"/>
              <w:jc w:val="left"/>
              <w:rPr>
                <w:rFonts w:ascii="Arial Narrow" w:hAnsi="Arial Narrow"/>
                <w:lang w:val="es-ES" w:eastAsia="es-ES"/>
              </w:rPr>
            </w:pPr>
            <w:r w:rsidRPr="00134033">
              <w:rPr>
                <w:rFonts w:ascii="Arial Narrow" w:hAnsi="Arial Narrow"/>
                <w:lang w:val="es-ES" w:eastAsia="es-ES"/>
              </w:rPr>
              <w:t>Porcentaje sobre total gastos</w:t>
            </w:r>
          </w:p>
        </w:tc>
        <w:tc>
          <w:tcPr>
            <w:tcW w:w="96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lang w:val="es-ES" w:eastAsia="es-ES"/>
              </w:rPr>
            </w:pPr>
            <w:r w:rsidRPr="00134033">
              <w:rPr>
                <w:rFonts w:ascii="Arial Narrow" w:hAnsi="Arial Narrow"/>
                <w:lang w:val="es-ES" w:eastAsia="es-ES"/>
              </w:rPr>
              <w:t>10</w:t>
            </w:r>
          </w:p>
        </w:tc>
        <w:tc>
          <w:tcPr>
            <w:tcW w:w="96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lang w:val="es-ES" w:eastAsia="es-ES"/>
              </w:rPr>
            </w:pPr>
            <w:r w:rsidRPr="00134033">
              <w:rPr>
                <w:rFonts w:ascii="Arial Narrow" w:hAnsi="Arial Narrow"/>
                <w:lang w:val="es-ES" w:eastAsia="es-ES"/>
              </w:rPr>
              <w:t>9</w:t>
            </w:r>
          </w:p>
        </w:tc>
        <w:tc>
          <w:tcPr>
            <w:tcW w:w="96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lang w:val="es-ES" w:eastAsia="es-ES"/>
              </w:rPr>
            </w:pPr>
            <w:r w:rsidRPr="00134033">
              <w:rPr>
                <w:rFonts w:ascii="Arial Narrow" w:hAnsi="Arial Narrow"/>
                <w:lang w:val="es-ES" w:eastAsia="es-ES"/>
              </w:rPr>
              <w:t>8</w:t>
            </w:r>
          </w:p>
        </w:tc>
        <w:tc>
          <w:tcPr>
            <w:tcW w:w="840" w:type="dxa"/>
            <w:tcBorders>
              <w:top w:val="single" w:sz="2" w:space="0" w:color="auto"/>
            </w:tcBorders>
            <w:shd w:val="clear" w:color="auto" w:fill="auto"/>
            <w:noWrap/>
            <w:vAlign w:val="center"/>
          </w:tcPr>
          <w:p w:rsidR="002969C8" w:rsidRPr="00134033" w:rsidRDefault="002969C8" w:rsidP="00A47BD5">
            <w:pPr>
              <w:spacing w:after="0"/>
              <w:ind w:firstLine="0"/>
              <w:jc w:val="right"/>
              <w:rPr>
                <w:rFonts w:ascii="Arial Narrow" w:hAnsi="Arial Narrow"/>
                <w:lang w:val="es-ES" w:eastAsia="es-ES"/>
              </w:rPr>
            </w:pPr>
            <w:r w:rsidRPr="00134033">
              <w:rPr>
                <w:rFonts w:ascii="Arial Narrow" w:hAnsi="Arial Narrow"/>
                <w:lang w:val="es-ES" w:eastAsia="es-ES"/>
              </w:rPr>
              <w:t>9</w:t>
            </w:r>
          </w:p>
        </w:tc>
        <w:tc>
          <w:tcPr>
            <w:tcW w:w="840" w:type="dxa"/>
            <w:tcBorders>
              <w:top w:val="single" w:sz="2" w:space="0" w:color="auto"/>
            </w:tcBorders>
            <w:vAlign w:val="center"/>
          </w:tcPr>
          <w:p w:rsidR="002969C8" w:rsidRPr="00134033" w:rsidRDefault="002969C8" w:rsidP="00A47BD5">
            <w:pPr>
              <w:spacing w:after="0"/>
              <w:ind w:firstLine="0"/>
              <w:jc w:val="right"/>
              <w:rPr>
                <w:rFonts w:ascii="Arial Narrow" w:hAnsi="Arial Narrow"/>
                <w:lang w:val="es-ES" w:eastAsia="es-ES"/>
              </w:rPr>
            </w:pPr>
            <w:r w:rsidRPr="00134033">
              <w:rPr>
                <w:rFonts w:ascii="Arial Narrow" w:hAnsi="Arial Narrow"/>
                <w:lang w:val="es-ES" w:eastAsia="es-ES"/>
              </w:rPr>
              <w:t>6</w:t>
            </w:r>
          </w:p>
        </w:tc>
        <w:tc>
          <w:tcPr>
            <w:tcW w:w="872" w:type="dxa"/>
            <w:tcBorders>
              <w:top w:val="single" w:sz="2" w:space="0" w:color="auto"/>
            </w:tcBorders>
            <w:vAlign w:val="center"/>
          </w:tcPr>
          <w:p w:rsidR="002969C8" w:rsidRPr="00134033" w:rsidRDefault="002969C8" w:rsidP="00A47BD5">
            <w:pPr>
              <w:spacing w:after="0"/>
              <w:ind w:firstLine="0"/>
              <w:jc w:val="right"/>
              <w:rPr>
                <w:rFonts w:ascii="Arial Narrow" w:hAnsi="Arial Narrow"/>
                <w:lang w:val="es-ES" w:eastAsia="es-ES"/>
              </w:rPr>
            </w:pPr>
            <w:r w:rsidRPr="00134033">
              <w:rPr>
                <w:rFonts w:ascii="Arial Narrow" w:hAnsi="Arial Narrow"/>
                <w:lang w:val="es-ES" w:eastAsia="es-ES"/>
              </w:rPr>
              <w:t>5</w:t>
            </w:r>
          </w:p>
        </w:tc>
      </w:tr>
    </w:tbl>
    <w:p w:rsidR="00747A2F" w:rsidRDefault="00747A2F" w:rsidP="004850F5">
      <w:pPr>
        <w:pStyle w:val="texto"/>
        <w:tabs>
          <w:tab w:val="clear" w:pos="2835"/>
          <w:tab w:val="clear" w:pos="3969"/>
          <w:tab w:val="clear" w:pos="5103"/>
          <w:tab w:val="clear" w:pos="6237"/>
          <w:tab w:val="clear" w:pos="7371"/>
          <w:tab w:val="num" w:pos="300"/>
          <w:tab w:val="num" w:pos="720"/>
        </w:tabs>
        <w:spacing w:after="0"/>
        <w:rPr>
          <w:szCs w:val="26"/>
        </w:rPr>
      </w:pPr>
    </w:p>
    <w:p w:rsidR="002969C8" w:rsidRDefault="002969C8" w:rsidP="002969C8">
      <w:pPr>
        <w:pStyle w:val="texto"/>
        <w:tabs>
          <w:tab w:val="clear" w:pos="2835"/>
          <w:tab w:val="clear" w:pos="3969"/>
          <w:tab w:val="clear" w:pos="5103"/>
          <w:tab w:val="clear" w:pos="6237"/>
          <w:tab w:val="clear" w:pos="7371"/>
          <w:tab w:val="num" w:pos="300"/>
          <w:tab w:val="num" w:pos="720"/>
        </w:tabs>
        <w:rPr>
          <w:szCs w:val="26"/>
        </w:rPr>
      </w:pPr>
      <w:r>
        <w:rPr>
          <w:szCs w:val="26"/>
        </w:rPr>
        <w:t xml:space="preserve">Como se </w:t>
      </w:r>
      <w:r w:rsidR="005852E0">
        <w:rPr>
          <w:szCs w:val="26"/>
        </w:rPr>
        <w:t>advierte</w:t>
      </w:r>
      <w:r>
        <w:rPr>
          <w:szCs w:val="26"/>
        </w:rPr>
        <w:t>, las inversiones se ha</w:t>
      </w:r>
      <w:r w:rsidR="004850F5">
        <w:rPr>
          <w:szCs w:val="26"/>
        </w:rPr>
        <w:t>n reducido en un 54 por ciento –</w:t>
      </w:r>
      <w:r>
        <w:rPr>
          <w:szCs w:val="26"/>
        </w:rPr>
        <w:t>esto es, en 4,5 millones menos</w:t>
      </w:r>
      <w:r w:rsidR="004850F5">
        <w:rPr>
          <w:szCs w:val="26"/>
        </w:rPr>
        <w:t>–</w:t>
      </w:r>
      <w:r>
        <w:rPr>
          <w:szCs w:val="26"/>
        </w:rPr>
        <w:t xml:space="preserve"> y han pasado de representar el diez al cinco por ciento sobre el gasto total.</w:t>
      </w:r>
    </w:p>
    <w:p w:rsidR="00940A2B" w:rsidRDefault="006766EC" w:rsidP="00940A2B">
      <w:pPr>
        <w:pStyle w:val="texto"/>
        <w:tabs>
          <w:tab w:val="clear" w:pos="2835"/>
          <w:tab w:val="clear" w:pos="3969"/>
          <w:tab w:val="clear" w:pos="5103"/>
          <w:tab w:val="clear" w:pos="6237"/>
          <w:tab w:val="clear" w:pos="7371"/>
          <w:tab w:val="num" w:pos="300"/>
          <w:tab w:val="num" w:pos="720"/>
        </w:tabs>
        <w:rPr>
          <w:szCs w:val="26"/>
        </w:rPr>
      </w:pPr>
      <w:r>
        <w:rPr>
          <w:szCs w:val="26"/>
        </w:rPr>
        <w:t>Incide en este menor gasto la ausencia</w:t>
      </w:r>
      <w:r w:rsidR="00F25739">
        <w:rPr>
          <w:szCs w:val="26"/>
        </w:rPr>
        <w:t>,</w:t>
      </w:r>
      <w:r>
        <w:rPr>
          <w:szCs w:val="26"/>
        </w:rPr>
        <w:t xml:space="preserve"> desde 2012</w:t>
      </w:r>
      <w:r w:rsidR="00F25739">
        <w:rPr>
          <w:szCs w:val="26"/>
        </w:rPr>
        <w:t>,</w:t>
      </w:r>
      <w:r>
        <w:rPr>
          <w:szCs w:val="26"/>
        </w:rPr>
        <w:t xml:space="preserve"> de recursos específicos para inversiones</w:t>
      </w:r>
      <w:r w:rsidR="00A07D50">
        <w:rPr>
          <w:szCs w:val="26"/>
        </w:rPr>
        <w:t xml:space="preserve"> en infraestructuras y equipamientos</w:t>
      </w:r>
      <w:r>
        <w:rPr>
          <w:szCs w:val="26"/>
        </w:rPr>
        <w:t xml:space="preserve"> dentro de los convenios de financiación firmados con el Gobierno de Navarra.</w:t>
      </w:r>
      <w:r w:rsidR="00E84A0E">
        <w:rPr>
          <w:szCs w:val="26"/>
        </w:rPr>
        <w:t xml:space="preserve"> </w:t>
      </w:r>
    </w:p>
    <w:p w:rsidR="007F08ED" w:rsidRDefault="00FB3364" w:rsidP="004850F5">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lastRenderedPageBreak/>
        <w:t>Los ingresos por tasas y precios han aumentado en 1,3 millones y financian en torno al 23 por ciento de los gastos corrientes.</w:t>
      </w:r>
      <w:r w:rsidR="00087E89">
        <w:rPr>
          <w:szCs w:val="26"/>
        </w:rPr>
        <w:t xml:space="preserve"> Desde 2009, este capítulo presenta la siguiente evolución en miles de eur</w:t>
      </w:r>
      <w:r w:rsidR="00002221">
        <w:rPr>
          <w:szCs w:val="26"/>
        </w:rPr>
        <w:t>os</w:t>
      </w:r>
      <w:r w:rsidR="00087E89">
        <w:rPr>
          <w:szCs w:val="26"/>
        </w:rPr>
        <w:t>:</w:t>
      </w:r>
    </w:p>
    <w:tbl>
      <w:tblPr>
        <w:tblW w:w="8805"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405"/>
        <w:gridCol w:w="960"/>
        <w:gridCol w:w="960"/>
        <w:gridCol w:w="960"/>
        <w:gridCol w:w="840"/>
        <w:gridCol w:w="840"/>
        <w:gridCol w:w="840"/>
      </w:tblGrid>
      <w:tr w:rsidR="00F025FC" w:rsidRPr="003A2934" w:rsidTr="000A4C01">
        <w:trPr>
          <w:trHeight w:hRule="exact" w:val="284"/>
          <w:jc w:val="center"/>
        </w:trPr>
        <w:tc>
          <w:tcPr>
            <w:tcW w:w="3405" w:type="dxa"/>
            <w:tcBorders>
              <w:top w:val="single" w:sz="4" w:space="0" w:color="auto"/>
              <w:bottom w:val="single" w:sz="4" w:space="0" w:color="auto"/>
            </w:tcBorders>
            <w:shd w:val="clear" w:color="auto" w:fill="A8CBEE" w:themeFill="accent2" w:themeFillTint="66"/>
            <w:noWrap/>
            <w:vAlign w:val="center"/>
          </w:tcPr>
          <w:p w:rsidR="00F025FC" w:rsidRPr="00875AC4" w:rsidRDefault="00F025FC" w:rsidP="004850F5">
            <w:pPr>
              <w:pStyle w:val="cuadroCabe"/>
              <w:rPr>
                <w:lang w:val="es-ES" w:eastAsia="es-ES"/>
              </w:rPr>
            </w:pPr>
            <w:r>
              <w:rPr>
                <w:lang w:val="es-ES" w:eastAsia="es-ES"/>
              </w:rPr>
              <w:t>Tasas, precios púb</w:t>
            </w:r>
            <w:r w:rsidR="004850F5">
              <w:rPr>
                <w:lang w:val="es-ES" w:eastAsia="es-ES"/>
              </w:rPr>
              <w:t>.</w:t>
            </w:r>
            <w:r>
              <w:rPr>
                <w:lang w:val="es-ES" w:eastAsia="es-ES"/>
              </w:rPr>
              <w:t xml:space="preserve"> y otros ingresos </w:t>
            </w:r>
          </w:p>
        </w:tc>
        <w:tc>
          <w:tcPr>
            <w:tcW w:w="96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2009</w:t>
            </w:r>
          </w:p>
        </w:tc>
        <w:tc>
          <w:tcPr>
            <w:tcW w:w="96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2010</w:t>
            </w:r>
          </w:p>
        </w:tc>
        <w:tc>
          <w:tcPr>
            <w:tcW w:w="96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2011</w:t>
            </w:r>
          </w:p>
        </w:tc>
        <w:tc>
          <w:tcPr>
            <w:tcW w:w="840" w:type="dxa"/>
            <w:tcBorders>
              <w:top w:val="single" w:sz="4" w:space="0" w:color="auto"/>
              <w:bottom w:val="single" w:sz="4" w:space="0" w:color="auto"/>
            </w:tcBorders>
            <w:shd w:val="clear" w:color="auto" w:fill="A8CBEE" w:themeFill="accent2" w:themeFillTint="66"/>
            <w:noWrap/>
            <w:vAlign w:val="center"/>
          </w:tcPr>
          <w:p w:rsidR="00F025FC" w:rsidRPr="003A2934" w:rsidRDefault="00F025FC" w:rsidP="004850F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2012</w:t>
            </w:r>
          </w:p>
        </w:tc>
        <w:tc>
          <w:tcPr>
            <w:tcW w:w="840" w:type="dxa"/>
            <w:tcBorders>
              <w:top w:val="single" w:sz="4" w:space="0" w:color="auto"/>
              <w:bottom w:val="single" w:sz="4" w:space="0" w:color="auto"/>
            </w:tcBorders>
            <w:shd w:val="clear" w:color="auto" w:fill="A8CBEE" w:themeFill="accent2" w:themeFillTint="66"/>
            <w:vAlign w:val="center"/>
          </w:tcPr>
          <w:p w:rsidR="00F025FC" w:rsidRPr="003A2934" w:rsidRDefault="00F025FC" w:rsidP="004850F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2013</w:t>
            </w:r>
          </w:p>
        </w:tc>
        <w:tc>
          <w:tcPr>
            <w:tcW w:w="840" w:type="dxa"/>
            <w:tcBorders>
              <w:top w:val="single" w:sz="4" w:space="0" w:color="auto"/>
              <w:bottom w:val="single" w:sz="4" w:space="0" w:color="auto"/>
            </w:tcBorders>
            <w:shd w:val="clear" w:color="auto" w:fill="A8CBEE" w:themeFill="accent2" w:themeFillTint="66"/>
            <w:vAlign w:val="center"/>
          </w:tcPr>
          <w:p w:rsidR="00F025FC" w:rsidRPr="003A2934" w:rsidRDefault="00F025FC" w:rsidP="004850F5">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2014</w:t>
            </w:r>
          </w:p>
        </w:tc>
      </w:tr>
      <w:tr w:rsidR="00F025FC" w:rsidRPr="00134033" w:rsidTr="004850F5">
        <w:trPr>
          <w:trHeight w:hRule="exact" w:val="284"/>
          <w:jc w:val="center"/>
        </w:trPr>
        <w:tc>
          <w:tcPr>
            <w:tcW w:w="3405" w:type="dxa"/>
            <w:tcBorders>
              <w:top w:val="single" w:sz="4" w:space="0" w:color="auto"/>
              <w:bottom w:val="single" w:sz="2" w:space="0" w:color="auto"/>
            </w:tcBorders>
            <w:shd w:val="clear" w:color="auto" w:fill="auto"/>
            <w:noWrap/>
            <w:vAlign w:val="center"/>
          </w:tcPr>
          <w:p w:rsidR="00F025FC" w:rsidRPr="00134033" w:rsidRDefault="00F025FC" w:rsidP="00144DF9">
            <w:pPr>
              <w:spacing w:after="0"/>
              <w:ind w:firstLine="0"/>
              <w:jc w:val="left"/>
              <w:rPr>
                <w:rFonts w:ascii="Arial Narrow" w:hAnsi="Arial Narrow" w:cs="Arial"/>
                <w:lang w:val="es-ES" w:eastAsia="es-ES"/>
              </w:rPr>
            </w:pPr>
            <w:r w:rsidRPr="00134033">
              <w:rPr>
                <w:rFonts w:ascii="Arial Narrow" w:hAnsi="Arial Narrow" w:cs="Arial"/>
                <w:lang w:val="es-ES" w:eastAsia="es-ES"/>
              </w:rPr>
              <w:t>Importe</w:t>
            </w:r>
            <w:r w:rsidR="009333E2" w:rsidRPr="00134033">
              <w:rPr>
                <w:rFonts w:ascii="Arial Narrow" w:hAnsi="Arial Narrow" w:cs="Arial"/>
                <w:lang w:val="es-ES" w:eastAsia="es-ES"/>
              </w:rPr>
              <w:t xml:space="preserve"> tasas y precios públicos</w:t>
            </w:r>
          </w:p>
        </w:tc>
        <w:tc>
          <w:tcPr>
            <w:tcW w:w="96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lang w:val="es-ES" w:eastAsia="es-ES"/>
              </w:rPr>
            </w:pPr>
            <w:r w:rsidRPr="00134033">
              <w:rPr>
                <w:rFonts w:ascii="Arial Narrow" w:hAnsi="Arial Narrow" w:cs="Arial"/>
                <w:lang w:val="es-ES" w:eastAsia="es-ES"/>
              </w:rPr>
              <w:t>13.996</w:t>
            </w:r>
          </w:p>
        </w:tc>
        <w:tc>
          <w:tcPr>
            <w:tcW w:w="96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lang w:val="es-ES" w:eastAsia="es-ES"/>
              </w:rPr>
            </w:pPr>
            <w:r w:rsidRPr="00134033">
              <w:rPr>
                <w:rFonts w:ascii="Arial Narrow" w:hAnsi="Arial Narrow" w:cs="Arial"/>
                <w:lang w:val="es-ES" w:eastAsia="es-ES"/>
              </w:rPr>
              <w:t>12.620</w:t>
            </w:r>
          </w:p>
        </w:tc>
        <w:tc>
          <w:tcPr>
            <w:tcW w:w="96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lang w:val="es-ES" w:eastAsia="es-ES"/>
              </w:rPr>
            </w:pPr>
            <w:r w:rsidRPr="00134033">
              <w:rPr>
                <w:rFonts w:ascii="Arial Narrow" w:hAnsi="Arial Narrow" w:cs="Arial"/>
                <w:lang w:val="es-ES" w:eastAsia="es-ES"/>
              </w:rPr>
              <w:t>12.737</w:t>
            </w:r>
          </w:p>
        </w:tc>
        <w:tc>
          <w:tcPr>
            <w:tcW w:w="840" w:type="dxa"/>
            <w:tcBorders>
              <w:top w:val="single" w:sz="4" w:space="0" w:color="auto"/>
              <w:bottom w:val="single" w:sz="2" w:space="0" w:color="auto"/>
            </w:tcBorders>
            <w:shd w:val="clear" w:color="auto" w:fill="auto"/>
            <w:noWrap/>
            <w:vAlign w:val="center"/>
          </w:tcPr>
          <w:p w:rsidR="00F025FC" w:rsidRPr="00134033" w:rsidRDefault="00F025FC" w:rsidP="004850F5">
            <w:pPr>
              <w:spacing w:after="0"/>
              <w:ind w:firstLine="0"/>
              <w:jc w:val="right"/>
              <w:rPr>
                <w:rFonts w:ascii="Arial Narrow" w:hAnsi="Arial Narrow" w:cs="Arial"/>
                <w:lang w:val="es-ES" w:eastAsia="es-ES"/>
              </w:rPr>
            </w:pPr>
            <w:r w:rsidRPr="00134033">
              <w:rPr>
                <w:rFonts w:ascii="Arial Narrow" w:hAnsi="Arial Narrow" w:cs="Arial"/>
                <w:lang w:val="es-ES" w:eastAsia="es-ES"/>
              </w:rPr>
              <w:t>13.003</w:t>
            </w:r>
          </w:p>
        </w:tc>
        <w:tc>
          <w:tcPr>
            <w:tcW w:w="840" w:type="dxa"/>
            <w:tcBorders>
              <w:top w:val="single" w:sz="4" w:space="0" w:color="auto"/>
              <w:bottom w:val="single" w:sz="2" w:space="0" w:color="auto"/>
            </w:tcBorders>
            <w:vAlign w:val="center"/>
          </w:tcPr>
          <w:p w:rsidR="00F025FC" w:rsidRPr="00134033" w:rsidRDefault="00F025FC" w:rsidP="004850F5">
            <w:pPr>
              <w:spacing w:after="0"/>
              <w:ind w:firstLine="0"/>
              <w:jc w:val="right"/>
              <w:rPr>
                <w:rFonts w:ascii="Arial Narrow" w:hAnsi="Arial Narrow" w:cs="Arial"/>
                <w:lang w:val="es-ES" w:eastAsia="es-ES"/>
              </w:rPr>
            </w:pPr>
            <w:r w:rsidRPr="00134033">
              <w:rPr>
                <w:rFonts w:ascii="Arial Narrow" w:hAnsi="Arial Narrow" w:cs="Arial"/>
                <w:lang w:val="es-ES" w:eastAsia="es-ES"/>
              </w:rPr>
              <w:t>13.813</w:t>
            </w:r>
          </w:p>
        </w:tc>
        <w:tc>
          <w:tcPr>
            <w:tcW w:w="840" w:type="dxa"/>
            <w:tcBorders>
              <w:top w:val="single" w:sz="4" w:space="0" w:color="auto"/>
              <w:bottom w:val="single" w:sz="2" w:space="0" w:color="auto"/>
            </w:tcBorders>
            <w:vAlign w:val="center"/>
          </w:tcPr>
          <w:p w:rsidR="00F025FC" w:rsidRPr="00134033" w:rsidRDefault="00F025FC" w:rsidP="004850F5">
            <w:pPr>
              <w:spacing w:after="0"/>
              <w:ind w:firstLine="0"/>
              <w:jc w:val="right"/>
              <w:rPr>
                <w:rFonts w:ascii="Arial Narrow" w:hAnsi="Arial Narrow" w:cs="Arial"/>
                <w:lang w:val="es-ES" w:eastAsia="es-ES"/>
              </w:rPr>
            </w:pPr>
            <w:r w:rsidRPr="00134033">
              <w:rPr>
                <w:rFonts w:ascii="Arial Narrow" w:hAnsi="Arial Narrow" w:cs="Arial"/>
                <w:lang w:val="es-ES" w:eastAsia="es-ES"/>
              </w:rPr>
              <w:t>15.144</w:t>
            </w:r>
          </w:p>
        </w:tc>
      </w:tr>
      <w:tr w:rsidR="00F025FC" w:rsidRPr="00134033" w:rsidTr="005F6E05">
        <w:trPr>
          <w:trHeight w:hRule="exact" w:val="284"/>
          <w:jc w:val="center"/>
        </w:trPr>
        <w:tc>
          <w:tcPr>
            <w:tcW w:w="3405" w:type="dxa"/>
            <w:tcBorders>
              <w:top w:val="single" w:sz="2" w:space="0" w:color="auto"/>
              <w:bottom w:val="single" w:sz="2" w:space="0" w:color="auto"/>
            </w:tcBorders>
            <w:shd w:val="clear" w:color="auto" w:fill="auto"/>
            <w:noWrap/>
            <w:vAlign w:val="center"/>
          </w:tcPr>
          <w:p w:rsidR="00F025FC" w:rsidRPr="00134033" w:rsidRDefault="00080099" w:rsidP="00144DF9">
            <w:pPr>
              <w:spacing w:after="0"/>
              <w:ind w:firstLine="0"/>
              <w:jc w:val="left"/>
              <w:rPr>
                <w:rFonts w:ascii="Arial Narrow" w:hAnsi="Arial Narrow"/>
                <w:lang w:val="es-ES" w:eastAsia="es-ES"/>
              </w:rPr>
            </w:pPr>
            <w:r w:rsidRPr="00134033">
              <w:rPr>
                <w:rFonts w:ascii="Arial Narrow" w:hAnsi="Arial Narrow"/>
                <w:lang w:val="es-ES" w:eastAsia="es-ES"/>
              </w:rPr>
              <w:t>Índice</w:t>
            </w:r>
          </w:p>
        </w:tc>
        <w:tc>
          <w:tcPr>
            <w:tcW w:w="96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lang w:val="es-ES" w:eastAsia="es-ES"/>
              </w:rPr>
            </w:pPr>
            <w:r w:rsidRPr="00134033">
              <w:rPr>
                <w:rFonts w:ascii="Arial Narrow" w:hAnsi="Arial Narrow"/>
                <w:lang w:val="es-ES" w:eastAsia="es-ES"/>
              </w:rPr>
              <w:t>100</w:t>
            </w:r>
          </w:p>
        </w:tc>
        <w:tc>
          <w:tcPr>
            <w:tcW w:w="96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lang w:val="es-ES" w:eastAsia="es-ES"/>
              </w:rPr>
            </w:pPr>
            <w:r w:rsidRPr="00134033">
              <w:rPr>
                <w:rFonts w:ascii="Arial Narrow" w:hAnsi="Arial Narrow"/>
                <w:lang w:val="es-ES" w:eastAsia="es-ES"/>
              </w:rPr>
              <w:t>90</w:t>
            </w:r>
          </w:p>
        </w:tc>
        <w:tc>
          <w:tcPr>
            <w:tcW w:w="96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lang w:val="es-ES" w:eastAsia="es-ES"/>
              </w:rPr>
            </w:pPr>
            <w:r w:rsidRPr="00134033">
              <w:rPr>
                <w:rFonts w:ascii="Arial Narrow" w:hAnsi="Arial Narrow"/>
                <w:lang w:val="es-ES" w:eastAsia="es-ES"/>
              </w:rPr>
              <w:t>91</w:t>
            </w:r>
          </w:p>
        </w:tc>
        <w:tc>
          <w:tcPr>
            <w:tcW w:w="840" w:type="dxa"/>
            <w:tcBorders>
              <w:top w:val="single" w:sz="2" w:space="0" w:color="auto"/>
              <w:bottom w:val="single" w:sz="2" w:space="0" w:color="auto"/>
            </w:tcBorders>
            <w:shd w:val="clear" w:color="auto" w:fill="auto"/>
            <w:noWrap/>
            <w:vAlign w:val="center"/>
          </w:tcPr>
          <w:p w:rsidR="00F025FC" w:rsidRPr="00134033" w:rsidRDefault="00111D80" w:rsidP="004850F5">
            <w:pPr>
              <w:spacing w:after="0"/>
              <w:ind w:firstLine="0"/>
              <w:jc w:val="right"/>
              <w:rPr>
                <w:rFonts w:ascii="Arial Narrow" w:hAnsi="Arial Narrow"/>
                <w:lang w:val="es-ES" w:eastAsia="es-ES"/>
              </w:rPr>
            </w:pPr>
            <w:r w:rsidRPr="00134033">
              <w:rPr>
                <w:rFonts w:ascii="Arial Narrow" w:hAnsi="Arial Narrow"/>
                <w:lang w:val="es-ES" w:eastAsia="es-ES"/>
              </w:rPr>
              <w:t>93</w:t>
            </w:r>
          </w:p>
        </w:tc>
        <w:tc>
          <w:tcPr>
            <w:tcW w:w="840" w:type="dxa"/>
            <w:tcBorders>
              <w:top w:val="single" w:sz="2" w:space="0" w:color="auto"/>
              <w:bottom w:val="single" w:sz="2" w:space="0" w:color="auto"/>
            </w:tcBorders>
            <w:vAlign w:val="center"/>
          </w:tcPr>
          <w:p w:rsidR="00F025FC" w:rsidRPr="00134033" w:rsidRDefault="00111D80" w:rsidP="004850F5">
            <w:pPr>
              <w:spacing w:after="0"/>
              <w:ind w:firstLine="0"/>
              <w:jc w:val="right"/>
              <w:rPr>
                <w:rFonts w:ascii="Arial Narrow" w:hAnsi="Arial Narrow"/>
                <w:lang w:val="es-ES" w:eastAsia="es-ES"/>
              </w:rPr>
            </w:pPr>
            <w:r w:rsidRPr="00134033">
              <w:rPr>
                <w:rFonts w:ascii="Arial Narrow" w:hAnsi="Arial Narrow"/>
                <w:lang w:val="es-ES" w:eastAsia="es-ES"/>
              </w:rPr>
              <w:t>99</w:t>
            </w:r>
          </w:p>
        </w:tc>
        <w:tc>
          <w:tcPr>
            <w:tcW w:w="840" w:type="dxa"/>
            <w:tcBorders>
              <w:top w:val="single" w:sz="2" w:space="0" w:color="auto"/>
              <w:bottom w:val="single" w:sz="2" w:space="0" w:color="auto"/>
            </w:tcBorders>
            <w:vAlign w:val="center"/>
          </w:tcPr>
          <w:p w:rsidR="00F025FC" w:rsidRPr="00134033" w:rsidRDefault="00111D80" w:rsidP="004850F5">
            <w:pPr>
              <w:spacing w:after="0"/>
              <w:ind w:firstLine="0"/>
              <w:jc w:val="right"/>
              <w:rPr>
                <w:rFonts w:ascii="Arial Narrow" w:hAnsi="Arial Narrow"/>
                <w:lang w:val="es-ES" w:eastAsia="es-ES"/>
              </w:rPr>
            </w:pPr>
            <w:r w:rsidRPr="00134033">
              <w:rPr>
                <w:rFonts w:ascii="Arial Narrow" w:hAnsi="Arial Narrow"/>
                <w:lang w:val="es-ES" w:eastAsia="es-ES"/>
              </w:rPr>
              <w:t>108</w:t>
            </w:r>
          </w:p>
        </w:tc>
      </w:tr>
      <w:tr w:rsidR="00F025FC" w:rsidRPr="00134033" w:rsidTr="005F6E05">
        <w:trPr>
          <w:trHeight w:hRule="exact" w:val="284"/>
          <w:jc w:val="center"/>
        </w:trPr>
        <w:tc>
          <w:tcPr>
            <w:tcW w:w="3405" w:type="dxa"/>
            <w:tcBorders>
              <w:top w:val="single" w:sz="2" w:space="0" w:color="auto"/>
              <w:bottom w:val="single" w:sz="4" w:space="0" w:color="auto"/>
            </w:tcBorders>
            <w:shd w:val="clear" w:color="auto" w:fill="auto"/>
            <w:noWrap/>
            <w:vAlign w:val="center"/>
          </w:tcPr>
          <w:p w:rsidR="00F025FC" w:rsidRPr="00134033" w:rsidRDefault="00F025FC" w:rsidP="00B8228E">
            <w:pPr>
              <w:spacing w:after="0"/>
              <w:ind w:firstLine="0"/>
              <w:jc w:val="left"/>
              <w:rPr>
                <w:rFonts w:ascii="Arial Narrow" w:hAnsi="Arial Narrow"/>
                <w:lang w:val="es-ES" w:eastAsia="es-ES"/>
              </w:rPr>
            </w:pPr>
            <w:r w:rsidRPr="00134033">
              <w:rPr>
                <w:rFonts w:ascii="Arial Narrow" w:hAnsi="Arial Narrow"/>
                <w:lang w:val="es-ES" w:eastAsia="es-ES"/>
              </w:rPr>
              <w:t>Porcentaje sobre</w:t>
            </w:r>
            <w:r w:rsidR="00B8228E" w:rsidRPr="00134033">
              <w:rPr>
                <w:rFonts w:ascii="Arial Narrow" w:hAnsi="Arial Narrow"/>
                <w:lang w:val="es-ES" w:eastAsia="es-ES"/>
              </w:rPr>
              <w:t xml:space="preserve"> total i</w:t>
            </w:r>
            <w:r w:rsidRPr="00134033">
              <w:rPr>
                <w:rFonts w:ascii="Arial Narrow" w:hAnsi="Arial Narrow"/>
                <w:lang w:val="es-ES" w:eastAsia="es-ES"/>
              </w:rPr>
              <w:t>ngresos</w:t>
            </w:r>
          </w:p>
        </w:tc>
        <w:tc>
          <w:tcPr>
            <w:tcW w:w="96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lang w:val="es-ES" w:eastAsia="es-ES"/>
              </w:rPr>
            </w:pPr>
            <w:r w:rsidRPr="00134033">
              <w:rPr>
                <w:rFonts w:ascii="Arial Narrow" w:hAnsi="Arial Narrow"/>
                <w:lang w:val="es-ES" w:eastAsia="es-ES"/>
              </w:rPr>
              <w:t>18</w:t>
            </w:r>
          </w:p>
        </w:tc>
        <w:tc>
          <w:tcPr>
            <w:tcW w:w="96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lang w:val="es-ES" w:eastAsia="es-ES"/>
              </w:rPr>
            </w:pPr>
            <w:r w:rsidRPr="00134033">
              <w:rPr>
                <w:rFonts w:ascii="Arial Narrow" w:hAnsi="Arial Narrow"/>
                <w:lang w:val="es-ES" w:eastAsia="es-ES"/>
              </w:rPr>
              <w:t>15</w:t>
            </w:r>
          </w:p>
        </w:tc>
        <w:tc>
          <w:tcPr>
            <w:tcW w:w="96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lang w:val="es-ES" w:eastAsia="es-ES"/>
              </w:rPr>
            </w:pPr>
            <w:r w:rsidRPr="00134033">
              <w:rPr>
                <w:rFonts w:ascii="Arial Narrow" w:hAnsi="Arial Narrow"/>
                <w:lang w:val="es-ES" w:eastAsia="es-ES"/>
              </w:rPr>
              <w:t>16</w:t>
            </w:r>
          </w:p>
        </w:tc>
        <w:tc>
          <w:tcPr>
            <w:tcW w:w="840" w:type="dxa"/>
            <w:tcBorders>
              <w:top w:val="single" w:sz="2" w:space="0" w:color="auto"/>
              <w:bottom w:val="single" w:sz="4" w:space="0" w:color="auto"/>
            </w:tcBorders>
            <w:shd w:val="clear" w:color="auto" w:fill="auto"/>
            <w:noWrap/>
            <w:vAlign w:val="center"/>
          </w:tcPr>
          <w:p w:rsidR="00F025FC" w:rsidRPr="00134033" w:rsidRDefault="00BA0547" w:rsidP="004850F5">
            <w:pPr>
              <w:spacing w:after="0"/>
              <w:ind w:firstLine="0"/>
              <w:jc w:val="right"/>
              <w:rPr>
                <w:rFonts w:ascii="Arial Narrow" w:hAnsi="Arial Narrow"/>
                <w:lang w:val="es-ES" w:eastAsia="es-ES"/>
              </w:rPr>
            </w:pPr>
            <w:r w:rsidRPr="00134033">
              <w:rPr>
                <w:rFonts w:ascii="Arial Narrow" w:hAnsi="Arial Narrow"/>
                <w:lang w:val="es-ES" w:eastAsia="es-ES"/>
              </w:rPr>
              <w:t>18</w:t>
            </w:r>
          </w:p>
        </w:tc>
        <w:tc>
          <w:tcPr>
            <w:tcW w:w="840" w:type="dxa"/>
            <w:tcBorders>
              <w:top w:val="single" w:sz="2" w:space="0" w:color="auto"/>
              <w:bottom w:val="single" w:sz="4" w:space="0" w:color="auto"/>
            </w:tcBorders>
            <w:vAlign w:val="center"/>
          </w:tcPr>
          <w:p w:rsidR="00F025FC" w:rsidRPr="00134033" w:rsidRDefault="00BA0547" w:rsidP="004850F5">
            <w:pPr>
              <w:spacing w:after="0"/>
              <w:ind w:firstLine="0"/>
              <w:jc w:val="right"/>
              <w:rPr>
                <w:rFonts w:ascii="Arial Narrow" w:hAnsi="Arial Narrow"/>
                <w:lang w:val="es-ES" w:eastAsia="es-ES"/>
              </w:rPr>
            </w:pPr>
            <w:r w:rsidRPr="00134033">
              <w:rPr>
                <w:rFonts w:ascii="Arial Narrow" w:hAnsi="Arial Narrow"/>
                <w:lang w:val="es-ES" w:eastAsia="es-ES"/>
              </w:rPr>
              <w:t>20</w:t>
            </w:r>
          </w:p>
        </w:tc>
        <w:tc>
          <w:tcPr>
            <w:tcW w:w="840" w:type="dxa"/>
            <w:tcBorders>
              <w:top w:val="single" w:sz="2" w:space="0" w:color="auto"/>
              <w:bottom w:val="single" w:sz="4" w:space="0" w:color="auto"/>
            </w:tcBorders>
            <w:vAlign w:val="center"/>
          </w:tcPr>
          <w:p w:rsidR="00F025FC" w:rsidRPr="00134033" w:rsidRDefault="00BA0547" w:rsidP="004850F5">
            <w:pPr>
              <w:spacing w:after="0"/>
              <w:ind w:firstLine="0"/>
              <w:jc w:val="right"/>
              <w:rPr>
                <w:rFonts w:ascii="Arial Narrow" w:hAnsi="Arial Narrow"/>
                <w:lang w:val="es-ES" w:eastAsia="es-ES"/>
              </w:rPr>
            </w:pPr>
            <w:r w:rsidRPr="00134033">
              <w:rPr>
                <w:rFonts w:ascii="Arial Narrow" w:hAnsi="Arial Narrow"/>
                <w:lang w:val="es-ES" w:eastAsia="es-ES"/>
              </w:rPr>
              <w:t>21</w:t>
            </w:r>
          </w:p>
        </w:tc>
      </w:tr>
    </w:tbl>
    <w:p w:rsidR="00087E89" w:rsidRDefault="00087E89" w:rsidP="004850F5">
      <w:pPr>
        <w:pStyle w:val="texto"/>
        <w:tabs>
          <w:tab w:val="clear" w:pos="2835"/>
          <w:tab w:val="clear" w:pos="3969"/>
          <w:tab w:val="clear" w:pos="5103"/>
          <w:tab w:val="clear" w:pos="6237"/>
          <w:tab w:val="clear" w:pos="7371"/>
          <w:tab w:val="left" w:pos="480"/>
          <w:tab w:val="num" w:pos="928"/>
          <w:tab w:val="num" w:pos="6597"/>
        </w:tabs>
        <w:spacing w:after="0"/>
        <w:ind w:left="289" w:firstLine="0"/>
        <w:rPr>
          <w:szCs w:val="26"/>
        </w:rPr>
      </w:pPr>
    </w:p>
    <w:p w:rsidR="00111D80" w:rsidRDefault="00BA0547" w:rsidP="00BA0547">
      <w:pPr>
        <w:pStyle w:val="texto"/>
        <w:tabs>
          <w:tab w:val="clear" w:pos="2835"/>
          <w:tab w:val="clear" w:pos="3969"/>
          <w:tab w:val="clear" w:pos="5103"/>
          <w:tab w:val="clear" w:pos="6237"/>
          <w:tab w:val="clear" w:pos="7371"/>
          <w:tab w:val="num" w:pos="300"/>
          <w:tab w:val="num" w:pos="720"/>
        </w:tabs>
        <w:rPr>
          <w:szCs w:val="26"/>
        </w:rPr>
      </w:pPr>
      <w:r>
        <w:rPr>
          <w:szCs w:val="26"/>
        </w:rPr>
        <w:t xml:space="preserve">Es decir, </w:t>
      </w:r>
      <w:r w:rsidR="00111D80">
        <w:rPr>
          <w:szCs w:val="26"/>
        </w:rPr>
        <w:t>entre 2009 y 2014, han aumentado globalmente los ingresos por t</w:t>
      </w:r>
      <w:r w:rsidR="00111D80">
        <w:rPr>
          <w:szCs w:val="26"/>
        </w:rPr>
        <w:t>a</w:t>
      </w:r>
      <w:r w:rsidR="00111D80">
        <w:rPr>
          <w:szCs w:val="26"/>
        </w:rPr>
        <w:t>sas en un ocho por ciento, esto es, más de un millón. No obstante, tal aumento se manifiesta</w:t>
      </w:r>
      <w:r w:rsidR="00FD2E6C">
        <w:rPr>
          <w:szCs w:val="26"/>
        </w:rPr>
        <w:t xml:space="preserve"> </w:t>
      </w:r>
      <w:r w:rsidR="00CC062F">
        <w:rPr>
          <w:szCs w:val="26"/>
        </w:rPr>
        <w:t>especialmente</w:t>
      </w:r>
      <w:r w:rsidR="00111D80">
        <w:rPr>
          <w:szCs w:val="26"/>
        </w:rPr>
        <w:t xml:space="preserve"> en el último año citado.</w:t>
      </w:r>
    </w:p>
    <w:p w:rsidR="00BA0547" w:rsidRDefault="00111D80" w:rsidP="00BA0547">
      <w:pPr>
        <w:pStyle w:val="texto"/>
        <w:tabs>
          <w:tab w:val="clear" w:pos="2835"/>
          <w:tab w:val="clear" w:pos="3969"/>
          <w:tab w:val="clear" w:pos="5103"/>
          <w:tab w:val="clear" w:pos="6237"/>
          <w:tab w:val="clear" w:pos="7371"/>
          <w:tab w:val="num" w:pos="300"/>
          <w:tab w:val="num" w:pos="720"/>
        </w:tabs>
        <w:rPr>
          <w:szCs w:val="26"/>
        </w:rPr>
      </w:pPr>
      <w:r>
        <w:rPr>
          <w:szCs w:val="26"/>
        </w:rPr>
        <w:t>Asimismo</w:t>
      </w:r>
      <w:r w:rsidR="00F25739">
        <w:rPr>
          <w:szCs w:val="26"/>
        </w:rPr>
        <w:t>,</w:t>
      </w:r>
      <w:r w:rsidR="00BA0547">
        <w:rPr>
          <w:szCs w:val="26"/>
        </w:rPr>
        <w:t xml:space="preserve"> se observa </w:t>
      </w:r>
      <w:r>
        <w:rPr>
          <w:szCs w:val="26"/>
        </w:rPr>
        <w:t>que</w:t>
      </w:r>
      <w:r w:rsidR="00BA0547">
        <w:rPr>
          <w:szCs w:val="26"/>
        </w:rPr>
        <w:t xml:space="preserve"> esta fuente de financiación está incrementa</w:t>
      </w:r>
      <w:r w:rsidR="00B8228E">
        <w:rPr>
          <w:szCs w:val="26"/>
        </w:rPr>
        <w:t>n</w:t>
      </w:r>
      <w:r w:rsidR="00BA0547">
        <w:rPr>
          <w:szCs w:val="26"/>
        </w:rPr>
        <w:t>do progresivamente su peso relativo sobre el total de ingresos de la Universidad.</w:t>
      </w:r>
      <w:r w:rsidR="0051171F">
        <w:rPr>
          <w:szCs w:val="26"/>
        </w:rPr>
        <w:t xml:space="preserve"> Est</w:t>
      </w:r>
      <w:r w:rsidR="002D0099">
        <w:rPr>
          <w:szCs w:val="26"/>
        </w:rPr>
        <w:t>e</w:t>
      </w:r>
      <w:r w:rsidR="0051171F">
        <w:rPr>
          <w:szCs w:val="26"/>
        </w:rPr>
        <w:t xml:space="preserve"> aumento </w:t>
      </w:r>
      <w:r w:rsidR="002D0099">
        <w:rPr>
          <w:szCs w:val="26"/>
        </w:rPr>
        <w:t xml:space="preserve">de su peso </w:t>
      </w:r>
      <w:r w:rsidR="0051171F">
        <w:rPr>
          <w:szCs w:val="26"/>
        </w:rPr>
        <w:t xml:space="preserve">relativo deriva </w:t>
      </w:r>
      <w:r>
        <w:rPr>
          <w:szCs w:val="26"/>
        </w:rPr>
        <w:t xml:space="preserve">tanto de </w:t>
      </w:r>
      <w:r w:rsidR="0051171F">
        <w:rPr>
          <w:szCs w:val="26"/>
        </w:rPr>
        <w:t>la reducción de un nueve por ciento de los ingresos totales de la Universidad</w:t>
      </w:r>
      <w:r>
        <w:rPr>
          <w:szCs w:val="26"/>
        </w:rPr>
        <w:t xml:space="preserve"> como del aumento experime</w:t>
      </w:r>
      <w:r>
        <w:rPr>
          <w:szCs w:val="26"/>
        </w:rPr>
        <w:t>n</w:t>
      </w:r>
      <w:r>
        <w:rPr>
          <w:szCs w:val="26"/>
        </w:rPr>
        <w:t>tado en 2014</w:t>
      </w:r>
      <w:r w:rsidR="0051171F">
        <w:rPr>
          <w:szCs w:val="26"/>
        </w:rPr>
        <w:t>.</w:t>
      </w:r>
    </w:p>
    <w:p w:rsidR="00FB3364" w:rsidRDefault="00FB3364" w:rsidP="00FB336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Los ingresos por transferencias</w:t>
      </w:r>
      <w:r w:rsidR="00E84A0E">
        <w:rPr>
          <w:szCs w:val="26"/>
        </w:rPr>
        <w:t xml:space="preserve"> corrientes</w:t>
      </w:r>
      <w:r>
        <w:rPr>
          <w:szCs w:val="26"/>
        </w:rPr>
        <w:t>, 56,35 millones, representan el 79 por ciento del total de ingresos, un punto porcentual menos que el ejercicio anterior.</w:t>
      </w:r>
      <w:r w:rsidR="00005082">
        <w:rPr>
          <w:szCs w:val="26"/>
        </w:rPr>
        <w:t xml:space="preserve"> Destacamos que en 2014 los ingresos de esta naturaleza para invest</w:t>
      </w:r>
      <w:r w:rsidR="00005082">
        <w:rPr>
          <w:szCs w:val="26"/>
        </w:rPr>
        <w:t>i</w:t>
      </w:r>
      <w:r w:rsidR="00005082">
        <w:rPr>
          <w:szCs w:val="26"/>
        </w:rPr>
        <w:t>gación se han reducido en un 17 por ciento, de 3,9 millones a 3,2 millones.</w:t>
      </w:r>
    </w:p>
    <w:p w:rsidR="00E84A0E" w:rsidRDefault="00E84A0E" w:rsidP="004850F5">
      <w:pPr>
        <w:pStyle w:val="texto"/>
        <w:tabs>
          <w:tab w:val="clear" w:pos="2835"/>
          <w:tab w:val="clear" w:pos="3969"/>
          <w:tab w:val="clear" w:pos="5103"/>
          <w:tab w:val="clear" w:pos="6237"/>
          <w:tab w:val="clear" w:pos="7371"/>
          <w:tab w:val="num" w:pos="300"/>
          <w:tab w:val="num" w:pos="720"/>
        </w:tabs>
        <w:spacing w:after="360"/>
        <w:rPr>
          <w:szCs w:val="26"/>
        </w:rPr>
      </w:pPr>
      <w:r>
        <w:rPr>
          <w:szCs w:val="26"/>
        </w:rPr>
        <w:t>En el gráfico siguiente observamos la dependencia del total de ingresos de la Universidad de esta fuente de financiación</w:t>
      </w:r>
      <w:r w:rsidR="00422D69">
        <w:rPr>
          <w:szCs w:val="26"/>
        </w:rPr>
        <w:t xml:space="preserve"> para el periodo de 2009 a 2014</w:t>
      </w:r>
      <w:r>
        <w:rPr>
          <w:szCs w:val="26"/>
        </w:rPr>
        <w:t>.</w:t>
      </w:r>
    </w:p>
    <w:p w:rsidR="00E84A0E" w:rsidRDefault="00E84A0E" w:rsidP="004850F5">
      <w:pPr>
        <w:pStyle w:val="texto"/>
        <w:tabs>
          <w:tab w:val="clear" w:pos="2835"/>
          <w:tab w:val="clear" w:pos="3969"/>
          <w:tab w:val="clear" w:pos="5103"/>
          <w:tab w:val="clear" w:pos="6237"/>
          <w:tab w:val="clear" w:pos="7371"/>
          <w:tab w:val="num" w:pos="300"/>
          <w:tab w:val="num" w:pos="720"/>
        </w:tabs>
        <w:ind w:firstLine="0"/>
        <w:rPr>
          <w:szCs w:val="26"/>
        </w:rPr>
      </w:pPr>
      <w:r>
        <w:rPr>
          <w:noProof/>
          <w:lang w:val="es-ES" w:eastAsia="es-ES"/>
        </w:rPr>
        <w:drawing>
          <wp:inline distT="0" distB="0" distL="0" distR="0" wp14:anchorId="0CCD2E1D" wp14:editId="53D34AB7">
            <wp:extent cx="5583677" cy="3278221"/>
            <wp:effectExtent l="0" t="0" r="17145" b="177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2D69" w:rsidRDefault="00422D69" w:rsidP="002D0099">
      <w:pPr>
        <w:pStyle w:val="texto"/>
        <w:tabs>
          <w:tab w:val="clear" w:pos="2835"/>
          <w:tab w:val="clear" w:pos="3969"/>
          <w:tab w:val="clear" w:pos="5103"/>
          <w:tab w:val="clear" w:pos="6237"/>
          <w:tab w:val="clear" w:pos="7371"/>
          <w:tab w:val="num" w:pos="300"/>
          <w:tab w:val="num" w:pos="720"/>
        </w:tabs>
        <w:rPr>
          <w:szCs w:val="26"/>
        </w:rPr>
      </w:pPr>
      <w:r>
        <w:rPr>
          <w:szCs w:val="26"/>
        </w:rPr>
        <w:lastRenderedPageBreak/>
        <w:t xml:space="preserve">Igualmente reseñamos que por convenios con entidades financieras, la </w:t>
      </w:r>
      <w:r w:rsidR="002338F8" w:rsidRPr="002C7BC0">
        <w:rPr>
          <w:szCs w:val="26"/>
        </w:rPr>
        <w:t>U</w:t>
      </w:r>
      <w:r w:rsidR="002338F8">
        <w:rPr>
          <w:szCs w:val="26"/>
        </w:rPr>
        <w:t>n</w:t>
      </w:r>
      <w:r w:rsidR="002338F8">
        <w:rPr>
          <w:szCs w:val="26"/>
        </w:rPr>
        <w:t>i</w:t>
      </w:r>
      <w:r w:rsidR="002338F8">
        <w:rPr>
          <w:szCs w:val="26"/>
        </w:rPr>
        <w:t xml:space="preserve">versidad </w:t>
      </w:r>
      <w:r>
        <w:rPr>
          <w:szCs w:val="26"/>
        </w:rPr>
        <w:t xml:space="preserve">ha percibido en 2014 un total de </w:t>
      </w:r>
      <w:r w:rsidR="00AE05E6">
        <w:rPr>
          <w:szCs w:val="26"/>
        </w:rPr>
        <w:t>0,55 millones.</w:t>
      </w:r>
    </w:p>
    <w:p w:rsidR="00BA0547" w:rsidRPr="00FB3364" w:rsidRDefault="00FB3364" w:rsidP="004850F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 xml:space="preserve">Dentro de </w:t>
      </w:r>
      <w:r w:rsidR="00422D69">
        <w:rPr>
          <w:szCs w:val="26"/>
        </w:rPr>
        <w:t>los</w:t>
      </w:r>
      <w:r>
        <w:rPr>
          <w:szCs w:val="26"/>
        </w:rPr>
        <w:t xml:space="preserve"> ingresos</w:t>
      </w:r>
      <w:r w:rsidR="00E84A0E">
        <w:rPr>
          <w:szCs w:val="26"/>
        </w:rPr>
        <w:t xml:space="preserve"> por transferencias</w:t>
      </w:r>
      <w:r>
        <w:rPr>
          <w:szCs w:val="26"/>
        </w:rPr>
        <w:t>, sobresalen los procedentes del convenio de financiación con el Gobierno de Navarra.</w:t>
      </w:r>
      <w:r w:rsidR="001458C3">
        <w:rPr>
          <w:szCs w:val="26"/>
        </w:rPr>
        <w:t xml:space="preserve"> </w:t>
      </w:r>
      <w:r>
        <w:rPr>
          <w:szCs w:val="26"/>
        </w:rPr>
        <w:t>En el cuadro siguiente mostramos la evolución</w:t>
      </w:r>
      <w:r w:rsidR="00DB68DF" w:rsidRPr="00DB68DF">
        <w:rPr>
          <w:szCs w:val="26"/>
        </w:rPr>
        <w:t xml:space="preserve"> </w:t>
      </w:r>
      <w:r w:rsidR="00DB68DF">
        <w:rPr>
          <w:szCs w:val="26"/>
        </w:rPr>
        <w:t>desde 2009</w:t>
      </w:r>
      <w:r>
        <w:rPr>
          <w:szCs w:val="26"/>
        </w:rPr>
        <w:t xml:space="preserve"> </w:t>
      </w:r>
      <w:r w:rsidR="00DB68DF">
        <w:rPr>
          <w:szCs w:val="26"/>
        </w:rPr>
        <w:t>de los derechos reconocidos de</w:t>
      </w:r>
      <w:r>
        <w:rPr>
          <w:szCs w:val="26"/>
        </w:rPr>
        <w:t xml:space="preserve"> esta </w:t>
      </w:r>
      <w:r w:rsidR="00811791">
        <w:rPr>
          <w:szCs w:val="26"/>
        </w:rPr>
        <w:t xml:space="preserve">fuente de </w:t>
      </w:r>
      <w:r w:rsidR="004850F5">
        <w:rPr>
          <w:szCs w:val="26"/>
        </w:rPr>
        <w:t>financiación</w:t>
      </w:r>
      <w:r>
        <w:rPr>
          <w:szCs w:val="26"/>
        </w:rPr>
        <w:t xml:space="preserve"> en miles de euros</w:t>
      </w:r>
      <w:r w:rsidR="004850F5">
        <w:rPr>
          <w:szCs w:val="26"/>
        </w:rPr>
        <w:t>.</w:t>
      </w:r>
    </w:p>
    <w:tbl>
      <w:tblPr>
        <w:tblW w:w="877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377"/>
        <w:gridCol w:w="960"/>
        <w:gridCol w:w="960"/>
        <w:gridCol w:w="960"/>
        <w:gridCol w:w="840"/>
        <w:gridCol w:w="840"/>
        <w:gridCol w:w="840"/>
      </w:tblGrid>
      <w:tr w:rsidR="005D73DA" w:rsidRPr="00875AC4" w:rsidTr="00886CB4">
        <w:trPr>
          <w:trHeight w:hRule="exact" w:val="284"/>
          <w:jc w:val="center"/>
        </w:trPr>
        <w:tc>
          <w:tcPr>
            <w:tcW w:w="3377" w:type="dxa"/>
            <w:tcBorders>
              <w:top w:val="single" w:sz="4" w:space="0" w:color="auto"/>
              <w:bottom w:val="single" w:sz="4" w:space="0" w:color="auto"/>
            </w:tcBorders>
            <w:shd w:val="clear" w:color="auto" w:fill="C0D7EC" w:themeFill="accent1" w:themeFillTint="66"/>
            <w:noWrap/>
            <w:vAlign w:val="center"/>
          </w:tcPr>
          <w:p w:rsidR="005D73DA" w:rsidRPr="00875AC4" w:rsidRDefault="00244BB0" w:rsidP="004850F5">
            <w:pPr>
              <w:pStyle w:val="cuadroCabe"/>
              <w:rPr>
                <w:lang w:val="es-ES" w:eastAsia="es-ES"/>
              </w:rPr>
            </w:pPr>
            <w:r>
              <w:rPr>
                <w:lang w:val="es-ES" w:eastAsia="es-ES"/>
              </w:rPr>
              <w:t>Convenio financ</w:t>
            </w:r>
            <w:r w:rsidR="004850F5">
              <w:rPr>
                <w:lang w:val="es-ES" w:eastAsia="es-ES"/>
              </w:rPr>
              <w:t>iación</w:t>
            </w:r>
            <w:r>
              <w:rPr>
                <w:lang w:val="es-ES" w:eastAsia="es-ES"/>
              </w:rPr>
              <w:t xml:space="preserve"> Gob</w:t>
            </w:r>
            <w:r w:rsidR="004850F5">
              <w:rPr>
                <w:lang w:val="es-ES" w:eastAsia="es-ES"/>
              </w:rPr>
              <w:t>.</w:t>
            </w:r>
            <w:r>
              <w:rPr>
                <w:lang w:val="es-ES" w:eastAsia="es-ES"/>
              </w:rPr>
              <w:t xml:space="preserve"> Navarra </w:t>
            </w:r>
          </w:p>
        </w:tc>
        <w:tc>
          <w:tcPr>
            <w:tcW w:w="96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2009</w:t>
            </w:r>
          </w:p>
        </w:tc>
        <w:tc>
          <w:tcPr>
            <w:tcW w:w="96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2010</w:t>
            </w:r>
          </w:p>
        </w:tc>
        <w:tc>
          <w:tcPr>
            <w:tcW w:w="96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2011</w:t>
            </w:r>
          </w:p>
        </w:tc>
        <w:tc>
          <w:tcPr>
            <w:tcW w:w="840" w:type="dxa"/>
            <w:tcBorders>
              <w:top w:val="single" w:sz="4" w:space="0" w:color="auto"/>
              <w:bottom w:val="single" w:sz="4" w:space="0" w:color="auto"/>
            </w:tcBorders>
            <w:shd w:val="clear" w:color="auto" w:fill="C0D7EC" w:themeFill="accent1" w:themeFillTint="66"/>
            <w:noWrap/>
            <w:vAlign w:val="center"/>
          </w:tcPr>
          <w:p w:rsidR="005D73DA" w:rsidRPr="003A2934" w:rsidRDefault="005D73DA" w:rsidP="008C27C2">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2012</w:t>
            </w:r>
          </w:p>
        </w:tc>
        <w:tc>
          <w:tcPr>
            <w:tcW w:w="840" w:type="dxa"/>
            <w:tcBorders>
              <w:top w:val="single" w:sz="4" w:space="0" w:color="auto"/>
              <w:bottom w:val="single" w:sz="4" w:space="0" w:color="auto"/>
            </w:tcBorders>
            <w:shd w:val="clear" w:color="auto" w:fill="C0D7EC" w:themeFill="accent1" w:themeFillTint="66"/>
            <w:vAlign w:val="center"/>
          </w:tcPr>
          <w:p w:rsidR="005D73DA" w:rsidRPr="003A2934" w:rsidRDefault="005D73DA" w:rsidP="008C27C2">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2013</w:t>
            </w:r>
          </w:p>
        </w:tc>
        <w:tc>
          <w:tcPr>
            <w:tcW w:w="840" w:type="dxa"/>
            <w:tcBorders>
              <w:top w:val="single" w:sz="4" w:space="0" w:color="auto"/>
              <w:bottom w:val="single" w:sz="4" w:space="0" w:color="auto"/>
            </w:tcBorders>
            <w:shd w:val="clear" w:color="auto" w:fill="C0D7EC" w:themeFill="accent1" w:themeFillTint="66"/>
            <w:vAlign w:val="center"/>
          </w:tcPr>
          <w:p w:rsidR="005D73DA" w:rsidRPr="003A2934" w:rsidRDefault="005D73DA" w:rsidP="008C27C2">
            <w:pPr>
              <w:spacing w:after="0"/>
              <w:ind w:firstLine="0"/>
              <w:jc w:val="right"/>
              <w:rPr>
                <w:rFonts w:ascii="Arial" w:hAnsi="Arial" w:cs="Arial"/>
                <w:bCs/>
                <w:color w:val="000000"/>
                <w:sz w:val="18"/>
                <w:szCs w:val="18"/>
                <w:lang w:val="es-ES" w:eastAsia="es-ES"/>
              </w:rPr>
            </w:pPr>
            <w:r w:rsidRPr="003A2934">
              <w:rPr>
                <w:rFonts w:ascii="Arial" w:hAnsi="Arial" w:cs="Arial"/>
                <w:bCs/>
                <w:color w:val="000000"/>
                <w:sz w:val="18"/>
                <w:szCs w:val="18"/>
                <w:lang w:val="es-ES" w:eastAsia="es-ES"/>
              </w:rPr>
              <w:t>2014</w:t>
            </w:r>
          </w:p>
        </w:tc>
      </w:tr>
      <w:tr w:rsidR="005D73DA" w:rsidRPr="0047774A" w:rsidTr="004850F5">
        <w:trPr>
          <w:trHeight w:hRule="exact" w:val="284"/>
          <w:jc w:val="center"/>
        </w:trPr>
        <w:tc>
          <w:tcPr>
            <w:tcW w:w="3377" w:type="dxa"/>
            <w:tcBorders>
              <w:top w:val="single" w:sz="4" w:space="0" w:color="auto"/>
              <w:bottom w:val="single" w:sz="2" w:space="0" w:color="auto"/>
            </w:tcBorders>
            <w:shd w:val="clear" w:color="auto" w:fill="auto"/>
            <w:noWrap/>
            <w:vAlign w:val="center"/>
          </w:tcPr>
          <w:p w:rsidR="005D73DA" w:rsidRPr="0047774A" w:rsidRDefault="00244BB0" w:rsidP="002C7BC0">
            <w:pPr>
              <w:spacing w:after="0"/>
              <w:ind w:firstLine="0"/>
              <w:jc w:val="left"/>
              <w:rPr>
                <w:rFonts w:ascii="Arial Narrow" w:hAnsi="Arial Narrow" w:cs="Arial"/>
                <w:lang w:val="es-ES" w:eastAsia="es-ES"/>
              </w:rPr>
            </w:pPr>
            <w:r w:rsidRPr="0047774A">
              <w:rPr>
                <w:rFonts w:ascii="Arial Narrow" w:hAnsi="Arial Narrow" w:cs="Arial"/>
                <w:lang w:val="es-ES" w:eastAsia="es-ES"/>
              </w:rPr>
              <w:t>Importe</w:t>
            </w:r>
            <w:r w:rsidR="009333E2" w:rsidRPr="0047774A">
              <w:rPr>
                <w:rFonts w:ascii="Arial Narrow" w:hAnsi="Arial Narrow" w:cs="Arial"/>
                <w:lang w:val="es-ES" w:eastAsia="es-ES"/>
              </w:rPr>
              <w:t xml:space="preserve"> Convenio</w:t>
            </w:r>
          </w:p>
        </w:tc>
        <w:tc>
          <w:tcPr>
            <w:tcW w:w="960" w:type="dxa"/>
            <w:tcBorders>
              <w:top w:val="single" w:sz="4" w:space="0" w:color="auto"/>
              <w:bottom w:val="single" w:sz="2" w:space="0" w:color="auto"/>
            </w:tcBorders>
            <w:shd w:val="clear" w:color="auto" w:fill="auto"/>
            <w:noWrap/>
            <w:vAlign w:val="center"/>
          </w:tcPr>
          <w:p w:rsidR="005D73DA" w:rsidRPr="0047774A" w:rsidRDefault="005D73DA" w:rsidP="008C27C2">
            <w:pPr>
              <w:spacing w:after="0"/>
              <w:ind w:firstLine="0"/>
              <w:jc w:val="right"/>
              <w:rPr>
                <w:rFonts w:ascii="Arial Narrow" w:hAnsi="Arial Narrow" w:cs="Arial"/>
                <w:lang w:val="es-ES" w:eastAsia="es-ES"/>
              </w:rPr>
            </w:pPr>
            <w:r w:rsidRPr="0047774A">
              <w:rPr>
                <w:rFonts w:ascii="Arial Narrow" w:hAnsi="Arial Narrow" w:cs="Arial"/>
                <w:lang w:val="es-ES" w:eastAsia="es-ES"/>
              </w:rPr>
              <w:t>55.859</w:t>
            </w:r>
          </w:p>
        </w:tc>
        <w:tc>
          <w:tcPr>
            <w:tcW w:w="960" w:type="dxa"/>
            <w:tcBorders>
              <w:top w:val="single" w:sz="4" w:space="0" w:color="auto"/>
              <w:bottom w:val="single" w:sz="2" w:space="0" w:color="auto"/>
            </w:tcBorders>
            <w:shd w:val="clear" w:color="auto" w:fill="auto"/>
            <w:noWrap/>
            <w:vAlign w:val="center"/>
          </w:tcPr>
          <w:p w:rsidR="005D73DA" w:rsidRPr="0047774A" w:rsidRDefault="000148C4" w:rsidP="008C27C2">
            <w:pPr>
              <w:spacing w:after="0"/>
              <w:ind w:firstLine="0"/>
              <w:jc w:val="right"/>
              <w:rPr>
                <w:rFonts w:ascii="Arial Narrow" w:hAnsi="Arial Narrow" w:cs="Arial"/>
                <w:lang w:val="es-ES" w:eastAsia="es-ES"/>
              </w:rPr>
            </w:pPr>
            <w:r w:rsidRPr="0047774A">
              <w:rPr>
                <w:rFonts w:ascii="Arial Narrow" w:hAnsi="Arial Narrow" w:cs="Arial"/>
                <w:lang w:val="es-ES" w:eastAsia="es-ES"/>
              </w:rPr>
              <w:t>60.188</w:t>
            </w:r>
          </w:p>
        </w:tc>
        <w:tc>
          <w:tcPr>
            <w:tcW w:w="960" w:type="dxa"/>
            <w:tcBorders>
              <w:top w:val="single" w:sz="4" w:space="0" w:color="auto"/>
              <w:bottom w:val="single" w:sz="2" w:space="0" w:color="auto"/>
            </w:tcBorders>
            <w:shd w:val="clear" w:color="auto" w:fill="auto"/>
            <w:noWrap/>
            <w:vAlign w:val="center"/>
          </w:tcPr>
          <w:p w:rsidR="005D73DA" w:rsidRPr="0047774A" w:rsidRDefault="000148C4" w:rsidP="008C27C2">
            <w:pPr>
              <w:spacing w:after="0"/>
              <w:ind w:firstLine="0"/>
              <w:jc w:val="right"/>
              <w:rPr>
                <w:rFonts w:ascii="Arial Narrow" w:hAnsi="Arial Narrow" w:cs="Arial"/>
                <w:lang w:val="es-ES" w:eastAsia="es-ES"/>
              </w:rPr>
            </w:pPr>
            <w:r w:rsidRPr="0047774A">
              <w:rPr>
                <w:rFonts w:ascii="Arial Narrow" w:hAnsi="Arial Narrow" w:cs="Arial"/>
                <w:lang w:val="es-ES" w:eastAsia="es-ES"/>
              </w:rPr>
              <w:t>56.983</w:t>
            </w:r>
          </w:p>
        </w:tc>
        <w:tc>
          <w:tcPr>
            <w:tcW w:w="840" w:type="dxa"/>
            <w:tcBorders>
              <w:top w:val="single" w:sz="4" w:space="0" w:color="auto"/>
              <w:bottom w:val="single" w:sz="2" w:space="0" w:color="auto"/>
            </w:tcBorders>
            <w:shd w:val="clear" w:color="auto" w:fill="auto"/>
            <w:noWrap/>
            <w:vAlign w:val="center"/>
          </w:tcPr>
          <w:p w:rsidR="005D73DA" w:rsidRPr="0047774A" w:rsidRDefault="005D73DA" w:rsidP="008C27C2">
            <w:pPr>
              <w:spacing w:after="0"/>
              <w:ind w:firstLine="0"/>
              <w:jc w:val="right"/>
              <w:rPr>
                <w:rFonts w:ascii="Arial Narrow" w:hAnsi="Arial Narrow" w:cs="Arial"/>
                <w:lang w:val="es-ES" w:eastAsia="es-ES"/>
              </w:rPr>
            </w:pPr>
            <w:r w:rsidRPr="0047774A">
              <w:rPr>
                <w:rFonts w:ascii="Arial Narrow" w:hAnsi="Arial Narrow" w:cs="Arial"/>
                <w:lang w:val="es-ES" w:eastAsia="es-ES"/>
              </w:rPr>
              <w:t>51.645</w:t>
            </w:r>
          </w:p>
        </w:tc>
        <w:tc>
          <w:tcPr>
            <w:tcW w:w="840" w:type="dxa"/>
            <w:tcBorders>
              <w:top w:val="single" w:sz="4" w:space="0" w:color="auto"/>
              <w:bottom w:val="single" w:sz="2" w:space="0" w:color="auto"/>
            </w:tcBorders>
            <w:vAlign w:val="center"/>
          </w:tcPr>
          <w:p w:rsidR="005D73DA" w:rsidRPr="0047774A" w:rsidRDefault="005D73DA" w:rsidP="008C27C2">
            <w:pPr>
              <w:spacing w:after="0"/>
              <w:ind w:firstLine="0"/>
              <w:jc w:val="right"/>
              <w:rPr>
                <w:rFonts w:ascii="Arial Narrow" w:hAnsi="Arial Narrow" w:cs="Arial"/>
                <w:lang w:val="es-ES" w:eastAsia="es-ES"/>
              </w:rPr>
            </w:pPr>
            <w:r w:rsidRPr="0047774A">
              <w:rPr>
                <w:rFonts w:ascii="Arial Narrow" w:hAnsi="Arial Narrow" w:cs="Arial"/>
                <w:lang w:val="es-ES" w:eastAsia="es-ES"/>
              </w:rPr>
              <w:t>51.017</w:t>
            </w:r>
          </w:p>
        </w:tc>
        <w:tc>
          <w:tcPr>
            <w:tcW w:w="840" w:type="dxa"/>
            <w:tcBorders>
              <w:top w:val="single" w:sz="4" w:space="0" w:color="auto"/>
              <w:bottom w:val="single" w:sz="2" w:space="0" w:color="auto"/>
            </w:tcBorders>
            <w:vAlign w:val="center"/>
          </w:tcPr>
          <w:p w:rsidR="005D73DA" w:rsidRPr="0047774A" w:rsidRDefault="005D73DA" w:rsidP="008C27C2">
            <w:pPr>
              <w:spacing w:after="0"/>
              <w:ind w:firstLine="0"/>
              <w:jc w:val="right"/>
              <w:rPr>
                <w:rFonts w:ascii="Arial Narrow" w:hAnsi="Arial Narrow" w:cs="Arial"/>
                <w:lang w:val="es-ES" w:eastAsia="es-ES"/>
              </w:rPr>
            </w:pPr>
            <w:r w:rsidRPr="0047774A">
              <w:rPr>
                <w:rFonts w:ascii="Arial Narrow" w:hAnsi="Arial Narrow" w:cs="Arial"/>
                <w:lang w:val="es-ES" w:eastAsia="es-ES"/>
              </w:rPr>
              <w:t>51.751</w:t>
            </w:r>
          </w:p>
        </w:tc>
      </w:tr>
      <w:tr w:rsidR="005D73DA" w:rsidRPr="004850F5" w:rsidTr="004850F5">
        <w:trPr>
          <w:trHeight w:hRule="exact" w:val="284"/>
          <w:jc w:val="center"/>
        </w:trPr>
        <w:tc>
          <w:tcPr>
            <w:tcW w:w="3377" w:type="dxa"/>
            <w:tcBorders>
              <w:top w:val="single" w:sz="2" w:space="0" w:color="auto"/>
              <w:bottom w:val="single" w:sz="2" w:space="0" w:color="auto"/>
            </w:tcBorders>
            <w:shd w:val="clear" w:color="auto" w:fill="auto"/>
            <w:noWrap/>
            <w:vAlign w:val="center"/>
          </w:tcPr>
          <w:p w:rsidR="005D73DA" w:rsidRPr="004850F5" w:rsidRDefault="005D73DA" w:rsidP="002C7BC0">
            <w:pPr>
              <w:spacing w:after="0"/>
              <w:ind w:firstLine="0"/>
              <w:jc w:val="left"/>
              <w:rPr>
                <w:rFonts w:ascii="Arial Narrow" w:hAnsi="Arial Narrow"/>
                <w:lang w:val="es-ES" w:eastAsia="es-ES"/>
              </w:rPr>
            </w:pPr>
            <w:r w:rsidRPr="004850F5">
              <w:rPr>
                <w:rFonts w:ascii="Arial Narrow" w:hAnsi="Arial Narrow"/>
                <w:lang w:val="es-ES" w:eastAsia="es-ES"/>
              </w:rPr>
              <w:t>Total Ingresos presupuestarios</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78.918</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82.660</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79.652</w:t>
            </w:r>
          </w:p>
        </w:tc>
        <w:tc>
          <w:tcPr>
            <w:tcW w:w="84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71.050</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lang w:val="es-ES" w:eastAsia="es-ES"/>
              </w:rPr>
            </w:pPr>
            <w:r w:rsidRPr="004850F5">
              <w:rPr>
                <w:rFonts w:ascii="Arial Narrow" w:hAnsi="Arial Narrow"/>
                <w:lang w:val="es-ES" w:eastAsia="es-ES"/>
              </w:rPr>
              <w:t>70.106</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lang w:val="es-ES" w:eastAsia="es-ES"/>
              </w:rPr>
            </w:pPr>
            <w:r w:rsidRPr="004850F5">
              <w:rPr>
                <w:rFonts w:ascii="Arial Narrow" w:hAnsi="Arial Narrow"/>
                <w:lang w:val="es-ES" w:eastAsia="es-ES"/>
              </w:rPr>
              <w:t>71.743</w:t>
            </w:r>
          </w:p>
        </w:tc>
      </w:tr>
      <w:tr w:rsidR="005D73DA" w:rsidRPr="004850F5" w:rsidTr="004850F5">
        <w:trPr>
          <w:trHeight w:hRule="exact" w:val="284"/>
          <w:jc w:val="center"/>
        </w:trPr>
        <w:tc>
          <w:tcPr>
            <w:tcW w:w="3377" w:type="dxa"/>
            <w:tcBorders>
              <w:top w:val="single" w:sz="2" w:space="0" w:color="auto"/>
              <w:bottom w:val="single" w:sz="2" w:space="0" w:color="auto"/>
            </w:tcBorders>
            <w:shd w:val="clear" w:color="auto" w:fill="auto"/>
            <w:noWrap/>
            <w:vAlign w:val="center"/>
          </w:tcPr>
          <w:p w:rsidR="005D73DA" w:rsidRPr="00915718" w:rsidRDefault="005D73DA" w:rsidP="00F96D0D">
            <w:pPr>
              <w:spacing w:after="0"/>
              <w:ind w:firstLine="0"/>
              <w:jc w:val="left"/>
              <w:rPr>
                <w:rFonts w:ascii="Arial Narrow" w:hAnsi="Arial Narrow"/>
                <w:i/>
                <w:lang w:val="es-ES" w:eastAsia="es-ES"/>
              </w:rPr>
            </w:pPr>
            <w:r w:rsidRPr="00915718">
              <w:rPr>
                <w:rFonts w:ascii="Arial Narrow" w:hAnsi="Arial Narrow"/>
                <w:i/>
                <w:lang w:val="es-ES" w:eastAsia="es-ES"/>
              </w:rPr>
              <w:t xml:space="preserve">Porcentaje </w:t>
            </w:r>
            <w:r w:rsidR="00F96D0D" w:rsidRPr="00915718">
              <w:rPr>
                <w:rFonts w:ascii="Arial Narrow" w:hAnsi="Arial Narrow"/>
                <w:i/>
                <w:lang w:val="es-ES" w:eastAsia="es-ES"/>
              </w:rPr>
              <w:t>C</w:t>
            </w:r>
            <w:r w:rsidRPr="00915718">
              <w:rPr>
                <w:rFonts w:ascii="Arial Narrow" w:hAnsi="Arial Narrow"/>
                <w:i/>
                <w:lang w:val="es-ES" w:eastAsia="es-ES"/>
              </w:rPr>
              <w:t>onvenio sobre Ingresos</w:t>
            </w:r>
          </w:p>
        </w:tc>
        <w:tc>
          <w:tcPr>
            <w:tcW w:w="96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7</w:t>
            </w:r>
            <w:r w:rsidR="00952BC2" w:rsidRPr="00915718">
              <w:rPr>
                <w:rFonts w:ascii="Arial Narrow" w:hAnsi="Arial Narrow"/>
                <w:i/>
                <w:lang w:val="es-ES" w:eastAsia="es-ES"/>
              </w:rPr>
              <w:t>1</w:t>
            </w:r>
          </w:p>
        </w:tc>
        <w:tc>
          <w:tcPr>
            <w:tcW w:w="96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7</w:t>
            </w:r>
            <w:r w:rsidR="00952BC2" w:rsidRPr="00915718">
              <w:rPr>
                <w:rFonts w:ascii="Arial Narrow" w:hAnsi="Arial Narrow"/>
                <w:i/>
                <w:lang w:val="es-ES" w:eastAsia="es-ES"/>
              </w:rPr>
              <w:t>5</w:t>
            </w:r>
          </w:p>
        </w:tc>
        <w:tc>
          <w:tcPr>
            <w:tcW w:w="96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7</w:t>
            </w:r>
            <w:r w:rsidR="00952BC2" w:rsidRPr="00915718">
              <w:rPr>
                <w:rFonts w:ascii="Arial Narrow" w:hAnsi="Arial Narrow"/>
                <w:i/>
                <w:lang w:val="es-ES" w:eastAsia="es-ES"/>
              </w:rPr>
              <w:t>2</w:t>
            </w:r>
          </w:p>
        </w:tc>
        <w:tc>
          <w:tcPr>
            <w:tcW w:w="840" w:type="dxa"/>
            <w:tcBorders>
              <w:top w:val="single" w:sz="2" w:space="0" w:color="auto"/>
              <w:bottom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7</w:t>
            </w:r>
            <w:r w:rsidR="00952BC2" w:rsidRPr="00915718">
              <w:rPr>
                <w:rFonts w:ascii="Arial Narrow" w:hAnsi="Arial Narrow"/>
                <w:i/>
                <w:lang w:val="es-ES" w:eastAsia="es-ES"/>
              </w:rPr>
              <w:t>3</w:t>
            </w:r>
          </w:p>
        </w:tc>
        <w:tc>
          <w:tcPr>
            <w:tcW w:w="840" w:type="dxa"/>
            <w:tcBorders>
              <w:top w:val="single" w:sz="2" w:space="0" w:color="auto"/>
              <w:bottom w:val="single" w:sz="2" w:space="0" w:color="auto"/>
            </w:tcBorders>
            <w:vAlign w:val="center"/>
          </w:tcPr>
          <w:p w:rsidR="005D73DA" w:rsidRPr="00915718" w:rsidRDefault="00952BC2" w:rsidP="008C27C2">
            <w:pPr>
              <w:spacing w:after="0"/>
              <w:ind w:firstLine="0"/>
              <w:jc w:val="right"/>
              <w:rPr>
                <w:rFonts w:ascii="Arial Narrow" w:hAnsi="Arial Narrow"/>
                <w:i/>
                <w:lang w:val="es-ES" w:eastAsia="es-ES"/>
              </w:rPr>
            </w:pPr>
            <w:r w:rsidRPr="00915718">
              <w:rPr>
                <w:rFonts w:ascii="Arial Narrow" w:hAnsi="Arial Narrow"/>
                <w:i/>
                <w:lang w:val="es-ES" w:eastAsia="es-ES"/>
              </w:rPr>
              <w:t>73</w:t>
            </w:r>
          </w:p>
        </w:tc>
        <w:tc>
          <w:tcPr>
            <w:tcW w:w="840" w:type="dxa"/>
            <w:tcBorders>
              <w:top w:val="single" w:sz="2" w:space="0" w:color="auto"/>
              <w:bottom w:val="single" w:sz="2" w:space="0" w:color="auto"/>
            </w:tcBorders>
            <w:vAlign w:val="center"/>
          </w:tcPr>
          <w:p w:rsidR="005D73DA" w:rsidRPr="00915718" w:rsidRDefault="00952BC2" w:rsidP="008C27C2">
            <w:pPr>
              <w:spacing w:after="0"/>
              <w:ind w:firstLine="0"/>
              <w:jc w:val="right"/>
              <w:rPr>
                <w:rFonts w:ascii="Arial Narrow" w:hAnsi="Arial Narrow"/>
                <w:i/>
                <w:lang w:val="es-ES" w:eastAsia="es-ES"/>
              </w:rPr>
            </w:pPr>
            <w:r w:rsidRPr="00915718">
              <w:rPr>
                <w:rFonts w:ascii="Arial Narrow" w:hAnsi="Arial Narrow"/>
                <w:i/>
                <w:lang w:val="es-ES" w:eastAsia="es-ES"/>
              </w:rPr>
              <w:t>72</w:t>
            </w:r>
          </w:p>
        </w:tc>
      </w:tr>
      <w:tr w:rsidR="005D73DA" w:rsidRPr="004850F5" w:rsidTr="004850F5">
        <w:trPr>
          <w:trHeight w:hRule="exact" w:val="284"/>
          <w:jc w:val="center"/>
        </w:trPr>
        <w:tc>
          <w:tcPr>
            <w:tcW w:w="3377" w:type="dxa"/>
            <w:tcBorders>
              <w:top w:val="single" w:sz="2" w:space="0" w:color="auto"/>
              <w:bottom w:val="single" w:sz="2" w:space="0" w:color="auto"/>
            </w:tcBorders>
            <w:shd w:val="clear" w:color="auto" w:fill="auto"/>
            <w:noWrap/>
            <w:vAlign w:val="center"/>
          </w:tcPr>
          <w:p w:rsidR="005D73DA" w:rsidRPr="004850F5" w:rsidRDefault="005D73DA" w:rsidP="002C7BC0">
            <w:pPr>
              <w:spacing w:after="0"/>
              <w:ind w:firstLine="0"/>
              <w:jc w:val="left"/>
              <w:rPr>
                <w:rFonts w:ascii="Arial Narrow" w:hAnsi="Arial Narrow"/>
                <w:lang w:val="es-ES" w:eastAsia="es-ES"/>
              </w:rPr>
            </w:pPr>
            <w:r w:rsidRPr="004850F5">
              <w:rPr>
                <w:rFonts w:ascii="Arial Narrow" w:hAnsi="Arial Narrow"/>
                <w:lang w:val="es-ES" w:eastAsia="es-ES"/>
              </w:rPr>
              <w:t>Total Gastos presupuestarios</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81.751</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80.273</w:t>
            </w:r>
          </w:p>
        </w:tc>
        <w:tc>
          <w:tcPr>
            <w:tcW w:w="96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78.335</w:t>
            </w:r>
          </w:p>
        </w:tc>
        <w:tc>
          <w:tcPr>
            <w:tcW w:w="840" w:type="dxa"/>
            <w:tcBorders>
              <w:top w:val="single" w:sz="2" w:space="0" w:color="auto"/>
              <w:bottom w:val="single" w:sz="2" w:space="0" w:color="auto"/>
            </w:tcBorders>
            <w:shd w:val="clear" w:color="auto" w:fill="auto"/>
            <w:noWrap/>
            <w:vAlign w:val="center"/>
          </w:tcPr>
          <w:p w:rsidR="005D73DA" w:rsidRPr="004850F5" w:rsidRDefault="005D73DA" w:rsidP="008C27C2">
            <w:pPr>
              <w:spacing w:after="0"/>
              <w:ind w:firstLine="0"/>
              <w:jc w:val="right"/>
              <w:rPr>
                <w:rFonts w:ascii="Arial Narrow" w:hAnsi="Arial Narrow"/>
                <w:lang w:val="es-ES" w:eastAsia="es-ES"/>
              </w:rPr>
            </w:pPr>
            <w:r w:rsidRPr="004850F5">
              <w:rPr>
                <w:rFonts w:ascii="Arial Narrow" w:hAnsi="Arial Narrow"/>
                <w:lang w:val="es-ES" w:eastAsia="es-ES"/>
              </w:rPr>
              <w:t>75.126</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lang w:val="es-ES" w:eastAsia="es-ES"/>
              </w:rPr>
            </w:pPr>
            <w:r w:rsidRPr="004850F5">
              <w:rPr>
                <w:rFonts w:ascii="Arial Narrow" w:hAnsi="Arial Narrow"/>
                <w:lang w:val="es-ES" w:eastAsia="es-ES"/>
              </w:rPr>
              <w:t>71.445</w:t>
            </w:r>
          </w:p>
        </w:tc>
        <w:tc>
          <w:tcPr>
            <w:tcW w:w="840" w:type="dxa"/>
            <w:tcBorders>
              <w:top w:val="single" w:sz="2" w:space="0" w:color="auto"/>
              <w:bottom w:val="single" w:sz="2" w:space="0" w:color="auto"/>
            </w:tcBorders>
            <w:vAlign w:val="center"/>
          </w:tcPr>
          <w:p w:rsidR="005D73DA" w:rsidRPr="004850F5" w:rsidRDefault="00952BC2" w:rsidP="008C27C2">
            <w:pPr>
              <w:spacing w:after="0"/>
              <w:ind w:firstLine="0"/>
              <w:jc w:val="right"/>
              <w:rPr>
                <w:rFonts w:ascii="Arial Narrow" w:hAnsi="Arial Narrow"/>
                <w:lang w:val="es-ES" w:eastAsia="es-ES"/>
              </w:rPr>
            </w:pPr>
            <w:r w:rsidRPr="004850F5">
              <w:rPr>
                <w:rFonts w:ascii="Arial Narrow" w:hAnsi="Arial Narrow"/>
                <w:lang w:val="es-ES" w:eastAsia="es-ES"/>
              </w:rPr>
              <w:t>70.558</w:t>
            </w:r>
          </w:p>
        </w:tc>
      </w:tr>
      <w:tr w:rsidR="005D73DA" w:rsidRPr="004850F5" w:rsidTr="004850F5">
        <w:trPr>
          <w:trHeight w:hRule="exact" w:val="284"/>
          <w:jc w:val="center"/>
        </w:trPr>
        <w:tc>
          <w:tcPr>
            <w:tcW w:w="3377" w:type="dxa"/>
            <w:tcBorders>
              <w:top w:val="single" w:sz="2" w:space="0" w:color="auto"/>
            </w:tcBorders>
            <w:shd w:val="clear" w:color="auto" w:fill="auto"/>
            <w:noWrap/>
            <w:vAlign w:val="center"/>
          </w:tcPr>
          <w:p w:rsidR="005D73DA" w:rsidRPr="00915718" w:rsidRDefault="005D73DA" w:rsidP="00F96D0D">
            <w:pPr>
              <w:spacing w:after="0"/>
              <w:ind w:firstLine="0"/>
              <w:jc w:val="left"/>
              <w:rPr>
                <w:rFonts w:ascii="Arial Narrow" w:hAnsi="Arial Narrow"/>
                <w:i/>
                <w:lang w:val="es-ES" w:eastAsia="es-ES"/>
              </w:rPr>
            </w:pPr>
            <w:r w:rsidRPr="00915718">
              <w:rPr>
                <w:rFonts w:ascii="Arial Narrow" w:hAnsi="Arial Narrow"/>
                <w:i/>
                <w:lang w:val="es-ES" w:eastAsia="es-ES"/>
              </w:rPr>
              <w:t xml:space="preserve">Porcentaje </w:t>
            </w:r>
            <w:r w:rsidR="00F96D0D" w:rsidRPr="00915718">
              <w:rPr>
                <w:rFonts w:ascii="Arial Narrow" w:hAnsi="Arial Narrow"/>
                <w:i/>
                <w:lang w:val="es-ES" w:eastAsia="es-ES"/>
              </w:rPr>
              <w:t>C</w:t>
            </w:r>
            <w:r w:rsidRPr="00915718">
              <w:rPr>
                <w:rFonts w:ascii="Arial Narrow" w:hAnsi="Arial Narrow"/>
                <w:i/>
                <w:lang w:val="es-ES" w:eastAsia="es-ES"/>
              </w:rPr>
              <w:t>onvenio sobre gastos</w:t>
            </w:r>
          </w:p>
        </w:tc>
        <w:tc>
          <w:tcPr>
            <w:tcW w:w="96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68</w:t>
            </w:r>
          </w:p>
        </w:tc>
        <w:tc>
          <w:tcPr>
            <w:tcW w:w="96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7</w:t>
            </w:r>
            <w:r w:rsidR="00952BC2" w:rsidRPr="00915718">
              <w:rPr>
                <w:rFonts w:ascii="Arial Narrow" w:hAnsi="Arial Narrow"/>
                <w:i/>
                <w:lang w:val="es-ES" w:eastAsia="es-ES"/>
              </w:rPr>
              <w:t>7</w:t>
            </w:r>
          </w:p>
        </w:tc>
        <w:tc>
          <w:tcPr>
            <w:tcW w:w="96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7</w:t>
            </w:r>
            <w:r w:rsidR="00952BC2" w:rsidRPr="00915718">
              <w:rPr>
                <w:rFonts w:ascii="Arial Narrow" w:hAnsi="Arial Narrow"/>
                <w:i/>
                <w:lang w:val="es-ES" w:eastAsia="es-ES"/>
              </w:rPr>
              <w:t>3</w:t>
            </w:r>
          </w:p>
        </w:tc>
        <w:tc>
          <w:tcPr>
            <w:tcW w:w="840" w:type="dxa"/>
            <w:tcBorders>
              <w:top w:val="single" w:sz="2" w:space="0" w:color="auto"/>
            </w:tcBorders>
            <w:shd w:val="clear" w:color="auto" w:fill="auto"/>
            <w:noWrap/>
            <w:vAlign w:val="center"/>
          </w:tcPr>
          <w:p w:rsidR="005D73DA" w:rsidRPr="00915718" w:rsidRDefault="005D73DA" w:rsidP="008C27C2">
            <w:pPr>
              <w:spacing w:after="0"/>
              <w:ind w:firstLine="0"/>
              <w:jc w:val="right"/>
              <w:rPr>
                <w:rFonts w:ascii="Arial Narrow" w:hAnsi="Arial Narrow"/>
                <w:i/>
                <w:lang w:val="es-ES" w:eastAsia="es-ES"/>
              </w:rPr>
            </w:pPr>
            <w:r w:rsidRPr="00915718">
              <w:rPr>
                <w:rFonts w:ascii="Arial Narrow" w:hAnsi="Arial Narrow"/>
                <w:i/>
                <w:lang w:val="es-ES" w:eastAsia="es-ES"/>
              </w:rPr>
              <w:t>6</w:t>
            </w:r>
            <w:r w:rsidR="00952BC2" w:rsidRPr="00915718">
              <w:rPr>
                <w:rFonts w:ascii="Arial Narrow" w:hAnsi="Arial Narrow"/>
                <w:i/>
                <w:lang w:val="es-ES" w:eastAsia="es-ES"/>
              </w:rPr>
              <w:t>9</w:t>
            </w:r>
          </w:p>
        </w:tc>
        <w:tc>
          <w:tcPr>
            <w:tcW w:w="840" w:type="dxa"/>
            <w:tcBorders>
              <w:top w:val="single" w:sz="2" w:space="0" w:color="auto"/>
            </w:tcBorders>
            <w:vAlign w:val="center"/>
          </w:tcPr>
          <w:p w:rsidR="005D73DA" w:rsidRPr="00915718" w:rsidRDefault="00952BC2" w:rsidP="008C27C2">
            <w:pPr>
              <w:spacing w:after="0"/>
              <w:ind w:firstLine="0"/>
              <w:jc w:val="right"/>
              <w:rPr>
                <w:rFonts w:ascii="Arial Narrow" w:hAnsi="Arial Narrow"/>
                <w:i/>
                <w:lang w:val="es-ES" w:eastAsia="es-ES"/>
              </w:rPr>
            </w:pPr>
            <w:r w:rsidRPr="00915718">
              <w:rPr>
                <w:rFonts w:ascii="Arial Narrow" w:hAnsi="Arial Narrow"/>
                <w:i/>
                <w:lang w:val="es-ES" w:eastAsia="es-ES"/>
              </w:rPr>
              <w:t>71</w:t>
            </w:r>
          </w:p>
        </w:tc>
        <w:tc>
          <w:tcPr>
            <w:tcW w:w="840" w:type="dxa"/>
            <w:tcBorders>
              <w:top w:val="single" w:sz="2" w:space="0" w:color="auto"/>
            </w:tcBorders>
            <w:vAlign w:val="center"/>
          </w:tcPr>
          <w:p w:rsidR="005D73DA" w:rsidRPr="00915718" w:rsidRDefault="00952BC2" w:rsidP="008C27C2">
            <w:pPr>
              <w:spacing w:after="0"/>
              <w:ind w:firstLine="0"/>
              <w:jc w:val="right"/>
              <w:rPr>
                <w:rFonts w:ascii="Arial Narrow" w:hAnsi="Arial Narrow"/>
                <w:i/>
                <w:lang w:val="es-ES" w:eastAsia="es-ES"/>
              </w:rPr>
            </w:pPr>
            <w:r w:rsidRPr="00915718">
              <w:rPr>
                <w:rFonts w:ascii="Arial Narrow" w:hAnsi="Arial Narrow"/>
                <w:i/>
                <w:lang w:val="es-ES" w:eastAsia="es-ES"/>
              </w:rPr>
              <w:t>73</w:t>
            </w:r>
          </w:p>
        </w:tc>
      </w:tr>
    </w:tbl>
    <w:p w:rsidR="00111D80" w:rsidRDefault="00111D80" w:rsidP="004850F5">
      <w:pPr>
        <w:pStyle w:val="texto"/>
        <w:tabs>
          <w:tab w:val="clear" w:pos="2835"/>
          <w:tab w:val="clear" w:pos="3969"/>
          <w:tab w:val="clear" w:pos="5103"/>
          <w:tab w:val="clear" w:pos="6237"/>
          <w:tab w:val="clear" w:pos="7371"/>
          <w:tab w:val="num" w:pos="300"/>
          <w:tab w:val="num" w:pos="720"/>
        </w:tabs>
        <w:spacing w:after="0"/>
        <w:rPr>
          <w:szCs w:val="26"/>
        </w:rPr>
      </w:pPr>
    </w:p>
    <w:p w:rsidR="001C4B7F" w:rsidRDefault="005314C6" w:rsidP="003E2D89">
      <w:pPr>
        <w:pStyle w:val="texto"/>
        <w:tabs>
          <w:tab w:val="clear" w:pos="2835"/>
          <w:tab w:val="clear" w:pos="3969"/>
          <w:tab w:val="clear" w:pos="5103"/>
          <w:tab w:val="clear" w:pos="6237"/>
          <w:tab w:val="clear" w:pos="7371"/>
          <w:tab w:val="num" w:pos="300"/>
          <w:tab w:val="num" w:pos="720"/>
        </w:tabs>
        <w:rPr>
          <w:szCs w:val="26"/>
        </w:rPr>
      </w:pPr>
      <w:r w:rsidRPr="005314C6">
        <w:rPr>
          <w:szCs w:val="26"/>
        </w:rPr>
        <w:t xml:space="preserve">Es decir, </w:t>
      </w:r>
      <w:r w:rsidR="0047774A">
        <w:rPr>
          <w:szCs w:val="26"/>
        </w:rPr>
        <w:t>desde</w:t>
      </w:r>
      <w:r>
        <w:rPr>
          <w:szCs w:val="26"/>
        </w:rPr>
        <w:t xml:space="preserve"> 2009 a 2011, la aportación</w:t>
      </w:r>
      <w:r w:rsidR="000148C4">
        <w:rPr>
          <w:szCs w:val="26"/>
        </w:rPr>
        <w:t xml:space="preserve"> neta</w:t>
      </w:r>
      <w:r>
        <w:rPr>
          <w:szCs w:val="26"/>
        </w:rPr>
        <w:t xml:space="preserve"> del Gobierno</w:t>
      </w:r>
      <w:r w:rsidR="0047774A">
        <w:rPr>
          <w:szCs w:val="26"/>
        </w:rPr>
        <w:t xml:space="preserve"> </w:t>
      </w:r>
      <w:r>
        <w:rPr>
          <w:szCs w:val="26"/>
        </w:rPr>
        <w:t xml:space="preserve">por el convenio se ha reducido en cuatro, </w:t>
      </w:r>
      <w:r w:rsidR="000148C4">
        <w:rPr>
          <w:szCs w:val="26"/>
        </w:rPr>
        <w:t xml:space="preserve">ocho </w:t>
      </w:r>
      <w:r>
        <w:rPr>
          <w:szCs w:val="26"/>
        </w:rPr>
        <w:t>y cinco millones, respectivamente. En el último trienio se mantiene</w:t>
      </w:r>
      <w:r w:rsidR="00852639">
        <w:rPr>
          <w:szCs w:val="26"/>
        </w:rPr>
        <w:t xml:space="preserve"> con una cierta estabilidad</w:t>
      </w:r>
      <w:r w:rsidR="00D06EC1">
        <w:rPr>
          <w:szCs w:val="26"/>
        </w:rPr>
        <w:t xml:space="preserve"> en su importe fijado</w:t>
      </w:r>
      <w:r>
        <w:rPr>
          <w:szCs w:val="26"/>
        </w:rPr>
        <w:t xml:space="preserve"> en torno a los 51,5 millones anuales. </w:t>
      </w:r>
      <w:r w:rsidR="00CB4202">
        <w:rPr>
          <w:szCs w:val="26"/>
        </w:rPr>
        <w:t>Sobre los ingresos y gastos reconocidos, el convenio representa prácticamente en todos los años más del 70 por ciento de los mi</w:t>
      </w:r>
      <w:r w:rsidR="00CB4202">
        <w:rPr>
          <w:szCs w:val="26"/>
        </w:rPr>
        <w:t>s</w:t>
      </w:r>
      <w:r w:rsidR="00CB4202">
        <w:rPr>
          <w:szCs w:val="26"/>
        </w:rPr>
        <w:t xml:space="preserve">mos. </w:t>
      </w:r>
    </w:p>
    <w:p w:rsidR="00C51347" w:rsidRDefault="008441A7" w:rsidP="00422D69">
      <w:pPr>
        <w:pStyle w:val="texto"/>
        <w:tabs>
          <w:tab w:val="clear" w:pos="2835"/>
          <w:tab w:val="clear" w:pos="3969"/>
          <w:tab w:val="clear" w:pos="5103"/>
          <w:tab w:val="clear" w:pos="6237"/>
          <w:tab w:val="clear" w:pos="7371"/>
          <w:tab w:val="num" w:pos="300"/>
          <w:tab w:val="num" w:pos="720"/>
        </w:tabs>
        <w:rPr>
          <w:szCs w:val="26"/>
        </w:rPr>
      </w:pPr>
      <w:r>
        <w:rPr>
          <w:szCs w:val="26"/>
        </w:rPr>
        <w:t>Destacamos igualmente que desde el ejercicio de 2012 no se contempla</w:t>
      </w:r>
      <w:r w:rsidR="009F2AC6">
        <w:rPr>
          <w:szCs w:val="26"/>
        </w:rPr>
        <w:t>,</w:t>
      </w:r>
      <w:r>
        <w:rPr>
          <w:szCs w:val="26"/>
        </w:rPr>
        <w:t xml:space="preserve"> en </w:t>
      </w:r>
      <w:r w:rsidR="006766EC">
        <w:rPr>
          <w:szCs w:val="26"/>
        </w:rPr>
        <w:t>los</w:t>
      </w:r>
      <w:r>
        <w:rPr>
          <w:szCs w:val="26"/>
        </w:rPr>
        <w:t xml:space="preserve"> correspondiente</w:t>
      </w:r>
      <w:r w:rsidR="006766EC">
        <w:rPr>
          <w:szCs w:val="26"/>
        </w:rPr>
        <w:t>s</w:t>
      </w:r>
      <w:r>
        <w:rPr>
          <w:szCs w:val="26"/>
        </w:rPr>
        <w:t xml:space="preserve"> convenio</w:t>
      </w:r>
      <w:r w:rsidR="006766EC">
        <w:rPr>
          <w:szCs w:val="26"/>
        </w:rPr>
        <w:t>s,</w:t>
      </w:r>
      <w:r>
        <w:rPr>
          <w:szCs w:val="26"/>
        </w:rPr>
        <w:t xml:space="preserve"> financiación específica para inversiones</w:t>
      </w:r>
      <w:r w:rsidR="006766EC">
        <w:rPr>
          <w:szCs w:val="26"/>
        </w:rPr>
        <w:t xml:space="preserve"> ni p</w:t>
      </w:r>
      <w:r w:rsidR="006766EC">
        <w:rPr>
          <w:szCs w:val="26"/>
        </w:rPr>
        <w:t>a</w:t>
      </w:r>
      <w:r w:rsidR="006766EC">
        <w:rPr>
          <w:szCs w:val="26"/>
        </w:rPr>
        <w:t>ra el desarrollo de los estudios en el campus de Tudela</w:t>
      </w:r>
      <w:r>
        <w:rPr>
          <w:szCs w:val="26"/>
        </w:rPr>
        <w:t>.</w:t>
      </w:r>
      <w:r w:rsidR="001405F7">
        <w:rPr>
          <w:szCs w:val="26"/>
        </w:rPr>
        <w:t xml:space="preserve"> </w:t>
      </w:r>
    </w:p>
    <w:p w:rsidR="00B60A2D" w:rsidRDefault="00B60A2D" w:rsidP="00B60A2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Los ahorros bruto y neto han mejorado respecto a 2013, incrementándose su importe en torno al 50 por ciento.</w:t>
      </w:r>
    </w:p>
    <w:p w:rsidR="00B60A2D" w:rsidRDefault="00B60A2D" w:rsidP="00B60A2D">
      <w:pPr>
        <w:pStyle w:val="texto"/>
        <w:tabs>
          <w:tab w:val="clear" w:pos="2835"/>
          <w:tab w:val="clear" w:pos="3969"/>
          <w:tab w:val="clear" w:pos="5103"/>
          <w:tab w:val="clear" w:pos="6237"/>
          <w:tab w:val="clear" w:pos="7371"/>
        </w:tabs>
        <w:rPr>
          <w:szCs w:val="26"/>
        </w:rPr>
      </w:pPr>
      <w:r>
        <w:rPr>
          <w:szCs w:val="26"/>
        </w:rPr>
        <w:t>Destacamos que la carga financiera de la universidad, a pesar del incremento experimentado en 2014, sigue siendo una magnitud escasamente relevante en términos cuantitativos en los gastos de la Universidad.</w:t>
      </w:r>
    </w:p>
    <w:p w:rsidR="00852639" w:rsidRPr="00DB6381" w:rsidRDefault="00852639" w:rsidP="0085263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El </w:t>
      </w:r>
      <w:r w:rsidR="00F25739">
        <w:rPr>
          <w:szCs w:val="26"/>
        </w:rPr>
        <w:t>saldo p</w:t>
      </w:r>
      <w:r>
        <w:rPr>
          <w:szCs w:val="26"/>
        </w:rPr>
        <w:t xml:space="preserve">resupuestario no </w:t>
      </w:r>
      <w:r w:rsidR="00F25739">
        <w:rPr>
          <w:szCs w:val="26"/>
        </w:rPr>
        <w:t>f</w:t>
      </w:r>
      <w:r>
        <w:rPr>
          <w:szCs w:val="26"/>
        </w:rPr>
        <w:t>inanciero ha mejorado sensiblemente en 2014, al pasar de un déficit en 2013 de 1,32 millones a un superávit en 2014 de 1,24 millones</w:t>
      </w:r>
      <w:r w:rsidR="009A37D9">
        <w:rPr>
          <w:szCs w:val="26"/>
        </w:rPr>
        <w:t xml:space="preserve">; </w:t>
      </w:r>
      <w:r w:rsidR="009A37D9" w:rsidRPr="00DB6381">
        <w:rPr>
          <w:szCs w:val="26"/>
        </w:rPr>
        <w:t>e</w:t>
      </w:r>
      <w:r w:rsidRPr="00DB6381">
        <w:rPr>
          <w:szCs w:val="26"/>
        </w:rPr>
        <w:t>sta variación se explica tanto por una reducción de los gastos no f</w:t>
      </w:r>
      <w:r w:rsidRPr="00DB6381">
        <w:rPr>
          <w:szCs w:val="26"/>
        </w:rPr>
        <w:t>i</w:t>
      </w:r>
      <w:r w:rsidRPr="00DB6381">
        <w:rPr>
          <w:szCs w:val="26"/>
        </w:rPr>
        <w:t>nancieros del uno por ciento como por un aumento del dos por ciento en los i</w:t>
      </w:r>
      <w:r w:rsidRPr="00DB6381">
        <w:rPr>
          <w:szCs w:val="26"/>
        </w:rPr>
        <w:t>n</w:t>
      </w:r>
      <w:r w:rsidRPr="00DB6381">
        <w:rPr>
          <w:szCs w:val="26"/>
        </w:rPr>
        <w:t>gresos de igual naturaleza.</w:t>
      </w:r>
      <w:r w:rsidR="009A37D9" w:rsidRPr="00DB6381">
        <w:rPr>
          <w:szCs w:val="26"/>
        </w:rPr>
        <w:t xml:space="preserve"> Este indicador lo considera la </w:t>
      </w:r>
      <w:r w:rsidR="002338F8" w:rsidRPr="00DB6381">
        <w:rPr>
          <w:szCs w:val="26"/>
        </w:rPr>
        <w:t xml:space="preserve">Universidad </w:t>
      </w:r>
      <w:r w:rsidR="009A37D9" w:rsidRPr="00DB6381">
        <w:rPr>
          <w:szCs w:val="26"/>
        </w:rPr>
        <w:t>como la capacidad de financiación a efectos de la normativa de estabilidad presupuest</w:t>
      </w:r>
      <w:r w:rsidR="009A37D9" w:rsidRPr="00DB6381">
        <w:rPr>
          <w:szCs w:val="26"/>
        </w:rPr>
        <w:t>a</w:t>
      </w:r>
      <w:r w:rsidR="009A37D9" w:rsidRPr="00DB6381">
        <w:rPr>
          <w:szCs w:val="26"/>
        </w:rPr>
        <w:t>ria.</w:t>
      </w:r>
    </w:p>
    <w:p w:rsidR="004850F5" w:rsidRDefault="00852639" w:rsidP="008E7D7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El remanente de tesorería total se ha incrementado en un 13 por ciento, e</w:t>
      </w:r>
      <w:r>
        <w:rPr>
          <w:szCs w:val="26"/>
        </w:rPr>
        <w:t>s</w:t>
      </w:r>
      <w:r>
        <w:rPr>
          <w:szCs w:val="26"/>
        </w:rPr>
        <w:t>to es, en 1,49 millones, alcanzando en 2014 un importe de 13,11 millones</w:t>
      </w:r>
      <w:r w:rsidR="00900E48">
        <w:rPr>
          <w:szCs w:val="26"/>
        </w:rPr>
        <w:t>; el afectado se ha reducido en 11 por ciento y el no afectado o para gastos gener</w:t>
      </w:r>
      <w:r w:rsidR="00900E48">
        <w:rPr>
          <w:szCs w:val="26"/>
        </w:rPr>
        <w:t>a</w:t>
      </w:r>
      <w:r w:rsidR="00900E48">
        <w:rPr>
          <w:szCs w:val="26"/>
        </w:rPr>
        <w:t>les se ha incrementado en un 60 por ciento.</w:t>
      </w:r>
      <w:r w:rsidR="007E56ED">
        <w:rPr>
          <w:szCs w:val="26"/>
        </w:rPr>
        <w:t xml:space="preserve">   </w:t>
      </w:r>
    </w:p>
    <w:p w:rsidR="007B1EBB" w:rsidRPr="008E7D7B" w:rsidRDefault="007B1EBB" w:rsidP="007B1EBB">
      <w:pPr>
        <w:pStyle w:val="texto"/>
        <w:tabs>
          <w:tab w:val="clear" w:pos="2835"/>
          <w:tab w:val="clear" w:pos="3969"/>
          <w:tab w:val="clear" w:pos="5103"/>
          <w:tab w:val="clear" w:pos="6237"/>
          <w:tab w:val="clear" w:pos="7371"/>
          <w:tab w:val="left" w:pos="480"/>
          <w:tab w:val="num" w:pos="928"/>
          <w:tab w:val="num" w:pos="6597"/>
        </w:tabs>
        <w:ind w:left="290" w:firstLine="0"/>
        <w:rPr>
          <w:szCs w:val="26"/>
        </w:rPr>
      </w:pPr>
    </w:p>
    <w:p w:rsidR="0096490F" w:rsidRPr="005314C6" w:rsidRDefault="00900E48" w:rsidP="004850F5">
      <w:pPr>
        <w:pStyle w:val="texto"/>
        <w:tabs>
          <w:tab w:val="clear" w:pos="2835"/>
          <w:tab w:val="clear" w:pos="3969"/>
          <w:tab w:val="clear" w:pos="5103"/>
          <w:tab w:val="clear" w:pos="6237"/>
          <w:tab w:val="clear" w:pos="7371"/>
          <w:tab w:val="num" w:pos="300"/>
          <w:tab w:val="num" w:pos="720"/>
        </w:tabs>
        <w:spacing w:after="240"/>
        <w:rPr>
          <w:szCs w:val="26"/>
        </w:rPr>
      </w:pPr>
      <w:r>
        <w:rPr>
          <w:szCs w:val="26"/>
        </w:rPr>
        <w:lastRenderedPageBreak/>
        <w:t>En el cuadro siguiente mostramos</w:t>
      </w:r>
      <w:r w:rsidR="008C27C2">
        <w:rPr>
          <w:szCs w:val="26"/>
        </w:rPr>
        <w:t xml:space="preserve"> en miles de euros</w:t>
      </w:r>
      <w:r>
        <w:rPr>
          <w:szCs w:val="26"/>
        </w:rPr>
        <w:t xml:space="preserve"> la evolución de esta magnitud desde 2009:</w:t>
      </w:r>
    </w:p>
    <w:tbl>
      <w:tblPr>
        <w:tblW w:w="8789" w:type="dxa"/>
        <w:tblInd w:w="70" w:type="dxa"/>
        <w:tblCellMar>
          <w:left w:w="70" w:type="dxa"/>
          <w:right w:w="70" w:type="dxa"/>
        </w:tblCellMar>
        <w:tblLook w:val="0000" w:firstRow="0" w:lastRow="0" w:firstColumn="0" w:lastColumn="0" w:noHBand="0" w:noVBand="0"/>
      </w:tblPr>
      <w:tblGrid>
        <w:gridCol w:w="3686"/>
        <w:gridCol w:w="1134"/>
        <w:gridCol w:w="850"/>
        <w:gridCol w:w="851"/>
        <w:gridCol w:w="709"/>
        <w:gridCol w:w="850"/>
        <w:gridCol w:w="709"/>
      </w:tblGrid>
      <w:tr w:rsidR="00920FD7" w:rsidRPr="00507BAF" w:rsidTr="000A4C01">
        <w:trPr>
          <w:trHeight w:hRule="exact" w:val="284"/>
        </w:trPr>
        <w:tc>
          <w:tcPr>
            <w:tcW w:w="3686" w:type="dxa"/>
            <w:tcBorders>
              <w:top w:val="single" w:sz="4" w:space="0" w:color="auto"/>
              <w:bottom w:val="single" w:sz="4" w:space="0" w:color="auto"/>
            </w:tcBorders>
            <w:shd w:val="clear" w:color="auto" w:fill="A8CBEE" w:themeFill="accent2" w:themeFillTint="66"/>
            <w:noWrap/>
            <w:vAlign w:val="center"/>
          </w:tcPr>
          <w:p w:rsidR="00920FD7" w:rsidRPr="00507BAF" w:rsidRDefault="00920FD7" w:rsidP="005829E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Remanente de Tesore</w:t>
            </w:r>
            <w:r w:rsidRPr="004850F5">
              <w:rPr>
                <w:rFonts w:ascii="Arial" w:hAnsi="Arial" w:cs="Arial"/>
                <w:color w:val="000000"/>
                <w:sz w:val="18"/>
                <w:szCs w:val="18"/>
                <w:shd w:val="clear" w:color="auto" w:fill="A8CBEE" w:themeFill="accent2" w:themeFillTint="66"/>
                <w:lang w:val="es-ES" w:eastAsia="es-ES"/>
              </w:rPr>
              <w:t>r</w:t>
            </w:r>
            <w:r>
              <w:rPr>
                <w:rFonts w:ascii="Arial" w:hAnsi="Arial" w:cs="Arial"/>
                <w:color w:val="000000"/>
                <w:sz w:val="18"/>
                <w:szCs w:val="18"/>
                <w:lang w:val="es-ES" w:eastAsia="es-ES"/>
              </w:rPr>
              <w:t>ía</w:t>
            </w:r>
          </w:p>
        </w:tc>
        <w:tc>
          <w:tcPr>
            <w:tcW w:w="1134" w:type="dxa"/>
            <w:tcBorders>
              <w:top w:val="single" w:sz="4" w:space="0" w:color="auto"/>
              <w:bottom w:val="single" w:sz="4" w:space="0" w:color="auto"/>
            </w:tcBorders>
            <w:shd w:val="clear" w:color="auto" w:fill="A8CBEE" w:themeFill="accent2" w:themeFillTint="66"/>
            <w:noWrap/>
            <w:vAlign w:val="center"/>
          </w:tcPr>
          <w:p w:rsidR="00920FD7" w:rsidRPr="00507BAF" w:rsidRDefault="00920FD7" w:rsidP="005829E5">
            <w:pPr>
              <w:spacing w:after="0"/>
              <w:ind w:firstLine="0"/>
              <w:jc w:val="right"/>
              <w:rPr>
                <w:rFonts w:ascii="Arial" w:hAnsi="Arial" w:cs="Arial"/>
                <w:color w:val="000000"/>
                <w:sz w:val="18"/>
                <w:szCs w:val="18"/>
                <w:lang w:val="es-ES" w:eastAsia="es-ES"/>
              </w:rPr>
            </w:pPr>
            <w:r w:rsidRPr="00507BAF">
              <w:rPr>
                <w:rFonts w:ascii="Arial" w:hAnsi="Arial" w:cs="Arial"/>
                <w:color w:val="000000"/>
                <w:sz w:val="18"/>
                <w:szCs w:val="18"/>
                <w:lang w:val="es-ES" w:eastAsia="es-ES"/>
              </w:rPr>
              <w:t>2009</w:t>
            </w:r>
          </w:p>
        </w:tc>
        <w:tc>
          <w:tcPr>
            <w:tcW w:w="850"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lang w:val="es-ES" w:eastAsia="es-ES"/>
              </w:rPr>
            </w:pPr>
            <w:r w:rsidRPr="00507BAF">
              <w:rPr>
                <w:rFonts w:ascii="Arial" w:hAnsi="Arial" w:cs="Arial"/>
                <w:color w:val="000000"/>
                <w:sz w:val="18"/>
                <w:szCs w:val="18"/>
                <w:lang w:val="es-ES" w:eastAsia="es-ES"/>
              </w:rPr>
              <w:t>2010</w:t>
            </w:r>
          </w:p>
        </w:tc>
        <w:tc>
          <w:tcPr>
            <w:tcW w:w="851"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lang w:val="es-ES" w:eastAsia="es-ES"/>
              </w:rPr>
            </w:pPr>
            <w:r w:rsidRPr="00507BAF">
              <w:rPr>
                <w:rFonts w:ascii="Arial" w:hAnsi="Arial" w:cs="Arial"/>
                <w:color w:val="000000"/>
                <w:sz w:val="18"/>
                <w:szCs w:val="18"/>
                <w:lang w:val="es-ES" w:eastAsia="es-ES"/>
              </w:rPr>
              <w:t>2011</w:t>
            </w:r>
          </w:p>
        </w:tc>
        <w:tc>
          <w:tcPr>
            <w:tcW w:w="709" w:type="dxa"/>
            <w:tcBorders>
              <w:top w:val="single" w:sz="4" w:space="0" w:color="auto"/>
              <w:bottom w:val="single" w:sz="4" w:space="0" w:color="auto"/>
            </w:tcBorders>
            <w:shd w:val="clear" w:color="auto" w:fill="A8CBEE" w:themeFill="accent2" w:themeFillTint="66"/>
            <w:noWrap/>
            <w:vAlign w:val="center"/>
          </w:tcPr>
          <w:p w:rsidR="00920FD7" w:rsidRPr="00507BAF" w:rsidRDefault="00920FD7" w:rsidP="005829E5">
            <w:pPr>
              <w:spacing w:after="0"/>
              <w:ind w:firstLine="0"/>
              <w:jc w:val="right"/>
              <w:rPr>
                <w:rFonts w:ascii="Arial" w:hAnsi="Arial" w:cs="Arial"/>
                <w:color w:val="000000"/>
                <w:sz w:val="18"/>
                <w:szCs w:val="18"/>
                <w:lang w:val="es-ES" w:eastAsia="es-ES"/>
              </w:rPr>
            </w:pPr>
            <w:r w:rsidRPr="00507BAF">
              <w:rPr>
                <w:rFonts w:ascii="Arial" w:hAnsi="Arial" w:cs="Arial"/>
                <w:color w:val="000000"/>
                <w:sz w:val="18"/>
                <w:szCs w:val="18"/>
                <w:lang w:val="es-ES" w:eastAsia="es-ES"/>
              </w:rPr>
              <w:t>2012</w:t>
            </w:r>
          </w:p>
        </w:tc>
        <w:tc>
          <w:tcPr>
            <w:tcW w:w="850"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2013</w:t>
            </w:r>
          </w:p>
        </w:tc>
        <w:tc>
          <w:tcPr>
            <w:tcW w:w="709" w:type="dxa"/>
            <w:tcBorders>
              <w:top w:val="single" w:sz="4" w:space="0" w:color="auto"/>
              <w:bottom w:val="single" w:sz="4" w:space="0" w:color="auto"/>
            </w:tcBorders>
            <w:shd w:val="clear" w:color="auto" w:fill="A8CBEE" w:themeFill="accent2" w:themeFillTint="66"/>
            <w:vAlign w:val="center"/>
          </w:tcPr>
          <w:p w:rsidR="00920FD7" w:rsidRPr="00507BAF" w:rsidRDefault="00920FD7" w:rsidP="005829E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2014</w:t>
            </w:r>
          </w:p>
        </w:tc>
      </w:tr>
      <w:tr w:rsidR="00920FD7" w:rsidRPr="00507BAF" w:rsidTr="004850F5">
        <w:trPr>
          <w:trHeight w:hRule="exact" w:val="284"/>
        </w:trPr>
        <w:tc>
          <w:tcPr>
            <w:tcW w:w="3686" w:type="dxa"/>
            <w:tcBorders>
              <w:top w:val="single" w:sz="4"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sidRPr="00507BAF">
              <w:rPr>
                <w:rFonts w:ascii="Arial Narrow" w:hAnsi="Arial Narrow"/>
                <w:sz w:val="18"/>
                <w:szCs w:val="18"/>
              </w:rPr>
              <w:t>Remanente Total</w:t>
            </w:r>
          </w:p>
        </w:tc>
        <w:tc>
          <w:tcPr>
            <w:tcW w:w="1134" w:type="dxa"/>
            <w:tcBorders>
              <w:top w:val="single" w:sz="4"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14.78</w:t>
            </w:r>
            <w:r>
              <w:rPr>
                <w:rFonts w:ascii="Arial Narrow" w:hAnsi="Arial Narrow"/>
                <w:sz w:val="18"/>
                <w:szCs w:val="18"/>
              </w:rPr>
              <w:t>2</w:t>
            </w:r>
          </w:p>
        </w:tc>
        <w:tc>
          <w:tcPr>
            <w:tcW w:w="850" w:type="dxa"/>
            <w:tcBorders>
              <w:top w:val="single" w:sz="4"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16.919</w:t>
            </w:r>
          </w:p>
        </w:tc>
        <w:tc>
          <w:tcPr>
            <w:tcW w:w="851" w:type="dxa"/>
            <w:tcBorders>
              <w:top w:val="single" w:sz="4"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17.94</w:t>
            </w:r>
            <w:r>
              <w:rPr>
                <w:rFonts w:ascii="Arial Narrow" w:hAnsi="Arial Narrow"/>
                <w:sz w:val="18"/>
                <w:szCs w:val="18"/>
              </w:rPr>
              <w:t>1</w:t>
            </w:r>
          </w:p>
        </w:tc>
        <w:tc>
          <w:tcPr>
            <w:tcW w:w="709" w:type="dxa"/>
            <w:tcBorders>
              <w:top w:val="single" w:sz="4"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14.638</w:t>
            </w:r>
          </w:p>
        </w:tc>
        <w:tc>
          <w:tcPr>
            <w:tcW w:w="850" w:type="dxa"/>
            <w:tcBorders>
              <w:top w:val="single" w:sz="4"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szCs w:val="18"/>
              </w:rPr>
              <w:t>11.631</w:t>
            </w:r>
          </w:p>
        </w:tc>
        <w:tc>
          <w:tcPr>
            <w:tcW w:w="709" w:type="dxa"/>
            <w:tcBorders>
              <w:top w:val="single" w:sz="4"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szCs w:val="18"/>
              </w:rPr>
              <w:t>13.116</w:t>
            </w:r>
          </w:p>
        </w:tc>
      </w:tr>
      <w:tr w:rsidR="00920FD7" w:rsidRPr="00507BAF" w:rsidTr="004850F5">
        <w:trPr>
          <w:trHeight w:hRule="exact" w:val="284"/>
        </w:trPr>
        <w:tc>
          <w:tcPr>
            <w:tcW w:w="3686" w:type="dxa"/>
            <w:tcBorders>
              <w:top w:val="single" w:sz="2"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sidRPr="00507BAF">
              <w:rPr>
                <w:rFonts w:ascii="Arial Narrow" w:hAnsi="Arial Narrow"/>
                <w:sz w:val="18"/>
                <w:szCs w:val="18"/>
              </w:rPr>
              <w:t xml:space="preserve">Remanente Afecto </w:t>
            </w:r>
          </w:p>
        </w:tc>
        <w:tc>
          <w:tcPr>
            <w:tcW w:w="1134"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11.881</w:t>
            </w:r>
          </w:p>
        </w:tc>
        <w:tc>
          <w:tcPr>
            <w:tcW w:w="850"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11.96</w:t>
            </w:r>
            <w:r>
              <w:rPr>
                <w:rFonts w:ascii="Arial Narrow" w:hAnsi="Arial Narrow"/>
                <w:sz w:val="18"/>
                <w:szCs w:val="18"/>
              </w:rPr>
              <w:t>2</w:t>
            </w:r>
          </w:p>
        </w:tc>
        <w:tc>
          <w:tcPr>
            <w:tcW w:w="851"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13.056</w:t>
            </w:r>
          </w:p>
        </w:tc>
        <w:tc>
          <w:tcPr>
            <w:tcW w:w="709"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9.523</w:t>
            </w:r>
          </w:p>
        </w:tc>
        <w:tc>
          <w:tcPr>
            <w:tcW w:w="850"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szCs w:val="18"/>
              </w:rPr>
              <w:t>7.709</w:t>
            </w:r>
          </w:p>
        </w:tc>
        <w:tc>
          <w:tcPr>
            <w:tcW w:w="709"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szCs w:val="18"/>
              </w:rPr>
              <w:t>6.835</w:t>
            </w:r>
          </w:p>
        </w:tc>
      </w:tr>
      <w:tr w:rsidR="00920FD7" w:rsidRPr="00507BAF" w:rsidTr="004850F5">
        <w:trPr>
          <w:trHeight w:hRule="exact" w:val="284"/>
        </w:trPr>
        <w:tc>
          <w:tcPr>
            <w:tcW w:w="3686" w:type="dxa"/>
            <w:tcBorders>
              <w:top w:val="single" w:sz="2"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sidRPr="00507BAF">
              <w:rPr>
                <w:rFonts w:ascii="Arial Narrow" w:hAnsi="Arial Narrow"/>
                <w:sz w:val="18"/>
                <w:szCs w:val="18"/>
              </w:rPr>
              <w:t xml:space="preserve">Remanente </w:t>
            </w:r>
            <w:r>
              <w:rPr>
                <w:rFonts w:ascii="Arial Narrow" w:hAnsi="Arial Narrow"/>
                <w:sz w:val="18"/>
                <w:szCs w:val="18"/>
              </w:rPr>
              <w:t>N</w:t>
            </w:r>
            <w:r w:rsidRPr="00507BAF">
              <w:rPr>
                <w:rFonts w:ascii="Arial Narrow" w:hAnsi="Arial Narrow"/>
                <w:sz w:val="18"/>
                <w:szCs w:val="18"/>
              </w:rPr>
              <w:t>o Afecto</w:t>
            </w:r>
            <w:r w:rsidR="005D685E">
              <w:rPr>
                <w:rFonts w:ascii="Arial Narrow" w:hAnsi="Arial Narrow"/>
                <w:sz w:val="18"/>
                <w:szCs w:val="18"/>
              </w:rPr>
              <w:t xml:space="preserve"> o para gastos generales</w:t>
            </w:r>
          </w:p>
        </w:tc>
        <w:tc>
          <w:tcPr>
            <w:tcW w:w="1134"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2.90</w:t>
            </w:r>
            <w:r>
              <w:rPr>
                <w:rFonts w:ascii="Arial Narrow" w:hAnsi="Arial Narrow"/>
                <w:sz w:val="18"/>
                <w:szCs w:val="18"/>
              </w:rPr>
              <w:t>1</w:t>
            </w:r>
          </w:p>
        </w:tc>
        <w:tc>
          <w:tcPr>
            <w:tcW w:w="850"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4.957</w:t>
            </w:r>
          </w:p>
        </w:tc>
        <w:tc>
          <w:tcPr>
            <w:tcW w:w="851"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4.88</w:t>
            </w:r>
            <w:r>
              <w:rPr>
                <w:rFonts w:ascii="Arial Narrow" w:hAnsi="Arial Narrow"/>
                <w:sz w:val="18"/>
                <w:szCs w:val="18"/>
              </w:rPr>
              <w:t>5</w:t>
            </w:r>
          </w:p>
        </w:tc>
        <w:tc>
          <w:tcPr>
            <w:tcW w:w="709"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5.11</w:t>
            </w:r>
            <w:r>
              <w:rPr>
                <w:rFonts w:ascii="Arial Narrow" w:hAnsi="Arial Narrow"/>
                <w:sz w:val="18"/>
                <w:szCs w:val="18"/>
              </w:rPr>
              <w:t>5</w:t>
            </w:r>
          </w:p>
        </w:tc>
        <w:tc>
          <w:tcPr>
            <w:tcW w:w="850"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szCs w:val="18"/>
              </w:rPr>
              <w:t>3.922</w:t>
            </w:r>
          </w:p>
        </w:tc>
        <w:tc>
          <w:tcPr>
            <w:tcW w:w="709" w:type="dxa"/>
            <w:tcBorders>
              <w:top w:val="single" w:sz="2" w:space="0" w:color="auto"/>
              <w:bottom w:val="single" w:sz="2" w:space="0" w:color="auto"/>
            </w:tcBorders>
            <w:vAlign w:val="center"/>
          </w:tcPr>
          <w:p w:rsidR="00920FD7" w:rsidRPr="00507BAF" w:rsidRDefault="00920FD7" w:rsidP="00920FD7">
            <w:pPr>
              <w:pStyle w:val="texto"/>
              <w:spacing w:after="0"/>
              <w:ind w:firstLine="0"/>
              <w:jc w:val="right"/>
              <w:rPr>
                <w:rFonts w:ascii="Arial Narrow" w:hAnsi="Arial Narrow"/>
                <w:sz w:val="18"/>
                <w:szCs w:val="18"/>
              </w:rPr>
            </w:pPr>
            <w:r>
              <w:rPr>
                <w:rFonts w:ascii="Arial Narrow" w:hAnsi="Arial Narrow"/>
                <w:sz w:val="18"/>
                <w:szCs w:val="18"/>
              </w:rPr>
              <w:t>6.281</w:t>
            </w:r>
          </w:p>
        </w:tc>
      </w:tr>
      <w:tr w:rsidR="00920FD7" w:rsidRPr="00507BAF" w:rsidTr="004850F5">
        <w:trPr>
          <w:trHeight w:hRule="exact" w:val="284"/>
        </w:trPr>
        <w:tc>
          <w:tcPr>
            <w:tcW w:w="3686" w:type="dxa"/>
            <w:tcBorders>
              <w:top w:val="single" w:sz="2" w:space="0" w:color="auto"/>
              <w:bottom w:val="single" w:sz="2"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sidRPr="00507BAF">
              <w:rPr>
                <w:rFonts w:ascii="Arial Narrow" w:hAnsi="Arial Narrow"/>
                <w:sz w:val="18"/>
                <w:szCs w:val="18"/>
              </w:rPr>
              <w:t>Financiación presupuesto año siguiente</w:t>
            </w:r>
          </w:p>
        </w:tc>
        <w:tc>
          <w:tcPr>
            <w:tcW w:w="1134" w:type="dxa"/>
            <w:tcBorders>
              <w:top w:val="single" w:sz="2" w:space="0" w:color="auto"/>
              <w:bottom w:val="single" w:sz="2"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91</w:t>
            </w:r>
            <w:r>
              <w:rPr>
                <w:rFonts w:ascii="Arial Narrow" w:hAnsi="Arial Narrow"/>
                <w:sz w:val="18"/>
                <w:szCs w:val="18"/>
              </w:rPr>
              <w:t>4</w:t>
            </w:r>
          </w:p>
        </w:tc>
        <w:tc>
          <w:tcPr>
            <w:tcW w:w="850"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1.490</w:t>
            </w:r>
          </w:p>
        </w:tc>
        <w:tc>
          <w:tcPr>
            <w:tcW w:w="851"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1.69</w:t>
            </w:r>
            <w:r>
              <w:rPr>
                <w:rFonts w:ascii="Arial Narrow" w:hAnsi="Arial Narrow"/>
                <w:sz w:val="18"/>
                <w:szCs w:val="18"/>
              </w:rPr>
              <w:t>4</w:t>
            </w:r>
          </w:p>
        </w:tc>
        <w:tc>
          <w:tcPr>
            <w:tcW w:w="709" w:type="dxa"/>
            <w:tcBorders>
              <w:top w:val="single" w:sz="2" w:space="0" w:color="auto"/>
              <w:bottom w:val="single" w:sz="2"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1.33</w:t>
            </w:r>
            <w:r>
              <w:rPr>
                <w:rFonts w:ascii="Arial Narrow" w:hAnsi="Arial Narrow"/>
                <w:sz w:val="18"/>
                <w:szCs w:val="18"/>
              </w:rPr>
              <w:t>6</w:t>
            </w:r>
          </w:p>
        </w:tc>
        <w:tc>
          <w:tcPr>
            <w:tcW w:w="850" w:type="dxa"/>
            <w:tcBorders>
              <w:top w:val="single" w:sz="2" w:space="0" w:color="auto"/>
              <w:bottom w:val="single" w:sz="2" w:space="0" w:color="auto"/>
            </w:tcBorders>
            <w:vAlign w:val="center"/>
          </w:tcPr>
          <w:p w:rsidR="00920FD7" w:rsidRPr="0047113C" w:rsidRDefault="0047113C" w:rsidP="00920FD7">
            <w:pPr>
              <w:pStyle w:val="texto"/>
              <w:spacing w:after="0"/>
              <w:ind w:firstLine="0"/>
              <w:jc w:val="right"/>
              <w:rPr>
                <w:rFonts w:ascii="Arial Narrow" w:hAnsi="Arial Narrow"/>
                <w:sz w:val="18"/>
                <w:szCs w:val="18"/>
              </w:rPr>
            </w:pPr>
            <w:r w:rsidRPr="0047113C">
              <w:rPr>
                <w:rFonts w:ascii="Arial Narrow" w:hAnsi="Arial Narrow"/>
                <w:sz w:val="18"/>
                <w:szCs w:val="18"/>
              </w:rPr>
              <w:t>-</w:t>
            </w:r>
          </w:p>
        </w:tc>
        <w:tc>
          <w:tcPr>
            <w:tcW w:w="709" w:type="dxa"/>
            <w:tcBorders>
              <w:top w:val="single" w:sz="2" w:space="0" w:color="auto"/>
              <w:bottom w:val="single" w:sz="2" w:space="0" w:color="auto"/>
            </w:tcBorders>
            <w:vAlign w:val="center"/>
          </w:tcPr>
          <w:p w:rsidR="00920FD7" w:rsidRPr="0047113C" w:rsidRDefault="00EE44CE" w:rsidP="00920FD7">
            <w:pPr>
              <w:pStyle w:val="texto"/>
              <w:spacing w:after="0"/>
              <w:ind w:firstLine="0"/>
              <w:jc w:val="right"/>
              <w:rPr>
                <w:rFonts w:ascii="Arial Narrow" w:hAnsi="Arial Narrow"/>
                <w:sz w:val="18"/>
                <w:szCs w:val="18"/>
              </w:rPr>
            </w:pPr>
            <w:r w:rsidRPr="0047113C">
              <w:rPr>
                <w:rFonts w:ascii="Arial Narrow" w:hAnsi="Arial Narrow"/>
                <w:sz w:val="18"/>
                <w:szCs w:val="18"/>
              </w:rPr>
              <w:t>-</w:t>
            </w:r>
          </w:p>
        </w:tc>
      </w:tr>
      <w:tr w:rsidR="00920FD7" w:rsidRPr="00507BAF" w:rsidTr="004850F5">
        <w:trPr>
          <w:trHeight w:hRule="exact" w:val="284"/>
        </w:trPr>
        <w:tc>
          <w:tcPr>
            <w:tcW w:w="3686" w:type="dxa"/>
            <w:tcBorders>
              <w:top w:val="single" w:sz="2" w:space="0" w:color="auto"/>
              <w:bottom w:val="single" w:sz="4" w:space="0" w:color="auto"/>
            </w:tcBorders>
            <w:shd w:val="clear" w:color="auto" w:fill="auto"/>
            <w:noWrap/>
            <w:vAlign w:val="center"/>
          </w:tcPr>
          <w:p w:rsidR="00920FD7" w:rsidRPr="00507BAF" w:rsidRDefault="00920FD7" w:rsidP="005829E5">
            <w:pPr>
              <w:pStyle w:val="texto"/>
              <w:spacing w:after="0"/>
              <w:ind w:firstLine="0"/>
              <w:rPr>
                <w:rFonts w:ascii="Arial Narrow" w:hAnsi="Arial Narrow"/>
                <w:sz w:val="18"/>
                <w:szCs w:val="18"/>
              </w:rPr>
            </w:pPr>
            <w:r w:rsidRPr="00507BAF">
              <w:rPr>
                <w:rFonts w:ascii="Arial Narrow" w:hAnsi="Arial Narrow"/>
                <w:sz w:val="18"/>
                <w:szCs w:val="18"/>
              </w:rPr>
              <w:t>Remanente tesorería líquido</w:t>
            </w:r>
          </w:p>
        </w:tc>
        <w:tc>
          <w:tcPr>
            <w:tcW w:w="1134" w:type="dxa"/>
            <w:tcBorders>
              <w:top w:val="single" w:sz="2" w:space="0" w:color="auto"/>
              <w:bottom w:val="single" w:sz="4" w:space="0" w:color="auto"/>
            </w:tcBorders>
            <w:shd w:val="clear" w:color="auto" w:fill="auto"/>
            <w:vAlign w:val="center"/>
          </w:tcPr>
          <w:p w:rsidR="00920FD7" w:rsidRPr="00507BAF" w:rsidRDefault="00920FD7" w:rsidP="000B4696">
            <w:pPr>
              <w:pStyle w:val="texto"/>
              <w:spacing w:after="0"/>
              <w:ind w:firstLine="0"/>
              <w:jc w:val="right"/>
              <w:rPr>
                <w:rFonts w:ascii="Arial Narrow" w:hAnsi="Arial Narrow"/>
                <w:sz w:val="18"/>
                <w:szCs w:val="18"/>
              </w:rPr>
            </w:pPr>
            <w:r w:rsidRPr="00507BAF">
              <w:rPr>
                <w:rFonts w:ascii="Arial Narrow" w:hAnsi="Arial Narrow"/>
                <w:sz w:val="18"/>
                <w:szCs w:val="18"/>
              </w:rPr>
              <w:t>1.98</w:t>
            </w:r>
            <w:r>
              <w:rPr>
                <w:rFonts w:ascii="Arial Narrow" w:hAnsi="Arial Narrow"/>
                <w:sz w:val="18"/>
                <w:szCs w:val="18"/>
              </w:rPr>
              <w:t>7</w:t>
            </w:r>
          </w:p>
        </w:tc>
        <w:tc>
          <w:tcPr>
            <w:tcW w:w="850" w:type="dxa"/>
            <w:tcBorders>
              <w:top w:val="single" w:sz="2" w:space="0" w:color="auto"/>
              <w:bottom w:val="single" w:sz="4"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3.467</w:t>
            </w:r>
          </w:p>
        </w:tc>
        <w:tc>
          <w:tcPr>
            <w:tcW w:w="851" w:type="dxa"/>
            <w:tcBorders>
              <w:top w:val="single" w:sz="2" w:space="0" w:color="auto"/>
              <w:bottom w:val="single" w:sz="4"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3.19</w:t>
            </w:r>
            <w:r>
              <w:rPr>
                <w:rFonts w:ascii="Arial Narrow" w:hAnsi="Arial Narrow"/>
                <w:sz w:val="18"/>
                <w:szCs w:val="18"/>
              </w:rPr>
              <w:t>1</w:t>
            </w:r>
          </w:p>
        </w:tc>
        <w:tc>
          <w:tcPr>
            <w:tcW w:w="709" w:type="dxa"/>
            <w:tcBorders>
              <w:top w:val="single" w:sz="2" w:space="0" w:color="auto"/>
              <w:bottom w:val="single" w:sz="4" w:space="0" w:color="auto"/>
            </w:tcBorders>
            <w:shd w:val="clear" w:color="auto" w:fill="auto"/>
            <w:vAlign w:val="center"/>
          </w:tcPr>
          <w:p w:rsidR="00920FD7" w:rsidRPr="00507BAF" w:rsidRDefault="00920FD7" w:rsidP="00920FD7">
            <w:pPr>
              <w:pStyle w:val="texto"/>
              <w:spacing w:after="0"/>
              <w:ind w:firstLine="0"/>
              <w:jc w:val="right"/>
              <w:rPr>
                <w:rFonts w:ascii="Arial Narrow" w:hAnsi="Arial Narrow"/>
                <w:sz w:val="18"/>
                <w:szCs w:val="18"/>
              </w:rPr>
            </w:pPr>
            <w:r w:rsidRPr="00507BAF">
              <w:rPr>
                <w:rFonts w:ascii="Arial Narrow" w:hAnsi="Arial Narrow"/>
                <w:sz w:val="18"/>
                <w:szCs w:val="18"/>
              </w:rPr>
              <w:t>3.77</w:t>
            </w:r>
            <w:r>
              <w:rPr>
                <w:rFonts w:ascii="Arial Narrow" w:hAnsi="Arial Narrow"/>
                <w:sz w:val="18"/>
                <w:szCs w:val="18"/>
              </w:rPr>
              <w:t>9</w:t>
            </w:r>
          </w:p>
        </w:tc>
        <w:tc>
          <w:tcPr>
            <w:tcW w:w="850" w:type="dxa"/>
            <w:tcBorders>
              <w:top w:val="single" w:sz="2" w:space="0" w:color="auto"/>
              <w:bottom w:val="single" w:sz="4" w:space="0" w:color="auto"/>
            </w:tcBorders>
            <w:vAlign w:val="center"/>
          </w:tcPr>
          <w:p w:rsidR="00920FD7" w:rsidRPr="004850F5" w:rsidRDefault="0047113C" w:rsidP="00920FD7">
            <w:pPr>
              <w:pStyle w:val="texto"/>
              <w:spacing w:after="0"/>
              <w:ind w:firstLine="0"/>
              <w:jc w:val="right"/>
              <w:rPr>
                <w:rFonts w:ascii="Arial Narrow" w:hAnsi="Arial Narrow"/>
                <w:sz w:val="18"/>
                <w:szCs w:val="18"/>
              </w:rPr>
            </w:pPr>
            <w:r w:rsidRPr="004850F5">
              <w:rPr>
                <w:rFonts w:ascii="Arial Narrow" w:hAnsi="Arial Narrow"/>
                <w:sz w:val="18"/>
                <w:szCs w:val="18"/>
              </w:rPr>
              <w:t>3.922</w:t>
            </w:r>
          </w:p>
        </w:tc>
        <w:tc>
          <w:tcPr>
            <w:tcW w:w="709" w:type="dxa"/>
            <w:tcBorders>
              <w:top w:val="single" w:sz="2" w:space="0" w:color="auto"/>
              <w:bottom w:val="single" w:sz="4" w:space="0" w:color="auto"/>
            </w:tcBorders>
            <w:vAlign w:val="center"/>
          </w:tcPr>
          <w:p w:rsidR="00920FD7" w:rsidRPr="004850F5" w:rsidRDefault="00EE44CE" w:rsidP="00920FD7">
            <w:pPr>
              <w:pStyle w:val="texto"/>
              <w:spacing w:after="0"/>
              <w:ind w:firstLine="0"/>
              <w:jc w:val="right"/>
              <w:rPr>
                <w:rFonts w:ascii="Arial Narrow" w:hAnsi="Arial Narrow"/>
                <w:sz w:val="18"/>
                <w:szCs w:val="18"/>
              </w:rPr>
            </w:pPr>
            <w:r w:rsidRPr="004850F5">
              <w:rPr>
                <w:rFonts w:ascii="Arial Narrow" w:hAnsi="Arial Narrow"/>
                <w:sz w:val="18"/>
                <w:szCs w:val="18"/>
              </w:rPr>
              <w:t>6.281</w:t>
            </w:r>
          </w:p>
        </w:tc>
      </w:tr>
    </w:tbl>
    <w:p w:rsidR="007E56ED" w:rsidRDefault="007E56ED" w:rsidP="004850F5">
      <w:pPr>
        <w:pStyle w:val="texto"/>
        <w:tabs>
          <w:tab w:val="clear" w:pos="2835"/>
          <w:tab w:val="clear" w:pos="3969"/>
          <w:tab w:val="clear" w:pos="5103"/>
          <w:tab w:val="clear" w:pos="6237"/>
          <w:tab w:val="clear" w:pos="7371"/>
          <w:tab w:val="num" w:pos="300"/>
          <w:tab w:val="num" w:pos="720"/>
        </w:tabs>
        <w:spacing w:after="0"/>
        <w:rPr>
          <w:szCs w:val="26"/>
        </w:rPr>
      </w:pPr>
    </w:p>
    <w:p w:rsidR="000004D2" w:rsidRPr="006E2879" w:rsidRDefault="002A17A8" w:rsidP="007E56ED">
      <w:pPr>
        <w:pStyle w:val="texto"/>
        <w:tabs>
          <w:tab w:val="clear" w:pos="2835"/>
          <w:tab w:val="clear" w:pos="3969"/>
          <w:tab w:val="clear" w:pos="5103"/>
          <w:tab w:val="clear" w:pos="6237"/>
          <w:tab w:val="clear" w:pos="7371"/>
          <w:tab w:val="num" w:pos="300"/>
          <w:tab w:val="num" w:pos="720"/>
        </w:tabs>
        <w:rPr>
          <w:szCs w:val="26"/>
        </w:rPr>
      </w:pPr>
      <w:r w:rsidRPr="006E2879">
        <w:rPr>
          <w:szCs w:val="26"/>
        </w:rPr>
        <w:t>Dentro de la serie analizada</w:t>
      </w:r>
      <w:r w:rsidR="000004D2" w:rsidRPr="006E2879">
        <w:rPr>
          <w:szCs w:val="26"/>
        </w:rPr>
        <w:t xml:space="preserve">, </w:t>
      </w:r>
      <w:r w:rsidRPr="006E2879">
        <w:rPr>
          <w:szCs w:val="26"/>
        </w:rPr>
        <w:t>en 2014, el remanente no afecto alcanza su m</w:t>
      </w:r>
      <w:r w:rsidRPr="006E2879">
        <w:rPr>
          <w:szCs w:val="26"/>
        </w:rPr>
        <w:t>a</w:t>
      </w:r>
      <w:r w:rsidRPr="006E2879">
        <w:rPr>
          <w:szCs w:val="26"/>
        </w:rPr>
        <w:t xml:space="preserve">yor cuantía así como el menor importe de afectado. </w:t>
      </w:r>
    </w:p>
    <w:p w:rsidR="006E2879" w:rsidRDefault="004E67D1" w:rsidP="007E56ED">
      <w:pPr>
        <w:pStyle w:val="texto"/>
        <w:tabs>
          <w:tab w:val="clear" w:pos="2835"/>
          <w:tab w:val="clear" w:pos="3969"/>
          <w:tab w:val="clear" w:pos="5103"/>
          <w:tab w:val="clear" w:pos="6237"/>
          <w:tab w:val="clear" w:pos="7371"/>
          <w:tab w:val="num" w:pos="300"/>
          <w:tab w:val="num" w:pos="720"/>
        </w:tabs>
        <w:rPr>
          <w:szCs w:val="26"/>
        </w:rPr>
      </w:pPr>
      <w:r>
        <w:rPr>
          <w:szCs w:val="26"/>
        </w:rPr>
        <w:t>A la fecha de redacción de la</w:t>
      </w:r>
      <w:r w:rsidR="007E56ED" w:rsidRPr="007E56ED">
        <w:rPr>
          <w:szCs w:val="26"/>
        </w:rPr>
        <w:t xml:space="preserve"> me</w:t>
      </w:r>
      <w:r w:rsidR="007E56ED">
        <w:rPr>
          <w:szCs w:val="26"/>
        </w:rPr>
        <w:t>m</w:t>
      </w:r>
      <w:r w:rsidR="007E56ED" w:rsidRPr="007E56ED">
        <w:rPr>
          <w:szCs w:val="26"/>
        </w:rPr>
        <w:t>oria de la Universidad de 2014</w:t>
      </w:r>
      <w:r w:rsidR="00672432">
        <w:rPr>
          <w:szCs w:val="26"/>
        </w:rPr>
        <w:t xml:space="preserve"> –abril de 2015</w:t>
      </w:r>
      <w:r w:rsidR="004850F5">
        <w:rPr>
          <w:szCs w:val="26"/>
        </w:rPr>
        <w:t>–</w:t>
      </w:r>
      <w:r>
        <w:rPr>
          <w:szCs w:val="26"/>
        </w:rPr>
        <w:t>, del rem</w:t>
      </w:r>
      <w:r w:rsidR="00672432">
        <w:rPr>
          <w:szCs w:val="26"/>
        </w:rPr>
        <w:t>an</w:t>
      </w:r>
      <w:r>
        <w:rPr>
          <w:szCs w:val="26"/>
        </w:rPr>
        <w:t>ente no afecto a 31 de diciembre de 2014</w:t>
      </w:r>
      <w:r w:rsidR="007E56ED" w:rsidRPr="007E56ED">
        <w:rPr>
          <w:szCs w:val="26"/>
        </w:rPr>
        <w:t>,</w:t>
      </w:r>
      <w:r w:rsidR="00672432">
        <w:rPr>
          <w:szCs w:val="26"/>
        </w:rPr>
        <w:t xml:space="preserve"> se ha consumido un total de 0,61 millones destinado a financiar el abono parcial de la paga extrao</w:t>
      </w:r>
      <w:r w:rsidR="00672432">
        <w:rPr>
          <w:szCs w:val="26"/>
        </w:rPr>
        <w:t>r</w:t>
      </w:r>
      <w:r w:rsidR="00672432">
        <w:rPr>
          <w:szCs w:val="26"/>
        </w:rPr>
        <w:t>dinaria de diciembre de 2012. Esta aplicación fue autorizada por el Gobierno de  Navarra mediante acuerdo de marzo de 2015.</w:t>
      </w:r>
      <w:r w:rsidR="007E56ED" w:rsidRPr="007E56ED">
        <w:rPr>
          <w:szCs w:val="26"/>
        </w:rPr>
        <w:t xml:space="preserve"> </w:t>
      </w:r>
    </w:p>
    <w:p w:rsidR="00F84229" w:rsidRDefault="006E2879" w:rsidP="006208E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En 2014, el endeudami</w:t>
      </w:r>
      <w:r w:rsidR="00AA476E">
        <w:rPr>
          <w:szCs w:val="26"/>
        </w:rPr>
        <w:t xml:space="preserve">ento financiero se ha reducido </w:t>
      </w:r>
      <w:r>
        <w:rPr>
          <w:szCs w:val="26"/>
        </w:rPr>
        <w:t>un dos por ciento, s</w:t>
      </w:r>
      <w:r>
        <w:rPr>
          <w:szCs w:val="26"/>
        </w:rPr>
        <w:t>i</w:t>
      </w:r>
      <w:r>
        <w:rPr>
          <w:szCs w:val="26"/>
        </w:rPr>
        <w:t>tuándose en 2,59 millones. Este importe representa escasamente el cuatro por ciento de los ingresos corrientes de la entidad.</w:t>
      </w:r>
    </w:p>
    <w:p w:rsidR="00DA1384" w:rsidRPr="002D2313" w:rsidRDefault="00DA1384" w:rsidP="004850F5">
      <w:pPr>
        <w:pStyle w:val="texto"/>
        <w:tabs>
          <w:tab w:val="clear" w:pos="2835"/>
          <w:tab w:val="clear" w:pos="3969"/>
          <w:tab w:val="clear" w:pos="5103"/>
          <w:tab w:val="clear" w:pos="6237"/>
          <w:tab w:val="clear" w:pos="7371"/>
          <w:tab w:val="num" w:pos="300"/>
          <w:tab w:val="num" w:pos="720"/>
        </w:tabs>
        <w:spacing w:after="240"/>
        <w:rPr>
          <w:szCs w:val="26"/>
        </w:rPr>
      </w:pPr>
      <w:r>
        <w:rPr>
          <w:szCs w:val="26"/>
        </w:rPr>
        <w:t>El detalle de este endeudamiento</w:t>
      </w:r>
      <w:r w:rsidR="004850F5">
        <w:rPr>
          <w:szCs w:val="26"/>
        </w:rPr>
        <w:t>, en miles de euros</w:t>
      </w:r>
      <w:r>
        <w:rPr>
          <w:szCs w:val="26"/>
        </w:rPr>
        <w:t>, tal y como se observa en el cuadro siguiente, pone de manifiesto que procede básicamente del campus internacional y de ayudas a la investigación y que han sido concedidos por e</w:t>
      </w:r>
      <w:r>
        <w:rPr>
          <w:szCs w:val="26"/>
        </w:rPr>
        <w:t>n</w:t>
      </w:r>
      <w:r>
        <w:rPr>
          <w:szCs w:val="26"/>
        </w:rPr>
        <w:t xml:space="preserve">tidades públicas. </w:t>
      </w:r>
    </w:p>
    <w:tbl>
      <w:tblPr>
        <w:tblW w:w="8796" w:type="dxa"/>
        <w:jc w:val="center"/>
        <w:tblLayout w:type="fixed"/>
        <w:tblLook w:val="01E0" w:firstRow="1" w:lastRow="1" w:firstColumn="1" w:lastColumn="1" w:noHBand="0" w:noVBand="0"/>
      </w:tblPr>
      <w:tblGrid>
        <w:gridCol w:w="4512"/>
        <w:gridCol w:w="1340"/>
        <w:gridCol w:w="1275"/>
        <w:gridCol w:w="1669"/>
      </w:tblGrid>
      <w:tr w:rsidR="00DA1384" w:rsidRPr="005438AF" w:rsidTr="000A4C01">
        <w:trPr>
          <w:trHeight w:val="284"/>
          <w:jc w:val="center"/>
        </w:trPr>
        <w:tc>
          <w:tcPr>
            <w:tcW w:w="4512" w:type="dxa"/>
            <w:tcBorders>
              <w:top w:val="single" w:sz="4" w:space="0" w:color="auto"/>
              <w:bottom w:val="single" w:sz="4" w:space="0" w:color="auto"/>
            </w:tcBorders>
            <w:shd w:val="clear" w:color="auto" w:fill="A8CBEE" w:themeFill="accent2" w:themeFillTint="66"/>
            <w:vAlign w:val="center"/>
          </w:tcPr>
          <w:p w:rsidR="00DA1384" w:rsidRPr="006E2879" w:rsidRDefault="00DA1384" w:rsidP="00BD6173">
            <w:pPr>
              <w:spacing w:after="0"/>
              <w:ind w:firstLine="0"/>
              <w:jc w:val="left"/>
              <w:rPr>
                <w:rFonts w:ascii="Arial" w:hAnsi="Arial" w:cs="Arial"/>
                <w:color w:val="000000"/>
                <w:sz w:val="18"/>
                <w:szCs w:val="18"/>
                <w:lang w:val="es-ES" w:eastAsia="es-ES"/>
              </w:rPr>
            </w:pPr>
            <w:r w:rsidRPr="006E2879">
              <w:rPr>
                <w:rFonts w:ascii="Arial" w:hAnsi="Arial" w:cs="Arial"/>
                <w:color w:val="000000"/>
                <w:sz w:val="18"/>
                <w:szCs w:val="18"/>
                <w:lang w:val="es-ES" w:eastAsia="es-ES"/>
              </w:rPr>
              <w:t>Préstamos</w:t>
            </w:r>
            <w:r>
              <w:rPr>
                <w:rFonts w:ascii="Arial" w:hAnsi="Arial" w:cs="Arial"/>
                <w:color w:val="000000"/>
                <w:sz w:val="18"/>
                <w:szCs w:val="18"/>
                <w:lang w:val="es-ES" w:eastAsia="es-ES"/>
              </w:rPr>
              <w:t xml:space="preserve"> (en miles de euros)</w:t>
            </w:r>
          </w:p>
        </w:tc>
        <w:tc>
          <w:tcPr>
            <w:tcW w:w="1340" w:type="dxa"/>
            <w:tcBorders>
              <w:top w:val="single" w:sz="4" w:space="0" w:color="auto"/>
              <w:bottom w:val="single" w:sz="4" w:space="0" w:color="auto"/>
            </w:tcBorders>
            <w:shd w:val="clear" w:color="auto" w:fill="A8CBEE" w:themeFill="accent2" w:themeFillTint="66"/>
            <w:vAlign w:val="center"/>
          </w:tcPr>
          <w:p w:rsidR="00DA1384" w:rsidRPr="006E2879" w:rsidRDefault="00DA1384" w:rsidP="004850F5">
            <w:pPr>
              <w:spacing w:after="0"/>
              <w:ind w:firstLine="0"/>
              <w:jc w:val="right"/>
              <w:rPr>
                <w:rFonts w:ascii="Arial" w:hAnsi="Arial" w:cs="Arial"/>
                <w:color w:val="000000"/>
                <w:sz w:val="18"/>
                <w:szCs w:val="18"/>
                <w:lang w:val="es-ES" w:eastAsia="es-ES"/>
              </w:rPr>
            </w:pPr>
            <w:r w:rsidRPr="006E2879">
              <w:rPr>
                <w:rFonts w:ascii="Arial" w:hAnsi="Arial" w:cs="Arial"/>
                <w:color w:val="000000"/>
                <w:sz w:val="18"/>
                <w:szCs w:val="18"/>
                <w:lang w:val="es-ES" w:eastAsia="es-ES"/>
              </w:rPr>
              <w:t>Largo Plazo</w:t>
            </w:r>
          </w:p>
        </w:tc>
        <w:tc>
          <w:tcPr>
            <w:tcW w:w="1275" w:type="dxa"/>
            <w:tcBorders>
              <w:top w:val="single" w:sz="4" w:space="0" w:color="auto"/>
              <w:bottom w:val="single" w:sz="4" w:space="0" w:color="auto"/>
            </w:tcBorders>
            <w:shd w:val="clear" w:color="auto" w:fill="A8CBEE" w:themeFill="accent2" w:themeFillTint="66"/>
            <w:vAlign w:val="center"/>
          </w:tcPr>
          <w:p w:rsidR="00DA1384" w:rsidRPr="006E2879" w:rsidRDefault="00DA1384" w:rsidP="004850F5">
            <w:pPr>
              <w:spacing w:after="0"/>
              <w:ind w:firstLine="0"/>
              <w:jc w:val="right"/>
              <w:rPr>
                <w:rFonts w:ascii="Arial" w:hAnsi="Arial" w:cs="Arial"/>
                <w:color w:val="000000"/>
                <w:sz w:val="18"/>
                <w:szCs w:val="18"/>
                <w:lang w:val="es-ES" w:eastAsia="es-ES"/>
              </w:rPr>
            </w:pPr>
            <w:r w:rsidRPr="006E2879">
              <w:rPr>
                <w:rFonts w:ascii="Arial" w:hAnsi="Arial" w:cs="Arial"/>
                <w:color w:val="000000"/>
                <w:sz w:val="18"/>
                <w:szCs w:val="18"/>
                <w:lang w:val="es-ES" w:eastAsia="es-ES"/>
              </w:rPr>
              <w:t>Corto plazo</w:t>
            </w:r>
          </w:p>
        </w:tc>
        <w:tc>
          <w:tcPr>
            <w:tcW w:w="1669" w:type="dxa"/>
            <w:tcBorders>
              <w:top w:val="single" w:sz="4" w:space="0" w:color="auto"/>
              <w:bottom w:val="single" w:sz="4" w:space="0" w:color="auto"/>
            </w:tcBorders>
            <w:shd w:val="clear" w:color="auto" w:fill="A8CBEE" w:themeFill="accent2" w:themeFillTint="66"/>
            <w:vAlign w:val="center"/>
          </w:tcPr>
          <w:p w:rsidR="00DA1384" w:rsidRDefault="00DA1384" w:rsidP="004850F5">
            <w:pPr>
              <w:spacing w:after="0"/>
              <w:ind w:firstLine="0"/>
              <w:jc w:val="right"/>
              <w:rPr>
                <w:rFonts w:ascii="Arial" w:hAnsi="Arial" w:cs="Arial"/>
                <w:color w:val="000000"/>
                <w:sz w:val="18"/>
                <w:szCs w:val="18"/>
                <w:lang w:val="es-ES" w:eastAsia="es-ES"/>
              </w:rPr>
            </w:pPr>
            <w:r w:rsidRPr="006E2879">
              <w:rPr>
                <w:rFonts w:ascii="Arial" w:hAnsi="Arial" w:cs="Arial"/>
                <w:color w:val="000000"/>
                <w:sz w:val="18"/>
                <w:szCs w:val="18"/>
                <w:lang w:val="es-ES" w:eastAsia="es-ES"/>
              </w:rPr>
              <w:t>Total</w:t>
            </w:r>
          </w:p>
          <w:p w:rsidR="00DA1384" w:rsidRPr="006E2879" w:rsidRDefault="00DA1384" w:rsidP="004850F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endeudamiento</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BD6173">
            <w:pPr>
              <w:pStyle w:val="texto"/>
              <w:spacing w:after="0"/>
              <w:ind w:firstLine="0"/>
              <w:rPr>
                <w:rFonts w:ascii="Arial Narrow" w:hAnsi="Arial Narrow"/>
                <w:sz w:val="20"/>
                <w:szCs w:val="20"/>
              </w:rPr>
            </w:pPr>
            <w:r w:rsidRPr="004850F5">
              <w:rPr>
                <w:rFonts w:ascii="Arial Narrow" w:hAnsi="Arial Narrow"/>
                <w:sz w:val="20"/>
                <w:szCs w:val="20"/>
              </w:rPr>
              <w:t>FEDER proyectos de investigación</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168</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12</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180</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BD6173">
            <w:pPr>
              <w:pStyle w:val="texto"/>
              <w:spacing w:after="0"/>
              <w:ind w:firstLine="0"/>
              <w:rPr>
                <w:rFonts w:ascii="Arial Narrow" w:hAnsi="Arial Narrow"/>
                <w:sz w:val="20"/>
                <w:szCs w:val="20"/>
              </w:rPr>
            </w:pPr>
            <w:r w:rsidRPr="004850F5">
              <w:rPr>
                <w:rFonts w:ascii="Arial Narrow" w:hAnsi="Arial Narrow"/>
                <w:sz w:val="20"/>
                <w:szCs w:val="20"/>
              </w:rPr>
              <w:t>Ministerio Ciencia Programa Innocampus</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837</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84</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921</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BD6173">
            <w:pPr>
              <w:pStyle w:val="texto"/>
              <w:spacing w:after="0"/>
              <w:ind w:firstLine="0"/>
              <w:rPr>
                <w:rFonts w:ascii="Arial Narrow" w:hAnsi="Arial Narrow"/>
                <w:sz w:val="20"/>
                <w:szCs w:val="20"/>
              </w:rPr>
            </w:pPr>
            <w:r w:rsidRPr="004850F5">
              <w:rPr>
                <w:rFonts w:ascii="Arial Narrow" w:hAnsi="Arial Narrow"/>
                <w:sz w:val="20"/>
                <w:szCs w:val="20"/>
              </w:rPr>
              <w:t>Gobierno de Navarra Campus Iberus</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889</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81</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970</w:t>
            </w:r>
          </w:p>
        </w:tc>
      </w:tr>
      <w:tr w:rsidR="00DA1384" w:rsidRPr="004850F5" w:rsidTr="004850F5">
        <w:trPr>
          <w:trHeight w:val="284"/>
          <w:jc w:val="center"/>
        </w:trPr>
        <w:tc>
          <w:tcPr>
            <w:tcW w:w="4512" w:type="dxa"/>
            <w:tcBorders>
              <w:top w:val="single" w:sz="4" w:space="0" w:color="auto"/>
              <w:bottom w:val="single" w:sz="2" w:space="0" w:color="auto"/>
            </w:tcBorders>
            <w:vAlign w:val="center"/>
          </w:tcPr>
          <w:p w:rsidR="00DA1384" w:rsidRPr="004850F5" w:rsidRDefault="00DA1384" w:rsidP="004850F5">
            <w:pPr>
              <w:pStyle w:val="texto"/>
              <w:spacing w:after="0"/>
              <w:ind w:firstLine="0"/>
              <w:rPr>
                <w:rFonts w:ascii="Arial Narrow" w:hAnsi="Arial Narrow"/>
                <w:sz w:val="20"/>
                <w:szCs w:val="20"/>
              </w:rPr>
            </w:pPr>
            <w:r w:rsidRPr="004850F5">
              <w:rPr>
                <w:rFonts w:ascii="Arial Narrow" w:hAnsi="Arial Narrow"/>
                <w:sz w:val="20"/>
                <w:szCs w:val="20"/>
              </w:rPr>
              <w:t>FEDER anticipos reembolsab</w:t>
            </w:r>
            <w:r w:rsidR="008C27C2">
              <w:rPr>
                <w:rFonts w:ascii="Arial Narrow" w:hAnsi="Arial Narrow"/>
                <w:sz w:val="20"/>
                <w:szCs w:val="20"/>
              </w:rPr>
              <w:t>l</w:t>
            </w:r>
            <w:r w:rsidR="004850F5">
              <w:rPr>
                <w:rFonts w:ascii="Arial Narrow" w:hAnsi="Arial Narrow"/>
                <w:sz w:val="20"/>
                <w:szCs w:val="20"/>
              </w:rPr>
              <w:t>.</w:t>
            </w:r>
            <w:r w:rsidRPr="004850F5">
              <w:rPr>
                <w:rFonts w:ascii="Arial Narrow" w:hAnsi="Arial Narrow"/>
                <w:sz w:val="20"/>
                <w:szCs w:val="20"/>
              </w:rPr>
              <w:t xml:space="preserve"> proyectos investigación</w:t>
            </w:r>
          </w:p>
        </w:tc>
        <w:tc>
          <w:tcPr>
            <w:tcW w:w="1340"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482</w:t>
            </w:r>
          </w:p>
        </w:tc>
        <w:tc>
          <w:tcPr>
            <w:tcW w:w="1275"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w:t>
            </w:r>
          </w:p>
        </w:tc>
        <w:tc>
          <w:tcPr>
            <w:tcW w:w="1669" w:type="dxa"/>
            <w:tcBorders>
              <w:top w:val="single" w:sz="4" w:space="0" w:color="auto"/>
              <w:bottom w:val="single" w:sz="2"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482</w:t>
            </w:r>
          </w:p>
        </w:tc>
      </w:tr>
      <w:tr w:rsidR="00DA1384" w:rsidRPr="004850F5" w:rsidTr="004F45ED">
        <w:trPr>
          <w:trHeight w:val="284"/>
          <w:jc w:val="center"/>
        </w:trPr>
        <w:tc>
          <w:tcPr>
            <w:tcW w:w="4512" w:type="dxa"/>
            <w:tcBorders>
              <w:top w:val="single" w:sz="4" w:space="0" w:color="auto"/>
              <w:bottom w:val="single" w:sz="4" w:space="0" w:color="auto"/>
            </w:tcBorders>
            <w:vAlign w:val="center"/>
          </w:tcPr>
          <w:p w:rsidR="00DA1384" w:rsidRPr="004850F5" w:rsidRDefault="00DA1384" w:rsidP="00BD6173">
            <w:pPr>
              <w:pStyle w:val="texto"/>
              <w:spacing w:after="0"/>
              <w:ind w:firstLine="0"/>
              <w:rPr>
                <w:rFonts w:ascii="Arial Narrow" w:hAnsi="Arial Narrow"/>
                <w:sz w:val="20"/>
                <w:szCs w:val="20"/>
              </w:rPr>
            </w:pPr>
            <w:r w:rsidRPr="004850F5">
              <w:rPr>
                <w:rFonts w:ascii="Arial Narrow" w:hAnsi="Arial Narrow"/>
                <w:sz w:val="20"/>
                <w:szCs w:val="20"/>
              </w:rPr>
              <w:t>Ministerio Ciencia ayudas investigación</w:t>
            </w:r>
          </w:p>
        </w:tc>
        <w:tc>
          <w:tcPr>
            <w:tcW w:w="1340" w:type="dxa"/>
            <w:tcBorders>
              <w:top w:val="single" w:sz="4" w:space="0" w:color="auto"/>
              <w:bottom w:val="single" w:sz="4"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39</w:t>
            </w:r>
          </w:p>
        </w:tc>
        <w:tc>
          <w:tcPr>
            <w:tcW w:w="1275" w:type="dxa"/>
            <w:tcBorders>
              <w:top w:val="single" w:sz="4" w:space="0" w:color="auto"/>
              <w:bottom w:val="single" w:sz="4"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w:t>
            </w:r>
          </w:p>
        </w:tc>
        <w:tc>
          <w:tcPr>
            <w:tcW w:w="1669" w:type="dxa"/>
            <w:tcBorders>
              <w:top w:val="single" w:sz="4" w:space="0" w:color="auto"/>
              <w:bottom w:val="single" w:sz="4" w:space="0" w:color="auto"/>
            </w:tcBorders>
            <w:vAlign w:val="center"/>
          </w:tcPr>
          <w:p w:rsidR="00DA1384" w:rsidRPr="004850F5" w:rsidRDefault="00DA1384" w:rsidP="004850F5">
            <w:pPr>
              <w:pStyle w:val="texto"/>
              <w:spacing w:after="0"/>
              <w:ind w:firstLine="0"/>
              <w:jc w:val="right"/>
              <w:rPr>
                <w:rFonts w:ascii="Arial Narrow" w:hAnsi="Arial Narrow"/>
                <w:sz w:val="20"/>
                <w:szCs w:val="20"/>
              </w:rPr>
            </w:pPr>
            <w:r w:rsidRPr="004850F5">
              <w:rPr>
                <w:rFonts w:ascii="Arial Narrow" w:hAnsi="Arial Narrow"/>
                <w:sz w:val="20"/>
                <w:szCs w:val="20"/>
              </w:rPr>
              <w:t>39</w:t>
            </w:r>
          </w:p>
        </w:tc>
      </w:tr>
      <w:tr w:rsidR="00DA1384" w:rsidRPr="004850F5" w:rsidTr="000A4C01">
        <w:trPr>
          <w:trHeight w:val="284"/>
          <w:jc w:val="center"/>
        </w:trPr>
        <w:tc>
          <w:tcPr>
            <w:tcW w:w="4512" w:type="dxa"/>
            <w:tcBorders>
              <w:top w:val="single" w:sz="4" w:space="0" w:color="auto"/>
              <w:bottom w:val="single" w:sz="4" w:space="0" w:color="auto"/>
            </w:tcBorders>
            <w:shd w:val="clear" w:color="auto" w:fill="A8CBEE" w:themeFill="accent2" w:themeFillTint="66"/>
            <w:vAlign w:val="center"/>
          </w:tcPr>
          <w:p w:rsidR="00DA1384" w:rsidRPr="004850F5" w:rsidRDefault="00DA1384" w:rsidP="00BD6173">
            <w:pPr>
              <w:pStyle w:val="texto"/>
              <w:spacing w:after="0"/>
              <w:ind w:firstLine="0"/>
              <w:rPr>
                <w:rFonts w:ascii="Arial" w:hAnsi="Arial" w:cs="Arial"/>
                <w:sz w:val="18"/>
                <w:szCs w:val="18"/>
              </w:rPr>
            </w:pPr>
            <w:r w:rsidRPr="004850F5">
              <w:rPr>
                <w:rFonts w:ascii="Arial" w:hAnsi="Arial" w:cs="Arial"/>
                <w:sz w:val="18"/>
                <w:szCs w:val="18"/>
              </w:rPr>
              <w:t>Total deuda a 31 de diciembre 2014</w:t>
            </w:r>
          </w:p>
        </w:tc>
        <w:tc>
          <w:tcPr>
            <w:tcW w:w="1340" w:type="dxa"/>
            <w:tcBorders>
              <w:top w:val="single" w:sz="4" w:space="0" w:color="auto"/>
              <w:bottom w:val="single" w:sz="4" w:space="0" w:color="auto"/>
            </w:tcBorders>
            <w:shd w:val="clear" w:color="auto" w:fill="A8CBEE" w:themeFill="accent2" w:themeFillTint="66"/>
            <w:vAlign w:val="center"/>
          </w:tcPr>
          <w:p w:rsidR="00DA1384" w:rsidRPr="004850F5" w:rsidRDefault="00DA1384" w:rsidP="004850F5">
            <w:pPr>
              <w:pStyle w:val="texto"/>
              <w:spacing w:after="0"/>
              <w:ind w:firstLine="0"/>
              <w:jc w:val="right"/>
              <w:rPr>
                <w:rFonts w:ascii="Arial" w:hAnsi="Arial" w:cs="Arial"/>
                <w:sz w:val="18"/>
                <w:szCs w:val="18"/>
              </w:rPr>
            </w:pPr>
            <w:r w:rsidRPr="004850F5">
              <w:rPr>
                <w:rFonts w:ascii="Arial" w:hAnsi="Arial" w:cs="Arial"/>
                <w:sz w:val="18"/>
                <w:szCs w:val="18"/>
              </w:rPr>
              <w:t>2.415</w:t>
            </w:r>
          </w:p>
        </w:tc>
        <w:tc>
          <w:tcPr>
            <w:tcW w:w="1275" w:type="dxa"/>
            <w:tcBorders>
              <w:top w:val="single" w:sz="4" w:space="0" w:color="auto"/>
              <w:bottom w:val="single" w:sz="4" w:space="0" w:color="auto"/>
            </w:tcBorders>
            <w:shd w:val="clear" w:color="auto" w:fill="A8CBEE" w:themeFill="accent2" w:themeFillTint="66"/>
            <w:vAlign w:val="center"/>
          </w:tcPr>
          <w:p w:rsidR="00DA1384" w:rsidRPr="004850F5" w:rsidRDefault="00DA1384" w:rsidP="004850F5">
            <w:pPr>
              <w:pStyle w:val="texto"/>
              <w:spacing w:after="0"/>
              <w:ind w:firstLine="0"/>
              <w:jc w:val="right"/>
              <w:rPr>
                <w:rFonts w:ascii="Arial" w:hAnsi="Arial" w:cs="Arial"/>
                <w:sz w:val="18"/>
                <w:szCs w:val="18"/>
              </w:rPr>
            </w:pPr>
            <w:r w:rsidRPr="004850F5">
              <w:rPr>
                <w:rFonts w:ascii="Arial" w:hAnsi="Arial" w:cs="Arial"/>
                <w:sz w:val="18"/>
                <w:szCs w:val="18"/>
              </w:rPr>
              <w:t>177</w:t>
            </w:r>
          </w:p>
        </w:tc>
        <w:tc>
          <w:tcPr>
            <w:tcW w:w="1669" w:type="dxa"/>
            <w:tcBorders>
              <w:top w:val="single" w:sz="4" w:space="0" w:color="auto"/>
              <w:bottom w:val="single" w:sz="4" w:space="0" w:color="auto"/>
            </w:tcBorders>
            <w:shd w:val="clear" w:color="auto" w:fill="A8CBEE" w:themeFill="accent2" w:themeFillTint="66"/>
            <w:vAlign w:val="center"/>
          </w:tcPr>
          <w:p w:rsidR="00DA1384" w:rsidRPr="004850F5" w:rsidRDefault="00DA1384" w:rsidP="004850F5">
            <w:pPr>
              <w:pStyle w:val="texto"/>
              <w:spacing w:after="0"/>
              <w:ind w:firstLine="0"/>
              <w:jc w:val="right"/>
              <w:rPr>
                <w:rFonts w:ascii="Arial" w:hAnsi="Arial" w:cs="Arial"/>
                <w:sz w:val="18"/>
                <w:szCs w:val="18"/>
              </w:rPr>
            </w:pPr>
            <w:r w:rsidRPr="004850F5">
              <w:rPr>
                <w:rFonts w:ascii="Arial" w:hAnsi="Arial" w:cs="Arial"/>
                <w:sz w:val="18"/>
                <w:szCs w:val="18"/>
              </w:rPr>
              <w:t>2.592</w:t>
            </w:r>
          </w:p>
        </w:tc>
      </w:tr>
    </w:tbl>
    <w:p w:rsidR="00DA1384" w:rsidRPr="006208EB" w:rsidRDefault="00DA1384" w:rsidP="009C554D">
      <w:pPr>
        <w:pStyle w:val="texto"/>
        <w:tabs>
          <w:tab w:val="clear" w:pos="2835"/>
          <w:tab w:val="clear" w:pos="3969"/>
          <w:tab w:val="clear" w:pos="5103"/>
          <w:tab w:val="clear" w:pos="6237"/>
          <w:tab w:val="clear" w:pos="7371"/>
          <w:tab w:val="left" w:pos="480"/>
          <w:tab w:val="num" w:pos="928"/>
          <w:tab w:val="num" w:pos="6597"/>
        </w:tabs>
        <w:spacing w:after="0"/>
        <w:ind w:firstLine="0"/>
        <w:rPr>
          <w:szCs w:val="26"/>
        </w:rPr>
      </w:pPr>
    </w:p>
    <w:p w:rsidR="006E2879" w:rsidRDefault="00F84229"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Si bien el saldo de tesorería en 2014 se ha reducido frente al de 2013 en un 14 por ciento </w:t>
      </w:r>
      <w:r w:rsidR="009C554D">
        <w:rPr>
          <w:szCs w:val="26"/>
        </w:rPr>
        <w:t>–</w:t>
      </w:r>
      <w:r>
        <w:rPr>
          <w:szCs w:val="26"/>
        </w:rPr>
        <w:t>0,6 millones</w:t>
      </w:r>
      <w:r w:rsidR="009C554D">
        <w:rPr>
          <w:szCs w:val="26"/>
        </w:rPr>
        <w:t>–</w:t>
      </w:r>
      <w:r>
        <w:rPr>
          <w:szCs w:val="26"/>
        </w:rPr>
        <w:t xml:space="preserve">, las inversiones financieras temporales </w:t>
      </w:r>
      <w:r w:rsidR="009C554D">
        <w:rPr>
          <w:szCs w:val="26"/>
        </w:rPr>
        <w:t>–</w:t>
      </w:r>
      <w:r w:rsidR="00513C54">
        <w:rPr>
          <w:szCs w:val="26"/>
        </w:rPr>
        <w:t>imposiciones a corto plazo</w:t>
      </w:r>
      <w:r w:rsidR="009C554D">
        <w:rPr>
          <w:szCs w:val="26"/>
        </w:rPr>
        <w:t>–</w:t>
      </w:r>
      <w:r>
        <w:rPr>
          <w:szCs w:val="26"/>
        </w:rPr>
        <w:t xml:space="preserve"> han aumentado en un 44 por ciento –</w:t>
      </w:r>
      <w:r w:rsidR="00513C54">
        <w:rPr>
          <w:szCs w:val="26"/>
        </w:rPr>
        <w:t>3,5</w:t>
      </w:r>
      <w:r>
        <w:rPr>
          <w:szCs w:val="26"/>
        </w:rPr>
        <w:t xml:space="preserve"> millones más</w:t>
      </w:r>
      <w:r w:rsidR="009C554D">
        <w:rPr>
          <w:szCs w:val="26"/>
        </w:rPr>
        <w:t>–</w:t>
      </w:r>
      <w:r>
        <w:rPr>
          <w:szCs w:val="26"/>
        </w:rPr>
        <w:t>. El Fondo de maniobra también se ha mejorado en un 12 por c</w:t>
      </w:r>
      <w:r w:rsidR="005543D1">
        <w:rPr>
          <w:szCs w:val="26"/>
        </w:rPr>
        <w:t>ie</w:t>
      </w:r>
      <w:r>
        <w:rPr>
          <w:szCs w:val="26"/>
        </w:rPr>
        <w:t>nto, s</w:t>
      </w:r>
      <w:r>
        <w:rPr>
          <w:szCs w:val="26"/>
        </w:rPr>
        <w:t>i</w:t>
      </w:r>
      <w:r>
        <w:rPr>
          <w:szCs w:val="26"/>
        </w:rPr>
        <w:t>tuándose en 2014 en prácticamente 13 millones.</w:t>
      </w:r>
      <w:r w:rsidR="007E56ED" w:rsidRPr="007E56ED">
        <w:rPr>
          <w:szCs w:val="26"/>
        </w:rPr>
        <w:t xml:space="preserve"> </w:t>
      </w:r>
    </w:p>
    <w:p w:rsidR="009C554D" w:rsidRDefault="009C554D" w:rsidP="008E7D7B">
      <w:pPr>
        <w:pStyle w:val="texto"/>
        <w:tabs>
          <w:tab w:val="clear" w:pos="2835"/>
          <w:tab w:val="clear" w:pos="3969"/>
          <w:tab w:val="clear" w:pos="5103"/>
          <w:tab w:val="clear" w:pos="6237"/>
          <w:tab w:val="clear" w:pos="7371"/>
          <w:tab w:val="num" w:pos="300"/>
          <w:tab w:val="num" w:pos="720"/>
        </w:tabs>
        <w:ind w:firstLine="0"/>
        <w:rPr>
          <w:szCs w:val="26"/>
        </w:rPr>
      </w:pPr>
    </w:p>
    <w:p w:rsidR="007B1EBB" w:rsidRDefault="007B1EBB" w:rsidP="008E7D7B">
      <w:pPr>
        <w:pStyle w:val="texto"/>
        <w:tabs>
          <w:tab w:val="clear" w:pos="2835"/>
          <w:tab w:val="clear" w:pos="3969"/>
          <w:tab w:val="clear" w:pos="5103"/>
          <w:tab w:val="clear" w:pos="6237"/>
          <w:tab w:val="clear" w:pos="7371"/>
          <w:tab w:val="num" w:pos="300"/>
          <w:tab w:val="num" w:pos="720"/>
        </w:tabs>
        <w:ind w:firstLine="0"/>
        <w:rPr>
          <w:szCs w:val="26"/>
        </w:rPr>
      </w:pPr>
    </w:p>
    <w:p w:rsidR="00782816" w:rsidRDefault="00591841" w:rsidP="00782816">
      <w:pPr>
        <w:pStyle w:val="texto"/>
        <w:tabs>
          <w:tab w:val="clear" w:pos="2835"/>
          <w:tab w:val="clear" w:pos="3969"/>
          <w:tab w:val="clear" w:pos="5103"/>
          <w:tab w:val="clear" w:pos="6237"/>
          <w:tab w:val="clear" w:pos="7371"/>
          <w:tab w:val="num" w:pos="300"/>
          <w:tab w:val="num" w:pos="720"/>
        </w:tabs>
        <w:rPr>
          <w:szCs w:val="26"/>
        </w:rPr>
      </w:pPr>
      <w:r>
        <w:rPr>
          <w:szCs w:val="26"/>
        </w:rPr>
        <w:lastRenderedPageBreak/>
        <w:t xml:space="preserve">En </w:t>
      </w:r>
      <w:r w:rsidRPr="005543D1">
        <w:rPr>
          <w:b/>
          <w:szCs w:val="26"/>
        </w:rPr>
        <w:t>conclusión</w:t>
      </w:r>
      <w:r>
        <w:rPr>
          <w:szCs w:val="26"/>
        </w:rPr>
        <w:t>, sobre la situación presupuestaria y financiera de la Univers</w:t>
      </w:r>
      <w:r>
        <w:rPr>
          <w:szCs w:val="26"/>
        </w:rPr>
        <w:t>i</w:t>
      </w:r>
      <w:r>
        <w:rPr>
          <w:szCs w:val="26"/>
        </w:rPr>
        <w:t>dad Pública a 31 de diciembre de 2014, señalamos que</w:t>
      </w:r>
      <w:r w:rsidR="00BD19C5">
        <w:rPr>
          <w:szCs w:val="26"/>
        </w:rPr>
        <w:t>,</w:t>
      </w:r>
      <w:r>
        <w:rPr>
          <w:szCs w:val="26"/>
        </w:rPr>
        <w:t xml:space="preserve"> en el actual contexto de una difícil situación económica general, la Universidad ha logrado mantener una saneada situación financiera justificada en</w:t>
      </w:r>
      <w:r w:rsidR="00782816">
        <w:rPr>
          <w:szCs w:val="26"/>
        </w:rPr>
        <w:t>:</w:t>
      </w:r>
      <w:r>
        <w:rPr>
          <w:szCs w:val="26"/>
        </w:rPr>
        <w:t xml:space="preserve"> </w:t>
      </w:r>
    </w:p>
    <w:p w:rsidR="00782816" w:rsidRDefault="00782816"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U</w:t>
      </w:r>
      <w:r w:rsidR="00591841">
        <w:rPr>
          <w:szCs w:val="26"/>
        </w:rPr>
        <w:t xml:space="preserve">na </w:t>
      </w:r>
      <w:r>
        <w:rPr>
          <w:szCs w:val="26"/>
        </w:rPr>
        <w:t>reducción</w:t>
      </w:r>
      <w:r w:rsidR="00591841">
        <w:rPr>
          <w:szCs w:val="26"/>
        </w:rPr>
        <w:t xml:space="preserve"> relevante</w:t>
      </w:r>
      <w:r>
        <w:rPr>
          <w:szCs w:val="26"/>
        </w:rPr>
        <w:t xml:space="preserve"> de sus gastos; así, </w:t>
      </w:r>
      <w:r w:rsidR="0047774A">
        <w:rPr>
          <w:szCs w:val="26"/>
        </w:rPr>
        <w:t>desde</w:t>
      </w:r>
      <w:r w:rsidR="00591841">
        <w:rPr>
          <w:szCs w:val="26"/>
        </w:rPr>
        <w:t xml:space="preserve"> 2009, ha reducido sus gastos</w:t>
      </w:r>
      <w:r w:rsidR="00332DC1">
        <w:rPr>
          <w:szCs w:val="26"/>
        </w:rPr>
        <w:t xml:space="preserve"> globalmente</w:t>
      </w:r>
      <w:r w:rsidR="00591841">
        <w:rPr>
          <w:szCs w:val="26"/>
        </w:rPr>
        <w:t xml:space="preserve"> en 11 millones</w:t>
      </w:r>
      <w:r>
        <w:rPr>
          <w:szCs w:val="26"/>
        </w:rPr>
        <w:t>, especialmente los de funcionamiento e i</w:t>
      </w:r>
      <w:r>
        <w:rPr>
          <w:szCs w:val="26"/>
        </w:rPr>
        <w:t>n</w:t>
      </w:r>
      <w:r>
        <w:rPr>
          <w:szCs w:val="26"/>
        </w:rPr>
        <w:t>versión.</w:t>
      </w:r>
    </w:p>
    <w:p w:rsidR="00782816" w:rsidRDefault="00591841"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 </w:t>
      </w:r>
      <w:r w:rsidR="00782816">
        <w:rPr>
          <w:szCs w:val="26"/>
        </w:rPr>
        <w:t>Un menor ajuste de sus ingresos; en el mismo periodo</w:t>
      </w:r>
      <w:r w:rsidR="00BD19C5">
        <w:rPr>
          <w:szCs w:val="26"/>
        </w:rPr>
        <w:t xml:space="preserve"> citado</w:t>
      </w:r>
      <w:r w:rsidR="00782816">
        <w:rPr>
          <w:szCs w:val="26"/>
        </w:rPr>
        <w:t xml:space="preserve">, ha reducido sus ingresos en </w:t>
      </w:r>
      <w:r w:rsidR="00BD19C5">
        <w:rPr>
          <w:szCs w:val="26"/>
        </w:rPr>
        <w:t>siete</w:t>
      </w:r>
      <w:r w:rsidR="00782816">
        <w:rPr>
          <w:szCs w:val="26"/>
        </w:rPr>
        <w:t xml:space="preserve"> millones</w:t>
      </w:r>
      <w:r w:rsidR="00BD19C5">
        <w:rPr>
          <w:szCs w:val="26"/>
        </w:rPr>
        <w:t xml:space="preserve">. Esta reducción procede fundamentalmente de la financiación </w:t>
      </w:r>
      <w:r w:rsidR="00782816">
        <w:rPr>
          <w:szCs w:val="26"/>
        </w:rPr>
        <w:t>del conve</w:t>
      </w:r>
      <w:r w:rsidR="00BD19C5">
        <w:rPr>
          <w:szCs w:val="26"/>
        </w:rPr>
        <w:t xml:space="preserve">nio </w:t>
      </w:r>
      <w:r w:rsidR="00782816">
        <w:rPr>
          <w:szCs w:val="26"/>
        </w:rPr>
        <w:t>con el Gobierno de Navarra</w:t>
      </w:r>
      <w:r w:rsidR="00BD19C5">
        <w:rPr>
          <w:szCs w:val="26"/>
        </w:rPr>
        <w:t xml:space="preserve"> y del resto de transf</w:t>
      </w:r>
      <w:r w:rsidR="00BD19C5">
        <w:rPr>
          <w:szCs w:val="26"/>
        </w:rPr>
        <w:t>e</w:t>
      </w:r>
      <w:r w:rsidR="00BD19C5">
        <w:rPr>
          <w:szCs w:val="26"/>
        </w:rPr>
        <w:t>rencias</w:t>
      </w:r>
      <w:r w:rsidR="00782816">
        <w:rPr>
          <w:szCs w:val="26"/>
        </w:rPr>
        <w:t>, que</w:t>
      </w:r>
      <w:r w:rsidR="00BD19C5">
        <w:rPr>
          <w:szCs w:val="26"/>
        </w:rPr>
        <w:t>, parcialmente,</w:t>
      </w:r>
      <w:r w:rsidR="00782816">
        <w:rPr>
          <w:szCs w:val="26"/>
        </w:rPr>
        <w:t xml:space="preserve"> ha compensa</w:t>
      </w:r>
      <w:r w:rsidR="00BD19C5">
        <w:rPr>
          <w:szCs w:val="26"/>
        </w:rPr>
        <w:t xml:space="preserve">do </w:t>
      </w:r>
      <w:r w:rsidR="00782816">
        <w:rPr>
          <w:szCs w:val="26"/>
        </w:rPr>
        <w:t xml:space="preserve">con un aumento </w:t>
      </w:r>
      <w:r w:rsidR="00BD19C5">
        <w:rPr>
          <w:szCs w:val="26"/>
        </w:rPr>
        <w:t>por</w:t>
      </w:r>
      <w:r w:rsidR="00782816">
        <w:rPr>
          <w:szCs w:val="26"/>
        </w:rPr>
        <w:t xml:space="preserve"> tasas y precios públicos.</w:t>
      </w:r>
    </w:p>
    <w:p w:rsidR="00DE14CC" w:rsidRDefault="00DE14CC"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Un remanente de tesorería no afectado positivo y de cuantía </w:t>
      </w:r>
      <w:r w:rsidR="00C42E31">
        <w:rPr>
          <w:szCs w:val="26"/>
        </w:rPr>
        <w:t>significativa</w:t>
      </w:r>
      <w:r>
        <w:rPr>
          <w:szCs w:val="26"/>
        </w:rPr>
        <w:t>.</w:t>
      </w:r>
    </w:p>
    <w:p w:rsidR="001B3BE5" w:rsidRDefault="001B3BE5" w:rsidP="00782816">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Un endeudamiento muy reducido, del que se deriva una mínima carga f</w:t>
      </w:r>
      <w:r>
        <w:rPr>
          <w:szCs w:val="26"/>
        </w:rPr>
        <w:t>i</w:t>
      </w:r>
      <w:r>
        <w:rPr>
          <w:szCs w:val="26"/>
        </w:rPr>
        <w:t>nanciera</w:t>
      </w:r>
      <w:r w:rsidR="00716C1F">
        <w:rPr>
          <w:szCs w:val="26"/>
        </w:rPr>
        <w:t>.</w:t>
      </w:r>
    </w:p>
    <w:p w:rsidR="00C42E31" w:rsidRPr="00C42E31" w:rsidRDefault="001B3BE5" w:rsidP="00C42E3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Una situación de tesorería desahogada.</w:t>
      </w:r>
      <w:r w:rsidR="00C42E31">
        <w:rPr>
          <w:szCs w:val="26"/>
        </w:rPr>
        <w:t xml:space="preserve"> Al respecto, consideramos que</w:t>
      </w:r>
      <w:r w:rsidR="00E5521A">
        <w:rPr>
          <w:szCs w:val="26"/>
        </w:rPr>
        <w:t xml:space="preserve"> una</w:t>
      </w:r>
      <w:r w:rsidR="00C42E31">
        <w:rPr>
          <w:szCs w:val="26"/>
        </w:rPr>
        <w:t xml:space="preserve"> entidad de la naturaleza de la Universidad debe contar con un margen de m</w:t>
      </w:r>
      <w:r w:rsidR="00C42E31">
        <w:rPr>
          <w:szCs w:val="26"/>
        </w:rPr>
        <w:t>a</w:t>
      </w:r>
      <w:r w:rsidR="00C42E31">
        <w:rPr>
          <w:szCs w:val="26"/>
        </w:rPr>
        <w:t>niobra de liquidez suficiente</w:t>
      </w:r>
      <w:r>
        <w:rPr>
          <w:szCs w:val="26"/>
        </w:rPr>
        <w:t xml:space="preserve"> </w:t>
      </w:r>
      <w:r w:rsidR="00C42E31">
        <w:rPr>
          <w:szCs w:val="26"/>
        </w:rPr>
        <w:t>para hacer frente a situaciones no previstas.</w:t>
      </w:r>
    </w:p>
    <w:p w:rsidR="00E04DEF" w:rsidRPr="00D03E5F" w:rsidRDefault="00E04DEF" w:rsidP="00E04DEF">
      <w:pPr>
        <w:pStyle w:val="atitulo3"/>
      </w:pPr>
      <w:r>
        <w:t>IV.</w:t>
      </w:r>
      <w:r w:rsidR="00DD6D5A">
        <w:t>1</w:t>
      </w:r>
      <w:r>
        <w:t>.2. Evolución de indicadores no financieros</w:t>
      </w:r>
    </w:p>
    <w:p w:rsidR="00E04DEF" w:rsidRDefault="00E04DEF" w:rsidP="007B1EBB">
      <w:pPr>
        <w:pStyle w:val="texto"/>
        <w:tabs>
          <w:tab w:val="clear" w:pos="2835"/>
          <w:tab w:val="clear" w:pos="3969"/>
          <w:tab w:val="clear" w:pos="5103"/>
          <w:tab w:val="clear" w:pos="6237"/>
          <w:tab w:val="clear" w:pos="7371"/>
        </w:tabs>
        <w:spacing w:after="0"/>
        <w:rPr>
          <w:szCs w:val="26"/>
        </w:rPr>
      </w:pPr>
      <w:r>
        <w:rPr>
          <w:szCs w:val="26"/>
        </w:rPr>
        <w:t>En el cuadro siguiente mostramos la evolución entre los ejercicios de 2009, 2012 y 2014</w:t>
      </w:r>
      <w:r w:rsidR="00A92E53">
        <w:rPr>
          <w:szCs w:val="26"/>
        </w:rPr>
        <w:t xml:space="preserve"> (</w:t>
      </w:r>
      <w:r>
        <w:rPr>
          <w:szCs w:val="26"/>
        </w:rPr>
        <w:t>o cursos 2009/10, 2012/13 y 2014/15) de un conjunto de indic</w:t>
      </w:r>
      <w:r>
        <w:rPr>
          <w:szCs w:val="26"/>
        </w:rPr>
        <w:t>a</w:t>
      </w:r>
      <w:r>
        <w:rPr>
          <w:szCs w:val="26"/>
        </w:rPr>
        <w:t>dores de naturaleza no financiera.</w:t>
      </w:r>
    </w:p>
    <w:tbl>
      <w:tblPr>
        <w:tblpPr w:leftFromText="141" w:rightFromText="141" w:vertAnchor="text" w:horzAnchor="margin" w:tblpXSpec="center" w:tblpY="362"/>
        <w:tblW w:w="8859" w:type="dxa"/>
        <w:tblCellMar>
          <w:left w:w="70" w:type="dxa"/>
          <w:right w:w="70" w:type="dxa"/>
        </w:tblCellMar>
        <w:tblLook w:val="0000" w:firstRow="0" w:lastRow="0" w:firstColumn="0" w:lastColumn="0" w:noHBand="0" w:noVBand="0"/>
      </w:tblPr>
      <w:tblGrid>
        <w:gridCol w:w="4323"/>
        <w:gridCol w:w="1540"/>
        <w:gridCol w:w="1578"/>
        <w:gridCol w:w="1418"/>
      </w:tblGrid>
      <w:tr w:rsidR="00E04DEF" w:rsidRPr="008B51AD" w:rsidTr="000A4C01">
        <w:trPr>
          <w:trHeight w:val="284"/>
        </w:trPr>
        <w:tc>
          <w:tcPr>
            <w:tcW w:w="4323" w:type="dxa"/>
            <w:tcBorders>
              <w:top w:val="single" w:sz="4" w:space="0" w:color="auto"/>
              <w:bottom w:val="single" w:sz="4" w:space="0" w:color="auto"/>
            </w:tcBorders>
            <w:shd w:val="clear" w:color="auto" w:fill="A8CBEE" w:themeFill="accent2" w:themeFillTint="66"/>
            <w:noWrap/>
            <w:vAlign w:val="center"/>
          </w:tcPr>
          <w:p w:rsidR="00E04DEF" w:rsidRPr="008B51AD" w:rsidRDefault="00E04DEF" w:rsidP="002338F8">
            <w:pPr>
              <w:pStyle w:val="cuadroCabe"/>
              <w:rPr>
                <w:lang w:val="es-ES" w:eastAsia="es-ES"/>
              </w:rPr>
            </w:pPr>
            <w:r>
              <w:rPr>
                <w:lang w:val="es-ES" w:eastAsia="es-ES"/>
              </w:rPr>
              <w:t>Información no financiera</w:t>
            </w:r>
            <w:r w:rsidR="002338F8">
              <w:rPr>
                <w:lang w:val="es-ES" w:eastAsia="es-ES"/>
              </w:rPr>
              <w:t xml:space="preserve"> </w:t>
            </w:r>
          </w:p>
        </w:tc>
        <w:tc>
          <w:tcPr>
            <w:tcW w:w="1540" w:type="dxa"/>
            <w:tcBorders>
              <w:top w:val="single" w:sz="4" w:space="0" w:color="auto"/>
              <w:bottom w:val="single" w:sz="4" w:space="0" w:color="auto"/>
            </w:tcBorders>
            <w:shd w:val="clear" w:color="auto" w:fill="A8CBEE" w:themeFill="accent2" w:themeFillTint="66"/>
            <w:noWrap/>
            <w:vAlign w:val="center"/>
          </w:tcPr>
          <w:p w:rsidR="00E04DEF" w:rsidRDefault="00E04DEF" w:rsidP="009C554D">
            <w:pPr>
              <w:pStyle w:val="cuadroCabe"/>
              <w:jc w:val="right"/>
              <w:rPr>
                <w:lang w:val="es-ES" w:eastAsia="es-ES"/>
              </w:rPr>
            </w:pPr>
            <w:r w:rsidRPr="008B51AD">
              <w:rPr>
                <w:lang w:val="es-ES" w:eastAsia="es-ES"/>
              </w:rPr>
              <w:t>2009</w:t>
            </w:r>
            <w:r w:rsidR="00AF2F5F">
              <w:rPr>
                <w:lang w:val="es-ES" w:eastAsia="es-ES"/>
              </w:rPr>
              <w:t>/</w:t>
            </w:r>
            <w:r>
              <w:rPr>
                <w:lang w:val="es-ES" w:eastAsia="es-ES"/>
              </w:rPr>
              <w:t xml:space="preserve"> </w:t>
            </w:r>
          </w:p>
          <w:p w:rsidR="00E04DEF" w:rsidRPr="008B51AD" w:rsidRDefault="00AF2F5F" w:rsidP="009C554D">
            <w:pPr>
              <w:pStyle w:val="cuadroCabe"/>
              <w:jc w:val="right"/>
              <w:rPr>
                <w:lang w:val="es-ES" w:eastAsia="es-ES"/>
              </w:rPr>
            </w:pPr>
            <w:r>
              <w:rPr>
                <w:lang w:val="es-ES" w:eastAsia="es-ES"/>
              </w:rPr>
              <w:t>c</w:t>
            </w:r>
            <w:r w:rsidR="00E04DEF">
              <w:rPr>
                <w:lang w:val="es-ES" w:eastAsia="es-ES"/>
              </w:rPr>
              <w:t>urso 2009</w:t>
            </w:r>
            <w:r>
              <w:rPr>
                <w:lang w:val="es-ES" w:eastAsia="es-ES"/>
              </w:rPr>
              <w:t>-</w:t>
            </w:r>
            <w:r w:rsidR="00E04DEF">
              <w:rPr>
                <w:lang w:val="es-ES" w:eastAsia="es-ES"/>
              </w:rPr>
              <w:t>10</w:t>
            </w:r>
          </w:p>
        </w:tc>
        <w:tc>
          <w:tcPr>
            <w:tcW w:w="1578" w:type="dxa"/>
            <w:tcBorders>
              <w:top w:val="single" w:sz="4" w:space="0" w:color="auto"/>
              <w:bottom w:val="single" w:sz="4" w:space="0" w:color="auto"/>
            </w:tcBorders>
            <w:shd w:val="clear" w:color="auto" w:fill="A8CBEE" w:themeFill="accent2" w:themeFillTint="66"/>
            <w:noWrap/>
            <w:vAlign w:val="center"/>
          </w:tcPr>
          <w:p w:rsidR="001761C3" w:rsidRDefault="00E04DEF" w:rsidP="009C554D">
            <w:pPr>
              <w:pStyle w:val="cuadroCabe"/>
              <w:jc w:val="right"/>
              <w:rPr>
                <w:lang w:val="es-ES" w:eastAsia="es-ES"/>
              </w:rPr>
            </w:pPr>
            <w:r w:rsidRPr="008B51AD">
              <w:rPr>
                <w:lang w:val="es-ES" w:eastAsia="es-ES"/>
              </w:rPr>
              <w:t>2012</w:t>
            </w:r>
            <w:r w:rsidR="00AF2F5F">
              <w:rPr>
                <w:lang w:val="es-ES" w:eastAsia="es-ES"/>
              </w:rPr>
              <w:t>/</w:t>
            </w:r>
            <w:r>
              <w:rPr>
                <w:lang w:val="es-ES" w:eastAsia="es-ES"/>
              </w:rPr>
              <w:t xml:space="preserve"> </w:t>
            </w:r>
          </w:p>
          <w:p w:rsidR="00E04DEF" w:rsidRPr="008B51AD" w:rsidRDefault="00AF2F5F" w:rsidP="009C554D">
            <w:pPr>
              <w:pStyle w:val="cuadroCabe"/>
              <w:jc w:val="right"/>
              <w:rPr>
                <w:lang w:val="es-ES" w:eastAsia="es-ES"/>
              </w:rPr>
            </w:pPr>
            <w:r>
              <w:rPr>
                <w:lang w:val="es-ES" w:eastAsia="es-ES"/>
              </w:rPr>
              <w:t>c</w:t>
            </w:r>
            <w:r w:rsidR="00E04DEF">
              <w:rPr>
                <w:lang w:val="es-ES" w:eastAsia="es-ES"/>
              </w:rPr>
              <w:t>urso 2012</w:t>
            </w:r>
            <w:r>
              <w:rPr>
                <w:lang w:val="es-ES" w:eastAsia="es-ES"/>
              </w:rPr>
              <w:t>-</w:t>
            </w:r>
            <w:r w:rsidR="00E04DEF">
              <w:rPr>
                <w:lang w:val="es-ES" w:eastAsia="es-ES"/>
              </w:rPr>
              <w:t>13</w:t>
            </w:r>
          </w:p>
        </w:tc>
        <w:tc>
          <w:tcPr>
            <w:tcW w:w="1418" w:type="dxa"/>
            <w:tcBorders>
              <w:top w:val="single" w:sz="4" w:space="0" w:color="auto"/>
              <w:bottom w:val="single" w:sz="4" w:space="0" w:color="auto"/>
            </w:tcBorders>
            <w:shd w:val="clear" w:color="auto" w:fill="A8CBEE" w:themeFill="accent2" w:themeFillTint="66"/>
            <w:vAlign w:val="center"/>
          </w:tcPr>
          <w:p w:rsidR="00E04DEF" w:rsidRDefault="00E04DEF" w:rsidP="009C554D">
            <w:pPr>
              <w:pStyle w:val="cuadroCabe"/>
              <w:jc w:val="right"/>
              <w:rPr>
                <w:lang w:val="es-ES" w:eastAsia="es-ES"/>
              </w:rPr>
            </w:pPr>
            <w:r>
              <w:rPr>
                <w:lang w:val="es-ES" w:eastAsia="es-ES"/>
              </w:rPr>
              <w:t>2014</w:t>
            </w:r>
            <w:r w:rsidR="00AF2F5F">
              <w:rPr>
                <w:lang w:val="es-ES" w:eastAsia="es-ES"/>
              </w:rPr>
              <w:t>/</w:t>
            </w:r>
          </w:p>
          <w:p w:rsidR="00E04DEF" w:rsidRPr="008B51AD" w:rsidRDefault="00AF2F5F" w:rsidP="009C554D">
            <w:pPr>
              <w:pStyle w:val="cuadroCabe"/>
              <w:jc w:val="right"/>
              <w:rPr>
                <w:lang w:val="es-ES" w:eastAsia="es-ES"/>
              </w:rPr>
            </w:pPr>
            <w:r>
              <w:rPr>
                <w:lang w:val="es-ES" w:eastAsia="es-ES"/>
              </w:rPr>
              <w:t>c</w:t>
            </w:r>
            <w:r w:rsidR="00E04DEF">
              <w:rPr>
                <w:lang w:val="es-ES" w:eastAsia="es-ES"/>
              </w:rPr>
              <w:t>urso 2014</w:t>
            </w:r>
            <w:r>
              <w:rPr>
                <w:lang w:val="es-ES" w:eastAsia="es-ES"/>
              </w:rPr>
              <w:t>-</w:t>
            </w:r>
            <w:r w:rsidR="00E04DEF">
              <w:rPr>
                <w:lang w:val="es-ES" w:eastAsia="es-ES"/>
              </w:rPr>
              <w:t>15</w:t>
            </w:r>
          </w:p>
        </w:tc>
      </w:tr>
      <w:tr w:rsidR="008C401B" w:rsidRPr="0047774A" w:rsidTr="009C554D">
        <w:trPr>
          <w:trHeight w:val="284"/>
        </w:trPr>
        <w:tc>
          <w:tcPr>
            <w:tcW w:w="4323" w:type="dxa"/>
            <w:tcBorders>
              <w:top w:val="single" w:sz="2" w:space="0" w:color="auto"/>
              <w:bottom w:val="single" w:sz="2" w:space="0" w:color="auto"/>
            </w:tcBorders>
            <w:shd w:val="clear" w:color="auto" w:fill="auto"/>
            <w:noWrap/>
            <w:vAlign w:val="center"/>
          </w:tcPr>
          <w:p w:rsidR="008C401B" w:rsidRPr="00697911" w:rsidRDefault="008C401B" w:rsidP="00976679">
            <w:pPr>
              <w:pStyle w:val="texto"/>
              <w:spacing w:after="0"/>
              <w:ind w:firstLine="0"/>
              <w:rPr>
                <w:rFonts w:ascii="Arial Narrow" w:hAnsi="Arial Narrow"/>
                <w:b/>
                <w:sz w:val="20"/>
                <w:szCs w:val="20"/>
              </w:rPr>
            </w:pPr>
            <w:r w:rsidRPr="00697911">
              <w:rPr>
                <w:rFonts w:ascii="Arial Narrow" w:hAnsi="Arial Narrow"/>
                <w:b/>
                <w:sz w:val="20"/>
                <w:szCs w:val="20"/>
              </w:rPr>
              <w:t>Campus</w:t>
            </w:r>
          </w:p>
        </w:tc>
        <w:tc>
          <w:tcPr>
            <w:tcW w:w="1540" w:type="dxa"/>
            <w:tcBorders>
              <w:top w:val="single" w:sz="2" w:space="0" w:color="auto"/>
              <w:bottom w:val="single" w:sz="2" w:space="0" w:color="auto"/>
            </w:tcBorders>
            <w:shd w:val="clear" w:color="auto" w:fill="auto"/>
            <w:noWrap/>
            <w:vAlign w:val="center"/>
          </w:tcPr>
          <w:p w:rsidR="008C401B" w:rsidRPr="00697911" w:rsidRDefault="008C401B" w:rsidP="009C554D">
            <w:pPr>
              <w:pStyle w:val="texto"/>
              <w:spacing w:after="0"/>
              <w:ind w:firstLine="0"/>
              <w:jc w:val="right"/>
              <w:rPr>
                <w:rFonts w:ascii="Arial Narrow" w:hAnsi="Arial Narrow"/>
                <w:b/>
                <w:sz w:val="20"/>
                <w:szCs w:val="20"/>
              </w:rPr>
            </w:pPr>
            <w:r w:rsidRPr="00697911">
              <w:rPr>
                <w:rFonts w:ascii="Arial Narrow" w:hAnsi="Arial Narrow"/>
                <w:b/>
                <w:sz w:val="20"/>
                <w:szCs w:val="20"/>
              </w:rPr>
              <w:t>2</w:t>
            </w:r>
          </w:p>
        </w:tc>
        <w:tc>
          <w:tcPr>
            <w:tcW w:w="1578" w:type="dxa"/>
            <w:tcBorders>
              <w:top w:val="single" w:sz="2" w:space="0" w:color="auto"/>
              <w:bottom w:val="single" w:sz="2" w:space="0" w:color="auto"/>
            </w:tcBorders>
            <w:vAlign w:val="center"/>
          </w:tcPr>
          <w:p w:rsidR="008C401B" w:rsidRPr="00697911" w:rsidRDefault="008C401B" w:rsidP="009C554D">
            <w:pPr>
              <w:pStyle w:val="texto"/>
              <w:spacing w:after="0"/>
              <w:ind w:firstLine="0"/>
              <w:jc w:val="right"/>
              <w:rPr>
                <w:rFonts w:ascii="Arial Narrow" w:hAnsi="Arial Narrow"/>
                <w:b/>
                <w:sz w:val="20"/>
                <w:szCs w:val="20"/>
              </w:rPr>
            </w:pPr>
            <w:r w:rsidRPr="00697911">
              <w:rPr>
                <w:rFonts w:ascii="Arial Narrow" w:hAnsi="Arial Narrow"/>
                <w:b/>
                <w:sz w:val="20"/>
                <w:szCs w:val="20"/>
              </w:rPr>
              <w:t>2</w:t>
            </w:r>
          </w:p>
        </w:tc>
        <w:tc>
          <w:tcPr>
            <w:tcW w:w="1418" w:type="dxa"/>
            <w:tcBorders>
              <w:top w:val="single" w:sz="2" w:space="0" w:color="auto"/>
              <w:bottom w:val="single" w:sz="2" w:space="0" w:color="auto"/>
            </w:tcBorders>
            <w:vAlign w:val="center"/>
          </w:tcPr>
          <w:p w:rsidR="008C401B" w:rsidRPr="00697911" w:rsidRDefault="008C401B" w:rsidP="009C554D">
            <w:pPr>
              <w:pStyle w:val="texto"/>
              <w:spacing w:after="0"/>
              <w:ind w:firstLine="0"/>
              <w:jc w:val="right"/>
              <w:rPr>
                <w:rFonts w:ascii="Arial Narrow" w:hAnsi="Arial Narrow"/>
                <w:b/>
                <w:sz w:val="20"/>
                <w:szCs w:val="20"/>
              </w:rPr>
            </w:pPr>
            <w:r w:rsidRPr="00697911">
              <w:rPr>
                <w:rFonts w:ascii="Arial Narrow" w:hAnsi="Arial Narrow"/>
                <w:b/>
                <w:sz w:val="20"/>
                <w:szCs w:val="20"/>
              </w:rPr>
              <w:t>2</w:t>
            </w: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tabs>
                <w:tab w:val="clear" w:pos="7371"/>
                <w:tab w:val="center" w:pos="7088"/>
              </w:tabs>
              <w:spacing w:after="0"/>
              <w:ind w:firstLine="0"/>
              <w:rPr>
                <w:rFonts w:ascii="Arial Narrow" w:hAnsi="Arial Narrow"/>
                <w:b/>
                <w:sz w:val="20"/>
                <w:szCs w:val="20"/>
              </w:rPr>
            </w:pPr>
            <w:r w:rsidRPr="009C554D">
              <w:rPr>
                <w:rFonts w:ascii="Arial Narrow" w:hAnsi="Arial Narrow"/>
                <w:b/>
                <w:sz w:val="20"/>
                <w:szCs w:val="20"/>
              </w:rPr>
              <w:t>Empleados</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spacing w:after="0"/>
              <w:ind w:firstLine="0"/>
              <w:rPr>
                <w:rFonts w:ascii="Arial Narrow" w:hAnsi="Arial Narrow"/>
                <w:sz w:val="20"/>
                <w:szCs w:val="20"/>
              </w:rPr>
            </w:pPr>
            <w:r w:rsidRPr="009C554D">
              <w:rPr>
                <w:rFonts w:ascii="Arial Narrow" w:hAnsi="Arial Narrow"/>
                <w:sz w:val="20"/>
                <w:szCs w:val="20"/>
              </w:rPr>
              <w:t xml:space="preserve">Número total de empleados </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1.416</w:t>
            </w: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1.361</w:t>
            </w: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1.329</w:t>
            </w: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spacing w:after="0"/>
              <w:ind w:firstLine="0"/>
              <w:rPr>
                <w:rFonts w:ascii="Arial Narrow" w:hAnsi="Arial Narrow"/>
                <w:sz w:val="20"/>
                <w:szCs w:val="20"/>
              </w:rPr>
            </w:pPr>
            <w:r w:rsidRPr="009C554D">
              <w:rPr>
                <w:rFonts w:ascii="Arial Narrow" w:hAnsi="Arial Narrow"/>
                <w:sz w:val="20"/>
                <w:szCs w:val="20"/>
              </w:rPr>
              <w:t xml:space="preserve">Nº </w:t>
            </w:r>
            <w:r w:rsidR="00357AF8" w:rsidRPr="009C554D">
              <w:rPr>
                <w:rFonts w:ascii="Arial Narrow" w:hAnsi="Arial Narrow"/>
                <w:sz w:val="20"/>
                <w:szCs w:val="20"/>
              </w:rPr>
              <w:t xml:space="preserve">total </w:t>
            </w:r>
            <w:r w:rsidRPr="009C554D">
              <w:rPr>
                <w:rFonts w:ascii="Arial Narrow" w:hAnsi="Arial Narrow"/>
                <w:sz w:val="20"/>
                <w:szCs w:val="20"/>
              </w:rPr>
              <w:t>PAS</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496</w:t>
            </w: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483</w:t>
            </w: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473</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FA2CA8" w:rsidP="00FA2CA8">
            <w:pPr>
              <w:pStyle w:val="texto"/>
              <w:spacing w:after="0"/>
              <w:ind w:firstLine="0"/>
              <w:rPr>
                <w:rFonts w:ascii="Arial Narrow" w:hAnsi="Arial Narrow"/>
                <w:sz w:val="20"/>
                <w:szCs w:val="20"/>
              </w:rPr>
            </w:pPr>
            <w:r w:rsidRPr="009C554D">
              <w:rPr>
                <w:rFonts w:ascii="Arial Narrow" w:hAnsi="Arial Narrow"/>
                <w:sz w:val="20"/>
                <w:szCs w:val="20"/>
              </w:rPr>
              <w:t xml:space="preserve">Ratio </w:t>
            </w:r>
            <w:r w:rsidR="00357AF8" w:rsidRPr="009C554D">
              <w:rPr>
                <w:rFonts w:ascii="Arial Narrow" w:hAnsi="Arial Narrow"/>
                <w:sz w:val="20"/>
                <w:szCs w:val="20"/>
              </w:rPr>
              <w:t>PAS funcionario sobre total PAS</w:t>
            </w:r>
          </w:p>
        </w:tc>
        <w:tc>
          <w:tcPr>
            <w:tcW w:w="1540"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69</w:t>
            </w:r>
          </w:p>
        </w:tc>
        <w:tc>
          <w:tcPr>
            <w:tcW w:w="1578"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70</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72</w:t>
            </w:r>
          </w:p>
        </w:tc>
      </w:tr>
      <w:tr w:rsidR="00840ACA"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840ACA" w:rsidRPr="009C554D" w:rsidRDefault="00840ACA" w:rsidP="00840ACA">
            <w:pPr>
              <w:pStyle w:val="texto"/>
              <w:spacing w:after="0"/>
              <w:ind w:firstLine="0"/>
              <w:rPr>
                <w:rFonts w:ascii="Arial Narrow" w:hAnsi="Arial Narrow"/>
                <w:sz w:val="20"/>
                <w:szCs w:val="20"/>
              </w:rPr>
            </w:pPr>
            <w:r w:rsidRPr="009C554D">
              <w:rPr>
                <w:rFonts w:ascii="Arial Narrow" w:hAnsi="Arial Narrow"/>
                <w:sz w:val="20"/>
                <w:szCs w:val="20"/>
              </w:rPr>
              <w:t xml:space="preserve">Nº </w:t>
            </w:r>
            <w:r w:rsidR="00357AF8" w:rsidRPr="009C554D">
              <w:rPr>
                <w:rFonts w:ascii="Arial Narrow" w:hAnsi="Arial Narrow"/>
                <w:sz w:val="20"/>
                <w:szCs w:val="20"/>
              </w:rPr>
              <w:t xml:space="preserve">total </w:t>
            </w:r>
            <w:r w:rsidRPr="009C554D">
              <w:rPr>
                <w:rFonts w:ascii="Arial Narrow" w:hAnsi="Arial Narrow"/>
                <w:sz w:val="20"/>
                <w:szCs w:val="20"/>
              </w:rPr>
              <w:t>PDI</w:t>
            </w:r>
          </w:p>
        </w:tc>
        <w:tc>
          <w:tcPr>
            <w:tcW w:w="1540"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920</w:t>
            </w:r>
          </w:p>
        </w:tc>
        <w:tc>
          <w:tcPr>
            <w:tcW w:w="1578" w:type="dxa"/>
            <w:tcBorders>
              <w:top w:val="single" w:sz="2" w:space="0" w:color="auto"/>
              <w:bottom w:val="single" w:sz="2" w:space="0" w:color="auto"/>
            </w:tcBorders>
            <w:shd w:val="clear" w:color="auto" w:fill="auto"/>
            <w:noWrap/>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878</w:t>
            </w:r>
          </w:p>
        </w:tc>
        <w:tc>
          <w:tcPr>
            <w:tcW w:w="1418" w:type="dxa"/>
            <w:tcBorders>
              <w:top w:val="single" w:sz="2" w:space="0" w:color="auto"/>
              <w:bottom w:val="single" w:sz="2" w:space="0" w:color="auto"/>
            </w:tcBorders>
            <w:vAlign w:val="center"/>
          </w:tcPr>
          <w:p w:rsidR="00840ACA" w:rsidRPr="009C554D" w:rsidRDefault="00840ACA" w:rsidP="009C554D">
            <w:pPr>
              <w:pStyle w:val="texto"/>
              <w:spacing w:after="0"/>
              <w:ind w:firstLine="0"/>
              <w:jc w:val="right"/>
              <w:rPr>
                <w:rFonts w:ascii="Arial Narrow" w:hAnsi="Arial Narrow"/>
                <w:sz w:val="20"/>
                <w:szCs w:val="20"/>
              </w:rPr>
            </w:pPr>
            <w:r w:rsidRPr="009C554D">
              <w:rPr>
                <w:rFonts w:ascii="Arial Narrow" w:hAnsi="Arial Narrow"/>
                <w:sz w:val="20"/>
                <w:szCs w:val="20"/>
              </w:rPr>
              <w:t>856</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FA2CA8" w:rsidP="00FA2CA8">
            <w:pPr>
              <w:pStyle w:val="texto"/>
              <w:spacing w:after="0"/>
              <w:ind w:firstLine="0"/>
              <w:rPr>
                <w:rFonts w:ascii="Arial Narrow" w:hAnsi="Arial Narrow"/>
                <w:sz w:val="20"/>
                <w:szCs w:val="20"/>
              </w:rPr>
            </w:pPr>
            <w:r w:rsidRPr="009C554D">
              <w:rPr>
                <w:rFonts w:ascii="Arial Narrow" w:hAnsi="Arial Narrow"/>
                <w:sz w:val="20"/>
                <w:szCs w:val="20"/>
              </w:rPr>
              <w:t>Ratio</w:t>
            </w:r>
            <w:r w:rsidR="00357AF8" w:rsidRPr="009C554D">
              <w:rPr>
                <w:rFonts w:ascii="Arial Narrow" w:hAnsi="Arial Narrow"/>
                <w:sz w:val="20"/>
                <w:szCs w:val="20"/>
              </w:rPr>
              <w:t xml:space="preserve"> PDI funcionario sobre total PDI</w:t>
            </w:r>
          </w:p>
        </w:tc>
        <w:tc>
          <w:tcPr>
            <w:tcW w:w="1540"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40</w:t>
            </w:r>
          </w:p>
        </w:tc>
        <w:tc>
          <w:tcPr>
            <w:tcW w:w="1578"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40</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40</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357AF8" w:rsidP="00357AF8">
            <w:pPr>
              <w:pStyle w:val="texto"/>
              <w:spacing w:after="0"/>
              <w:ind w:firstLine="0"/>
              <w:rPr>
                <w:rFonts w:ascii="Arial Narrow" w:hAnsi="Arial Narrow"/>
                <w:sz w:val="20"/>
                <w:szCs w:val="20"/>
              </w:rPr>
            </w:pPr>
            <w:r w:rsidRPr="009C554D">
              <w:rPr>
                <w:rFonts w:ascii="Arial Narrow" w:hAnsi="Arial Narrow"/>
                <w:sz w:val="20"/>
                <w:szCs w:val="20"/>
              </w:rPr>
              <w:t xml:space="preserve">Nº total PDI-ETC </w:t>
            </w:r>
          </w:p>
        </w:tc>
        <w:tc>
          <w:tcPr>
            <w:tcW w:w="1540"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618</w:t>
            </w:r>
          </w:p>
        </w:tc>
        <w:tc>
          <w:tcPr>
            <w:tcW w:w="1578" w:type="dxa"/>
            <w:tcBorders>
              <w:top w:val="single" w:sz="2" w:space="0" w:color="auto"/>
              <w:bottom w:val="single" w:sz="2" w:space="0" w:color="auto"/>
            </w:tcBorders>
            <w:shd w:val="clear" w:color="auto" w:fill="auto"/>
            <w:noWrap/>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607</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599</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357AF8" w:rsidP="00357AF8">
            <w:pPr>
              <w:pStyle w:val="texto"/>
              <w:spacing w:after="0"/>
              <w:ind w:firstLine="0"/>
              <w:rPr>
                <w:rFonts w:ascii="Arial Narrow" w:hAnsi="Arial Narrow"/>
                <w:sz w:val="20"/>
                <w:szCs w:val="20"/>
              </w:rPr>
            </w:pPr>
            <w:r w:rsidRPr="009C554D">
              <w:rPr>
                <w:rFonts w:ascii="Arial Narrow" w:hAnsi="Arial Narrow"/>
                <w:sz w:val="20"/>
                <w:szCs w:val="20"/>
              </w:rPr>
              <w:t>Ratio PDI-ETC / PAS</w:t>
            </w:r>
          </w:p>
        </w:tc>
        <w:tc>
          <w:tcPr>
            <w:tcW w:w="1540"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1,25</w:t>
            </w:r>
          </w:p>
        </w:tc>
        <w:tc>
          <w:tcPr>
            <w:tcW w:w="1578"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1,26</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1,27</w:t>
            </w:r>
          </w:p>
        </w:tc>
      </w:tr>
      <w:tr w:rsidR="00357AF8"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357AF8" w:rsidRPr="009C554D" w:rsidRDefault="00357AF8" w:rsidP="00357AF8">
            <w:pPr>
              <w:pStyle w:val="texto"/>
              <w:spacing w:after="0"/>
              <w:ind w:firstLine="0"/>
              <w:rPr>
                <w:rFonts w:ascii="Arial Narrow" w:hAnsi="Arial Narrow"/>
                <w:sz w:val="20"/>
                <w:szCs w:val="20"/>
              </w:rPr>
            </w:pPr>
            <w:r w:rsidRPr="009C554D">
              <w:rPr>
                <w:rFonts w:ascii="Arial Narrow" w:hAnsi="Arial Narrow"/>
                <w:sz w:val="20"/>
                <w:szCs w:val="20"/>
              </w:rPr>
              <w:t>Nº PDI Doctor</w:t>
            </w:r>
          </w:p>
        </w:tc>
        <w:tc>
          <w:tcPr>
            <w:tcW w:w="1540"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552</w:t>
            </w:r>
          </w:p>
        </w:tc>
        <w:tc>
          <w:tcPr>
            <w:tcW w:w="1578" w:type="dxa"/>
            <w:tcBorders>
              <w:top w:val="single" w:sz="2" w:space="0" w:color="auto"/>
              <w:bottom w:val="single" w:sz="2" w:space="0" w:color="auto"/>
            </w:tcBorders>
            <w:shd w:val="clear" w:color="auto" w:fill="auto"/>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539</w:t>
            </w:r>
          </w:p>
        </w:tc>
        <w:tc>
          <w:tcPr>
            <w:tcW w:w="1418" w:type="dxa"/>
            <w:tcBorders>
              <w:top w:val="single" w:sz="2" w:space="0" w:color="auto"/>
              <w:bottom w:val="single" w:sz="2" w:space="0" w:color="auto"/>
            </w:tcBorders>
            <w:vAlign w:val="center"/>
          </w:tcPr>
          <w:p w:rsidR="00357AF8" w:rsidRPr="009C554D" w:rsidRDefault="00357AF8" w:rsidP="009C554D">
            <w:pPr>
              <w:pStyle w:val="texto"/>
              <w:spacing w:after="0"/>
              <w:ind w:firstLine="0"/>
              <w:jc w:val="right"/>
              <w:rPr>
                <w:rFonts w:ascii="Arial Narrow" w:hAnsi="Arial Narrow"/>
                <w:sz w:val="20"/>
                <w:szCs w:val="20"/>
              </w:rPr>
            </w:pPr>
            <w:r w:rsidRPr="009C554D">
              <w:rPr>
                <w:rFonts w:ascii="Arial Narrow" w:hAnsi="Arial Narrow"/>
                <w:sz w:val="20"/>
                <w:szCs w:val="20"/>
              </w:rPr>
              <w:t>554</w:t>
            </w:r>
          </w:p>
        </w:tc>
      </w:tr>
      <w:tr w:rsidR="00BF3213" w:rsidRPr="009C554D" w:rsidTr="009C554D">
        <w:trPr>
          <w:trHeight w:val="284"/>
        </w:trPr>
        <w:tc>
          <w:tcPr>
            <w:tcW w:w="4323" w:type="dxa"/>
            <w:tcBorders>
              <w:top w:val="single" w:sz="2" w:space="0" w:color="auto"/>
              <w:bottom w:val="single" w:sz="2" w:space="0" w:color="auto"/>
            </w:tcBorders>
            <w:shd w:val="clear" w:color="auto" w:fill="auto"/>
            <w:noWrap/>
            <w:vAlign w:val="center"/>
          </w:tcPr>
          <w:p w:rsidR="00BF3213" w:rsidRPr="009C554D" w:rsidRDefault="00FA2CA8" w:rsidP="00FA2CA8">
            <w:pPr>
              <w:pStyle w:val="texto"/>
              <w:spacing w:after="0"/>
              <w:ind w:firstLine="0"/>
              <w:rPr>
                <w:rFonts w:ascii="Arial Narrow" w:hAnsi="Arial Narrow"/>
                <w:sz w:val="20"/>
                <w:szCs w:val="20"/>
              </w:rPr>
            </w:pPr>
            <w:r w:rsidRPr="009C554D">
              <w:rPr>
                <w:rFonts w:ascii="Arial Narrow" w:hAnsi="Arial Narrow"/>
                <w:sz w:val="20"/>
                <w:szCs w:val="20"/>
              </w:rPr>
              <w:t>Ratio</w:t>
            </w:r>
            <w:r w:rsidR="00BF3213" w:rsidRPr="009C554D">
              <w:rPr>
                <w:rFonts w:ascii="Arial Narrow" w:hAnsi="Arial Narrow"/>
                <w:sz w:val="20"/>
                <w:szCs w:val="20"/>
              </w:rPr>
              <w:t xml:space="preserve"> PDI Doctor sobre total PDI</w:t>
            </w:r>
          </w:p>
        </w:tc>
        <w:tc>
          <w:tcPr>
            <w:tcW w:w="1540" w:type="dxa"/>
            <w:tcBorders>
              <w:top w:val="single" w:sz="2" w:space="0" w:color="auto"/>
              <w:bottom w:val="single" w:sz="2" w:space="0" w:color="auto"/>
            </w:tcBorders>
            <w:shd w:val="clear" w:color="auto" w:fill="auto"/>
            <w:vAlign w:val="center"/>
          </w:tcPr>
          <w:p w:rsidR="00BF3213" w:rsidRPr="009C554D" w:rsidRDefault="00BF3213" w:rsidP="009C554D">
            <w:pPr>
              <w:pStyle w:val="texto"/>
              <w:spacing w:after="0"/>
              <w:ind w:firstLine="0"/>
              <w:jc w:val="right"/>
              <w:rPr>
                <w:rFonts w:ascii="Arial Narrow" w:hAnsi="Arial Narrow"/>
                <w:sz w:val="20"/>
                <w:szCs w:val="20"/>
              </w:rPr>
            </w:pPr>
            <w:r w:rsidRPr="009C554D">
              <w:rPr>
                <w:rFonts w:ascii="Arial Narrow" w:hAnsi="Arial Narrow"/>
                <w:sz w:val="20"/>
                <w:szCs w:val="20"/>
              </w:rPr>
              <w:t>60</w:t>
            </w:r>
          </w:p>
        </w:tc>
        <w:tc>
          <w:tcPr>
            <w:tcW w:w="1578" w:type="dxa"/>
            <w:tcBorders>
              <w:top w:val="single" w:sz="2" w:space="0" w:color="auto"/>
              <w:bottom w:val="single" w:sz="2" w:space="0" w:color="auto"/>
            </w:tcBorders>
            <w:shd w:val="clear" w:color="auto" w:fill="auto"/>
            <w:vAlign w:val="center"/>
          </w:tcPr>
          <w:p w:rsidR="00BF3213" w:rsidRPr="009C554D" w:rsidRDefault="00BF3213" w:rsidP="009C554D">
            <w:pPr>
              <w:pStyle w:val="texto"/>
              <w:spacing w:after="0"/>
              <w:ind w:firstLine="0"/>
              <w:jc w:val="right"/>
              <w:rPr>
                <w:rFonts w:ascii="Arial Narrow" w:hAnsi="Arial Narrow"/>
                <w:sz w:val="20"/>
                <w:szCs w:val="20"/>
              </w:rPr>
            </w:pPr>
            <w:r w:rsidRPr="009C554D">
              <w:rPr>
                <w:rFonts w:ascii="Arial Narrow" w:hAnsi="Arial Narrow"/>
                <w:sz w:val="20"/>
                <w:szCs w:val="20"/>
              </w:rPr>
              <w:t>61</w:t>
            </w:r>
          </w:p>
        </w:tc>
        <w:tc>
          <w:tcPr>
            <w:tcW w:w="1418" w:type="dxa"/>
            <w:tcBorders>
              <w:top w:val="single" w:sz="2" w:space="0" w:color="auto"/>
              <w:bottom w:val="single" w:sz="2" w:space="0" w:color="auto"/>
            </w:tcBorders>
            <w:vAlign w:val="center"/>
          </w:tcPr>
          <w:p w:rsidR="00BF3213" w:rsidRPr="009C554D" w:rsidRDefault="00BF3213" w:rsidP="009C554D">
            <w:pPr>
              <w:pStyle w:val="texto"/>
              <w:spacing w:after="0"/>
              <w:ind w:firstLine="0"/>
              <w:jc w:val="right"/>
              <w:rPr>
                <w:rFonts w:ascii="Arial Narrow" w:hAnsi="Arial Narrow"/>
                <w:sz w:val="20"/>
                <w:szCs w:val="20"/>
              </w:rPr>
            </w:pPr>
            <w:r w:rsidRPr="009C554D">
              <w:rPr>
                <w:rFonts w:ascii="Arial Narrow" w:hAnsi="Arial Narrow"/>
                <w:sz w:val="20"/>
                <w:szCs w:val="20"/>
              </w:rPr>
              <w:t>65</w:t>
            </w:r>
          </w:p>
        </w:tc>
      </w:tr>
    </w:tbl>
    <w:p w:rsidR="007B1EBB" w:rsidRDefault="007B1EBB">
      <w:r>
        <w:br w:type="page"/>
      </w:r>
    </w:p>
    <w:tbl>
      <w:tblPr>
        <w:tblpPr w:leftFromText="141" w:rightFromText="141" w:vertAnchor="text" w:horzAnchor="margin" w:tblpXSpec="center" w:tblpY="-40"/>
        <w:tblW w:w="8859" w:type="dxa"/>
        <w:tblCellMar>
          <w:left w:w="70" w:type="dxa"/>
          <w:right w:w="70" w:type="dxa"/>
        </w:tblCellMar>
        <w:tblLook w:val="0000" w:firstRow="0" w:lastRow="0" w:firstColumn="0" w:lastColumn="0" w:noHBand="0" w:noVBand="0"/>
      </w:tblPr>
      <w:tblGrid>
        <w:gridCol w:w="4323"/>
        <w:gridCol w:w="1540"/>
        <w:gridCol w:w="1578"/>
        <w:gridCol w:w="1418"/>
      </w:tblGrid>
      <w:tr w:rsidR="007B1EBB" w:rsidRPr="009C554D" w:rsidTr="000A4C01">
        <w:trPr>
          <w:trHeight w:val="284"/>
        </w:trPr>
        <w:tc>
          <w:tcPr>
            <w:tcW w:w="4323" w:type="dxa"/>
            <w:tcBorders>
              <w:top w:val="single" w:sz="4" w:space="0" w:color="auto"/>
              <w:bottom w:val="single" w:sz="4" w:space="0" w:color="auto"/>
            </w:tcBorders>
            <w:shd w:val="clear" w:color="auto" w:fill="A8CBEE" w:themeFill="accent2" w:themeFillTint="66"/>
            <w:noWrap/>
            <w:vAlign w:val="center"/>
          </w:tcPr>
          <w:p w:rsidR="007B1EBB" w:rsidRPr="008B51AD" w:rsidRDefault="007B1EBB" w:rsidP="007B1EBB">
            <w:pPr>
              <w:pStyle w:val="cuadroCabe"/>
              <w:rPr>
                <w:lang w:val="es-ES" w:eastAsia="es-ES"/>
              </w:rPr>
            </w:pPr>
            <w:r>
              <w:rPr>
                <w:lang w:val="es-ES" w:eastAsia="es-ES"/>
              </w:rPr>
              <w:lastRenderedPageBreak/>
              <w:t>Información no financiera</w:t>
            </w:r>
          </w:p>
        </w:tc>
        <w:tc>
          <w:tcPr>
            <w:tcW w:w="1540" w:type="dxa"/>
            <w:tcBorders>
              <w:top w:val="single" w:sz="4" w:space="0" w:color="auto"/>
              <w:bottom w:val="single" w:sz="4" w:space="0" w:color="auto"/>
            </w:tcBorders>
            <w:shd w:val="clear" w:color="auto" w:fill="A8CBEE" w:themeFill="accent2" w:themeFillTint="66"/>
            <w:vAlign w:val="center"/>
          </w:tcPr>
          <w:p w:rsidR="007B1EBB" w:rsidRDefault="007B1EBB" w:rsidP="007B1EBB">
            <w:pPr>
              <w:pStyle w:val="cuadroCabe"/>
              <w:jc w:val="right"/>
              <w:rPr>
                <w:lang w:val="es-ES" w:eastAsia="es-ES"/>
              </w:rPr>
            </w:pPr>
            <w:r w:rsidRPr="008B51AD">
              <w:rPr>
                <w:lang w:val="es-ES" w:eastAsia="es-ES"/>
              </w:rPr>
              <w:t>2009</w:t>
            </w:r>
            <w:r>
              <w:rPr>
                <w:lang w:val="es-ES" w:eastAsia="es-ES"/>
              </w:rPr>
              <w:t xml:space="preserve">/ </w:t>
            </w:r>
          </w:p>
          <w:p w:rsidR="007B1EBB" w:rsidRPr="008B51AD" w:rsidRDefault="007B1EBB" w:rsidP="007B1EBB">
            <w:pPr>
              <w:pStyle w:val="cuadroCabe"/>
              <w:jc w:val="right"/>
              <w:rPr>
                <w:lang w:val="es-ES" w:eastAsia="es-ES"/>
              </w:rPr>
            </w:pPr>
            <w:r>
              <w:rPr>
                <w:lang w:val="es-ES" w:eastAsia="es-ES"/>
              </w:rPr>
              <w:t>curso 2009-10</w:t>
            </w:r>
          </w:p>
        </w:tc>
        <w:tc>
          <w:tcPr>
            <w:tcW w:w="1578" w:type="dxa"/>
            <w:tcBorders>
              <w:top w:val="single" w:sz="4" w:space="0" w:color="auto"/>
              <w:bottom w:val="single" w:sz="4" w:space="0" w:color="auto"/>
            </w:tcBorders>
            <w:shd w:val="clear" w:color="auto" w:fill="A8CBEE" w:themeFill="accent2" w:themeFillTint="66"/>
            <w:vAlign w:val="center"/>
          </w:tcPr>
          <w:p w:rsidR="007B1EBB" w:rsidRDefault="007B1EBB" w:rsidP="007B1EBB">
            <w:pPr>
              <w:pStyle w:val="cuadroCabe"/>
              <w:jc w:val="right"/>
              <w:rPr>
                <w:lang w:val="es-ES" w:eastAsia="es-ES"/>
              </w:rPr>
            </w:pPr>
            <w:r w:rsidRPr="008B51AD">
              <w:rPr>
                <w:lang w:val="es-ES" w:eastAsia="es-ES"/>
              </w:rPr>
              <w:t>2012</w:t>
            </w:r>
            <w:r>
              <w:rPr>
                <w:lang w:val="es-ES" w:eastAsia="es-ES"/>
              </w:rPr>
              <w:t xml:space="preserve">/ </w:t>
            </w:r>
          </w:p>
          <w:p w:rsidR="007B1EBB" w:rsidRPr="008B51AD" w:rsidRDefault="007B1EBB" w:rsidP="007B1EBB">
            <w:pPr>
              <w:pStyle w:val="cuadroCabe"/>
              <w:jc w:val="right"/>
              <w:rPr>
                <w:lang w:val="es-ES" w:eastAsia="es-ES"/>
              </w:rPr>
            </w:pPr>
            <w:r>
              <w:rPr>
                <w:lang w:val="es-ES" w:eastAsia="es-ES"/>
              </w:rPr>
              <w:t>curso 2012-13</w:t>
            </w:r>
          </w:p>
        </w:tc>
        <w:tc>
          <w:tcPr>
            <w:tcW w:w="1418" w:type="dxa"/>
            <w:tcBorders>
              <w:top w:val="single" w:sz="4" w:space="0" w:color="auto"/>
              <w:bottom w:val="single" w:sz="4" w:space="0" w:color="auto"/>
            </w:tcBorders>
            <w:shd w:val="clear" w:color="auto" w:fill="A8CBEE" w:themeFill="accent2" w:themeFillTint="66"/>
            <w:vAlign w:val="center"/>
          </w:tcPr>
          <w:p w:rsidR="007B1EBB" w:rsidRDefault="007B1EBB" w:rsidP="007B1EBB">
            <w:pPr>
              <w:pStyle w:val="cuadroCabe"/>
              <w:jc w:val="right"/>
              <w:rPr>
                <w:lang w:val="es-ES" w:eastAsia="es-ES"/>
              </w:rPr>
            </w:pPr>
            <w:r>
              <w:rPr>
                <w:lang w:val="es-ES" w:eastAsia="es-ES"/>
              </w:rPr>
              <w:t>2014/</w:t>
            </w:r>
          </w:p>
          <w:p w:rsidR="007B1EBB" w:rsidRPr="008B51AD" w:rsidRDefault="007B1EBB" w:rsidP="007B1EBB">
            <w:pPr>
              <w:pStyle w:val="cuadroCabe"/>
              <w:jc w:val="right"/>
              <w:rPr>
                <w:lang w:val="es-ES" w:eastAsia="es-ES"/>
              </w:rPr>
            </w:pPr>
            <w:r>
              <w:rPr>
                <w:lang w:val="es-ES" w:eastAsia="es-ES"/>
              </w:rPr>
              <w:t>curso 2014-15</w:t>
            </w:r>
          </w:p>
        </w:tc>
      </w:tr>
      <w:tr w:rsidR="007B1EBB" w:rsidRPr="009C554D" w:rsidTr="004F45ED">
        <w:trPr>
          <w:trHeight w:val="284"/>
        </w:trPr>
        <w:tc>
          <w:tcPr>
            <w:tcW w:w="4323" w:type="dxa"/>
            <w:tcBorders>
              <w:top w:val="single" w:sz="4"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b/>
                <w:sz w:val="20"/>
                <w:szCs w:val="20"/>
              </w:rPr>
            </w:pPr>
            <w:r w:rsidRPr="009C554D">
              <w:rPr>
                <w:rFonts w:ascii="Arial Narrow" w:hAnsi="Arial Narrow"/>
                <w:b/>
                <w:sz w:val="20"/>
                <w:szCs w:val="20"/>
              </w:rPr>
              <w:t>Titulaciones y plazas</w:t>
            </w:r>
          </w:p>
        </w:tc>
        <w:tc>
          <w:tcPr>
            <w:tcW w:w="1540" w:type="dxa"/>
            <w:tcBorders>
              <w:top w:val="single" w:sz="4" w:space="0" w:color="auto"/>
              <w:bottom w:val="single" w:sz="2" w:space="0" w:color="auto"/>
            </w:tcBorders>
            <w:shd w:val="clear" w:color="auto" w:fill="auto"/>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4" w:space="0" w:color="auto"/>
              <w:bottom w:val="single" w:sz="2" w:space="0" w:color="auto"/>
            </w:tcBorders>
            <w:shd w:val="clear" w:color="auto" w:fill="auto"/>
            <w:vAlign w:val="center"/>
          </w:tcPr>
          <w:p w:rsidR="007B1EBB" w:rsidRPr="009C554D" w:rsidRDefault="007B1EBB" w:rsidP="007B1EBB">
            <w:pPr>
              <w:pStyle w:val="texto"/>
              <w:spacing w:after="0"/>
              <w:ind w:firstLine="0"/>
              <w:jc w:val="right"/>
              <w:rPr>
                <w:rFonts w:ascii="Arial Narrow" w:hAnsi="Arial Narrow"/>
                <w:sz w:val="20"/>
                <w:szCs w:val="20"/>
              </w:rPr>
            </w:pPr>
          </w:p>
        </w:tc>
        <w:tc>
          <w:tcPr>
            <w:tcW w:w="1418" w:type="dxa"/>
            <w:tcBorders>
              <w:top w:val="single" w:sz="4"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Titulaciones oficiales ofertadas de Grado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20</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Plazas ofertadas de Grado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280</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1.760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1.760</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 xml:space="preserve">Nº Plazas </w:t>
            </w:r>
            <w:r w:rsidR="00697911">
              <w:rPr>
                <w:rFonts w:ascii="Arial Narrow" w:hAnsi="Arial Narrow"/>
                <w:sz w:val="20"/>
                <w:szCs w:val="20"/>
              </w:rPr>
              <w:t xml:space="preserve">nuevo ingreso </w:t>
            </w:r>
            <w:r w:rsidRPr="009C554D">
              <w:rPr>
                <w:rFonts w:ascii="Arial Narrow" w:hAnsi="Arial Narrow"/>
                <w:sz w:val="20"/>
                <w:szCs w:val="20"/>
              </w:rPr>
              <w:t>matriculadas de Grado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293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1.780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1.704</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Máster</w:t>
            </w:r>
            <w:r w:rsidR="003F606D">
              <w:rPr>
                <w:rFonts w:ascii="Arial Narrow" w:hAnsi="Arial Narrow"/>
                <w:sz w:val="20"/>
                <w:szCs w:val="20"/>
              </w:rPr>
              <w:t>es</w:t>
            </w:r>
            <w:r w:rsidRPr="009C554D">
              <w:rPr>
                <w:rFonts w:ascii="Arial Narrow" w:hAnsi="Arial Narrow"/>
                <w:sz w:val="20"/>
                <w:szCs w:val="20"/>
              </w:rPr>
              <w:t xml:space="preserve"> Universitarios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20</w:t>
            </w:r>
          </w:p>
        </w:tc>
        <w:tc>
          <w:tcPr>
            <w:tcW w:w="1578" w:type="dxa"/>
            <w:tcBorders>
              <w:top w:val="single" w:sz="2" w:space="0" w:color="auto"/>
              <w:bottom w:val="single" w:sz="2" w:space="0" w:color="auto"/>
            </w:tcBorders>
            <w:shd w:val="clear" w:color="auto" w:fill="auto"/>
            <w:noWrap/>
            <w:vAlign w:val="center"/>
          </w:tcPr>
          <w:p w:rsidR="007B1EBB" w:rsidRPr="009C554D" w:rsidRDefault="00697911" w:rsidP="007B1EBB">
            <w:pPr>
              <w:pStyle w:val="texto"/>
              <w:spacing w:after="0"/>
              <w:ind w:firstLine="0"/>
              <w:jc w:val="right"/>
              <w:rPr>
                <w:rFonts w:ascii="Arial Narrow" w:hAnsi="Arial Narrow"/>
                <w:sz w:val="20"/>
                <w:szCs w:val="20"/>
              </w:rPr>
            </w:pPr>
            <w:r>
              <w:rPr>
                <w:rFonts w:ascii="Arial Narrow" w:hAnsi="Arial Narrow"/>
                <w:sz w:val="20"/>
                <w:szCs w:val="20"/>
              </w:rPr>
              <w:t>28</w:t>
            </w:r>
          </w:p>
        </w:tc>
        <w:tc>
          <w:tcPr>
            <w:tcW w:w="1418" w:type="dxa"/>
            <w:tcBorders>
              <w:top w:val="single" w:sz="2" w:space="0" w:color="auto"/>
              <w:bottom w:val="single" w:sz="2" w:space="0" w:color="auto"/>
            </w:tcBorders>
            <w:vAlign w:val="center"/>
          </w:tcPr>
          <w:p w:rsidR="007B1EBB" w:rsidRPr="009C554D" w:rsidRDefault="007B1EBB" w:rsidP="00697911">
            <w:pPr>
              <w:pStyle w:val="texto"/>
              <w:spacing w:after="0"/>
              <w:ind w:firstLine="0"/>
              <w:jc w:val="right"/>
              <w:rPr>
                <w:rFonts w:ascii="Arial Narrow" w:hAnsi="Arial Narrow"/>
                <w:sz w:val="20"/>
                <w:szCs w:val="20"/>
              </w:rPr>
            </w:pPr>
            <w:r w:rsidRPr="009C554D">
              <w:rPr>
                <w:rFonts w:ascii="Arial Narrow" w:hAnsi="Arial Narrow"/>
                <w:sz w:val="20"/>
                <w:szCs w:val="20"/>
              </w:rPr>
              <w:t>3</w:t>
            </w:r>
            <w:r w:rsidR="00697911">
              <w:rPr>
                <w:rFonts w:ascii="Arial Narrow" w:hAnsi="Arial Narrow"/>
                <w:sz w:val="20"/>
                <w:szCs w:val="20"/>
              </w:rPr>
              <w:t>3</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 xml:space="preserve">Nº Títulos propios </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7</w:t>
            </w:r>
          </w:p>
        </w:tc>
        <w:tc>
          <w:tcPr>
            <w:tcW w:w="1578" w:type="dxa"/>
            <w:tcBorders>
              <w:top w:val="single" w:sz="2" w:space="0" w:color="auto"/>
              <w:bottom w:val="single" w:sz="2" w:space="0" w:color="auto"/>
            </w:tcBorders>
            <w:shd w:val="clear" w:color="auto" w:fill="auto"/>
            <w:noWrap/>
            <w:vAlign w:val="center"/>
          </w:tcPr>
          <w:p w:rsidR="007B1EBB" w:rsidRPr="009C554D" w:rsidRDefault="00697911" w:rsidP="007B1EBB">
            <w:pPr>
              <w:pStyle w:val="texto"/>
              <w:spacing w:after="0"/>
              <w:ind w:firstLine="0"/>
              <w:jc w:val="right"/>
              <w:rPr>
                <w:rFonts w:ascii="Arial Narrow" w:hAnsi="Arial Narrow"/>
                <w:sz w:val="20"/>
                <w:szCs w:val="20"/>
              </w:rPr>
            </w:pPr>
            <w:r>
              <w:rPr>
                <w:rFonts w:ascii="Arial Narrow" w:hAnsi="Arial Narrow"/>
                <w:sz w:val="20"/>
                <w:szCs w:val="20"/>
              </w:rPr>
              <w:t>10</w:t>
            </w:r>
          </w:p>
        </w:tc>
        <w:tc>
          <w:tcPr>
            <w:tcW w:w="1418" w:type="dxa"/>
            <w:tcBorders>
              <w:top w:val="single" w:sz="2" w:space="0" w:color="auto"/>
              <w:bottom w:val="single" w:sz="2" w:space="0" w:color="auto"/>
            </w:tcBorders>
            <w:vAlign w:val="center"/>
          </w:tcPr>
          <w:p w:rsidR="007B1EBB" w:rsidRPr="009C554D" w:rsidRDefault="00697911" w:rsidP="007B1EBB">
            <w:pPr>
              <w:pStyle w:val="texto"/>
              <w:spacing w:after="0"/>
              <w:ind w:firstLine="0"/>
              <w:jc w:val="right"/>
              <w:rPr>
                <w:rFonts w:ascii="Arial Narrow" w:hAnsi="Arial Narrow"/>
                <w:sz w:val="20"/>
                <w:szCs w:val="20"/>
              </w:rPr>
            </w:pPr>
            <w:r>
              <w:rPr>
                <w:rFonts w:ascii="Arial Narrow" w:hAnsi="Arial Narrow"/>
                <w:sz w:val="20"/>
                <w:szCs w:val="20"/>
              </w:rPr>
              <w:t>12</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18"/>
                <w:szCs w:val="18"/>
              </w:rPr>
            </w:pPr>
            <w:r w:rsidRPr="009C554D">
              <w:rPr>
                <w:rFonts w:ascii="Arial Narrow" w:hAnsi="Arial Narrow"/>
                <w:sz w:val="18"/>
                <w:szCs w:val="18"/>
              </w:rPr>
              <w:t>Nº asignaturas grado ofertadas en inglés (ciclo + grado)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24</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121</w:t>
            </w:r>
          </w:p>
        </w:tc>
        <w:tc>
          <w:tcPr>
            <w:tcW w:w="1418" w:type="dxa"/>
            <w:tcBorders>
              <w:top w:val="single" w:sz="2" w:space="0" w:color="auto"/>
              <w:bottom w:val="single" w:sz="2" w:space="0" w:color="auto"/>
            </w:tcBorders>
            <w:vAlign w:val="center"/>
          </w:tcPr>
          <w:p w:rsidR="007B1EBB" w:rsidRPr="009C554D" w:rsidRDefault="007B1EBB" w:rsidP="00F87E97">
            <w:pPr>
              <w:pStyle w:val="texto"/>
              <w:spacing w:after="0"/>
              <w:ind w:firstLine="0"/>
              <w:jc w:val="right"/>
              <w:rPr>
                <w:rFonts w:ascii="Arial Narrow" w:hAnsi="Arial Narrow"/>
                <w:sz w:val="20"/>
                <w:szCs w:val="20"/>
              </w:rPr>
            </w:pPr>
            <w:r w:rsidRPr="009C554D">
              <w:rPr>
                <w:rFonts w:ascii="Arial Narrow" w:hAnsi="Arial Narrow"/>
                <w:sz w:val="20"/>
                <w:szCs w:val="20"/>
              </w:rPr>
              <w:t>1</w:t>
            </w:r>
            <w:r w:rsidR="00F87E97">
              <w:rPr>
                <w:rFonts w:ascii="Arial Narrow" w:hAnsi="Arial Narrow"/>
                <w:sz w:val="20"/>
                <w:szCs w:val="20"/>
              </w:rPr>
              <w:t>88</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b/>
                <w:sz w:val="20"/>
                <w:szCs w:val="20"/>
              </w:rPr>
            </w:pPr>
            <w:r w:rsidRPr="009C554D">
              <w:rPr>
                <w:rFonts w:ascii="Arial Narrow" w:hAnsi="Arial Narrow"/>
                <w:b/>
                <w:sz w:val="20"/>
                <w:szCs w:val="20"/>
              </w:rPr>
              <w:t>Estudiantes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Número total de estudiantes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8.239</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8.055</w:t>
            </w:r>
          </w:p>
        </w:tc>
        <w:tc>
          <w:tcPr>
            <w:tcW w:w="1418" w:type="dxa"/>
            <w:tcBorders>
              <w:top w:val="single" w:sz="2" w:space="0" w:color="auto"/>
              <w:bottom w:val="single" w:sz="2" w:space="0" w:color="auto"/>
            </w:tcBorders>
            <w:vAlign w:val="center"/>
          </w:tcPr>
          <w:p w:rsidR="007B1EBB" w:rsidRPr="009C554D" w:rsidRDefault="00F87E97" w:rsidP="007B1EBB">
            <w:pPr>
              <w:pStyle w:val="texto"/>
              <w:spacing w:after="0"/>
              <w:ind w:firstLine="0"/>
              <w:jc w:val="right"/>
              <w:rPr>
                <w:rFonts w:ascii="Arial Narrow" w:hAnsi="Arial Narrow"/>
                <w:sz w:val="20"/>
                <w:szCs w:val="20"/>
              </w:rPr>
            </w:pPr>
            <w:r>
              <w:rPr>
                <w:rFonts w:ascii="Arial Narrow" w:hAnsi="Arial Narrow"/>
                <w:sz w:val="20"/>
                <w:szCs w:val="20"/>
              </w:rPr>
              <w:t>8.295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(Ciclos)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7.079</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2.078</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szCs w:val="20"/>
              </w:rPr>
              <w:t>427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(Grado)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293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4.966</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sidRPr="009C554D">
              <w:rPr>
                <w:rFonts w:ascii="Arial Narrow" w:hAnsi="Arial Narrow"/>
                <w:sz w:val="20"/>
                <w:szCs w:val="20"/>
              </w:rPr>
              <w:t>6.6</w:t>
            </w:r>
            <w:r w:rsidR="00A23FA4">
              <w:rPr>
                <w:rFonts w:ascii="Arial Narrow" w:hAnsi="Arial Narrow"/>
                <w:sz w:val="20"/>
                <w:szCs w:val="20"/>
              </w:rPr>
              <w:t>38</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(Máster)</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597</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644</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sidRPr="009C554D">
              <w:rPr>
                <w:rFonts w:ascii="Arial Narrow" w:hAnsi="Arial Narrow"/>
                <w:sz w:val="20"/>
                <w:szCs w:val="20"/>
              </w:rPr>
              <w:t>7</w:t>
            </w:r>
            <w:r w:rsidR="00A23FA4">
              <w:rPr>
                <w:rFonts w:ascii="Arial Narrow" w:hAnsi="Arial Narrow"/>
                <w:sz w:val="20"/>
                <w:szCs w:val="20"/>
              </w:rPr>
              <w:t>45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(Doctorado)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270</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367</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sidRPr="009C554D">
              <w:rPr>
                <w:rFonts w:ascii="Arial Narrow" w:hAnsi="Arial Narrow"/>
                <w:sz w:val="20"/>
                <w:szCs w:val="20"/>
              </w:rPr>
              <w:t>4</w:t>
            </w:r>
            <w:r w:rsidR="00A23FA4">
              <w:rPr>
                <w:rFonts w:ascii="Arial Narrow" w:hAnsi="Arial Narrow"/>
                <w:sz w:val="20"/>
                <w:szCs w:val="20"/>
              </w:rPr>
              <w:t>85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Ratio Estudiantes (Ciclos + Grados) / PDI-ETC</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11,93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11,60</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sidRPr="009C554D">
              <w:rPr>
                <w:rFonts w:ascii="Arial Narrow" w:hAnsi="Arial Narrow"/>
                <w:sz w:val="20"/>
                <w:szCs w:val="20"/>
              </w:rPr>
              <w:t>11,</w:t>
            </w:r>
            <w:r w:rsidR="00A23FA4">
              <w:rPr>
                <w:rFonts w:ascii="Arial Narrow" w:hAnsi="Arial Narrow"/>
                <w:sz w:val="20"/>
                <w:szCs w:val="20"/>
              </w:rPr>
              <w:t>7</w:t>
            </w:r>
            <w:r w:rsidRPr="009C554D">
              <w:rPr>
                <w:rFonts w:ascii="Arial Narrow" w:hAnsi="Arial Narrow"/>
                <w:sz w:val="20"/>
                <w:szCs w:val="20"/>
              </w:rPr>
              <w:t>9</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Ratio Estudiantes (Ciclos + Grados) / PAS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14,86</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14,58</w:t>
            </w:r>
          </w:p>
        </w:tc>
        <w:tc>
          <w:tcPr>
            <w:tcW w:w="1418" w:type="dxa"/>
            <w:tcBorders>
              <w:top w:val="single" w:sz="2" w:space="0" w:color="auto"/>
              <w:bottom w:val="single" w:sz="2" w:space="0" w:color="auto"/>
            </w:tcBorders>
            <w:vAlign w:val="center"/>
          </w:tcPr>
          <w:p w:rsidR="007B1EBB" w:rsidRPr="009C554D" w:rsidRDefault="007B1EBB" w:rsidP="00A23FA4">
            <w:pPr>
              <w:pStyle w:val="texto"/>
              <w:spacing w:after="0"/>
              <w:ind w:firstLine="0"/>
              <w:jc w:val="right"/>
              <w:rPr>
                <w:rFonts w:ascii="Arial Narrow" w:hAnsi="Arial Narrow"/>
                <w:sz w:val="20"/>
                <w:szCs w:val="20"/>
              </w:rPr>
            </w:pPr>
            <w:r w:rsidRPr="009C554D">
              <w:rPr>
                <w:rFonts w:ascii="Arial Narrow" w:hAnsi="Arial Narrow"/>
                <w:sz w:val="20"/>
                <w:szCs w:val="20"/>
              </w:rPr>
              <w:t>14,</w:t>
            </w:r>
            <w:r w:rsidR="00A23FA4">
              <w:rPr>
                <w:rFonts w:ascii="Arial Narrow" w:hAnsi="Arial Narrow"/>
                <w:sz w:val="20"/>
                <w:szCs w:val="20"/>
              </w:rPr>
              <w:t>94</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recibidos Movilidad Internacional</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185</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203</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szCs w:val="20"/>
              </w:rPr>
              <w:t>207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enviados Movilidad Internacional</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320</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285</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szCs w:val="20"/>
              </w:rPr>
              <w:t>332</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Estudiantes Egresados (Ciclo + Grado)</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1.386</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1.152</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szCs w:val="20"/>
              </w:rPr>
              <w:t>1.440</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b/>
                <w:sz w:val="20"/>
                <w:szCs w:val="20"/>
              </w:rPr>
              <w:t>Investigación</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Centros e Institutos de Investigación</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2</w:t>
            </w:r>
          </w:p>
        </w:tc>
        <w:tc>
          <w:tcPr>
            <w:tcW w:w="1418" w:type="dxa"/>
            <w:tcBorders>
              <w:top w:val="single" w:sz="2" w:space="0" w:color="auto"/>
              <w:bottom w:val="single" w:sz="2" w:space="0" w:color="auto"/>
            </w:tcBorders>
            <w:vAlign w:val="center"/>
          </w:tcPr>
          <w:p w:rsidR="007B1EBB" w:rsidRPr="009C554D" w:rsidRDefault="00A23FA4" w:rsidP="007B1EBB">
            <w:pPr>
              <w:pStyle w:val="texto"/>
              <w:spacing w:after="0"/>
              <w:ind w:firstLine="0"/>
              <w:jc w:val="right"/>
              <w:rPr>
                <w:rFonts w:ascii="Arial Narrow" w:hAnsi="Arial Narrow"/>
                <w:sz w:val="20"/>
                <w:szCs w:val="20"/>
              </w:rPr>
            </w:pPr>
            <w:r>
              <w:rPr>
                <w:rFonts w:ascii="Arial Narrow" w:hAnsi="Arial Narrow"/>
                <w:sz w:val="20"/>
                <w:szCs w:val="20"/>
              </w:rPr>
              <w:t>4</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Cátedras de investigación</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3</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Grupos de investigación</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104</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111</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106</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b/>
                <w:sz w:val="20"/>
                <w:szCs w:val="20"/>
              </w:rPr>
            </w:pPr>
            <w:r w:rsidRPr="009C554D">
              <w:rPr>
                <w:rFonts w:ascii="Arial Narrow" w:hAnsi="Arial Narrow"/>
                <w:sz w:val="20"/>
                <w:szCs w:val="20"/>
              </w:rPr>
              <w:t>Personal investigador de los grupos de investigación</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958</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944</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883</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Tesis leídas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36</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42</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51</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Sexenios reconocidos</w:t>
            </w:r>
            <w:r w:rsidR="008E6510">
              <w:rPr>
                <w:rFonts w:ascii="Arial Narrow" w:hAnsi="Arial Narrow"/>
                <w:sz w:val="20"/>
                <w:szCs w:val="20"/>
              </w:rPr>
              <w:t xml:space="preserve"> CDU</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564</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663</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727</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Pr>
                <w:rFonts w:ascii="Arial Narrow" w:hAnsi="Arial Narrow"/>
                <w:sz w:val="20"/>
                <w:szCs w:val="20"/>
              </w:rPr>
              <w:t xml:space="preserve">Publicaciones </w:t>
            </w:r>
            <w:r w:rsidRPr="009C554D">
              <w:rPr>
                <w:rFonts w:ascii="Arial Narrow" w:hAnsi="Arial Narrow"/>
                <w:sz w:val="20"/>
                <w:szCs w:val="20"/>
              </w:rPr>
              <w:t>principales bases de datos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803</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885</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1.055</w:t>
            </w:r>
          </w:p>
        </w:tc>
      </w:tr>
      <w:tr w:rsidR="007B1EBB" w:rsidRPr="009C554D" w:rsidTr="007B1EBB">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8E6510">
            <w:pPr>
              <w:pStyle w:val="texto"/>
              <w:spacing w:after="0"/>
              <w:ind w:firstLine="0"/>
              <w:rPr>
                <w:rFonts w:ascii="Arial Narrow" w:hAnsi="Arial Narrow"/>
                <w:sz w:val="20"/>
                <w:szCs w:val="20"/>
              </w:rPr>
            </w:pPr>
            <w:r w:rsidRPr="009C554D">
              <w:rPr>
                <w:rFonts w:ascii="Arial Narrow" w:hAnsi="Arial Narrow"/>
                <w:sz w:val="20"/>
                <w:szCs w:val="20"/>
              </w:rPr>
              <w:t xml:space="preserve">Nº Contratos de investigación </w:t>
            </w:r>
            <w:r w:rsidR="008E6510">
              <w:rPr>
                <w:rFonts w:ascii="Arial Narrow" w:hAnsi="Arial Narrow"/>
                <w:sz w:val="20"/>
                <w:szCs w:val="20"/>
              </w:rPr>
              <w:t xml:space="preserve">formalizados </w:t>
            </w:r>
            <w:r w:rsidRPr="009C554D">
              <w:rPr>
                <w:rFonts w:ascii="Arial Narrow" w:hAnsi="Arial Narrow"/>
                <w:sz w:val="20"/>
                <w:szCs w:val="20"/>
              </w:rPr>
              <w:t>(art. 83 LOU)</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127</w:t>
            </w: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120</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116</w:t>
            </w:r>
          </w:p>
        </w:tc>
      </w:tr>
      <w:tr w:rsidR="007B1EBB" w:rsidRPr="009C554D" w:rsidTr="004F45ED">
        <w:trPr>
          <w:trHeight w:val="284"/>
        </w:trPr>
        <w:tc>
          <w:tcPr>
            <w:tcW w:w="4323"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 xml:space="preserve">Nº Proyectos investigación </w:t>
            </w:r>
            <w:r w:rsidR="008E6510">
              <w:rPr>
                <w:rFonts w:ascii="Arial Narrow" w:hAnsi="Arial Narrow"/>
                <w:sz w:val="20"/>
                <w:szCs w:val="20"/>
              </w:rPr>
              <w:t xml:space="preserve">concedidos </w:t>
            </w:r>
            <w:r w:rsidRPr="009C554D">
              <w:rPr>
                <w:rFonts w:ascii="Arial Narrow" w:hAnsi="Arial Narrow"/>
                <w:sz w:val="20"/>
                <w:szCs w:val="20"/>
              </w:rPr>
              <w:t>convocat</w:t>
            </w:r>
            <w:r w:rsidRPr="009C554D">
              <w:rPr>
                <w:rFonts w:ascii="Arial Narrow" w:hAnsi="Arial Narrow"/>
                <w:sz w:val="20"/>
                <w:szCs w:val="20"/>
              </w:rPr>
              <w:t>o</w:t>
            </w:r>
            <w:r w:rsidRPr="009C554D">
              <w:rPr>
                <w:rFonts w:ascii="Arial Narrow" w:hAnsi="Arial Narrow"/>
                <w:sz w:val="20"/>
                <w:szCs w:val="20"/>
              </w:rPr>
              <w:t>rias públicas competitivas</w:t>
            </w:r>
          </w:p>
        </w:tc>
        <w:tc>
          <w:tcPr>
            <w:tcW w:w="1540"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2"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14</w:t>
            </w:r>
          </w:p>
        </w:tc>
        <w:tc>
          <w:tcPr>
            <w:tcW w:w="1418" w:type="dxa"/>
            <w:tcBorders>
              <w:top w:val="single" w:sz="2" w:space="0" w:color="auto"/>
              <w:bottom w:val="single" w:sz="2"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57</w:t>
            </w:r>
          </w:p>
        </w:tc>
      </w:tr>
      <w:tr w:rsidR="007B1EBB" w:rsidRPr="009C554D" w:rsidTr="004F45ED">
        <w:trPr>
          <w:trHeight w:val="284"/>
        </w:trPr>
        <w:tc>
          <w:tcPr>
            <w:tcW w:w="4323" w:type="dxa"/>
            <w:tcBorders>
              <w:top w:val="single" w:sz="2" w:space="0" w:color="auto"/>
              <w:bottom w:val="single" w:sz="4" w:space="0" w:color="auto"/>
            </w:tcBorders>
            <w:shd w:val="clear" w:color="auto" w:fill="auto"/>
            <w:noWrap/>
            <w:vAlign w:val="center"/>
          </w:tcPr>
          <w:p w:rsidR="007B1EBB" w:rsidRPr="009C554D" w:rsidRDefault="007B1EBB" w:rsidP="007B1EBB">
            <w:pPr>
              <w:pStyle w:val="texto"/>
              <w:spacing w:after="0"/>
              <w:ind w:firstLine="0"/>
              <w:rPr>
                <w:rFonts w:ascii="Arial Narrow" w:hAnsi="Arial Narrow"/>
                <w:sz w:val="20"/>
                <w:szCs w:val="20"/>
              </w:rPr>
            </w:pPr>
            <w:r w:rsidRPr="009C554D">
              <w:rPr>
                <w:rFonts w:ascii="Arial Narrow" w:hAnsi="Arial Narrow"/>
                <w:sz w:val="20"/>
                <w:szCs w:val="20"/>
              </w:rPr>
              <w:t>Nº Patentes concedidas</w:t>
            </w:r>
          </w:p>
        </w:tc>
        <w:tc>
          <w:tcPr>
            <w:tcW w:w="1540" w:type="dxa"/>
            <w:tcBorders>
              <w:top w:val="single" w:sz="2" w:space="0" w:color="auto"/>
              <w:bottom w:val="single" w:sz="4"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p>
        </w:tc>
        <w:tc>
          <w:tcPr>
            <w:tcW w:w="1578" w:type="dxa"/>
            <w:tcBorders>
              <w:top w:val="single" w:sz="2" w:space="0" w:color="auto"/>
              <w:bottom w:val="single" w:sz="4" w:space="0" w:color="auto"/>
            </w:tcBorders>
            <w:shd w:val="clear" w:color="auto" w:fill="auto"/>
            <w:noWrap/>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5</w:t>
            </w:r>
          </w:p>
        </w:tc>
        <w:tc>
          <w:tcPr>
            <w:tcW w:w="1418" w:type="dxa"/>
            <w:tcBorders>
              <w:top w:val="single" w:sz="2" w:space="0" w:color="auto"/>
              <w:bottom w:val="single" w:sz="4" w:space="0" w:color="auto"/>
            </w:tcBorders>
            <w:vAlign w:val="center"/>
          </w:tcPr>
          <w:p w:rsidR="007B1EBB" w:rsidRPr="009C554D" w:rsidRDefault="007B1EBB" w:rsidP="007B1EBB">
            <w:pPr>
              <w:pStyle w:val="texto"/>
              <w:spacing w:after="0"/>
              <w:ind w:firstLine="0"/>
              <w:jc w:val="right"/>
              <w:rPr>
                <w:rFonts w:ascii="Arial Narrow" w:hAnsi="Arial Narrow"/>
                <w:sz w:val="20"/>
                <w:szCs w:val="20"/>
              </w:rPr>
            </w:pPr>
            <w:r w:rsidRPr="009C554D">
              <w:rPr>
                <w:rFonts w:ascii="Arial Narrow" w:hAnsi="Arial Narrow"/>
                <w:sz w:val="20"/>
                <w:szCs w:val="20"/>
              </w:rPr>
              <w:t>3</w:t>
            </w:r>
          </w:p>
        </w:tc>
      </w:tr>
    </w:tbl>
    <w:p w:rsidR="007B1EBB" w:rsidRDefault="007B1EBB" w:rsidP="007B1EBB">
      <w:pPr>
        <w:spacing w:after="0"/>
        <w:ind w:firstLine="284"/>
        <w:rPr>
          <w:rFonts w:ascii="Arial Narrow" w:hAnsi="Arial Narrow"/>
          <w:spacing w:val="6"/>
          <w:sz w:val="17"/>
          <w:szCs w:val="17"/>
        </w:rPr>
      </w:pPr>
    </w:p>
    <w:p w:rsidR="007B1EBB" w:rsidRPr="007B1EBB" w:rsidRDefault="007B1EBB" w:rsidP="007B1EBB">
      <w:pPr>
        <w:spacing w:after="0"/>
        <w:ind w:firstLine="284"/>
        <w:rPr>
          <w:rFonts w:ascii="Arial Narrow" w:hAnsi="Arial Narrow"/>
          <w:spacing w:val="6"/>
          <w:sz w:val="17"/>
          <w:szCs w:val="17"/>
        </w:rPr>
      </w:pPr>
      <w:r w:rsidRPr="007B1EBB">
        <w:rPr>
          <w:rFonts w:ascii="Arial Narrow" w:hAnsi="Arial Narrow"/>
          <w:spacing w:val="6"/>
          <w:sz w:val="17"/>
          <w:szCs w:val="17"/>
        </w:rPr>
        <w:t>Nota. Los datos del curso 2014/15 son provisionales</w:t>
      </w:r>
    </w:p>
    <w:p w:rsidR="00E04DEF" w:rsidRDefault="00E04DEF" w:rsidP="007B1EBB">
      <w:pPr>
        <w:pStyle w:val="texto"/>
        <w:tabs>
          <w:tab w:val="clear" w:pos="2835"/>
          <w:tab w:val="clear" w:pos="3969"/>
          <w:tab w:val="clear" w:pos="5103"/>
          <w:tab w:val="clear" w:pos="6237"/>
          <w:tab w:val="clear" w:pos="7371"/>
        </w:tabs>
        <w:spacing w:before="240"/>
        <w:rPr>
          <w:szCs w:val="26"/>
        </w:rPr>
      </w:pPr>
      <w:r>
        <w:rPr>
          <w:szCs w:val="26"/>
        </w:rPr>
        <w:t>De su análisis desta</w:t>
      </w:r>
      <w:r w:rsidR="00A92E53">
        <w:rPr>
          <w:szCs w:val="26"/>
        </w:rPr>
        <w:t>camos fundamentalmente:</w:t>
      </w:r>
    </w:p>
    <w:p w:rsidR="00840ACA" w:rsidRPr="009C554D" w:rsidRDefault="00840ACA" w:rsidP="00A92E5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spacing w:val="2"/>
        </w:rPr>
      </w:pPr>
      <w:r>
        <w:t xml:space="preserve">Campus. </w:t>
      </w:r>
      <w:r w:rsidRPr="009C554D">
        <w:rPr>
          <w:rFonts w:ascii="Times New (W1)" w:hAnsi="Times New (W1)"/>
          <w:spacing w:val="2"/>
        </w:rPr>
        <w:t>La Universidad cuenta con dos campus sitos en Pamplona y Tudela.</w:t>
      </w:r>
    </w:p>
    <w:p w:rsidR="00A92E53" w:rsidRPr="00A92E53" w:rsidRDefault="00A92E53" w:rsidP="00A92E5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A92E53">
        <w:t>Empleados</w:t>
      </w:r>
    </w:p>
    <w:p w:rsidR="0089780F" w:rsidRDefault="00657660" w:rsidP="0089780F">
      <w:pPr>
        <w:pStyle w:val="texto"/>
        <w:tabs>
          <w:tab w:val="clear" w:pos="2835"/>
          <w:tab w:val="clear" w:pos="3969"/>
          <w:tab w:val="clear" w:pos="5103"/>
          <w:tab w:val="clear" w:pos="6237"/>
          <w:tab w:val="clear" w:pos="7371"/>
        </w:tabs>
        <w:rPr>
          <w:szCs w:val="26"/>
        </w:rPr>
      </w:pPr>
      <w:r>
        <w:rPr>
          <w:szCs w:val="26"/>
        </w:rPr>
        <w:t xml:space="preserve">a) </w:t>
      </w:r>
      <w:r w:rsidR="00A92E53">
        <w:rPr>
          <w:szCs w:val="26"/>
        </w:rPr>
        <w:t>El número total de empleados se ha reducido en 87 personas, es decir, una disminución del seis por ciento.</w:t>
      </w:r>
      <w:r w:rsidR="0089780F">
        <w:rPr>
          <w:szCs w:val="26"/>
        </w:rPr>
        <w:t xml:space="preserve"> En el PAS, esa reducción ha sido de 23 e</w:t>
      </w:r>
      <w:r w:rsidR="0089780F">
        <w:rPr>
          <w:szCs w:val="26"/>
        </w:rPr>
        <w:t>m</w:t>
      </w:r>
      <w:r w:rsidR="0089780F">
        <w:rPr>
          <w:szCs w:val="26"/>
        </w:rPr>
        <w:t>pleados menos</w:t>
      </w:r>
      <w:r>
        <w:rPr>
          <w:szCs w:val="26"/>
        </w:rPr>
        <w:t xml:space="preserve"> </w:t>
      </w:r>
      <w:r w:rsidR="00852903">
        <w:rPr>
          <w:szCs w:val="26"/>
        </w:rPr>
        <w:t>–un cinco por ciento</w:t>
      </w:r>
      <w:r w:rsidR="009C554D">
        <w:rPr>
          <w:szCs w:val="26"/>
        </w:rPr>
        <w:t>–</w:t>
      </w:r>
      <w:r w:rsidR="0089780F">
        <w:rPr>
          <w:szCs w:val="26"/>
        </w:rPr>
        <w:t>; en el PDI, de 64 profesores menos</w:t>
      </w:r>
      <w:r>
        <w:rPr>
          <w:szCs w:val="26"/>
        </w:rPr>
        <w:t xml:space="preserve"> –un siete por ciento</w:t>
      </w:r>
      <w:r w:rsidR="009C554D">
        <w:rPr>
          <w:szCs w:val="26"/>
        </w:rPr>
        <w:t>–</w:t>
      </w:r>
      <w:r w:rsidR="0089780F">
        <w:rPr>
          <w:szCs w:val="26"/>
        </w:rPr>
        <w:t>.</w:t>
      </w:r>
    </w:p>
    <w:p w:rsidR="00657660" w:rsidRDefault="00357AF8" w:rsidP="008C401B">
      <w:pPr>
        <w:pStyle w:val="texto"/>
        <w:tabs>
          <w:tab w:val="clear" w:pos="2835"/>
          <w:tab w:val="clear" w:pos="3969"/>
          <w:tab w:val="clear" w:pos="5103"/>
          <w:tab w:val="clear" w:pos="6237"/>
          <w:tab w:val="clear" w:pos="7371"/>
        </w:tabs>
        <w:rPr>
          <w:szCs w:val="26"/>
        </w:rPr>
      </w:pPr>
      <w:r>
        <w:rPr>
          <w:szCs w:val="26"/>
        </w:rPr>
        <w:t>b</w:t>
      </w:r>
      <w:r w:rsidR="00657660">
        <w:rPr>
          <w:szCs w:val="26"/>
        </w:rPr>
        <w:t xml:space="preserve">) En el PDI, </w:t>
      </w:r>
      <w:r w:rsidR="00573DBE">
        <w:rPr>
          <w:szCs w:val="26"/>
        </w:rPr>
        <w:t>l</w:t>
      </w:r>
      <w:r w:rsidR="00657660">
        <w:rPr>
          <w:szCs w:val="26"/>
        </w:rPr>
        <w:t>a mayor reducción</w:t>
      </w:r>
      <w:r w:rsidR="00852903">
        <w:rPr>
          <w:szCs w:val="26"/>
        </w:rPr>
        <w:t xml:space="preserve"> de su número</w:t>
      </w:r>
      <w:r w:rsidR="00657660">
        <w:rPr>
          <w:szCs w:val="26"/>
        </w:rPr>
        <w:t xml:space="preserve"> se observa dentro del asoci</w:t>
      </w:r>
      <w:r w:rsidR="00657660">
        <w:rPr>
          <w:szCs w:val="26"/>
        </w:rPr>
        <w:t>a</w:t>
      </w:r>
      <w:r w:rsidR="00657660">
        <w:rPr>
          <w:szCs w:val="26"/>
        </w:rPr>
        <w:t>do (de 406 a 345 empleados) y en los catedráticos y titulares de escuela unive</w:t>
      </w:r>
      <w:r w:rsidR="00657660">
        <w:rPr>
          <w:szCs w:val="26"/>
        </w:rPr>
        <w:t>r</w:t>
      </w:r>
      <w:r w:rsidR="00657660">
        <w:rPr>
          <w:szCs w:val="26"/>
        </w:rPr>
        <w:lastRenderedPageBreak/>
        <w:t>sitaria (de 48 a 21 empleados); los catedráticos de universidad aumentan en 16 plazas y los titulares de universidad se reducen en 15 plazas.</w:t>
      </w:r>
      <w:r w:rsidR="00573DBE" w:rsidRPr="00573DBE">
        <w:rPr>
          <w:szCs w:val="26"/>
        </w:rPr>
        <w:t xml:space="preserve"> </w:t>
      </w:r>
    </w:p>
    <w:p w:rsidR="00357AF8" w:rsidRDefault="00357AF8" w:rsidP="00F932F6">
      <w:pPr>
        <w:pStyle w:val="texto"/>
        <w:tabs>
          <w:tab w:val="clear" w:pos="2835"/>
          <w:tab w:val="clear" w:pos="3969"/>
          <w:tab w:val="clear" w:pos="5103"/>
          <w:tab w:val="clear" w:pos="6237"/>
          <w:tab w:val="clear" w:pos="7371"/>
        </w:tabs>
        <w:rPr>
          <w:szCs w:val="26"/>
        </w:rPr>
      </w:pPr>
      <w:r>
        <w:rPr>
          <w:szCs w:val="26"/>
        </w:rPr>
        <w:t>c) Dentro del PAS, el porcentaje que representa el funcionariado sobre el t</w:t>
      </w:r>
      <w:r>
        <w:rPr>
          <w:szCs w:val="26"/>
        </w:rPr>
        <w:t>o</w:t>
      </w:r>
      <w:r>
        <w:rPr>
          <w:szCs w:val="26"/>
        </w:rPr>
        <w:t>tal ha pasado del 69 al 72 por ciento. Para el PDI, ese porcentaje se mantiene en el 40 por ciento</w:t>
      </w:r>
      <w:r w:rsidR="00D856E8">
        <w:rPr>
          <w:szCs w:val="26"/>
        </w:rPr>
        <w:t>, por lo que el contratado es del 60 por ciento</w:t>
      </w:r>
      <w:r w:rsidR="00F932F6">
        <w:rPr>
          <w:szCs w:val="26"/>
        </w:rPr>
        <w:t>; al respecto señ</w:t>
      </w:r>
      <w:r w:rsidR="00F932F6">
        <w:rPr>
          <w:szCs w:val="26"/>
        </w:rPr>
        <w:t>a</w:t>
      </w:r>
      <w:r w:rsidR="00F932F6">
        <w:rPr>
          <w:szCs w:val="26"/>
        </w:rPr>
        <w:t>lamos que, d</w:t>
      </w:r>
      <w:r w:rsidR="00F932F6" w:rsidRPr="00F932F6">
        <w:rPr>
          <w:szCs w:val="26"/>
        </w:rPr>
        <w:t xml:space="preserve">e acuerdo con </w:t>
      </w:r>
      <w:r w:rsidR="00D856E8">
        <w:rPr>
          <w:szCs w:val="26"/>
        </w:rPr>
        <w:t>el art. 48 de la LOU</w:t>
      </w:r>
      <w:r w:rsidR="00F932F6" w:rsidRPr="00F932F6">
        <w:rPr>
          <w:szCs w:val="26"/>
        </w:rPr>
        <w:t>, el porcentaje de personal co</w:t>
      </w:r>
      <w:r w:rsidR="00F932F6" w:rsidRPr="00F932F6">
        <w:rPr>
          <w:szCs w:val="26"/>
        </w:rPr>
        <w:t>n</w:t>
      </w:r>
      <w:r w:rsidR="00F932F6" w:rsidRPr="00F932F6">
        <w:rPr>
          <w:szCs w:val="26"/>
        </w:rPr>
        <w:t>tratado no puede superar el 49</w:t>
      </w:r>
      <w:r w:rsidR="00D856E8">
        <w:rPr>
          <w:szCs w:val="26"/>
        </w:rPr>
        <w:t xml:space="preserve"> por ciento </w:t>
      </w:r>
      <w:r w:rsidR="00F932F6" w:rsidRPr="00F932F6">
        <w:rPr>
          <w:szCs w:val="26"/>
        </w:rPr>
        <w:t>del</w:t>
      </w:r>
      <w:r w:rsidR="00D856E8">
        <w:rPr>
          <w:szCs w:val="26"/>
        </w:rPr>
        <w:t xml:space="preserve"> total de PDI</w:t>
      </w:r>
      <w:r w:rsidR="00F932F6" w:rsidRPr="00F932F6">
        <w:rPr>
          <w:szCs w:val="26"/>
        </w:rPr>
        <w:t xml:space="preserve"> de la universidad</w:t>
      </w:r>
      <w:r w:rsidR="005644D4">
        <w:rPr>
          <w:szCs w:val="26"/>
        </w:rPr>
        <w:t>.</w:t>
      </w:r>
    </w:p>
    <w:p w:rsidR="0089780F" w:rsidRDefault="00657660" w:rsidP="0089780F">
      <w:pPr>
        <w:pStyle w:val="texto"/>
        <w:tabs>
          <w:tab w:val="clear" w:pos="2835"/>
          <w:tab w:val="clear" w:pos="3969"/>
          <w:tab w:val="clear" w:pos="5103"/>
          <w:tab w:val="clear" w:pos="6237"/>
          <w:tab w:val="clear" w:pos="7371"/>
        </w:tabs>
        <w:rPr>
          <w:szCs w:val="26"/>
        </w:rPr>
      </w:pPr>
      <w:r>
        <w:rPr>
          <w:szCs w:val="26"/>
        </w:rPr>
        <w:t>d) El PDI equivalente a tiempo completo (ETC) se ha reducido en 19 pue</w:t>
      </w:r>
      <w:r>
        <w:rPr>
          <w:szCs w:val="26"/>
        </w:rPr>
        <w:t>s</w:t>
      </w:r>
      <w:r>
        <w:rPr>
          <w:szCs w:val="26"/>
        </w:rPr>
        <w:t>tos</w:t>
      </w:r>
      <w:r w:rsidR="00852903">
        <w:rPr>
          <w:szCs w:val="26"/>
        </w:rPr>
        <w:t>, es decir, un tres por ciento</w:t>
      </w:r>
      <w:r>
        <w:rPr>
          <w:szCs w:val="26"/>
        </w:rPr>
        <w:t xml:space="preserve">.  </w:t>
      </w:r>
    </w:p>
    <w:p w:rsidR="00657660" w:rsidRDefault="00657660" w:rsidP="0089780F">
      <w:pPr>
        <w:pStyle w:val="texto"/>
        <w:tabs>
          <w:tab w:val="clear" w:pos="2835"/>
          <w:tab w:val="clear" w:pos="3969"/>
          <w:tab w:val="clear" w:pos="5103"/>
          <w:tab w:val="clear" w:pos="6237"/>
          <w:tab w:val="clear" w:pos="7371"/>
        </w:tabs>
        <w:rPr>
          <w:szCs w:val="26"/>
        </w:rPr>
      </w:pPr>
      <w:r>
        <w:rPr>
          <w:szCs w:val="26"/>
        </w:rPr>
        <w:t>e) La ratio número de PDI-ETC sobre número de PAS prácticamente no pr</w:t>
      </w:r>
      <w:r>
        <w:rPr>
          <w:szCs w:val="26"/>
        </w:rPr>
        <w:t>e</w:t>
      </w:r>
      <w:r>
        <w:rPr>
          <w:szCs w:val="26"/>
        </w:rPr>
        <w:t>senta modificaciones en el periodo analizado</w:t>
      </w:r>
      <w:r w:rsidR="006678EC">
        <w:rPr>
          <w:szCs w:val="26"/>
        </w:rPr>
        <w:t>, si bien se observa un ligero cr</w:t>
      </w:r>
      <w:r w:rsidR="006678EC">
        <w:rPr>
          <w:szCs w:val="26"/>
        </w:rPr>
        <w:t>e</w:t>
      </w:r>
      <w:r w:rsidR="006678EC">
        <w:rPr>
          <w:szCs w:val="26"/>
        </w:rPr>
        <w:t>cimiento</w:t>
      </w:r>
      <w:r>
        <w:rPr>
          <w:szCs w:val="26"/>
        </w:rPr>
        <w:t>.</w:t>
      </w:r>
    </w:p>
    <w:p w:rsidR="00BF3213" w:rsidRDefault="00BF3213" w:rsidP="0089780F">
      <w:pPr>
        <w:pStyle w:val="texto"/>
        <w:tabs>
          <w:tab w:val="clear" w:pos="2835"/>
          <w:tab w:val="clear" w:pos="3969"/>
          <w:tab w:val="clear" w:pos="5103"/>
          <w:tab w:val="clear" w:pos="6237"/>
          <w:tab w:val="clear" w:pos="7371"/>
        </w:tabs>
        <w:rPr>
          <w:szCs w:val="26"/>
        </w:rPr>
      </w:pPr>
      <w:r>
        <w:rPr>
          <w:szCs w:val="26"/>
        </w:rPr>
        <w:t>f) El porcentaje de PDI doctor sobre el total de PDI, se ha ido incrementado del 60 al 65 por ciento. Al respecto</w:t>
      </w:r>
      <w:r w:rsidR="001255CD">
        <w:rPr>
          <w:szCs w:val="26"/>
        </w:rPr>
        <w:t>,</w:t>
      </w:r>
      <w:r>
        <w:rPr>
          <w:szCs w:val="26"/>
        </w:rPr>
        <w:t xml:space="preserve"> las directrices para la ordenación de la plantilla del PDI de la Universidad fija</w:t>
      </w:r>
      <w:r w:rsidR="00AA476E">
        <w:rPr>
          <w:szCs w:val="26"/>
        </w:rPr>
        <w:t>n</w:t>
      </w:r>
      <w:r>
        <w:rPr>
          <w:szCs w:val="26"/>
        </w:rPr>
        <w:t xml:space="preserve"> como objetivo de ese porcentaje un mínimo del 70 por ciento.</w:t>
      </w:r>
    </w:p>
    <w:p w:rsidR="00C531BE" w:rsidRDefault="00C531BE" w:rsidP="0089780F">
      <w:pPr>
        <w:pStyle w:val="texto"/>
        <w:tabs>
          <w:tab w:val="clear" w:pos="2835"/>
          <w:tab w:val="clear" w:pos="3969"/>
          <w:tab w:val="clear" w:pos="5103"/>
          <w:tab w:val="clear" w:pos="6237"/>
          <w:tab w:val="clear" w:pos="7371"/>
        </w:tabs>
        <w:rPr>
          <w:szCs w:val="26"/>
        </w:rPr>
      </w:pPr>
      <w:r>
        <w:rPr>
          <w:szCs w:val="26"/>
        </w:rPr>
        <w:t>La evolución del personal de la Universidad en estos años ha estado afect</w:t>
      </w:r>
      <w:r>
        <w:rPr>
          <w:szCs w:val="26"/>
        </w:rPr>
        <w:t>a</w:t>
      </w:r>
      <w:r>
        <w:rPr>
          <w:szCs w:val="26"/>
        </w:rPr>
        <w:t>da, como en el conjunto de las administraciones públicas, por las restricciones legales para nuevas contrataciones y promociones.</w:t>
      </w:r>
      <w:r w:rsidR="005A1E20">
        <w:rPr>
          <w:szCs w:val="26"/>
        </w:rPr>
        <w:t xml:space="preserve"> Al respecto</w:t>
      </w:r>
      <w:r w:rsidR="00AA476E">
        <w:rPr>
          <w:szCs w:val="26"/>
        </w:rPr>
        <w:t>,</w:t>
      </w:r>
      <w:r w:rsidR="005A1E20">
        <w:rPr>
          <w:szCs w:val="26"/>
        </w:rPr>
        <w:t xml:space="preserve"> en torno a 170 profesores están oficialmente acreditados para promocionar a plazas de sup</w:t>
      </w:r>
      <w:r w:rsidR="005A1E20">
        <w:rPr>
          <w:szCs w:val="26"/>
        </w:rPr>
        <w:t>e</w:t>
      </w:r>
      <w:r w:rsidR="005A1E20">
        <w:rPr>
          <w:szCs w:val="26"/>
        </w:rPr>
        <w:t>rior categoría</w:t>
      </w:r>
      <w:r w:rsidR="009458E8">
        <w:rPr>
          <w:szCs w:val="26"/>
        </w:rPr>
        <w:t xml:space="preserve">, cuyos procesos selectivos </w:t>
      </w:r>
      <w:r w:rsidR="005A1E20">
        <w:rPr>
          <w:szCs w:val="26"/>
        </w:rPr>
        <w:t>están prácticamente paralizados</w:t>
      </w:r>
      <w:r w:rsidR="008C0B4F">
        <w:rPr>
          <w:szCs w:val="26"/>
        </w:rPr>
        <w:t xml:space="preserve"> por las citadas restricciones</w:t>
      </w:r>
      <w:r w:rsidR="005A1E20">
        <w:rPr>
          <w:szCs w:val="26"/>
        </w:rPr>
        <w:t>.</w:t>
      </w:r>
    </w:p>
    <w:p w:rsidR="00127FFD" w:rsidRDefault="00127FFD" w:rsidP="00127FF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Titulaciones y plazas</w:t>
      </w:r>
    </w:p>
    <w:p w:rsidR="00657660" w:rsidRDefault="00AC7B00" w:rsidP="0089780F">
      <w:pPr>
        <w:pStyle w:val="texto"/>
        <w:tabs>
          <w:tab w:val="clear" w:pos="2835"/>
          <w:tab w:val="clear" w:pos="3969"/>
          <w:tab w:val="clear" w:pos="5103"/>
          <w:tab w:val="clear" w:pos="6237"/>
          <w:tab w:val="clear" w:pos="7371"/>
        </w:tabs>
        <w:rPr>
          <w:szCs w:val="26"/>
        </w:rPr>
      </w:pPr>
      <w:r>
        <w:rPr>
          <w:szCs w:val="26"/>
        </w:rPr>
        <w:t xml:space="preserve">a) </w:t>
      </w:r>
      <w:r w:rsidR="002914C9">
        <w:rPr>
          <w:szCs w:val="26"/>
        </w:rPr>
        <w:t>En el periodo analizado, el mapa de titulaciones experimenta el cambio de la implantación del Espacio Europeo de Enseñanza Superior</w:t>
      </w:r>
      <w:r w:rsidR="00CB68D9">
        <w:rPr>
          <w:szCs w:val="26"/>
        </w:rPr>
        <w:t xml:space="preserve"> (EEEE)</w:t>
      </w:r>
      <w:r w:rsidR="002914C9">
        <w:rPr>
          <w:szCs w:val="26"/>
        </w:rPr>
        <w:t xml:space="preserve"> que impl</w:t>
      </w:r>
      <w:r w:rsidR="002914C9">
        <w:rPr>
          <w:szCs w:val="26"/>
        </w:rPr>
        <w:t>i</w:t>
      </w:r>
      <w:r w:rsidR="002914C9">
        <w:rPr>
          <w:szCs w:val="26"/>
        </w:rPr>
        <w:t>ca, entre otros aspectos, la transformación de los estudios de ciclo (licenciat</w:t>
      </w:r>
      <w:r w:rsidR="002914C9">
        <w:rPr>
          <w:szCs w:val="26"/>
        </w:rPr>
        <w:t>u</w:t>
      </w:r>
      <w:r w:rsidR="002914C9">
        <w:rPr>
          <w:szCs w:val="26"/>
        </w:rPr>
        <w:t>ras y diplomaturas) en grados. En el curso 2013/14 se extinguen oficialmente los estudios de ciclos, si bien ello no implica que continúen alumnos matricul</w:t>
      </w:r>
      <w:r w:rsidR="002914C9">
        <w:rPr>
          <w:szCs w:val="26"/>
        </w:rPr>
        <w:t>a</w:t>
      </w:r>
      <w:r w:rsidR="002914C9">
        <w:rPr>
          <w:szCs w:val="26"/>
        </w:rPr>
        <w:t>dos a los mismos.</w:t>
      </w:r>
    </w:p>
    <w:p w:rsidR="002914C9" w:rsidRDefault="00AC7B00" w:rsidP="0089780F">
      <w:pPr>
        <w:pStyle w:val="texto"/>
        <w:tabs>
          <w:tab w:val="clear" w:pos="2835"/>
          <w:tab w:val="clear" w:pos="3969"/>
          <w:tab w:val="clear" w:pos="5103"/>
          <w:tab w:val="clear" w:pos="6237"/>
          <w:tab w:val="clear" w:pos="7371"/>
        </w:tabs>
        <w:rPr>
          <w:szCs w:val="26"/>
        </w:rPr>
      </w:pPr>
      <w:r>
        <w:rPr>
          <w:szCs w:val="26"/>
        </w:rPr>
        <w:t xml:space="preserve">b) </w:t>
      </w:r>
      <w:r w:rsidR="002914C9">
        <w:rPr>
          <w:szCs w:val="26"/>
        </w:rPr>
        <w:t>El número de titulaci</w:t>
      </w:r>
      <w:r w:rsidR="00CB68D9">
        <w:rPr>
          <w:szCs w:val="26"/>
        </w:rPr>
        <w:t>ones de grado se mantiene estable en los dos últimos años analizados en 20</w:t>
      </w:r>
      <w:r w:rsidR="007E115C">
        <w:rPr>
          <w:szCs w:val="26"/>
        </w:rPr>
        <w:t>; l</w:t>
      </w:r>
      <w:r w:rsidR="00CB68D9">
        <w:rPr>
          <w:szCs w:val="26"/>
        </w:rPr>
        <w:t xml:space="preserve">o mismo ocurre con </w:t>
      </w:r>
      <w:r w:rsidR="007E115C">
        <w:rPr>
          <w:szCs w:val="26"/>
        </w:rPr>
        <w:t xml:space="preserve">las </w:t>
      </w:r>
      <w:r w:rsidR="00CB68D9">
        <w:rPr>
          <w:szCs w:val="26"/>
        </w:rPr>
        <w:t>plazas ofertadas en los mismos</w:t>
      </w:r>
      <w:r w:rsidR="007E115C">
        <w:rPr>
          <w:szCs w:val="26"/>
        </w:rPr>
        <w:t xml:space="preserve">. </w:t>
      </w:r>
      <w:r w:rsidR="00AA476E">
        <w:rPr>
          <w:szCs w:val="26"/>
        </w:rPr>
        <w:t>E</w:t>
      </w:r>
      <w:r w:rsidR="007E115C">
        <w:rPr>
          <w:szCs w:val="26"/>
        </w:rPr>
        <w:t>n el</w:t>
      </w:r>
      <w:r w:rsidR="00CB68D9">
        <w:rPr>
          <w:szCs w:val="26"/>
        </w:rPr>
        <w:t xml:space="preserve"> último año</w:t>
      </w:r>
      <w:r w:rsidR="00AA476E">
        <w:rPr>
          <w:szCs w:val="26"/>
        </w:rPr>
        <w:t>, se observa</w:t>
      </w:r>
      <w:r w:rsidR="00CB68D9">
        <w:rPr>
          <w:szCs w:val="26"/>
        </w:rPr>
        <w:t xml:space="preserve"> una ligera reducción en </w:t>
      </w:r>
      <w:r w:rsidR="007E115C">
        <w:rPr>
          <w:szCs w:val="26"/>
        </w:rPr>
        <w:t>las</w:t>
      </w:r>
      <w:r w:rsidR="00CB68D9">
        <w:rPr>
          <w:szCs w:val="26"/>
        </w:rPr>
        <w:t xml:space="preserve"> plazas matriculadas.</w:t>
      </w:r>
    </w:p>
    <w:p w:rsidR="00CB68D9" w:rsidRPr="009C554D" w:rsidRDefault="00AC7B00" w:rsidP="0089780F">
      <w:pPr>
        <w:pStyle w:val="texto"/>
        <w:tabs>
          <w:tab w:val="clear" w:pos="2835"/>
          <w:tab w:val="clear" w:pos="3969"/>
          <w:tab w:val="clear" w:pos="5103"/>
          <w:tab w:val="clear" w:pos="6237"/>
          <w:tab w:val="clear" w:pos="7371"/>
        </w:tabs>
        <w:rPr>
          <w:rFonts w:ascii="Times New (W1)" w:hAnsi="Times New (W1)"/>
          <w:spacing w:val="2"/>
          <w:szCs w:val="26"/>
        </w:rPr>
      </w:pPr>
      <w:r>
        <w:rPr>
          <w:szCs w:val="26"/>
        </w:rPr>
        <w:t xml:space="preserve">c) </w:t>
      </w:r>
      <w:r w:rsidR="00CB68D9">
        <w:rPr>
          <w:szCs w:val="26"/>
        </w:rPr>
        <w:t>El número de máster</w:t>
      </w:r>
      <w:r w:rsidR="005D6292">
        <w:rPr>
          <w:szCs w:val="26"/>
        </w:rPr>
        <w:t>es</w:t>
      </w:r>
      <w:r w:rsidR="00CB68D9">
        <w:rPr>
          <w:szCs w:val="26"/>
        </w:rPr>
        <w:t xml:space="preserve"> ofertado</w:t>
      </w:r>
      <w:r w:rsidR="00AA476E">
        <w:rPr>
          <w:szCs w:val="26"/>
        </w:rPr>
        <w:t>s</w:t>
      </w:r>
      <w:r w:rsidR="00CB68D9">
        <w:rPr>
          <w:szCs w:val="26"/>
        </w:rPr>
        <w:t xml:space="preserve"> ha crecido de manera relevante, de </w:t>
      </w:r>
      <w:r w:rsidR="006678EC">
        <w:rPr>
          <w:szCs w:val="26"/>
        </w:rPr>
        <w:t>20</w:t>
      </w:r>
      <w:r w:rsidR="00CB68D9">
        <w:rPr>
          <w:szCs w:val="26"/>
        </w:rPr>
        <w:t xml:space="preserve"> a </w:t>
      </w:r>
      <w:r w:rsidR="006678EC">
        <w:rPr>
          <w:szCs w:val="26"/>
        </w:rPr>
        <w:t>3</w:t>
      </w:r>
      <w:r w:rsidR="008E6510">
        <w:rPr>
          <w:szCs w:val="26"/>
        </w:rPr>
        <w:t>3</w:t>
      </w:r>
      <w:r w:rsidR="00CB68D9">
        <w:rPr>
          <w:szCs w:val="26"/>
        </w:rPr>
        <w:t xml:space="preserve">. Este incremento </w:t>
      </w:r>
      <w:r w:rsidR="00CB68D9" w:rsidRPr="009C554D">
        <w:rPr>
          <w:rFonts w:ascii="Times New (W1)" w:hAnsi="Times New (W1)"/>
          <w:spacing w:val="2"/>
          <w:szCs w:val="26"/>
        </w:rPr>
        <w:t>está originado tanto por la configuración de estudios que plantea el EEEE como por su exigencia para el ejercicio de determinadas prof</w:t>
      </w:r>
      <w:r w:rsidR="00CB68D9" w:rsidRPr="009C554D">
        <w:rPr>
          <w:rFonts w:ascii="Times New (W1)" w:hAnsi="Times New (W1)"/>
          <w:spacing w:val="2"/>
          <w:szCs w:val="26"/>
        </w:rPr>
        <w:t>e</w:t>
      </w:r>
      <w:r w:rsidR="00CB68D9" w:rsidRPr="009C554D">
        <w:rPr>
          <w:rFonts w:ascii="Times New (W1)" w:hAnsi="Times New (W1)"/>
          <w:spacing w:val="2"/>
          <w:szCs w:val="26"/>
        </w:rPr>
        <w:t xml:space="preserve">siones. </w:t>
      </w:r>
    </w:p>
    <w:p w:rsidR="009C554D" w:rsidRDefault="003C32F6" w:rsidP="00811A99">
      <w:pPr>
        <w:pStyle w:val="texto"/>
        <w:tabs>
          <w:tab w:val="clear" w:pos="2835"/>
          <w:tab w:val="clear" w:pos="3969"/>
          <w:tab w:val="clear" w:pos="5103"/>
          <w:tab w:val="clear" w:pos="6237"/>
          <w:tab w:val="clear" w:pos="7371"/>
        </w:tabs>
        <w:rPr>
          <w:szCs w:val="26"/>
        </w:rPr>
      </w:pPr>
      <w:r>
        <w:rPr>
          <w:szCs w:val="26"/>
        </w:rPr>
        <w:t>d) Destaca el importante esfuerzo realizado por la Universidad en la oferta de asignaturas en inglés</w:t>
      </w:r>
      <w:r w:rsidR="005E72C5">
        <w:rPr>
          <w:szCs w:val="26"/>
        </w:rPr>
        <w:t xml:space="preserve">, ya que se ha multiplicado </w:t>
      </w:r>
      <w:r>
        <w:rPr>
          <w:szCs w:val="26"/>
        </w:rPr>
        <w:t xml:space="preserve">prácticamente por </w:t>
      </w:r>
      <w:r w:rsidR="008E6510">
        <w:rPr>
          <w:szCs w:val="26"/>
        </w:rPr>
        <w:t>ocho</w:t>
      </w:r>
      <w:r>
        <w:rPr>
          <w:szCs w:val="26"/>
        </w:rPr>
        <w:t>.</w:t>
      </w:r>
    </w:p>
    <w:p w:rsidR="00CB68D9" w:rsidRDefault="00CB108D" w:rsidP="00CB108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lastRenderedPageBreak/>
        <w:t>Estudiantes</w:t>
      </w:r>
    </w:p>
    <w:p w:rsidR="00CB108D" w:rsidRPr="00DA66ED" w:rsidRDefault="00DA66ED" w:rsidP="00DA66ED">
      <w:pPr>
        <w:pStyle w:val="texto"/>
        <w:tabs>
          <w:tab w:val="clear" w:pos="2835"/>
          <w:tab w:val="clear" w:pos="3969"/>
          <w:tab w:val="clear" w:pos="5103"/>
          <w:tab w:val="clear" w:pos="6237"/>
          <w:tab w:val="clear" w:pos="7371"/>
        </w:tabs>
        <w:rPr>
          <w:szCs w:val="26"/>
        </w:rPr>
      </w:pPr>
      <w:r>
        <w:rPr>
          <w:szCs w:val="26"/>
        </w:rPr>
        <w:t>a</w:t>
      </w:r>
      <w:r w:rsidR="003E3D2D">
        <w:rPr>
          <w:szCs w:val="26"/>
        </w:rPr>
        <w:t>)</w:t>
      </w:r>
      <w:r>
        <w:rPr>
          <w:szCs w:val="26"/>
        </w:rPr>
        <w:t xml:space="preserve"> </w:t>
      </w:r>
      <w:r w:rsidR="00CB108D" w:rsidRPr="00DA66ED">
        <w:rPr>
          <w:szCs w:val="26"/>
        </w:rPr>
        <w:t>El número total de estudiantes de la Universidad prácticamente no se m</w:t>
      </w:r>
      <w:r w:rsidR="00CB108D" w:rsidRPr="00DA66ED">
        <w:rPr>
          <w:szCs w:val="26"/>
        </w:rPr>
        <w:t>o</w:t>
      </w:r>
      <w:r w:rsidR="00CB108D" w:rsidRPr="00DA66ED">
        <w:rPr>
          <w:szCs w:val="26"/>
        </w:rPr>
        <w:t>difica en los años analizados</w:t>
      </w:r>
      <w:r w:rsidR="00AA476E">
        <w:rPr>
          <w:szCs w:val="26"/>
        </w:rPr>
        <w:t>:</w:t>
      </w:r>
      <w:r w:rsidR="00CB108D" w:rsidRPr="00DA66ED">
        <w:rPr>
          <w:szCs w:val="26"/>
        </w:rPr>
        <w:t xml:space="preserve"> </w:t>
      </w:r>
      <w:r w:rsidR="008E6510">
        <w:rPr>
          <w:szCs w:val="26"/>
        </w:rPr>
        <w:t>56</w:t>
      </w:r>
      <w:r w:rsidR="00CB108D" w:rsidRPr="00DA66ED">
        <w:rPr>
          <w:szCs w:val="26"/>
        </w:rPr>
        <w:t xml:space="preserve"> alumnos m</w:t>
      </w:r>
      <w:r w:rsidR="008E6510">
        <w:rPr>
          <w:szCs w:val="26"/>
        </w:rPr>
        <w:t>ás</w:t>
      </w:r>
      <w:r w:rsidR="00CB108D" w:rsidRPr="00DA66ED">
        <w:rPr>
          <w:szCs w:val="26"/>
        </w:rPr>
        <w:t xml:space="preserve">. </w:t>
      </w:r>
    </w:p>
    <w:p w:rsidR="00CB108D" w:rsidRDefault="00DA66ED" w:rsidP="0089780F">
      <w:pPr>
        <w:pStyle w:val="texto"/>
        <w:tabs>
          <w:tab w:val="clear" w:pos="2835"/>
          <w:tab w:val="clear" w:pos="3969"/>
          <w:tab w:val="clear" w:pos="5103"/>
          <w:tab w:val="clear" w:pos="6237"/>
          <w:tab w:val="clear" w:pos="7371"/>
        </w:tabs>
        <w:rPr>
          <w:szCs w:val="26"/>
        </w:rPr>
      </w:pPr>
      <w:r>
        <w:rPr>
          <w:szCs w:val="26"/>
        </w:rPr>
        <w:t xml:space="preserve">b) </w:t>
      </w:r>
      <w:r w:rsidR="00CB108D">
        <w:rPr>
          <w:szCs w:val="26"/>
        </w:rPr>
        <w:t>Desglosados, observamos que los estudiantes de ciclo y grado se han visto reducidos en 3</w:t>
      </w:r>
      <w:r w:rsidR="005D6292">
        <w:rPr>
          <w:szCs w:val="26"/>
        </w:rPr>
        <w:t>07</w:t>
      </w:r>
      <w:r w:rsidR="00CB108D">
        <w:rPr>
          <w:szCs w:val="26"/>
        </w:rPr>
        <w:t xml:space="preserve"> alumnos y los de másteres y doctorado se han incrementado en 1</w:t>
      </w:r>
      <w:r w:rsidR="005D6292">
        <w:rPr>
          <w:szCs w:val="26"/>
        </w:rPr>
        <w:t>48</w:t>
      </w:r>
      <w:r w:rsidR="00CB108D">
        <w:rPr>
          <w:szCs w:val="26"/>
        </w:rPr>
        <w:t xml:space="preserve"> y </w:t>
      </w:r>
      <w:r w:rsidR="005D6292">
        <w:rPr>
          <w:szCs w:val="26"/>
        </w:rPr>
        <w:t>215</w:t>
      </w:r>
      <w:r w:rsidR="00CB108D">
        <w:rPr>
          <w:szCs w:val="26"/>
        </w:rPr>
        <w:t xml:space="preserve"> alumnos, respectivamente.</w:t>
      </w:r>
    </w:p>
    <w:p w:rsidR="00CB108D" w:rsidRDefault="00DA66ED" w:rsidP="0089780F">
      <w:pPr>
        <w:pStyle w:val="texto"/>
        <w:tabs>
          <w:tab w:val="clear" w:pos="2835"/>
          <w:tab w:val="clear" w:pos="3969"/>
          <w:tab w:val="clear" w:pos="5103"/>
          <w:tab w:val="clear" w:pos="6237"/>
          <w:tab w:val="clear" w:pos="7371"/>
        </w:tabs>
        <w:rPr>
          <w:szCs w:val="26"/>
        </w:rPr>
      </w:pPr>
      <w:r>
        <w:rPr>
          <w:szCs w:val="26"/>
        </w:rPr>
        <w:t xml:space="preserve">c) </w:t>
      </w:r>
      <w:r w:rsidR="00CB108D">
        <w:rPr>
          <w:szCs w:val="26"/>
        </w:rPr>
        <w:t>Las ratios alumnos de grado y ciclo sobre el PDI-ETC y sobre el PAS se mantiene</w:t>
      </w:r>
      <w:r w:rsidR="00AA476E">
        <w:rPr>
          <w:szCs w:val="26"/>
        </w:rPr>
        <w:t>n</w:t>
      </w:r>
      <w:r w:rsidR="00CB108D">
        <w:rPr>
          <w:szCs w:val="26"/>
        </w:rPr>
        <w:t xml:space="preserve"> en parecidos términos en los tres años. Por cada 12 alumnos hay un PDI-ETC y por cada </w:t>
      </w:r>
      <w:r w:rsidR="003C447D">
        <w:rPr>
          <w:szCs w:val="26"/>
        </w:rPr>
        <w:t>15 alumnos hay un PAS.</w:t>
      </w:r>
    </w:p>
    <w:p w:rsidR="003C447D" w:rsidRPr="001D0F67" w:rsidRDefault="00DA66ED" w:rsidP="0089780F">
      <w:pPr>
        <w:pStyle w:val="texto"/>
        <w:tabs>
          <w:tab w:val="clear" w:pos="2835"/>
          <w:tab w:val="clear" w:pos="3969"/>
          <w:tab w:val="clear" w:pos="5103"/>
          <w:tab w:val="clear" w:pos="6237"/>
          <w:tab w:val="clear" w:pos="7371"/>
        </w:tabs>
        <w:rPr>
          <w:szCs w:val="26"/>
        </w:rPr>
      </w:pPr>
      <w:r w:rsidRPr="001D0F67">
        <w:rPr>
          <w:szCs w:val="26"/>
        </w:rPr>
        <w:t xml:space="preserve">d) </w:t>
      </w:r>
      <w:r w:rsidR="003C447D" w:rsidRPr="001D0F67">
        <w:rPr>
          <w:szCs w:val="26"/>
        </w:rPr>
        <w:t xml:space="preserve">En movilidad internacional, se observa una tendencia de aumento de los alumnos recibidos y </w:t>
      </w:r>
      <w:r w:rsidR="005D6292">
        <w:rPr>
          <w:szCs w:val="26"/>
        </w:rPr>
        <w:t xml:space="preserve">una cierta estabilidad en </w:t>
      </w:r>
      <w:r w:rsidR="003C447D" w:rsidRPr="001D0F67">
        <w:rPr>
          <w:szCs w:val="26"/>
        </w:rPr>
        <w:t>los enviados.</w:t>
      </w:r>
    </w:p>
    <w:p w:rsidR="00DA66ED" w:rsidRDefault="00DA66ED" w:rsidP="0089780F">
      <w:pPr>
        <w:pStyle w:val="texto"/>
        <w:tabs>
          <w:tab w:val="clear" w:pos="2835"/>
          <w:tab w:val="clear" w:pos="3969"/>
          <w:tab w:val="clear" w:pos="5103"/>
          <w:tab w:val="clear" w:pos="6237"/>
          <w:tab w:val="clear" w:pos="7371"/>
        </w:tabs>
        <w:rPr>
          <w:szCs w:val="26"/>
        </w:rPr>
      </w:pPr>
      <w:r>
        <w:rPr>
          <w:szCs w:val="26"/>
        </w:rPr>
        <w:t>e) En cuanto a su origen geográfico, se mantiene en los tres ejercicios anal</w:t>
      </w:r>
      <w:r>
        <w:rPr>
          <w:szCs w:val="26"/>
        </w:rPr>
        <w:t>i</w:t>
      </w:r>
      <w:r>
        <w:rPr>
          <w:szCs w:val="26"/>
        </w:rPr>
        <w:t>zados que el 85 por ciento de los alumnos matriculados proceden de Navarra, observándose un aumento de los alumnos extranjeros, desde el dos al cuatro por ciento</w:t>
      </w:r>
      <w:r w:rsidR="00573DBE">
        <w:rPr>
          <w:szCs w:val="26"/>
        </w:rPr>
        <w:t>,</w:t>
      </w:r>
      <w:r>
        <w:rPr>
          <w:szCs w:val="26"/>
        </w:rPr>
        <w:t xml:space="preserve"> en el último curso</w:t>
      </w:r>
      <w:r w:rsidR="003E3D2D">
        <w:rPr>
          <w:szCs w:val="26"/>
        </w:rPr>
        <w:t xml:space="preserve"> analizado.</w:t>
      </w:r>
    </w:p>
    <w:p w:rsidR="00DA66ED" w:rsidRDefault="00DA66ED" w:rsidP="00DA66E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Investigación</w:t>
      </w:r>
    </w:p>
    <w:p w:rsidR="00DA66ED" w:rsidRDefault="00D2756A" w:rsidP="0089780F">
      <w:pPr>
        <w:pStyle w:val="texto"/>
        <w:tabs>
          <w:tab w:val="clear" w:pos="2835"/>
          <w:tab w:val="clear" w:pos="3969"/>
          <w:tab w:val="clear" w:pos="5103"/>
          <w:tab w:val="clear" w:pos="6237"/>
          <w:tab w:val="clear" w:pos="7371"/>
        </w:tabs>
        <w:rPr>
          <w:szCs w:val="26"/>
        </w:rPr>
      </w:pPr>
      <w:r>
        <w:rPr>
          <w:szCs w:val="26"/>
        </w:rPr>
        <w:t>a)</w:t>
      </w:r>
      <w:r w:rsidR="0031787A">
        <w:rPr>
          <w:szCs w:val="26"/>
        </w:rPr>
        <w:t xml:space="preserve"> </w:t>
      </w:r>
      <w:r w:rsidR="00DA66ED">
        <w:rPr>
          <w:szCs w:val="26"/>
        </w:rPr>
        <w:t>Se observa un aumento relevante de los centros</w:t>
      </w:r>
      <w:r w:rsidR="003713EF">
        <w:rPr>
          <w:szCs w:val="26"/>
        </w:rPr>
        <w:t xml:space="preserve"> e institutos</w:t>
      </w:r>
      <w:r w:rsidR="005267F6">
        <w:rPr>
          <w:szCs w:val="26"/>
        </w:rPr>
        <w:t xml:space="preserve"> de investig</w:t>
      </w:r>
      <w:r w:rsidR="005267F6">
        <w:rPr>
          <w:szCs w:val="26"/>
        </w:rPr>
        <w:t>a</w:t>
      </w:r>
      <w:r w:rsidR="005267F6">
        <w:rPr>
          <w:szCs w:val="26"/>
        </w:rPr>
        <w:t>ción</w:t>
      </w:r>
      <w:r w:rsidR="00DA66ED">
        <w:rPr>
          <w:szCs w:val="26"/>
        </w:rPr>
        <w:t xml:space="preserve"> y</w:t>
      </w:r>
      <w:r w:rsidR="005267F6">
        <w:rPr>
          <w:szCs w:val="26"/>
        </w:rPr>
        <w:t xml:space="preserve"> de</w:t>
      </w:r>
      <w:r w:rsidR="00DA66ED">
        <w:rPr>
          <w:szCs w:val="26"/>
        </w:rPr>
        <w:t xml:space="preserve"> cátedras </w:t>
      </w:r>
      <w:r w:rsidR="005267F6">
        <w:rPr>
          <w:szCs w:val="26"/>
        </w:rPr>
        <w:t>institucionales y de empresa para la</w:t>
      </w:r>
      <w:r w:rsidR="00DA66ED">
        <w:rPr>
          <w:szCs w:val="26"/>
        </w:rPr>
        <w:t xml:space="preserve"> investigación</w:t>
      </w:r>
      <w:r w:rsidR="005E72C5">
        <w:rPr>
          <w:szCs w:val="26"/>
        </w:rPr>
        <w:t>.</w:t>
      </w:r>
      <w:r w:rsidR="0031787A">
        <w:rPr>
          <w:szCs w:val="26"/>
        </w:rPr>
        <w:t xml:space="preserve"> </w:t>
      </w:r>
    </w:p>
    <w:p w:rsidR="00DA66ED" w:rsidRDefault="0031787A" w:rsidP="0089780F">
      <w:pPr>
        <w:pStyle w:val="texto"/>
        <w:tabs>
          <w:tab w:val="clear" w:pos="2835"/>
          <w:tab w:val="clear" w:pos="3969"/>
          <w:tab w:val="clear" w:pos="5103"/>
          <w:tab w:val="clear" w:pos="6237"/>
          <w:tab w:val="clear" w:pos="7371"/>
        </w:tabs>
        <w:rPr>
          <w:szCs w:val="26"/>
        </w:rPr>
      </w:pPr>
      <w:r>
        <w:rPr>
          <w:szCs w:val="26"/>
        </w:rPr>
        <w:t xml:space="preserve">b) </w:t>
      </w:r>
      <w:r w:rsidR="00765122">
        <w:rPr>
          <w:szCs w:val="26"/>
        </w:rPr>
        <w:t>En el</w:t>
      </w:r>
      <w:r w:rsidR="003E3D2D">
        <w:rPr>
          <w:szCs w:val="26"/>
        </w:rPr>
        <w:t xml:space="preserve"> número de grupos de investigación</w:t>
      </w:r>
      <w:r w:rsidR="00765122">
        <w:rPr>
          <w:szCs w:val="26"/>
        </w:rPr>
        <w:t>, se aprecia una cierta estabilidad</w:t>
      </w:r>
      <w:r w:rsidR="0035588B">
        <w:rPr>
          <w:szCs w:val="26"/>
        </w:rPr>
        <w:t xml:space="preserve">, si bien se observa una </w:t>
      </w:r>
      <w:r w:rsidR="00765122">
        <w:rPr>
          <w:szCs w:val="26"/>
        </w:rPr>
        <w:t>reducción del personal adscrito a los mismos. De este personal,</w:t>
      </w:r>
      <w:r w:rsidR="00D2756A">
        <w:rPr>
          <w:szCs w:val="26"/>
        </w:rPr>
        <w:t xml:space="preserve"> y en 2014, </w:t>
      </w:r>
      <w:r w:rsidR="00765122">
        <w:rPr>
          <w:szCs w:val="26"/>
        </w:rPr>
        <w:t xml:space="preserve"> en torno al  </w:t>
      </w:r>
      <w:r w:rsidR="00FB455E">
        <w:rPr>
          <w:szCs w:val="26"/>
        </w:rPr>
        <w:t>72 por ciento corresponde a PDI y un 30 por ciento a personal investigador contratado, colaboradores, ayudantes y estudia</w:t>
      </w:r>
      <w:r w:rsidR="00FB455E">
        <w:rPr>
          <w:szCs w:val="26"/>
        </w:rPr>
        <w:t>n</w:t>
      </w:r>
      <w:r w:rsidR="00FB455E">
        <w:rPr>
          <w:szCs w:val="26"/>
        </w:rPr>
        <w:t>tes de doctorado</w:t>
      </w:r>
      <w:r>
        <w:rPr>
          <w:szCs w:val="26"/>
        </w:rPr>
        <w:t>.</w:t>
      </w:r>
      <w:r w:rsidR="003E3D2D">
        <w:rPr>
          <w:szCs w:val="26"/>
        </w:rPr>
        <w:t xml:space="preserve"> </w:t>
      </w:r>
    </w:p>
    <w:p w:rsidR="0031787A" w:rsidRDefault="0031787A" w:rsidP="0089780F">
      <w:pPr>
        <w:pStyle w:val="texto"/>
        <w:tabs>
          <w:tab w:val="clear" w:pos="2835"/>
          <w:tab w:val="clear" w:pos="3969"/>
          <w:tab w:val="clear" w:pos="5103"/>
          <w:tab w:val="clear" w:pos="6237"/>
          <w:tab w:val="clear" w:pos="7371"/>
        </w:tabs>
        <w:rPr>
          <w:szCs w:val="26"/>
        </w:rPr>
      </w:pPr>
      <w:r>
        <w:rPr>
          <w:szCs w:val="26"/>
        </w:rPr>
        <w:t>c) El número de sexenios por investigación reconocidos se ha incrementado de manera relevante entre los tres años analizados</w:t>
      </w:r>
      <w:r w:rsidR="00AA476E">
        <w:rPr>
          <w:szCs w:val="26"/>
        </w:rPr>
        <w:t>:</w:t>
      </w:r>
      <w:r>
        <w:rPr>
          <w:szCs w:val="26"/>
        </w:rPr>
        <w:t xml:space="preserve"> 163 sexenios más. La ratio sexenios reconocidos sobre sexenios potenciales se sitúa, en 2014, en el 0,7. </w:t>
      </w:r>
    </w:p>
    <w:p w:rsidR="0031787A" w:rsidRDefault="0031787A" w:rsidP="0089780F">
      <w:pPr>
        <w:pStyle w:val="texto"/>
        <w:tabs>
          <w:tab w:val="clear" w:pos="2835"/>
          <w:tab w:val="clear" w:pos="3969"/>
          <w:tab w:val="clear" w:pos="5103"/>
          <w:tab w:val="clear" w:pos="6237"/>
          <w:tab w:val="clear" w:pos="7371"/>
        </w:tabs>
        <w:rPr>
          <w:szCs w:val="26"/>
        </w:rPr>
      </w:pPr>
      <w:r>
        <w:rPr>
          <w:szCs w:val="26"/>
        </w:rPr>
        <w:t xml:space="preserve">d) Igualmente, aumenta en un 31 por ciento el número de publicaciones de la </w:t>
      </w:r>
      <w:r w:rsidR="0081699E">
        <w:rPr>
          <w:szCs w:val="26"/>
        </w:rPr>
        <w:t>Universidad</w:t>
      </w:r>
      <w:r>
        <w:rPr>
          <w:szCs w:val="26"/>
        </w:rPr>
        <w:t xml:space="preserve"> en las principales bases de datos (Web of Science y SCOPUS).</w:t>
      </w:r>
    </w:p>
    <w:p w:rsidR="005153F6" w:rsidRPr="006678EC" w:rsidRDefault="0031787A" w:rsidP="0089780F">
      <w:pPr>
        <w:pStyle w:val="texto"/>
        <w:tabs>
          <w:tab w:val="clear" w:pos="2835"/>
          <w:tab w:val="clear" w:pos="3969"/>
          <w:tab w:val="clear" w:pos="5103"/>
          <w:tab w:val="clear" w:pos="6237"/>
          <w:tab w:val="clear" w:pos="7371"/>
        </w:tabs>
        <w:rPr>
          <w:szCs w:val="26"/>
        </w:rPr>
      </w:pPr>
      <w:r w:rsidRPr="006678EC">
        <w:rPr>
          <w:szCs w:val="26"/>
        </w:rPr>
        <w:t>e)</w:t>
      </w:r>
      <w:r w:rsidR="005153F6" w:rsidRPr="006678EC">
        <w:rPr>
          <w:szCs w:val="26"/>
        </w:rPr>
        <w:t xml:space="preserve"> Sobre e</w:t>
      </w:r>
      <w:r w:rsidRPr="006678EC">
        <w:rPr>
          <w:szCs w:val="26"/>
        </w:rPr>
        <w:t>l número de contratos de investigación formalizados (art. 83 de la LOU)</w:t>
      </w:r>
      <w:r w:rsidR="006C2C26" w:rsidRPr="006678EC">
        <w:rPr>
          <w:szCs w:val="26"/>
        </w:rPr>
        <w:t>,</w:t>
      </w:r>
      <w:r w:rsidR="0055345C" w:rsidRPr="006678EC">
        <w:rPr>
          <w:szCs w:val="26"/>
        </w:rPr>
        <w:t xml:space="preserve"> </w:t>
      </w:r>
      <w:r w:rsidR="005153F6" w:rsidRPr="006678EC">
        <w:rPr>
          <w:szCs w:val="26"/>
        </w:rPr>
        <w:t>se observa una cierta tendencia descendente. En 2014, ha supuesto un importe de 1,07 millones y el 72 por ciento de dichos contratos se han formal</w:t>
      </w:r>
      <w:r w:rsidR="005153F6" w:rsidRPr="006678EC">
        <w:rPr>
          <w:szCs w:val="26"/>
        </w:rPr>
        <w:t>i</w:t>
      </w:r>
      <w:r w:rsidR="005153F6" w:rsidRPr="006678EC">
        <w:rPr>
          <w:szCs w:val="26"/>
        </w:rPr>
        <w:t>zado con empresas.</w:t>
      </w:r>
    </w:p>
    <w:p w:rsidR="000668B0" w:rsidRPr="00AE781F" w:rsidRDefault="005153F6" w:rsidP="00AE781F">
      <w:pPr>
        <w:pStyle w:val="texto"/>
        <w:tabs>
          <w:tab w:val="clear" w:pos="2835"/>
          <w:tab w:val="clear" w:pos="3969"/>
          <w:tab w:val="clear" w:pos="5103"/>
          <w:tab w:val="clear" w:pos="6237"/>
          <w:tab w:val="clear" w:pos="7371"/>
        </w:tabs>
        <w:rPr>
          <w:szCs w:val="26"/>
        </w:rPr>
      </w:pPr>
      <w:r>
        <w:rPr>
          <w:szCs w:val="26"/>
        </w:rPr>
        <w:t xml:space="preserve">f) </w:t>
      </w:r>
      <w:r w:rsidRPr="001D0F67">
        <w:rPr>
          <w:szCs w:val="26"/>
        </w:rPr>
        <w:t xml:space="preserve">En relación con proyectos de investigación </w:t>
      </w:r>
      <w:r w:rsidR="005D6292">
        <w:rPr>
          <w:szCs w:val="26"/>
        </w:rPr>
        <w:t>concedidos</w:t>
      </w:r>
      <w:r w:rsidRPr="001D0F67">
        <w:rPr>
          <w:szCs w:val="26"/>
        </w:rPr>
        <w:t xml:space="preserve"> a través de conv</w:t>
      </w:r>
      <w:r w:rsidRPr="001D0F67">
        <w:rPr>
          <w:szCs w:val="26"/>
        </w:rPr>
        <w:t>o</w:t>
      </w:r>
      <w:r w:rsidRPr="001D0F67">
        <w:rPr>
          <w:szCs w:val="26"/>
        </w:rPr>
        <w:t xml:space="preserve">catorias públicas, presenta un incremento relevante en el último año analizado. </w:t>
      </w:r>
      <w:r>
        <w:rPr>
          <w:szCs w:val="26"/>
        </w:rPr>
        <w:t>Así, en 2014, se han obt</w:t>
      </w:r>
      <w:r w:rsidR="00EA32EA">
        <w:rPr>
          <w:szCs w:val="26"/>
        </w:rPr>
        <w:t>enido un total de 57 proyectos –</w:t>
      </w:r>
      <w:r>
        <w:rPr>
          <w:szCs w:val="26"/>
        </w:rPr>
        <w:t>28 de las administr</w:t>
      </w:r>
      <w:r>
        <w:rPr>
          <w:szCs w:val="26"/>
        </w:rPr>
        <w:t>a</w:t>
      </w:r>
      <w:r>
        <w:rPr>
          <w:szCs w:val="26"/>
        </w:rPr>
        <w:t>ciones autonómicas, 26 de la administración estatal y 3 de proyectos europeos</w:t>
      </w:r>
      <w:r w:rsidR="00EA32EA">
        <w:rPr>
          <w:szCs w:val="26"/>
        </w:rPr>
        <w:t>–</w:t>
      </w:r>
      <w:r>
        <w:rPr>
          <w:szCs w:val="26"/>
        </w:rPr>
        <w:t>, y ha</w:t>
      </w:r>
      <w:r w:rsidR="00C1292D">
        <w:rPr>
          <w:szCs w:val="26"/>
        </w:rPr>
        <w:t xml:space="preserve">n supuesto un importe concedido </w:t>
      </w:r>
      <w:r>
        <w:rPr>
          <w:szCs w:val="26"/>
        </w:rPr>
        <w:t>de 4,22 millones.</w:t>
      </w:r>
    </w:p>
    <w:p w:rsidR="003D1006" w:rsidRDefault="003D1006" w:rsidP="003D1006">
      <w:pPr>
        <w:pStyle w:val="atitulo2"/>
        <w:spacing w:before="240"/>
      </w:pPr>
      <w:bookmarkStart w:id="29" w:name="_Toc443895233"/>
      <w:r>
        <w:lastRenderedPageBreak/>
        <w:t xml:space="preserve">IV.2. </w:t>
      </w:r>
      <w:r w:rsidR="00B04CB5">
        <w:t>Cumplimiento de r</w:t>
      </w:r>
      <w:r>
        <w:t xml:space="preserve">ecomendaciones </w:t>
      </w:r>
      <w:r w:rsidR="00B04CB5">
        <w:t xml:space="preserve">emitidas en </w:t>
      </w:r>
      <w:r>
        <w:t>informes anteriores de esta Cámara de Comptos</w:t>
      </w:r>
      <w:bookmarkEnd w:id="29"/>
    </w:p>
    <w:p w:rsidR="009217EC" w:rsidRDefault="009217EC" w:rsidP="003D1006">
      <w:pPr>
        <w:pStyle w:val="texto"/>
        <w:tabs>
          <w:tab w:val="clear" w:pos="2835"/>
          <w:tab w:val="clear" w:pos="3969"/>
          <w:tab w:val="clear" w:pos="5103"/>
          <w:tab w:val="clear" w:pos="6237"/>
          <w:tab w:val="clear" w:pos="7371"/>
          <w:tab w:val="num" w:pos="300"/>
          <w:tab w:val="num" w:pos="720"/>
        </w:tabs>
        <w:rPr>
          <w:szCs w:val="26"/>
        </w:rPr>
      </w:pPr>
      <w:r>
        <w:rPr>
          <w:szCs w:val="26"/>
        </w:rPr>
        <w:t>De</w:t>
      </w:r>
      <w:r w:rsidR="0096490F">
        <w:rPr>
          <w:szCs w:val="26"/>
        </w:rPr>
        <w:t>l informe</w:t>
      </w:r>
      <w:r>
        <w:rPr>
          <w:szCs w:val="26"/>
        </w:rPr>
        <w:t xml:space="preserve"> de esta Cámara</w:t>
      </w:r>
      <w:r w:rsidR="0096490F">
        <w:rPr>
          <w:szCs w:val="26"/>
        </w:rPr>
        <w:t xml:space="preserve"> sobre las cuentas de 2012</w:t>
      </w:r>
      <w:r>
        <w:rPr>
          <w:szCs w:val="26"/>
        </w:rPr>
        <w:t xml:space="preserve">, se han </w:t>
      </w:r>
      <w:r w:rsidR="00164155">
        <w:rPr>
          <w:szCs w:val="26"/>
        </w:rPr>
        <w:t>implantado</w:t>
      </w:r>
      <w:r w:rsidR="005E72C5">
        <w:rPr>
          <w:szCs w:val="26"/>
        </w:rPr>
        <w:t xml:space="preserve"> o están en fase de implantación</w:t>
      </w:r>
      <w:r>
        <w:rPr>
          <w:szCs w:val="26"/>
        </w:rPr>
        <w:t xml:space="preserve"> las siguientes recomendaciones:</w:t>
      </w:r>
    </w:p>
    <w:p w:rsidR="009217EC" w:rsidRPr="009217EC" w:rsidRDefault="009217EC" w:rsidP="009217EC">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9217EC">
        <w:rPr>
          <w:i/>
          <w:szCs w:val="26"/>
        </w:rPr>
        <w:t>Se ha incluido en la memoria la información referente a los litigios exi</w:t>
      </w:r>
      <w:r w:rsidRPr="009217EC">
        <w:rPr>
          <w:i/>
          <w:szCs w:val="26"/>
        </w:rPr>
        <w:t>s</w:t>
      </w:r>
      <w:r w:rsidRPr="009217EC">
        <w:rPr>
          <w:i/>
          <w:szCs w:val="26"/>
        </w:rPr>
        <w:t>tentes</w:t>
      </w:r>
      <w:r w:rsidR="00D90CE4">
        <w:rPr>
          <w:i/>
          <w:szCs w:val="26"/>
        </w:rPr>
        <w:t xml:space="preserve"> –fundamentalmente en materia de personal</w:t>
      </w:r>
      <w:r w:rsidR="009C554D">
        <w:rPr>
          <w:i/>
          <w:szCs w:val="26"/>
        </w:rPr>
        <w:t>–</w:t>
      </w:r>
      <w:r w:rsidRPr="009217EC">
        <w:rPr>
          <w:i/>
          <w:szCs w:val="26"/>
        </w:rPr>
        <w:t xml:space="preserve"> así como</w:t>
      </w:r>
      <w:r w:rsidR="00B70998">
        <w:rPr>
          <w:i/>
          <w:szCs w:val="26"/>
        </w:rPr>
        <w:t>,</w:t>
      </w:r>
      <w:r w:rsidRPr="009217EC">
        <w:rPr>
          <w:i/>
          <w:szCs w:val="26"/>
        </w:rPr>
        <w:t xml:space="preserve"> </w:t>
      </w:r>
      <w:r w:rsidR="00894636">
        <w:rPr>
          <w:i/>
          <w:szCs w:val="26"/>
        </w:rPr>
        <w:t>a tal fin</w:t>
      </w:r>
      <w:r w:rsidR="00B70998">
        <w:rPr>
          <w:i/>
          <w:szCs w:val="26"/>
        </w:rPr>
        <w:t>,</w:t>
      </w:r>
      <w:r w:rsidR="00894636">
        <w:rPr>
          <w:i/>
          <w:szCs w:val="26"/>
        </w:rPr>
        <w:t xml:space="preserve"> </w:t>
      </w:r>
      <w:r w:rsidRPr="009217EC">
        <w:rPr>
          <w:i/>
          <w:szCs w:val="26"/>
        </w:rPr>
        <w:t>se ha dotado la correspondiente provisión.</w:t>
      </w:r>
    </w:p>
    <w:p w:rsidR="009217EC" w:rsidRDefault="003A7A21" w:rsidP="009217EC">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A partir del</w:t>
      </w:r>
      <w:r w:rsidR="00865F5A">
        <w:rPr>
          <w:i/>
          <w:szCs w:val="26"/>
        </w:rPr>
        <w:t xml:space="preserve"> presupuesto de </w:t>
      </w:r>
      <w:r w:rsidR="009217EC" w:rsidRPr="009217EC">
        <w:rPr>
          <w:i/>
          <w:szCs w:val="26"/>
        </w:rPr>
        <w:t>2014, se ha adjuntado</w:t>
      </w:r>
      <w:r w:rsidR="0053220A">
        <w:rPr>
          <w:i/>
          <w:szCs w:val="26"/>
        </w:rPr>
        <w:t xml:space="preserve"> en los presupuestos </w:t>
      </w:r>
      <w:r w:rsidR="009217EC" w:rsidRPr="009217EC">
        <w:rPr>
          <w:i/>
          <w:szCs w:val="26"/>
        </w:rPr>
        <w:t xml:space="preserve"> i</w:t>
      </w:r>
      <w:r w:rsidR="009217EC" w:rsidRPr="009217EC">
        <w:rPr>
          <w:i/>
          <w:szCs w:val="26"/>
        </w:rPr>
        <w:t>n</w:t>
      </w:r>
      <w:r w:rsidR="009217EC" w:rsidRPr="009217EC">
        <w:rPr>
          <w:i/>
          <w:szCs w:val="26"/>
        </w:rPr>
        <w:t>formación sobre la relación de puestos de trabajo.</w:t>
      </w:r>
    </w:p>
    <w:p w:rsidR="005E72C5" w:rsidRPr="005E72C5" w:rsidRDefault="00894636" w:rsidP="005E72C5">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szCs w:val="26"/>
        </w:rPr>
      </w:pPr>
      <w:r>
        <w:rPr>
          <w:i/>
          <w:szCs w:val="26"/>
        </w:rPr>
        <w:t>La memoria</w:t>
      </w:r>
      <w:r w:rsidR="00F830C3">
        <w:rPr>
          <w:i/>
          <w:szCs w:val="26"/>
        </w:rPr>
        <w:t xml:space="preserve"> de 2014</w:t>
      </w:r>
      <w:r>
        <w:rPr>
          <w:i/>
          <w:szCs w:val="26"/>
        </w:rPr>
        <w:t xml:space="preserve"> contiene información de</w:t>
      </w:r>
      <w:r w:rsidR="005C1432">
        <w:rPr>
          <w:i/>
          <w:szCs w:val="26"/>
        </w:rPr>
        <w:t xml:space="preserve"> </w:t>
      </w:r>
      <w:r w:rsidR="00865F5A">
        <w:rPr>
          <w:i/>
          <w:szCs w:val="26"/>
        </w:rPr>
        <w:t xml:space="preserve">la </w:t>
      </w:r>
      <w:r>
        <w:rPr>
          <w:i/>
          <w:szCs w:val="26"/>
        </w:rPr>
        <w:t xml:space="preserve">relación de puestos de trabajo sobre puestos ocupados, vacantes, vacantes ocupadas temporalmente y puestos efectivos. </w:t>
      </w:r>
    </w:p>
    <w:p w:rsidR="005E72C5" w:rsidRPr="0059348F" w:rsidRDefault="00811A99" w:rsidP="005E72C5">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szCs w:val="26"/>
        </w:rPr>
      </w:pPr>
      <w:r>
        <w:rPr>
          <w:i/>
          <w:szCs w:val="26"/>
        </w:rPr>
        <w:t>E</w:t>
      </w:r>
      <w:r w:rsidR="005E72C5">
        <w:rPr>
          <w:i/>
          <w:szCs w:val="26"/>
        </w:rPr>
        <w:t>l proceso de implantación de la contabilidad analítica, tanto en su fase de personalización a la Universidad como en su mecanización</w:t>
      </w:r>
      <w:r w:rsidR="00915718">
        <w:rPr>
          <w:i/>
          <w:szCs w:val="26"/>
        </w:rPr>
        <w:t>,</w:t>
      </w:r>
      <w:r>
        <w:rPr>
          <w:i/>
          <w:szCs w:val="26"/>
        </w:rPr>
        <w:t xml:space="preserve"> está previsto </w:t>
      </w:r>
      <w:r w:rsidR="00915718">
        <w:rPr>
          <w:i/>
          <w:szCs w:val="26"/>
        </w:rPr>
        <w:t>que concluya en</w:t>
      </w:r>
      <w:r>
        <w:rPr>
          <w:i/>
          <w:szCs w:val="26"/>
        </w:rPr>
        <w:t xml:space="preserve"> el ejercicio de 2016.</w:t>
      </w:r>
    </w:p>
    <w:p w:rsidR="0059348F" w:rsidRPr="0059348F" w:rsidRDefault="00810912" w:rsidP="0059348F">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L</w:t>
      </w:r>
      <w:r w:rsidR="0059348F">
        <w:rPr>
          <w:i/>
          <w:szCs w:val="26"/>
        </w:rPr>
        <w:t>as bases de ejecución del presupuesto de 2016</w:t>
      </w:r>
      <w:r>
        <w:rPr>
          <w:i/>
          <w:szCs w:val="26"/>
        </w:rPr>
        <w:t xml:space="preserve"> </w:t>
      </w:r>
      <w:r w:rsidR="0059348F">
        <w:rPr>
          <w:i/>
          <w:szCs w:val="26"/>
        </w:rPr>
        <w:t>han adaptado</w:t>
      </w:r>
      <w:r w:rsidR="00D52408">
        <w:rPr>
          <w:i/>
          <w:szCs w:val="26"/>
        </w:rPr>
        <w:t>,</w:t>
      </w:r>
      <w:r w:rsidR="00D52408" w:rsidRPr="00D52408">
        <w:rPr>
          <w:i/>
          <w:szCs w:val="26"/>
        </w:rPr>
        <w:t xml:space="preserve"> </w:t>
      </w:r>
      <w:r w:rsidR="00D52408">
        <w:rPr>
          <w:i/>
          <w:szCs w:val="26"/>
        </w:rPr>
        <w:t>especia</w:t>
      </w:r>
      <w:r w:rsidR="00D52408">
        <w:rPr>
          <w:i/>
          <w:szCs w:val="26"/>
        </w:rPr>
        <w:t>l</w:t>
      </w:r>
      <w:r w:rsidR="00D52408">
        <w:rPr>
          <w:i/>
          <w:szCs w:val="26"/>
        </w:rPr>
        <w:t>mente en materia de intervención previa,</w:t>
      </w:r>
      <w:r w:rsidR="0059348F">
        <w:rPr>
          <w:i/>
          <w:szCs w:val="26"/>
        </w:rPr>
        <w:t xml:space="preserve"> las funciones del control interno s</w:t>
      </w:r>
      <w:r w:rsidR="0059348F">
        <w:rPr>
          <w:i/>
          <w:szCs w:val="26"/>
        </w:rPr>
        <w:t>o</w:t>
      </w:r>
      <w:r w:rsidR="0059348F">
        <w:rPr>
          <w:i/>
          <w:szCs w:val="26"/>
        </w:rPr>
        <w:t>bre los gastos de personal.</w:t>
      </w:r>
    </w:p>
    <w:p w:rsidR="003D1006" w:rsidRDefault="003D1006" w:rsidP="003D1006">
      <w:pPr>
        <w:pStyle w:val="texto"/>
        <w:tabs>
          <w:tab w:val="clear" w:pos="2835"/>
          <w:tab w:val="clear" w:pos="3969"/>
          <w:tab w:val="clear" w:pos="5103"/>
          <w:tab w:val="clear" w:pos="6237"/>
          <w:tab w:val="clear" w:pos="7371"/>
          <w:tab w:val="num" w:pos="300"/>
          <w:tab w:val="num" w:pos="720"/>
        </w:tabs>
        <w:rPr>
          <w:szCs w:val="26"/>
        </w:rPr>
      </w:pPr>
      <w:r>
        <w:rPr>
          <w:szCs w:val="26"/>
        </w:rPr>
        <w:t>Siguen vigentes las siguientes recomendaciones básicas</w:t>
      </w:r>
      <w:r w:rsidR="0096490F">
        <w:rPr>
          <w:szCs w:val="26"/>
        </w:rPr>
        <w:t xml:space="preserve"> contenidas en ant</w:t>
      </w:r>
      <w:r w:rsidR="0096490F">
        <w:rPr>
          <w:szCs w:val="26"/>
        </w:rPr>
        <w:t>e</w:t>
      </w:r>
      <w:r w:rsidR="0096490F">
        <w:rPr>
          <w:szCs w:val="26"/>
        </w:rPr>
        <w:t>riores informes</w:t>
      </w:r>
      <w:r>
        <w:rPr>
          <w:szCs w:val="26"/>
        </w:rPr>
        <w:t>:</w:t>
      </w:r>
    </w:p>
    <w:p w:rsidR="00BF3213" w:rsidRPr="00DB6381" w:rsidRDefault="003D1006" w:rsidP="00BF321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DB6381">
        <w:rPr>
          <w:i/>
          <w:szCs w:val="26"/>
        </w:rPr>
        <w:t xml:space="preserve">Modelo de financiación. </w:t>
      </w:r>
      <w:r w:rsidR="00555B02" w:rsidRPr="00DB6381">
        <w:rPr>
          <w:i/>
          <w:szCs w:val="26"/>
        </w:rPr>
        <w:t>Que e</w:t>
      </w:r>
      <w:r w:rsidRPr="00DB6381">
        <w:rPr>
          <w:i/>
          <w:szCs w:val="26"/>
        </w:rPr>
        <w:t>l Gobierno de Navarra</w:t>
      </w:r>
      <w:r w:rsidR="00E5521A" w:rsidRPr="00DB6381">
        <w:rPr>
          <w:i/>
          <w:szCs w:val="26"/>
        </w:rPr>
        <w:t>,</w:t>
      </w:r>
      <w:r w:rsidRPr="00DB6381">
        <w:rPr>
          <w:i/>
          <w:szCs w:val="26"/>
        </w:rPr>
        <w:t xml:space="preserve"> conjuntamente con la Universidad, defina un modelo plurianual de financiación que garantice la estabilidad y viabilidad financiera de la institución universitaria pública de Navarra. Dicho modelo debe permitir incentivar la </w:t>
      </w:r>
      <w:r w:rsidR="00555B02" w:rsidRPr="00DB6381">
        <w:rPr>
          <w:i/>
          <w:szCs w:val="26"/>
        </w:rPr>
        <w:t xml:space="preserve">mejora en la gestión de </w:t>
      </w:r>
      <w:r w:rsidR="00FD2E6C" w:rsidRPr="00DB6381">
        <w:rPr>
          <w:i/>
          <w:szCs w:val="26"/>
        </w:rPr>
        <w:t>sus</w:t>
      </w:r>
      <w:r w:rsidR="00555B02" w:rsidRPr="00DB6381">
        <w:rPr>
          <w:i/>
          <w:szCs w:val="26"/>
        </w:rPr>
        <w:t xml:space="preserve"> recursos, la </w:t>
      </w:r>
      <w:r w:rsidRPr="00DB6381">
        <w:rPr>
          <w:i/>
          <w:szCs w:val="26"/>
        </w:rPr>
        <w:t xml:space="preserve">transparencia, </w:t>
      </w:r>
      <w:r w:rsidR="00555B02" w:rsidRPr="00DB6381">
        <w:rPr>
          <w:i/>
          <w:szCs w:val="26"/>
        </w:rPr>
        <w:t xml:space="preserve">la </w:t>
      </w:r>
      <w:r w:rsidRPr="00DB6381">
        <w:rPr>
          <w:i/>
          <w:szCs w:val="26"/>
        </w:rPr>
        <w:t xml:space="preserve">calidad, </w:t>
      </w:r>
      <w:r w:rsidR="00555B02" w:rsidRPr="00DB6381">
        <w:rPr>
          <w:i/>
          <w:szCs w:val="26"/>
        </w:rPr>
        <w:t xml:space="preserve">la </w:t>
      </w:r>
      <w:r w:rsidRPr="00DB6381">
        <w:rPr>
          <w:i/>
          <w:szCs w:val="26"/>
        </w:rPr>
        <w:t>eficacia y eficiencia en su gestión desde todos sus ámbitos: docente, investigador</w:t>
      </w:r>
      <w:r w:rsidR="00555B02" w:rsidRPr="00DB6381">
        <w:rPr>
          <w:i/>
          <w:szCs w:val="26"/>
        </w:rPr>
        <w:t xml:space="preserve"> y</w:t>
      </w:r>
      <w:r w:rsidRPr="00DB6381">
        <w:rPr>
          <w:i/>
          <w:szCs w:val="26"/>
        </w:rPr>
        <w:t xml:space="preserve"> política</w:t>
      </w:r>
      <w:r w:rsidR="00555B02" w:rsidRPr="00DB6381">
        <w:rPr>
          <w:i/>
          <w:szCs w:val="26"/>
        </w:rPr>
        <w:t>s</w:t>
      </w:r>
      <w:r w:rsidRPr="00DB6381">
        <w:rPr>
          <w:i/>
          <w:szCs w:val="26"/>
        </w:rPr>
        <w:t xml:space="preserve"> de</w:t>
      </w:r>
      <w:r w:rsidR="00555B02" w:rsidRPr="00DB6381">
        <w:rPr>
          <w:i/>
          <w:szCs w:val="26"/>
        </w:rPr>
        <w:t xml:space="preserve"> gastos</w:t>
      </w:r>
      <w:r w:rsidR="00E5521A" w:rsidRPr="00DB6381">
        <w:rPr>
          <w:i/>
          <w:szCs w:val="26"/>
        </w:rPr>
        <w:t>,</w:t>
      </w:r>
      <w:r w:rsidRPr="00DB6381">
        <w:rPr>
          <w:i/>
          <w:szCs w:val="26"/>
        </w:rPr>
        <w:t xml:space="preserve"> inversi</w:t>
      </w:r>
      <w:r w:rsidRPr="00DB6381">
        <w:rPr>
          <w:i/>
          <w:szCs w:val="26"/>
        </w:rPr>
        <w:t>o</w:t>
      </w:r>
      <w:r w:rsidRPr="00DB6381">
        <w:rPr>
          <w:i/>
          <w:szCs w:val="26"/>
        </w:rPr>
        <w:t>nes</w:t>
      </w:r>
      <w:r w:rsidR="00E5521A" w:rsidRPr="00DB6381">
        <w:rPr>
          <w:i/>
          <w:szCs w:val="26"/>
        </w:rPr>
        <w:t xml:space="preserve"> e ingresos</w:t>
      </w:r>
      <w:r w:rsidR="00555B02" w:rsidRPr="00DB6381">
        <w:rPr>
          <w:i/>
          <w:szCs w:val="26"/>
        </w:rPr>
        <w:t>.</w:t>
      </w:r>
    </w:p>
    <w:p w:rsidR="0086030E" w:rsidRPr="00D52408" w:rsidRDefault="0086030E" w:rsidP="0086030E">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D52408">
        <w:rPr>
          <w:i/>
          <w:szCs w:val="26"/>
        </w:rPr>
        <w:t>Tramo autonómico de retribuciones del PDI. Conjuntamente con el G</w:t>
      </w:r>
      <w:r w:rsidRPr="00D52408">
        <w:rPr>
          <w:i/>
          <w:szCs w:val="26"/>
        </w:rPr>
        <w:t>o</w:t>
      </w:r>
      <w:r w:rsidRPr="00D52408">
        <w:rPr>
          <w:i/>
          <w:szCs w:val="26"/>
        </w:rPr>
        <w:t>bierno de Navarra y el Consejo Social</w:t>
      </w:r>
      <w:r w:rsidR="00D52408" w:rsidRPr="00D52408">
        <w:rPr>
          <w:i/>
          <w:szCs w:val="26"/>
        </w:rPr>
        <w:t xml:space="preserve"> y en línea con lo señalado en el art. 69 de la LOU</w:t>
      </w:r>
      <w:r w:rsidRPr="00D52408">
        <w:rPr>
          <w:i/>
          <w:szCs w:val="26"/>
        </w:rPr>
        <w:t>, analizar la introducción</w:t>
      </w:r>
      <w:r w:rsidR="000A734A" w:rsidRPr="00D52408">
        <w:rPr>
          <w:i/>
          <w:szCs w:val="26"/>
        </w:rPr>
        <w:t xml:space="preserve"> de conceptos adicionales en la</w:t>
      </w:r>
      <w:r w:rsidRPr="00D52408">
        <w:rPr>
          <w:i/>
          <w:szCs w:val="26"/>
        </w:rPr>
        <w:t xml:space="preserve"> determin</w:t>
      </w:r>
      <w:r w:rsidRPr="00D52408">
        <w:rPr>
          <w:i/>
          <w:szCs w:val="26"/>
        </w:rPr>
        <w:t>a</w:t>
      </w:r>
      <w:r w:rsidRPr="00D52408">
        <w:rPr>
          <w:i/>
          <w:szCs w:val="26"/>
        </w:rPr>
        <w:t xml:space="preserve">ción del actual tramo autonómico retributivo. </w:t>
      </w:r>
    </w:p>
    <w:p w:rsidR="00BF3213" w:rsidRDefault="00043C21" w:rsidP="003D1006">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Tender hacia el cumplimiento de</w:t>
      </w:r>
      <w:r w:rsidR="005644D4" w:rsidRPr="001255CD">
        <w:rPr>
          <w:i/>
          <w:szCs w:val="26"/>
        </w:rPr>
        <w:t xml:space="preserve"> la normativa de la LOU y las directrices de la plantilla del PDI en lo referente a la estr</w:t>
      </w:r>
      <w:r w:rsidR="001255CD" w:rsidRPr="001255CD">
        <w:rPr>
          <w:i/>
          <w:szCs w:val="26"/>
        </w:rPr>
        <w:t>uctura</w:t>
      </w:r>
      <w:r w:rsidR="005644D4" w:rsidRPr="001255CD">
        <w:rPr>
          <w:i/>
          <w:szCs w:val="26"/>
        </w:rPr>
        <w:t xml:space="preserve"> de su plantilla: peso del PDI contratado </w:t>
      </w:r>
      <w:r w:rsidR="001255CD" w:rsidRPr="001255CD">
        <w:rPr>
          <w:i/>
          <w:szCs w:val="26"/>
        </w:rPr>
        <w:t xml:space="preserve">sobre el total de PDI </w:t>
      </w:r>
      <w:r w:rsidR="005644D4" w:rsidRPr="001255CD">
        <w:rPr>
          <w:i/>
          <w:szCs w:val="26"/>
        </w:rPr>
        <w:t xml:space="preserve">inferior al 49 por ciento y del PDI doctor </w:t>
      </w:r>
      <w:r w:rsidR="001255CD" w:rsidRPr="001255CD">
        <w:rPr>
          <w:i/>
          <w:szCs w:val="26"/>
        </w:rPr>
        <w:t xml:space="preserve">sobre el total del PDI </w:t>
      </w:r>
      <w:r w:rsidR="005644D4" w:rsidRPr="001255CD">
        <w:rPr>
          <w:i/>
          <w:szCs w:val="26"/>
        </w:rPr>
        <w:t>superior al 70 por cien</w:t>
      </w:r>
      <w:r w:rsidR="001255CD" w:rsidRPr="001255CD">
        <w:rPr>
          <w:i/>
          <w:szCs w:val="26"/>
        </w:rPr>
        <w:t>to.</w:t>
      </w:r>
    </w:p>
    <w:p w:rsidR="00747A2F" w:rsidRPr="00C36BC5" w:rsidRDefault="003D1006" w:rsidP="00EA32EA">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after="0"/>
        <w:ind w:left="0" w:firstLine="290"/>
        <w:rPr>
          <w:i/>
          <w:szCs w:val="26"/>
        </w:rPr>
      </w:pPr>
      <w:r w:rsidRPr="00C36BC5">
        <w:rPr>
          <w:i/>
          <w:szCs w:val="26"/>
        </w:rPr>
        <w:t>C</w:t>
      </w:r>
      <w:r w:rsidR="00135DF2" w:rsidRPr="00C36BC5">
        <w:rPr>
          <w:i/>
          <w:szCs w:val="26"/>
        </w:rPr>
        <w:t xml:space="preserve">oincidiendo con el cierre </w:t>
      </w:r>
      <w:r w:rsidRPr="00C36BC5">
        <w:rPr>
          <w:i/>
          <w:szCs w:val="26"/>
        </w:rPr>
        <w:t>del pro</w:t>
      </w:r>
      <w:r w:rsidR="0013092A" w:rsidRPr="00C36BC5">
        <w:rPr>
          <w:i/>
          <w:szCs w:val="26"/>
        </w:rPr>
        <w:t xml:space="preserve">ceso anterior, sería </w:t>
      </w:r>
      <w:r w:rsidRPr="00C36BC5">
        <w:rPr>
          <w:i/>
          <w:szCs w:val="26"/>
        </w:rPr>
        <w:t xml:space="preserve">conveniente que la Universidad </w:t>
      </w:r>
      <w:r w:rsidR="00135DF2" w:rsidRPr="00C36BC5">
        <w:rPr>
          <w:i/>
          <w:szCs w:val="26"/>
        </w:rPr>
        <w:t>implantara</w:t>
      </w:r>
      <w:r w:rsidRPr="00C36BC5">
        <w:rPr>
          <w:i/>
          <w:szCs w:val="26"/>
        </w:rPr>
        <w:t xml:space="preserve"> el Plan General de Contabilidad Pública de 2010 para </w:t>
      </w:r>
      <w:r w:rsidR="00135DF2" w:rsidRPr="00C36BC5">
        <w:rPr>
          <w:i/>
          <w:szCs w:val="26"/>
        </w:rPr>
        <w:t>el registro y seguimiento de su actividad presupuestaria y</w:t>
      </w:r>
      <w:r w:rsidRPr="00C36BC5">
        <w:rPr>
          <w:i/>
          <w:szCs w:val="26"/>
        </w:rPr>
        <w:t xml:space="preserve"> financiera</w:t>
      </w:r>
      <w:r w:rsidR="00AA476E" w:rsidRPr="00C36BC5">
        <w:rPr>
          <w:i/>
          <w:szCs w:val="26"/>
        </w:rPr>
        <w:t xml:space="preserve">; también </w:t>
      </w:r>
      <w:r w:rsidR="00AA476E" w:rsidRPr="00C36BC5">
        <w:rPr>
          <w:i/>
          <w:szCs w:val="26"/>
        </w:rPr>
        <w:lastRenderedPageBreak/>
        <w:t>debería</w:t>
      </w:r>
      <w:r w:rsidR="00742560" w:rsidRPr="00C36BC5">
        <w:rPr>
          <w:i/>
          <w:szCs w:val="26"/>
        </w:rPr>
        <w:t xml:space="preserve"> </w:t>
      </w:r>
      <w:r w:rsidR="00B83B87" w:rsidRPr="00C36BC5">
        <w:rPr>
          <w:i/>
          <w:szCs w:val="26"/>
        </w:rPr>
        <w:t>adaptar la estructura</w:t>
      </w:r>
      <w:r w:rsidR="001744B3" w:rsidRPr="00C36BC5">
        <w:rPr>
          <w:i/>
          <w:szCs w:val="26"/>
        </w:rPr>
        <w:t xml:space="preserve"> y contenido</w:t>
      </w:r>
      <w:r w:rsidR="00B83B87" w:rsidRPr="00C36BC5">
        <w:rPr>
          <w:i/>
          <w:szCs w:val="26"/>
        </w:rPr>
        <w:t xml:space="preserve"> de su memoria anual a las prescri</w:t>
      </w:r>
      <w:r w:rsidR="00B83B87" w:rsidRPr="00C36BC5">
        <w:rPr>
          <w:i/>
          <w:szCs w:val="26"/>
        </w:rPr>
        <w:t>p</w:t>
      </w:r>
      <w:r w:rsidR="00B83B87" w:rsidRPr="00C36BC5">
        <w:rPr>
          <w:i/>
          <w:szCs w:val="26"/>
        </w:rPr>
        <w:t>ciones del mismo</w:t>
      </w:r>
      <w:r w:rsidRPr="00C36BC5">
        <w:rPr>
          <w:i/>
          <w:szCs w:val="26"/>
        </w:rPr>
        <w:t>.</w:t>
      </w:r>
      <w:r w:rsidR="009D42D3" w:rsidRPr="00C36BC5">
        <w:rPr>
          <w:i/>
          <w:szCs w:val="26"/>
        </w:rPr>
        <w:t xml:space="preserve"> Esta implantación deberá hacerse teniendo en cuenta la r</w:t>
      </w:r>
      <w:r w:rsidR="009D42D3" w:rsidRPr="00C36BC5">
        <w:rPr>
          <w:i/>
          <w:szCs w:val="26"/>
        </w:rPr>
        <w:t>e</w:t>
      </w:r>
      <w:r w:rsidR="009D42D3" w:rsidRPr="00C36BC5">
        <w:rPr>
          <w:i/>
          <w:szCs w:val="26"/>
        </w:rPr>
        <w:t>gulación que, al respecto, dicte el Gobierno de Navarra.</w:t>
      </w:r>
    </w:p>
    <w:p w:rsidR="001F52CA" w:rsidRDefault="001F52CA" w:rsidP="001F52CA">
      <w:pPr>
        <w:pStyle w:val="atitulo2"/>
        <w:spacing w:before="240"/>
      </w:pPr>
      <w:bookmarkStart w:id="30" w:name="_Toc443895234"/>
      <w:r>
        <w:t>IV.</w:t>
      </w:r>
      <w:r w:rsidR="003D1006">
        <w:t>3</w:t>
      </w:r>
      <w:r>
        <w:t>. Principios de estabilidad presupuestaria y sostenibilidad financiera</w:t>
      </w:r>
      <w:bookmarkEnd w:id="30"/>
    </w:p>
    <w:p w:rsidR="001F52CA" w:rsidRDefault="001F52CA" w:rsidP="001F52CA">
      <w:pPr>
        <w:pStyle w:val="texto"/>
      </w:pPr>
      <w:r>
        <w:t>La Universidad Pública como administración pública está sujeta al cumpl</w:t>
      </w:r>
      <w:r>
        <w:t>i</w:t>
      </w:r>
      <w:r>
        <w:t>miento de los principios de estabilidad presupuestaria y sostenibilidad financi</w:t>
      </w:r>
      <w:r>
        <w:t>e</w:t>
      </w:r>
      <w:r>
        <w:t xml:space="preserve">ra regulados en </w:t>
      </w:r>
      <w:r w:rsidRPr="00FB0A5A">
        <w:rPr>
          <w:szCs w:val="26"/>
        </w:rPr>
        <w:t>L</w:t>
      </w:r>
      <w:r>
        <w:rPr>
          <w:szCs w:val="26"/>
        </w:rPr>
        <w:t>OEPSF y sus normas de desarrollo</w:t>
      </w:r>
      <w:r>
        <w:t xml:space="preserve">. </w:t>
      </w:r>
    </w:p>
    <w:p w:rsidR="005C6F22" w:rsidRDefault="001F52CA" w:rsidP="001F52CA">
      <w:pPr>
        <w:pStyle w:val="texto"/>
      </w:pPr>
      <w:r>
        <w:t xml:space="preserve">Ahora bien, por esa misma normativa, la información financiera-presupuestaria de la Universidad se integra dentro del “sector administración pública” de la Administración de la Comunidad Foral y es, dentro de ese sector, donde se verifica globalmente el cumplimiento de tales principios. </w:t>
      </w:r>
    </w:p>
    <w:p w:rsidR="001F52CA" w:rsidRDefault="001F52CA" w:rsidP="001F52CA">
      <w:pPr>
        <w:pStyle w:val="texto"/>
      </w:pPr>
      <w:r>
        <w:t>El Gobierno de Navarra no ha regulado de forma específica la concreción de tales principios a la gestión presupuestaria de la Universidad.</w:t>
      </w:r>
    </w:p>
    <w:p w:rsidR="001F52CA" w:rsidRPr="008325B4" w:rsidRDefault="001F52CA" w:rsidP="001F52CA">
      <w:pPr>
        <w:pStyle w:val="texto"/>
        <w:rPr>
          <w:spacing w:val="0"/>
        </w:rPr>
      </w:pPr>
      <w:r w:rsidRPr="008325B4">
        <w:rPr>
          <w:spacing w:val="0"/>
        </w:rPr>
        <w:t xml:space="preserve">Partiendo de las premisas anteriores, conviene precisar las siguientes cuestiones: </w:t>
      </w:r>
    </w:p>
    <w:p w:rsidR="004F45ED" w:rsidRPr="004F45ED" w:rsidRDefault="001F52CA" w:rsidP="001F52C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rPr>
      </w:pPr>
      <w:r>
        <w:rPr>
          <w:szCs w:val="26"/>
        </w:rPr>
        <w:t>El Real Decreto-Ley 14/2012 de modificación de la LOU estab</w:t>
      </w:r>
      <w:r w:rsidR="004F45ED">
        <w:rPr>
          <w:szCs w:val="26"/>
        </w:rPr>
        <w:t>lece, en esta materia, que para:</w:t>
      </w:r>
    </w:p>
    <w:p w:rsidR="001F52CA" w:rsidRPr="00DA712E" w:rsidRDefault="001F52CA" w:rsidP="004F45ED">
      <w:pPr>
        <w:pStyle w:val="texto"/>
        <w:tabs>
          <w:tab w:val="clear" w:pos="2835"/>
          <w:tab w:val="clear" w:pos="3969"/>
          <w:tab w:val="clear" w:pos="5103"/>
          <w:tab w:val="clear" w:pos="6237"/>
          <w:tab w:val="clear" w:pos="7371"/>
          <w:tab w:val="left" w:pos="480"/>
          <w:tab w:val="num" w:pos="928"/>
          <w:tab w:val="num" w:pos="6597"/>
        </w:tabs>
        <w:ind w:left="290" w:firstLine="0"/>
        <w:rPr>
          <w:i/>
          <w:sz w:val="22"/>
          <w:szCs w:val="22"/>
        </w:rPr>
      </w:pPr>
      <w:r w:rsidRPr="00DA712E">
        <w:rPr>
          <w:sz w:val="22"/>
          <w:szCs w:val="22"/>
        </w:rPr>
        <w:t>“</w:t>
      </w:r>
      <w:r w:rsidR="004F45ED" w:rsidRPr="00DA712E">
        <w:rPr>
          <w:sz w:val="22"/>
          <w:szCs w:val="22"/>
        </w:rPr>
        <w:t>…</w:t>
      </w:r>
      <w:r w:rsidRPr="00DA712E">
        <w:rPr>
          <w:i/>
          <w:sz w:val="22"/>
          <w:szCs w:val="22"/>
        </w:rPr>
        <w:t>un mejor cumplimiento de la Ley Orgánica de Estabilidad Presupuestaria y Sostenib</w:t>
      </w:r>
      <w:r w:rsidRPr="00DA712E">
        <w:rPr>
          <w:i/>
          <w:sz w:val="22"/>
          <w:szCs w:val="22"/>
        </w:rPr>
        <w:t>i</w:t>
      </w:r>
      <w:r w:rsidRPr="00DA712E">
        <w:rPr>
          <w:i/>
          <w:sz w:val="22"/>
          <w:szCs w:val="22"/>
        </w:rPr>
        <w:t>lidad Financiera, las universidades deberán cumplir con las obligaciones siguientes:</w:t>
      </w:r>
    </w:p>
    <w:p w:rsidR="001F52CA" w:rsidRPr="00DA712E" w:rsidRDefault="001F52CA" w:rsidP="001F52CA">
      <w:pPr>
        <w:pStyle w:val="texto"/>
        <w:tabs>
          <w:tab w:val="clear" w:pos="2835"/>
          <w:tab w:val="clear" w:pos="3969"/>
          <w:tab w:val="clear" w:pos="5103"/>
          <w:tab w:val="clear" w:pos="6237"/>
          <w:tab w:val="clear" w:pos="7371"/>
          <w:tab w:val="left" w:pos="480"/>
          <w:tab w:val="num" w:pos="928"/>
          <w:tab w:val="num" w:pos="6597"/>
        </w:tabs>
        <w:rPr>
          <w:i/>
          <w:sz w:val="22"/>
          <w:szCs w:val="22"/>
        </w:rPr>
      </w:pPr>
      <w:r w:rsidRPr="00DA712E">
        <w:rPr>
          <w:i/>
          <w:sz w:val="22"/>
          <w:szCs w:val="22"/>
        </w:rPr>
        <w:t xml:space="preserve">a) Aprobarán un límite máximo de gasto de carácter anual que no podrá rebasarse. </w:t>
      </w:r>
    </w:p>
    <w:p w:rsidR="001F52CA" w:rsidRPr="00DA712E" w:rsidRDefault="001F52CA" w:rsidP="001F52CA">
      <w:pPr>
        <w:pStyle w:val="texto"/>
        <w:tabs>
          <w:tab w:val="clear" w:pos="2835"/>
          <w:tab w:val="clear" w:pos="3969"/>
          <w:tab w:val="clear" w:pos="5103"/>
          <w:tab w:val="clear" w:pos="6237"/>
          <w:tab w:val="clear" w:pos="7371"/>
          <w:tab w:val="left" w:pos="480"/>
          <w:tab w:val="num" w:pos="928"/>
          <w:tab w:val="num" w:pos="6597"/>
        </w:tabs>
        <w:rPr>
          <w:sz w:val="22"/>
          <w:szCs w:val="22"/>
        </w:rPr>
      </w:pPr>
      <w:r w:rsidRPr="00DA712E">
        <w:rPr>
          <w:i/>
          <w:sz w:val="22"/>
          <w:szCs w:val="22"/>
        </w:rPr>
        <w:t>b) Los presupuestos y sus liquidaciones harán referencia expresa al cumplimiento del equilibrio y sostenibilidad financiera</w:t>
      </w:r>
      <w:r w:rsidRPr="00DA712E">
        <w:rPr>
          <w:sz w:val="22"/>
          <w:szCs w:val="22"/>
        </w:rPr>
        <w:t>.”</w:t>
      </w:r>
    </w:p>
    <w:p w:rsidR="005C6F22" w:rsidRDefault="001F52CA" w:rsidP="005C6F22">
      <w:pPr>
        <w:pStyle w:val="texto"/>
        <w:tabs>
          <w:tab w:val="clear" w:pos="2835"/>
          <w:tab w:val="clear" w:pos="3969"/>
          <w:tab w:val="clear" w:pos="5103"/>
          <w:tab w:val="clear" w:pos="6237"/>
          <w:tab w:val="clear" w:pos="7371"/>
          <w:tab w:val="left" w:pos="480"/>
          <w:tab w:val="num" w:pos="928"/>
          <w:tab w:val="num" w:pos="6597"/>
        </w:tabs>
        <w:rPr>
          <w:szCs w:val="26"/>
        </w:rPr>
      </w:pPr>
      <w:r>
        <w:rPr>
          <w:szCs w:val="26"/>
        </w:rPr>
        <w:t>Esta es la única referencia legal específica para las universidades</w:t>
      </w:r>
      <w:r w:rsidR="00157CF0">
        <w:rPr>
          <w:szCs w:val="26"/>
        </w:rPr>
        <w:t xml:space="preserve"> públicas</w:t>
      </w:r>
      <w:r>
        <w:rPr>
          <w:szCs w:val="26"/>
        </w:rPr>
        <w:t xml:space="preserve"> en esta materia</w:t>
      </w:r>
      <w:r w:rsidR="005A6930">
        <w:rPr>
          <w:szCs w:val="26"/>
        </w:rPr>
        <w:t xml:space="preserve">, </w:t>
      </w:r>
      <w:r w:rsidR="005C6F22">
        <w:rPr>
          <w:szCs w:val="26"/>
        </w:rPr>
        <w:t xml:space="preserve"> aunque sin hacer </w:t>
      </w:r>
      <w:r w:rsidR="00ED6234">
        <w:rPr>
          <w:szCs w:val="26"/>
        </w:rPr>
        <w:t xml:space="preserve">mención a </w:t>
      </w:r>
      <w:r w:rsidR="005C6F22">
        <w:rPr>
          <w:szCs w:val="26"/>
        </w:rPr>
        <w:t xml:space="preserve">que las </w:t>
      </w:r>
      <w:r w:rsidR="00036215">
        <w:rPr>
          <w:szCs w:val="26"/>
        </w:rPr>
        <w:t>mismas</w:t>
      </w:r>
      <w:r w:rsidR="005C6F22">
        <w:rPr>
          <w:szCs w:val="26"/>
        </w:rPr>
        <w:t xml:space="preserve"> se integran dentro del sector administración pública de la respectiva comunidad autónoma.</w:t>
      </w:r>
      <w:r>
        <w:rPr>
          <w:szCs w:val="26"/>
        </w:rPr>
        <w:t xml:space="preserve"> </w:t>
      </w:r>
    </w:p>
    <w:p w:rsidR="001F52CA" w:rsidRPr="009B2B6D" w:rsidRDefault="001F52CA" w:rsidP="005C6F2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2014, la Universidad no ha cumplido con </w:t>
      </w:r>
      <w:r w:rsidR="005C6F22">
        <w:rPr>
          <w:szCs w:val="26"/>
        </w:rPr>
        <w:t>la</w:t>
      </w:r>
      <w:r>
        <w:rPr>
          <w:szCs w:val="26"/>
        </w:rPr>
        <w:t xml:space="preserve"> previsión legal</w:t>
      </w:r>
      <w:r w:rsidR="005C6F22">
        <w:rPr>
          <w:szCs w:val="26"/>
        </w:rPr>
        <w:t xml:space="preserve"> de aprobar un límite máximo de gasto no financiero. </w:t>
      </w:r>
      <w:r w:rsidR="005C6F22" w:rsidRPr="009B2B6D">
        <w:rPr>
          <w:szCs w:val="26"/>
        </w:rPr>
        <w:t xml:space="preserve">Ahora bien, </w:t>
      </w:r>
      <w:r w:rsidRPr="009B2B6D">
        <w:rPr>
          <w:szCs w:val="26"/>
        </w:rPr>
        <w:t xml:space="preserve">como ente integrante del sector administración pública, </w:t>
      </w:r>
      <w:r w:rsidR="005C6F22" w:rsidRPr="009B2B6D">
        <w:rPr>
          <w:szCs w:val="26"/>
        </w:rPr>
        <w:t xml:space="preserve">podría </w:t>
      </w:r>
      <w:r w:rsidRPr="009B2B6D">
        <w:rPr>
          <w:szCs w:val="26"/>
        </w:rPr>
        <w:t>entende</w:t>
      </w:r>
      <w:r w:rsidR="005C6F22" w:rsidRPr="009B2B6D">
        <w:rPr>
          <w:szCs w:val="26"/>
        </w:rPr>
        <w:t>rse que,</w:t>
      </w:r>
      <w:r w:rsidRPr="009B2B6D">
        <w:rPr>
          <w:szCs w:val="26"/>
        </w:rPr>
        <w:t xml:space="preserve"> en las estimaciones gl</w:t>
      </w:r>
      <w:r w:rsidRPr="009B2B6D">
        <w:rPr>
          <w:szCs w:val="26"/>
        </w:rPr>
        <w:t>o</w:t>
      </w:r>
      <w:r w:rsidRPr="009B2B6D">
        <w:rPr>
          <w:szCs w:val="26"/>
        </w:rPr>
        <w:t>bales realizadas para dicho sector por el Gobierno de Navarra</w:t>
      </w:r>
      <w:r w:rsidR="005C6F22" w:rsidRPr="009B2B6D">
        <w:rPr>
          <w:szCs w:val="26"/>
        </w:rPr>
        <w:t xml:space="preserve">, está implícito dicho límite al determinar </w:t>
      </w:r>
      <w:r w:rsidR="002B0A1D" w:rsidRPr="009B2B6D">
        <w:rPr>
          <w:szCs w:val="26"/>
        </w:rPr>
        <w:t xml:space="preserve">tanto </w:t>
      </w:r>
      <w:r w:rsidR="005C6F22" w:rsidRPr="009B2B6D">
        <w:rPr>
          <w:szCs w:val="26"/>
        </w:rPr>
        <w:t>el importe</w:t>
      </w:r>
      <w:r w:rsidRPr="009B2B6D">
        <w:rPr>
          <w:szCs w:val="26"/>
        </w:rPr>
        <w:t xml:space="preserve"> de la transferencia o aportación anual para el funcionamiento de la Universidad como la aprobación previa de sus gastos de perso</w:t>
      </w:r>
      <w:r w:rsidR="00915E20" w:rsidRPr="009B2B6D">
        <w:rPr>
          <w:szCs w:val="26"/>
        </w:rPr>
        <w:t xml:space="preserve">nal y </w:t>
      </w:r>
      <w:r w:rsidRPr="009B2B6D">
        <w:rPr>
          <w:szCs w:val="26"/>
        </w:rPr>
        <w:t>el importe de las tasas académicas.</w:t>
      </w:r>
    </w:p>
    <w:p w:rsidR="001F52CA" w:rsidRPr="009B2B6D" w:rsidRDefault="00ED6234" w:rsidP="009B2B6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Las bases de ejecución del presupuesto</w:t>
      </w:r>
      <w:r w:rsidR="009C4671">
        <w:rPr>
          <w:szCs w:val="26"/>
        </w:rPr>
        <w:t xml:space="preserve"> </w:t>
      </w:r>
      <w:r w:rsidR="00512C56">
        <w:rPr>
          <w:szCs w:val="26"/>
        </w:rPr>
        <w:t xml:space="preserve">de 2014 </w:t>
      </w:r>
      <w:r w:rsidR="009C4671">
        <w:rPr>
          <w:szCs w:val="26"/>
        </w:rPr>
        <w:t>de la Universidad</w:t>
      </w:r>
      <w:r>
        <w:rPr>
          <w:szCs w:val="26"/>
        </w:rPr>
        <w:t xml:space="preserve"> en su a</w:t>
      </w:r>
      <w:r>
        <w:rPr>
          <w:szCs w:val="26"/>
        </w:rPr>
        <w:t>r</w:t>
      </w:r>
      <w:r>
        <w:rPr>
          <w:szCs w:val="26"/>
        </w:rPr>
        <w:t>tículo 1 señalan que el presupuesto de 2014 “</w:t>
      </w:r>
      <w:r w:rsidRPr="00ED6234">
        <w:rPr>
          <w:i/>
          <w:szCs w:val="26"/>
        </w:rPr>
        <w:t>cumple con los criterios de equ</w:t>
      </w:r>
      <w:r w:rsidRPr="00ED6234">
        <w:rPr>
          <w:i/>
          <w:szCs w:val="26"/>
        </w:rPr>
        <w:t>i</w:t>
      </w:r>
      <w:r w:rsidRPr="00ED6234">
        <w:rPr>
          <w:i/>
          <w:szCs w:val="26"/>
        </w:rPr>
        <w:t>librio y sostenibilidad financieros recogidos en la LOEPSF</w:t>
      </w:r>
      <w:r>
        <w:rPr>
          <w:szCs w:val="26"/>
        </w:rPr>
        <w:t>”</w:t>
      </w:r>
      <w:r w:rsidR="009B2B6D">
        <w:rPr>
          <w:szCs w:val="26"/>
        </w:rPr>
        <w:t xml:space="preserve">. </w:t>
      </w:r>
      <w:r w:rsidRPr="009B2B6D">
        <w:rPr>
          <w:szCs w:val="26"/>
        </w:rPr>
        <w:t>E</w:t>
      </w:r>
      <w:r w:rsidR="001F52CA" w:rsidRPr="009B2B6D">
        <w:rPr>
          <w:szCs w:val="26"/>
        </w:rPr>
        <w:t>l Gobierno de Navarra comunicó</w:t>
      </w:r>
      <w:r w:rsidR="00C26676" w:rsidRPr="00C26676">
        <w:rPr>
          <w:szCs w:val="26"/>
        </w:rPr>
        <w:t xml:space="preserve"> </w:t>
      </w:r>
      <w:r w:rsidR="00C26676" w:rsidRPr="009B2B6D">
        <w:rPr>
          <w:szCs w:val="26"/>
        </w:rPr>
        <w:t>a la Universidad</w:t>
      </w:r>
      <w:r w:rsidR="009B2B6D">
        <w:rPr>
          <w:szCs w:val="26"/>
        </w:rPr>
        <w:t>, sin embargo,</w:t>
      </w:r>
      <w:r w:rsidR="001F52CA" w:rsidRPr="009B2B6D">
        <w:rPr>
          <w:szCs w:val="26"/>
        </w:rPr>
        <w:t xml:space="preserve"> que el presupuesto aprobado incurría en déficit al contemplar como fuente de financiación una parte del r</w:t>
      </w:r>
      <w:r w:rsidR="001F52CA" w:rsidRPr="009B2B6D">
        <w:rPr>
          <w:szCs w:val="26"/>
        </w:rPr>
        <w:t>e</w:t>
      </w:r>
      <w:r w:rsidR="001F52CA" w:rsidRPr="009B2B6D">
        <w:rPr>
          <w:szCs w:val="26"/>
        </w:rPr>
        <w:t xml:space="preserve">manente de tesorería para gastos generales. Resultado de ello, el </w:t>
      </w:r>
      <w:r w:rsidR="00AA476E">
        <w:rPr>
          <w:szCs w:val="26"/>
        </w:rPr>
        <w:t>r</w:t>
      </w:r>
      <w:r w:rsidR="001F52CA" w:rsidRPr="009B2B6D">
        <w:rPr>
          <w:szCs w:val="26"/>
        </w:rPr>
        <w:t>ector dictó una resolución de no disponibilidad de créditos para gastos, elimina</w:t>
      </w:r>
      <w:r w:rsidR="00F21187">
        <w:rPr>
          <w:szCs w:val="26"/>
        </w:rPr>
        <w:t>n</w:t>
      </w:r>
      <w:r w:rsidR="001F52CA" w:rsidRPr="009B2B6D">
        <w:rPr>
          <w:szCs w:val="26"/>
        </w:rPr>
        <w:t xml:space="preserve">do esa </w:t>
      </w:r>
      <w:r w:rsidR="001F52CA" w:rsidRPr="009B2B6D">
        <w:rPr>
          <w:szCs w:val="26"/>
        </w:rPr>
        <w:lastRenderedPageBreak/>
        <w:t xml:space="preserve">fuente de financiación y logrando el equilibrio de su </w:t>
      </w:r>
      <w:r w:rsidR="00F352D2">
        <w:rPr>
          <w:szCs w:val="26"/>
        </w:rPr>
        <w:t xml:space="preserve">presupuesto </w:t>
      </w:r>
      <w:r w:rsidR="001F52CA" w:rsidRPr="009B2B6D">
        <w:rPr>
          <w:szCs w:val="26"/>
        </w:rPr>
        <w:t>en términos de contabilidad presupuestaria</w:t>
      </w:r>
      <w:r w:rsidR="00F352D2">
        <w:rPr>
          <w:szCs w:val="26"/>
        </w:rPr>
        <w:t>.</w:t>
      </w:r>
    </w:p>
    <w:p w:rsidR="001F52CA" w:rsidRDefault="001F52CA" w:rsidP="00ED62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 liquidación del presupuesto de 2014 y la memoria de la cuenta general de la Universidad no contiene referencia expresa al cumplimiento de los ya c</w:t>
      </w:r>
      <w:r>
        <w:rPr>
          <w:szCs w:val="26"/>
        </w:rPr>
        <w:t>i</w:t>
      </w:r>
      <w:r>
        <w:rPr>
          <w:szCs w:val="26"/>
        </w:rPr>
        <w:t>tados principios de equilibrio presupuestario en términos de contabilidad n</w:t>
      </w:r>
      <w:r>
        <w:rPr>
          <w:szCs w:val="26"/>
        </w:rPr>
        <w:t>a</w:t>
      </w:r>
      <w:r>
        <w:rPr>
          <w:szCs w:val="26"/>
        </w:rPr>
        <w:t>cional, tal como establece la LOU. Exclusivamente en la memoria de la cuenta general, y dentro de su apartado 4.7 de indicadores económico-presupuestarios, se cita el indicador de capacidad o necesidad de financiación asimilándolo al saldo presupuestario no financiero (ingresos no financieros menos gastos no financieros</w:t>
      </w:r>
      <w:r w:rsidR="009B2B6D">
        <w:rPr>
          <w:szCs w:val="26"/>
        </w:rPr>
        <w:t>, con un saldo positivo de 1,24 millones</w:t>
      </w:r>
      <w:r>
        <w:rPr>
          <w:szCs w:val="26"/>
        </w:rPr>
        <w:t>), pero sin indicar si es nec</w:t>
      </w:r>
      <w:r>
        <w:rPr>
          <w:szCs w:val="26"/>
        </w:rPr>
        <w:t>e</w:t>
      </w:r>
      <w:r>
        <w:rPr>
          <w:szCs w:val="26"/>
        </w:rPr>
        <w:t>sario efectuar o no los ajustes precisos al citado saldo para determinar tal nec</w:t>
      </w:r>
      <w:r>
        <w:rPr>
          <w:szCs w:val="26"/>
        </w:rPr>
        <w:t>e</w:t>
      </w:r>
      <w:r>
        <w:rPr>
          <w:szCs w:val="26"/>
        </w:rPr>
        <w:t xml:space="preserve">sidad o capacidad de financiación en términos de contabilidad nacional. </w:t>
      </w:r>
    </w:p>
    <w:p w:rsidR="001F52CA" w:rsidRDefault="001F52CA" w:rsidP="00915E2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Sostenibilidad financiera o control sobre el volumen de deuda de la Un</w:t>
      </w:r>
      <w:r>
        <w:rPr>
          <w:szCs w:val="26"/>
        </w:rPr>
        <w:t>i</w:t>
      </w:r>
      <w:r>
        <w:rPr>
          <w:szCs w:val="26"/>
        </w:rPr>
        <w:t>versidad para hacer frente a sus compromisos de gastos presentes y futuros. Partiendo de que el control de la deuda pública se efectúa sobre datos consol</w:t>
      </w:r>
      <w:r>
        <w:rPr>
          <w:szCs w:val="26"/>
        </w:rPr>
        <w:t>i</w:t>
      </w:r>
      <w:r>
        <w:rPr>
          <w:szCs w:val="26"/>
        </w:rPr>
        <w:t>dados del sector administración pública del Gobierno de Navarra, no habiénd</w:t>
      </w:r>
      <w:r>
        <w:rPr>
          <w:szCs w:val="26"/>
        </w:rPr>
        <w:t>o</w:t>
      </w:r>
      <w:r>
        <w:rPr>
          <w:szCs w:val="26"/>
        </w:rPr>
        <w:t>se establecido expresamente objetivos concretos para la Universidad</w:t>
      </w:r>
      <w:r w:rsidR="008C1C78">
        <w:rPr>
          <w:szCs w:val="26"/>
        </w:rPr>
        <w:t>. No ob</w:t>
      </w:r>
      <w:r w:rsidR="008C1C78">
        <w:rPr>
          <w:szCs w:val="26"/>
        </w:rPr>
        <w:t>s</w:t>
      </w:r>
      <w:r w:rsidR="008C1C78">
        <w:rPr>
          <w:szCs w:val="26"/>
        </w:rPr>
        <w:t>tante</w:t>
      </w:r>
      <w:r w:rsidR="00AA476E">
        <w:rPr>
          <w:szCs w:val="26"/>
        </w:rPr>
        <w:t>, teniendo en cuenta</w:t>
      </w:r>
      <w:r w:rsidR="008C1C78">
        <w:rPr>
          <w:szCs w:val="26"/>
        </w:rPr>
        <w:t xml:space="preserve"> tanto la naturaleza de los entes concedentes de tales préstamos y anticipos –administraciones públicas</w:t>
      </w:r>
      <w:r w:rsidR="00D31BB1">
        <w:rPr>
          <w:szCs w:val="26"/>
        </w:rPr>
        <w:t>–</w:t>
      </w:r>
      <w:r w:rsidR="008C1C78">
        <w:rPr>
          <w:szCs w:val="26"/>
        </w:rPr>
        <w:t xml:space="preserve"> como </w:t>
      </w:r>
      <w:r w:rsidR="00AA476E">
        <w:rPr>
          <w:szCs w:val="26"/>
        </w:rPr>
        <w:t>l</w:t>
      </w:r>
      <w:r>
        <w:rPr>
          <w:szCs w:val="26"/>
        </w:rPr>
        <w:t>a relevancia cuantit</w:t>
      </w:r>
      <w:r>
        <w:rPr>
          <w:szCs w:val="26"/>
        </w:rPr>
        <w:t>a</w:t>
      </w:r>
      <w:r>
        <w:rPr>
          <w:szCs w:val="26"/>
        </w:rPr>
        <w:t xml:space="preserve">tiva mínima </w:t>
      </w:r>
      <w:r w:rsidR="00D31BB1">
        <w:rPr>
          <w:szCs w:val="26"/>
        </w:rPr>
        <w:t>–</w:t>
      </w:r>
      <w:r>
        <w:rPr>
          <w:szCs w:val="26"/>
        </w:rPr>
        <w:t>2,6 millones, es decir, el cuatro por ciento de sus ingresos c</w:t>
      </w:r>
      <w:r>
        <w:rPr>
          <w:szCs w:val="26"/>
        </w:rPr>
        <w:t>o</w:t>
      </w:r>
      <w:r>
        <w:rPr>
          <w:szCs w:val="26"/>
        </w:rPr>
        <w:t>rrientes</w:t>
      </w:r>
      <w:r w:rsidR="00D31BB1">
        <w:rPr>
          <w:szCs w:val="26"/>
        </w:rPr>
        <w:t xml:space="preserve">–, </w:t>
      </w:r>
      <w:r>
        <w:rPr>
          <w:szCs w:val="26"/>
        </w:rPr>
        <w:t xml:space="preserve">podemos concluir que la Universidad </w:t>
      </w:r>
      <w:r w:rsidR="00F352D2">
        <w:rPr>
          <w:szCs w:val="26"/>
        </w:rPr>
        <w:t xml:space="preserve">respeta </w:t>
      </w:r>
      <w:r>
        <w:rPr>
          <w:szCs w:val="26"/>
        </w:rPr>
        <w:t>este principio de sost</w:t>
      </w:r>
      <w:r>
        <w:rPr>
          <w:szCs w:val="26"/>
        </w:rPr>
        <w:t>e</w:t>
      </w:r>
      <w:r>
        <w:rPr>
          <w:szCs w:val="26"/>
        </w:rPr>
        <w:t xml:space="preserve">nibilidad financiera. </w:t>
      </w:r>
    </w:p>
    <w:p w:rsidR="001F52CA" w:rsidRDefault="001F52CA" w:rsidP="00915E20">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Sostenibilidad de la deuda comercial. Tal principio se mide a través del i</w:t>
      </w:r>
      <w:r>
        <w:rPr>
          <w:szCs w:val="26"/>
        </w:rPr>
        <w:t>n</w:t>
      </w:r>
      <w:r>
        <w:rPr>
          <w:szCs w:val="26"/>
        </w:rPr>
        <w:t xml:space="preserve">dicador </w:t>
      </w:r>
      <w:r w:rsidR="00E2471F">
        <w:rPr>
          <w:szCs w:val="26"/>
        </w:rPr>
        <w:t xml:space="preserve">o promedio </w:t>
      </w:r>
      <w:r>
        <w:rPr>
          <w:szCs w:val="26"/>
        </w:rPr>
        <w:t>de periodo medio de pago a proveedores medido en días</w:t>
      </w:r>
      <w:r w:rsidR="00AA476E">
        <w:rPr>
          <w:szCs w:val="26"/>
        </w:rPr>
        <w:t>.</w:t>
      </w:r>
      <w:r>
        <w:rPr>
          <w:szCs w:val="26"/>
        </w:rPr>
        <w:t xml:space="preserve"> </w:t>
      </w:r>
      <w:r w:rsidR="00AA476E">
        <w:rPr>
          <w:szCs w:val="26"/>
        </w:rPr>
        <w:t>S</w:t>
      </w:r>
      <w:r>
        <w:rPr>
          <w:szCs w:val="26"/>
        </w:rPr>
        <w:t xml:space="preserve">e entiende que existe sostenibilidad cuando el citado </w:t>
      </w:r>
      <w:r w:rsidR="00E2471F">
        <w:rPr>
          <w:szCs w:val="26"/>
        </w:rPr>
        <w:t>promedio</w:t>
      </w:r>
      <w:r>
        <w:rPr>
          <w:szCs w:val="26"/>
        </w:rPr>
        <w:t xml:space="preserve"> no supera el plazo máximo de pago previsto en la normativa de morosidad en operaciones comerciales que, con carácter general, es de 30 días</w:t>
      </w:r>
      <w:r w:rsidR="007024EC">
        <w:rPr>
          <w:szCs w:val="26"/>
        </w:rPr>
        <w:t>.</w:t>
      </w:r>
      <w:r>
        <w:rPr>
          <w:szCs w:val="26"/>
        </w:rPr>
        <w:t xml:space="preserve"> </w:t>
      </w:r>
    </w:p>
    <w:p w:rsidR="001F52CA" w:rsidRPr="009C554D" w:rsidRDefault="001F52CA" w:rsidP="001F52CA">
      <w:pPr>
        <w:pStyle w:val="texto"/>
        <w:tabs>
          <w:tab w:val="clear" w:pos="2835"/>
          <w:tab w:val="clear" w:pos="3969"/>
          <w:tab w:val="clear" w:pos="5103"/>
          <w:tab w:val="clear" w:pos="6237"/>
          <w:tab w:val="clear" w:pos="7371"/>
          <w:tab w:val="left" w:pos="480"/>
          <w:tab w:val="num" w:pos="928"/>
          <w:tab w:val="num" w:pos="6597"/>
        </w:tabs>
        <w:rPr>
          <w:rFonts w:ascii="Times New (W1)" w:hAnsi="Times New (W1)"/>
          <w:spacing w:val="4"/>
          <w:szCs w:val="26"/>
        </w:rPr>
      </w:pPr>
      <w:r>
        <w:rPr>
          <w:szCs w:val="26"/>
        </w:rPr>
        <w:t>Si bien la Universidad no ha implantado hasta 2015 el Registro de Facturas –instrumento imprescindible para la medición del citado periodo medio- ha re</w:t>
      </w:r>
      <w:r>
        <w:rPr>
          <w:szCs w:val="26"/>
        </w:rPr>
        <w:t>a</w:t>
      </w:r>
      <w:r>
        <w:rPr>
          <w:szCs w:val="26"/>
        </w:rPr>
        <w:t xml:space="preserve">lizado estimaciones de dicho indicador, partiendo de las fechas de entrada de las facturas </w:t>
      </w:r>
      <w:r w:rsidR="005A6930">
        <w:rPr>
          <w:szCs w:val="26"/>
        </w:rPr>
        <w:t>o de</w:t>
      </w:r>
      <w:r>
        <w:rPr>
          <w:szCs w:val="26"/>
        </w:rPr>
        <w:t xml:space="preserve"> su fecha de contabilización. Esta información</w:t>
      </w:r>
      <w:r w:rsidR="00F352D2">
        <w:rPr>
          <w:szCs w:val="26"/>
        </w:rPr>
        <w:t>, que se publica en su página web,</w:t>
      </w:r>
      <w:r>
        <w:rPr>
          <w:szCs w:val="26"/>
        </w:rPr>
        <w:t xml:space="preserve"> se remite al</w:t>
      </w:r>
      <w:r w:rsidRPr="009C554D">
        <w:rPr>
          <w:rFonts w:ascii="Times New (W1)" w:hAnsi="Times New (W1)"/>
          <w:spacing w:val="4"/>
          <w:szCs w:val="26"/>
        </w:rPr>
        <w:t xml:space="preserve"> Gobierno de Navarra para su inclusión dentro de la información sobre el periodo medio de pago del sector administración pública</w:t>
      </w:r>
      <w:r w:rsidR="00F352D2" w:rsidRPr="009C554D">
        <w:rPr>
          <w:rFonts w:ascii="Times New (W1)" w:hAnsi="Times New (W1)"/>
          <w:spacing w:val="4"/>
          <w:szCs w:val="26"/>
        </w:rPr>
        <w:t>.</w:t>
      </w:r>
      <w:r w:rsidRPr="009C554D">
        <w:rPr>
          <w:rFonts w:ascii="Times New (W1)" w:hAnsi="Times New (W1)"/>
          <w:spacing w:val="4"/>
          <w:szCs w:val="26"/>
        </w:rPr>
        <w:t xml:space="preserve"> </w:t>
      </w:r>
    </w:p>
    <w:p w:rsidR="009D42D3" w:rsidRDefault="001F52CA" w:rsidP="00DB6381">
      <w:pPr>
        <w:pStyle w:val="texto"/>
        <w:tabs>
          <w:tab w:val="clear" w:pos="2835"/>
          <w:tab w:val="clear" w:pos="3969"/>
          <w:tab w:val="clear" w:pos="5103"/>
          <w:tab w:val="clear" w:pos="6237"/>
          <w:tab w:val="clear" w:pos="7371"/>
          <w:tab w:val="left" w:pos="480"/>
          <w:tab w:val="num" w:pos="928"/>
          <w:tab w:val="num" w:pos="6597"/>
        </w:tabs>
        <w:spacing w:after="240"/>
        <w:rPr>
          <w:szCs w:val="26"/>
        </w:rPr>
      </w:pPr>
      <w:r>
        <w:rPr>
          <w:szCs w:val="26"/>
        </w:rPr>
        <w:t>Así, desde septiembre de 2014, la Universidad presenta los siguientes val</w:t>
      </w:r>
      <w:r>
        <w:rPr>
          <w:szCs w:val="26"/>
        </w:rPr>
        <w:t>o</w:t>
      </w:r>
      <w:r w:rsidR="008F5289">
        <w:rPr>
          <w:szCs w:val="26"/>
        </w:rPr>
        <w:t>res de tal indicador</w:t>
      </w:r>
      <w:r w:rsidR="00E2471F">
        <w:rPr>
          <w:szCs w:val="26"/>
        </w:rPr>
        <w:t xml:space="preserve"> o promedio</w:t>
      </w:r>
      <w:r w:rsidR="008F5289">
        <w:rPr>
          <w:szCs w:val="26"/>
        </w:rPr>
        <w:t>:</w:t>
      </w:r>
    </w:p>
    <w:tbl>
      <w:tblPr>
        <w:tblW w:w="8736" w:type="dxa"/>
        <w:jc w:val="center"/>
        <w:tblLayout w:type="fixed"/>
        <w:tblLook w:val="01E0" w:firstRow="1" w:lastRow="1" w:firstColumn="1" w:lastColumn="1" w:noHBand="0" w:noVBand="0"/>
      </w:tblPr>
      <w:tblGrid>
        <w:gridCol w:w="5529"/>
        <w:gridCol w:w="3207"/>
      </w:tblGrid>
      <w:tr w:rsidR="001F52CA" w:rsidRPr="005438AF" w:rsidTr="000A4C01">
        <w:trPr>
          <w:trHeight w:val="255"/>
          <w:jc w:val="center"/>
        </w:trPr>
        <w:tc>
          <w:tcPr>
            <w:tcW w:w="5529" w:type="dxa"/>
            <w:tcBorders>
              <w:top w:val="single" w:sz="4" w:space="0" w:color="auto"/>
              <w:bottom w:val="single" w:sz="4" w:space="0" w:color="auto"/>
            </w:tcBorders>
            <w:shd w:val="clear" w:color="auto" w:fill="A8CBEE" w:themeFill="accent2" w:themeFillTint="66"/>
            <w:vAlign w:val="center"/>
          </w:tcPr>
          <w:p w:rsidR="001F52CA" w:rsidRPr="003C315E" w:rsidRDefault="001F52CA" w:rsidP="000668B0">
            <w:pPr>
              <w:spacing w:after="0"/>
              <w:ind w:left="50" w:firstLine="0"/>
              <w:jc w:val="left"/>
              <w:rPr>
                <w:rFonts w:ascii="Arial" w:hAnsi="Arial" w:cs="Arial"/>
                <w:bCs/>
                <w:color w:val="000000"/>
                <w:sz w:val="18"/>
                <w:szCs w:val="18"/>
                <w:lang w:val="es-ES" w:eastAsia="es-ES"/>
              </w:rPr>
            </w:pPr>
            <w:r>
              <w:rPr>
                <w:rFonts w:ascii="Arial" w:hAnsi="Arial" w:cs="Arial"/>
                <w:bCs/>
                <w:color w:val="000000"/>
                <w:sz w:val="18"/>
                <w:szCs w:val="18"/>
                <w:lang w:val="es-ES" w:eastAsia="es-ES"/>
              </w:rPr>
              <w:t>Meses 2014</w:t>
            </w:r>
          </w:p>
        </w:tc>
        <w:tc>
          <w:tcPr>
            <w:tcW w:w="3207" w:type="dxa"/>
            <w:tcBorders>
              <w:top w:val="single" w:sz="4" w:space="0" w:color="auto"/>
              <w:bottom w:val="single" w:sz="4" w:space="0" w:color="auto"/>
            </w:tcBorders>
            <w:shd w:val="clear" w:color="auto" w:fill="A8CBEE" w:themeFill="accent2" w:themeFillTint="66"/>
            <w:vAlign w:val="center"/>
          </w:tcPr>
          <w:p w:rsidR="001F52CA" w:rsidRPr="003C315E" w:rsidRDefault="001F52CA" w:rsidP="009C554D">
            <w:pPr>
              <w:spacing w:after="0"/>
              <w:ind w:left="50"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Periodo medio de pago, en días</w:t>
            </w:r>
          </w:p>
        </w:tc>
      </w:tr>
      <w:tr w:rsidR="001F52CA" w:rsidRPr="00455A06" w:rsidTr="008325B4">
        <w:trPr>
          <w:trHeight w:val="255"/>
          <w:jc w:val="center"/>
        </w:trPr>
        <w:tc>
          <w:tcPr>
            <w:tcW w:w="5529" w:type="dxa"/>
            <w:tcBorders>
              <w:top w:val="single" w:sz="4" w:space="0" w:color="auto"/>
              <w:bottom w:val="single" w:sz="2" w:space="0" w:color="auto"/>
            </w:tcBorders>
            <w:vAlign w:val="center"/>
          </w:tcPr>
          <w:p w:rsidR="001F52CA" w:rsidRPr="00455A06" w:rsidRDefault="001F52CA" w:rsidP="000668B0">
            <w:pPr>
              <w:spacing w:after="0"/>
              <w:ind w:firstLine="0"/>
              <w:jc w:val="left"/>
              <w:rPr>
                <w:rFonts w:ascii="Arial Narrow" w:hAnsi="Arial Narrow"/>
                <w:lang w:val="es-ES" w:eastAsia="es-ES"/>
              </w:rPr>
            </w:pPr>
            <w:r w:rsidRPr="00455A06">
              <w:rPr>
                <w:rFonts w:ascii="Arial Narrow" w:hAnsi="Arial Narrow"/>
                <w:lang w:val="es-ES" w:eastAsia="es-ES"/>
              </w:rPr>
              <w:t>Septiembre</w:t>
            </w:r>
          </w:p>
        </w:tc>
        <w:tc>
          <w:tcPr>
            <w:tcW w:w="3207" w:type="dxa"/>
            <w:tcBorders>
              <w:top w:val="single" w:sz="4" w:space="0" w:color="auto"/>
              <w:bottom w:val="single" w:sz="2" w:space="0" w:color="auto"/>
            </w:tcBorders>
            <w:vAlign w:val="center"/>
          </w:tcPr>
          <w:p w:rsidR="001F52CA" w:rsidRPr="00455A06" w:rsidRDefault="001F52CA" w:rsidP="009C554D">
            <w:pPr>
              <w:spacing w:after="0"/>
              <w:ind w:firstLine="0"/>
              <w:jc w:val="right"/>
              <w:rPr>
                <w:rFonts w:ascii="Arial Narrow" w:hAnsi="Arial Narrow"/>
                <w:lang w:val="es-ES" w:eastAsia="es-ES"/>
              </w:rPr>
            </w:pPr>
            <w:r w:rsidRPr="00455A06">
              <w:rPr>
                <w:rFonts w:ascii="Arial Narrow" w:hAnsi="Arial Narrow"/>
                <w:lang w:val="es-ES" w:eastAsia="es-ES"/>
              </w:rPr>
              <w:t>(10,15)</w:t>
            </w:r>
          </w:p>
        </w:tc>
      </w:tr>
      <w:tr w:rsidR="001F52CA" w:rsidRPr="00455A06" w:rsidTr="008325B4">
        <w:trPr>
          <w:trHeight w:val="255"/>
          <w:jc w:val="center"/>
        </w:trPr>
        <w:tc>
          <w:tcPr>
            <w:tcW w:w="5529" w:type="dxa"/>
            <w:tcBorders>
              <w:top w:val="single" w:sz="2" w:space="0" w:color="auto"/>
              <w:bottom w:val="single" w:sz="2" w:space="0" w:color="auto"/>
            </w:tcBorders>
            <w:vAlign w:val="center"/>
          </w:tcPr>
          <w:p w:rsidR="001F52CA" w:rsidRPr="00455A06" w:rsidRDefault="001F52CA" w:rsidP="000668B0">
            <w:pPr>
              <w:spacing w:after="0"/>
              <w:ind w:firstLine="0"/>
              <w:jc w:val="left"/>
              <w:rPr>
                <w:rFonts w:ascii="Arial Narrow" w:hAnsi="Arial Narrow"/>
                <w:lang w:val="es-ES" w:eastAsia="es-ES"/>
              </w:rPr>
            </w:pPr>
            <w:r w:rsidRPr="00455A06">
              <w:rPr>
                <w:rFonts w:ascii="Arial Narrow" w:hAnsi="Arial Narrow"/>
                <w:lang w:val="es-ES" w:eastAsia="es-ES"/>
              </w:rPr>
              <w:t>Octubre</w:t>
            </w:r>
          </w:p>
        </w:tc>
        <w:tc>
          <w:tcPr>
            <w:tcW w:w="3207" w:type="dxa"/>
            <w:tcBorders>
              <w:top w:val="single" w:sz="2" w:space="0" w:color="auto"/>
              <w:bottom w:val="single" w:sz="2" w:space="0" w:color="auto"/>
            </w:tcBorders>
            <w:vAlign w:val="center"/>
          </w:tcPr>
          <w:p w:rsidR="001F52CA" w:rsidRPr="00455A06" w:rsidRDefault="001F52CA" w:rsidP="009C554D">
            <w:pPr>
              <w:spacing w:after="0"/>
              <w:ind w:firstLine="0"/>
              <w:jc w:val="right"/>
              <w:rPr>
                <w:rFonts w:ascii="Arial Narrow" w:hAnsi="Arial Narrow"/>
                <w:lang w:val="es-ES" w:eastAsia="es-ES"/>
              </w:rPr>
            </w:pPr>
            <w:r w:rsidRPr="00455A06">
              <w:rPr>
                <w:rFonts w:ascii="Arial Narrow" w:hAnsi="Arial Narrow"/>
                <w:lang w:val="es-ES" w:eastAsia="es-ES"/>
              </w:rPr>
              <w:t>(12,69)</w:t>
            </w:r>
          </w:p>
        </w:tc>
      </w:tr>
      <w:tr w:rsidR="001F52CA" w:rsidRPr="00455A06" w:rsidTr="008325B4">
        <w:trPr>
          <w:trHeight w:val="255"/>
          <w:jc w:val="center"/>
        </w:trPr>
        <w:tc>
          <w:tcPr>
            <w:tcW w:w="5529" w:type="dxa"/>
            <w:tcBorders>
              <w:top w:val="single" w:sz="2" w:space="0" w:color="auto"/>
              <w:bottom w:val="single" w:sz="2" w:space="0" w:color="auto"/>
            </w:tcBorders>
            <w:vAlign w:val="center"/>
          </w:tcPr>
          <w:p w:rsidR="001F52CA" w:rsidRPr="00455A06" w:rsidRDefault="001F52CA" w:rsidP="000668B0">
            <w:pPr>
              <w:spacing w:after="0"/>
              <w:ind w:firstLine="0"/>
              <w:jc w:val="left"/>
              <w:rPr>
                <w:rFonts w:ascii="Arial Narrow" w:hAnsi="Arial Narrow"/>
                <w:lang w:val="es-ES" w:eastAsia="es-ES"/>
              </w:rPr>
            </w:pPr>
            <w:r w:rsidRPr="00455A06">
              <w:rPr>
                <w:rFonts w:ascii="Arial Narrow" w:hAnsi="Arial Narrow"/>
                <w:lang w:val="es-ES" w:eastAsia="es-ES"/>
              </w:rPr>
              <w:t>Noviembre</w:t>
            </w:r>
          </w:p>
        </w:tc>
        <w:tc>
          <w:tcPr>
            <w:tcW w:w="3207" w:type="dxa"/>
            <w:tcBorders>
              <w:top w:val="single" w:sz="2" w:space="0" w:color="auto"/>
              <w:bottom w:val="single" w:sz="2" w:space="0" w:color="auto"/>
            </w:tcBorders>
            <w:vAlign w:val="center"/>
          </w:tcPr>
          <w:p w:rsidR="001F52CA" w:rsidRPr="00455A06" w:rsidRDefault="001F52CA" w:rsidP="009C554D">
            <w:pPr>
              <w:spacing w:after="0"/>
              <w:ind w:firstLine="0"/>
              <w:jc w:val="right"/>
              <w:rPr>
                <w:rFonts w:ascii="Arial Narrow" w:hAnsi="Arial Narrow"/>
                <w:lang w:val="es-ES" w:eastAsia="es-ES"/>
              </w:rPr>
            </w:pPr>
            <w:r w:rsidRPr="00455A06">
              <w:rPr>
                <w:rFonts w:ascii="Arial Narrow" w:hAnsi="Arial Narrow"/>
                <w:lang w:val="es-ES" w:eastAsia="es-ES"/>
              </w:rPr>
              <w:t>(10,10)</w:t>
            </w:r>
          </w:p>
        </w:tc>
      </w:tr>
      <w:tr w:rsidR="001F52CA" w:rsidRPr="00455A06" w:rsidTr="008325B4">
        <w:trPr>
          <w:trHeight w:val="255"/>
          <w:jc w:val="center"/>
        </w:trPr>
        <w:tc>
          <w:tcPr>
            <w:tcW w:w="5529" w:type="dxa"/>
            <w:tcBorders>
              <w:top w:val="single" w:sz="4" w:space="0" w:color="auto"/>
              <w:bottom w:val="single" w:sz="2" w:space="0" w:color="auto"/>
            </w:tcBorders>
            <w:vAlign w:val="center"/>
          </w:tcPr>
          <w:p w:rsidR="001F52CA" w:rsidRPr="00455A06" w:rsidRDefault="001F52CA" w:rsidP="000668B0">
            <w:pPr>
              <w:spacing w:after="0"/>
              <w:ind w:firstLine="0"/>
              <w:jc w:val="left"/>
              <w:rPr>
                <w:rFonts w:ascii="Arial Narrow" w:hAnsi="Arial Narrow"/>
                <w:lang w:val="es-ES" w:eastAsia="es-ES"/>
              </w:rPr>
            </w:pPr>
            <w:r w:rsidRPr="00455A06">
              <w:rPr>
                <w:rFonts w:ascii="Arial Narrow" w:hAnsi="Arial Narrow"/>
                <w:lang w:val="es-ES" w:eastAsia="es-ES"/>
              </w:rPr>
              <w:t>Diciembre</w:t>
            </w:r>
          </w:p>
        </w:tc>
        <w:tc>
          <w:tcPr>
            <w:tcW w:w="3207" w:type="dxa"/>
            <w:tcBorders>
              <w:top w:val="single" w:sz="4" w:space="0" w:color="auto"/>
              <w:bottom w:val="single" w:sz="2" w:space="0" w:color="auto"/>
            </w:tcBorders>
            <w:vAlign w:val="center"/>
          </w:tcPr>
          <w:p w:rsidR="001F52CA" w:rsidRPr="00455A06" w:rsidRDefault="001F52CA" w:rsidP="009C554D">
            <w:pPr>
              <w:spacing w:after="0"/>
              <w:ind w:firstLine="0"/>
              <w:jc w:val="right"/>
              <w:rPr>
                <w:rFonts w:ascii="Arial Narrow" w:hAnsi="Arial Narrow"/>
                <w:lang w:val="es-ES" w:eastAsia="es-ES"/>
              </w:rPr>
            </w:pPr>
            <w:r w:rsidRPr="00455A06">
              <w:rPr>
                <w:rFonts w:ascii="Arial Narrow" w:hAnsi="Arial Narrow"/>
                <w:lang w:val="es-ES" w:eastAsia="es-ES"/>
              </w:rPr>
              <w:t>(17,49)</w:t>
            </w:r>
          </w:p>
        </w:tc>
      </w:tr>
    </w:tbl>
    <w:p w:rsidR="001F52CA" w:rsidRDefault="001F52CA" w:rsidP="00EA32EA">
      <w:pPr>
        <w:pStyle w:val="texto"/>
        <w:tabs>
          <w:tab w:val="clear" w:pos="2835"/>
          <w:tab w:val="clear" w:pos="3969"/>
          <w:tab w:val="clear" w:pos="5103"/>
          <w:tab w:val="clear" w:pos="6237"/>
          <w:tab w:val="clear" w:pos="7371"/>
          <w:tab w:val="left" w:pos="480"/>
          <w:tab w:val="num" w:pos="928"/>
          <w:tab w:val="num" w:pos="6597"/>
        </w:tabs>
        <w:spacing w:before="120"/>
        <w:rPr>
          <w:szCs w:val="26"/>
        </w:rPr>
      </w:pPr>
      <w:r>
        <w:rPr>
          <w:szCs w:val="26"/>
        </w:rPr>
        <w:lastRenderedPageBreak/>
        <w:t>Los valores negativos en el indicador son representativos de que</w:t>
      </w:r>
      <w:r w:rsidR="00E2471F">
        <w:rPr>
          <w:szCs w:val="26"/>
        </w:rPr>
        <w:t xml:space="preserve"> en prom</w:t>
      </w:r>
      <w:r w:rsidR="00E2471F">
        <w:rPr>
          <w:szCs w:val="26"/>
        </w:rPr>
        <w:t>e</w:t>
      </w:r>
      <w:r w:rsidR="00E2471F">
        <w:rPr>
          <w:szCs w:val="26"/>
        </w:rPr>
        <w:t>dio</w:t>
      </w:r>
      <w:r>
        <w:rPr>
          <w:szCs w:val="26"/>
        </w:rPr>
        <w:t xml:space="preserve"> se paga la deuda comercial antes de que haya transcurrido el límite de los 30 días naturales. Por tanto, la Universidad ha cumplido con el principio de sostenibilidad de la deuda comercial.</w:t>
      </w:r>
    </w:p>
    <w:p w:rsidR="001F52CA" w:rsidRDefault="001F52CA" w:rsidP="0003621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 Universidad en 2014 no ha incurrido en un remanente de tesorería no afecto o para gastos generales negativo –el valor de esta magnitud es positivo por importe de 6,28 millones</w:t>
      </w:r>
      <w:r w:rsidR="00455A06">
        <w:rPr>
          <w:szCs w:val="26"/>
        </w:rPr>
        <w:t>–</w:t>
      </w:r>
      <w:r>
        <w:rPr>
          <w:szCs w:val="26"/>
        </w:rPr>
        <w:t xml:space="preserve">, por lo que no le </w:t>
      </w:r>
      <w:r w:rsidR="00AA476E">
        <w:rPr>
          <w:szCs w:val="26"/>
        </w:rPr>
        <w:t>son</w:t>
      </w:r>
      <w:r>
        <w:rPr>
          <w:szCs w:val="26"/>
        </w:rPr>
        <w:t xml:space="preserve"> de aplicación las previsi</w:t>
      </w:r>
      <w:r>
        <w:rPr>
          <w:szCs w:val="26"/>
        </w:rPr>
        <w:t>o</w:t>
      </w:r>
      <w:r>
        <w:rPr>
          <w:szCs w:val="26"/>
        </w:rPr>
        <w:t>nes contempladas en el art. 81.5. de la LOU cuando señala que, en ese supuesto de valor negativo, se procederá a reducir en el presupuesto de gastos del ejerc</w:t>
      </w:r>
      <w:r>
        <w:rPr>
          <w:szCs w:val="26"/>
        </w:rPr>
        <w:t>i</w:t>
      </w:r>
      <w:r>
        <w:rPr>
          <w:szCs w:val="26"/>
        </w:rPr>
        <w:t>cio siguiente por cuantía igual a ese remanente negativo.</w:t>
      </w:r>
    </w:p>
    <w:p w:rsidR="001F52CA" w:rsidRPr="003A57B3" w:rsidRDefault="001F52CA" w:rsidP="0003621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3A57B3">
        <w:rPr>
          <w:szCs w:val="26"/>
        </w:rPr>
        <w:t xml:space="preserve">La </w:t>
      </w:r>
      <w:r w:rsidR="006D7959" w:rsidRPr="003A57B3">
        <w:rPr>
          <w:szCs w:val="26"/>
        </w:rPr>
        <w:t xml:space="preserve">fundación Universidad-Sociedad catalogada, en principio, </w:t>
      </w:r>
      <w:r w:rsidRPr="003A57B3">
        <w:rPr>
          <w:szCs w:val="26"/>
        </w:rPr>
        <w:t>como unidad de mercado –es decir, no tiene a estos efectos la consideración de administr</w:t>
      </w:r>
      <w:r w:rsidRPr="003A57B3">
        <w:rPr>
          <w:szCs w:val="26"/>
        </w:rPr>
        <w:t>a</w:t>
      </w:r>
      <w:r w:rsidRPr="003A57B3">
        <w:rPr>
          <w:szCs w:val="26"/>
        </w:rPr>
        <w:t>ción pública</w:t>
      </w:r>
      <w:r w:rsidR="00455A06">
        <w:rPr>
          <w:szCs w:val="26"/>
        </w:rPr>
        <w:t>–</w:t>
      </w:r>
      <w:r w:rsidRPr="003A57B3">
        <w:rPr>
          <w:szCs w:val="26"/>
        </w:rPr>
        <w:t>, cumpl</w:t>
      </w:r>
      <w:r w:rsidR="003A57B3">
        <w:rPr>
          <w:szCs w:val="26"/>
        </w:rPr>
        <w:t>iría</w:t>
      </w:r>
      <w:r w:rsidRPr="003A57B3">
        <w:rPr>
          <w:szCs w:val="26"/>
        </w:rPr>
        <w:t xml:space="preserve"> con los principios</w:t>
      </w:r>
      <w:r w:rsidR="003A57B3" w:rsidRPr="003A57B3">
        <w:rPr>
          <w:szCs w:val="26"/>
        </w:rPr>
        <w:t xml:space="preserve"> de estabilidad</w:t>
      </w:r>
      <w:r w:rsidRPr="003A57B3">
        <w:rPr>
          <w:szCs w:val="26"/>
        </w:rPr>
        <w:t xml:space="preserve"> aplicables a este tipo de entidades dado que, en 2014, presenta un excedente del ejercicio positivo. </w:t>
      </w:r>
    </w:p>
    <w:p w:rsidR="00E21AD1" w:rsidRDefault="00865F5A" w:rsidP="00EC27E5">
      <w:pPr>
        <w:pStyle w:val="texto"/>
        <w:tabs>
          <w:tab w:val="clear" w:pos="2835"/>
          <w:tab w:val="clear" w:pos="3969"/>
          <w:tab w:val="clear" w:pos="5103"/>
          <w:tab w:val="clear" w:pos="6237"/>
          <w:tab w:val="clear" w:pos="7371"/>
          <w:tab w:val="left" w:pos="480"/>
          <w:tab w:val="num" w:pos="928"/>
          <w:tab w:val="num" w:pos="6597"/>
        </w:tabs>
        <w:rPr>
          <w:szCs w:val="26"/>
        </w:rPr>
      </w:pPr>
      <w:r>
        <w:rPr>
          <w:szCs w:val="26"/>
        </w:rPr>
        <w:t>Como hecho</w:t>
      </w:r>
      <w:r w:rsidR="00E21AD1">
        <w:rPr>
          <w:szCs w:val="26"/>
        </w:rPr>
        <w:t>s</w:t>
      </w:r>
      <w:r>
        <w:rPr>
          <w:szCs w:val="26"/>
        </w:rPr>
        <w:t xml:space="preserve"> posterior</w:t>
      </w:r>
      <w:r w:rsidR="00E21AD1">
        <w:rPr>
          <w:szCs w:val="26"/>
        </w:rPr>
        <w:t>es</w:t>
      </w:r>
      <w:r>
        <w:rPr>
          <w:szCs w:val="26"/>
        </w:rPr>
        <w:t xml:space="preserve"> relevante</w:t>
      </w:r>
      <w:r w:rsidR="00FE0F68">
        <w:rPr>
          <w:szCs w:val="26"/>
        </w:rPr>
        <w:t xml:space="preserve"> destacamos que</w:t>
      </w:r>
      <w:r w:rsidR="007535A4">
        <w:rPr>
          <w:szCs w:val="26"/>
        </w:rPr>
        <w:t>:</w:t>
      </w:r>
    </w:p>
    <w:p w:rsidR="00E21AD1" w:rsidRDefault="00E21AD1" w:rsidP="00E21AD1">
      <w:pPr>
        <w:pStyle w:val="texto"/>
        <w:numPr>
          <w:ilvl w:val="0"/>
          <w:numId w:val="25"/>
        </w:numPr>
        <w:tabs>
          <w:tab w:val="clear" w:pos="2835"/>
          <w:tab w:val="clear" w:pos="3969"/>
          <w:tab w:val="clear" w:pos="5103"/>
          <w:tab w:val="clear" w:pos="6237"/>
          <w:tab w:val="clear" w:pos="7371"/>
          <w:tab w:val="left" w:pos="480"/>
          <w:tab w:val="num" w:pos="6597"/>
        </w:tabs>
        <w:rPr>
          <w:szCs w:val="26"/>
        </w:rPr>
      </w:pPr>
      <w:r>
        <w:rPr>
          <w:szCs w:val="26"/>
        </w:rPr>
        <w:t>Presupuesto de la Universidad para 2015, señala</w:t>
      </w:r>
      <w:r w:rsidR="007535A4">
        <w:rPr>
          <w:szCs w:val="26"/>
        </w:rPr>
        <w:t>:</w:t>
      </w:r>
    </w:p>
    <w:p w:rsidR="00E21AD1" w:rsidRDefault="00E21AD1" w:rsidP="00E21AD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Ante las instrucciones del Gobierno de Navarra sobre el reparto del objet</w:t>
      </w:r>
      <w:r>
        <w:rPr>
          <w:szCs w:val="26"/>
        </w:rPr>
        <w:t>i</w:t>
      </w:r>
      <w:r>
        <w:rPr>
          <w:szCs w:val="26"/>
        </w:rPr>
        <w:t>vo de estabilidad presupuestaria del ejercicio, la Universidad no puede utilizar el remante de tesorería no afecto previsto en dichos presupuestos en una cua</w:t>
      </w:r>
      <w:r>
        <w:rPr>
          <w:szCs w:val="26"/>
        </w:rPr>
        <w:t>n</w:t>
      </w:r>
      <w:r>
        <w:rPr>
          <w:szCs w:val="26"/>
        </w:rPr>
        <w:t>tía de 0,6 millones.</w:t>
      </w:r>
    </w:p>
    <w:p w:rsidR="00865F5A" w:rsidRDefault="00E21AD1" w:rsidP="00E21AD1">
      <w:pPr>
        <w:pStyle w:val="texto"/>
        <w:numPr>
          <w:ilvl w:val="0"/>
          <w:numId w:val="25"/>
        </w:numPr>
        <w:tabs>
          <w:tab w:val="clear" w:pos="2835"/>
          <w:tab w:val="clear" w:pos="3969"/>
          <w:tab w:val="clear" w:pos="5103"/>
          <w:tab w:val="clear" w:pos="6237"/>
          <w:tab w:val="clear" w:pos="7371"/>
          <w:tab w:val="left" w:pos="480"/>
          <w:tab w:val="num" w:pos="6597"/>
        </w:tabs>
        <w:rPr>
          <w:szCs w:val="26"/>
        </w:rPr>
      </w:pPr>
      <w:r>
        <w:rPr>
          <w:szCs w:val="26"/>
        </w:rPr>
        <w:t xml:space="preserve"> P</w:t>
      </w:r>
      <w:r w:rsidR="00FE0F68">
        <w:rPr>
          <w:szCs w:val="26"/>
        </w:rPr>
        <w:t xml:space="preserve">resupuesto de la Universidad para 2016, </w:t>
      </w:r>
      <w:r w:rsidR="00F562D0">
        <w:rPr>
          <w:szCs w:val="26"/>
        </w:rPr>
        <w:t>contempla</w:t>
      </w:r>
      <w:r w:rsidR="00FE0F68">
        <w:rPr>
          <w:szCs w:val="26"/>
        </w:rPr>
        <w:t>:</w:t>
      </w:r>
    </w:p>
    <w:p w:rsidR="00FE0F68" w:rsidRDefault="00FE0F68" w:rsidP="00FE0F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Se ha determinado el límite máximo de gasto de la Universidad para 2016, cuantificado en 86,77 millones.</w:t>
      </w:r>
    </w:p>
    <w:p w:rsidR="00FE0F68" w:rsidRDefault="00FE0F68" w:rsidP="00FE0F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Se analiza el cumplimiento del objetivo de estabilidad presupuestaria para ese ejercicio en términos de contabilidad nacional. Resultado de ello, se dete</w:t>
      </w:r>
      <w:r>
        <w:rPr>
          <w:szCs w:val="26"/>
        </w:rPr>
        <w:t>r</w:t>
      </w:r>
      <w:r>
        <w:rPr>
          <w:szCs w:val="26"/>
        </w:rPr>
        <w:t>minan unas necesidades de financiación o déficit de 0,65 millones.</w:t>
      </w:r>
    </w:p>
    <w:p w:rsidR="00FE0F68" w:rsidRDefault="006C7E9D" w:rsidP="00FE0F6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La distribución por el Gobierno de Navarra del objetivo de estabilidad pr</w:t>
      </w:r>
      <w:r>
        <w:rPr>
          <w:szCs w:val="26"/>
        </w:rPr>
        <w:t>e</w:t>
      </w:r>
      <w:r>
        <w:rPr>
          <w:szCs w:val="26"/>
        </w:rPr>
        <w:t>supuestaria de 2016 para todo el sector público de la Administración Foral permite que la Universidad pued</w:t>
      </w:r>
      <w:r w:rsidR="001359C4">
        <w:rPr>
          <w:szCs w:val="26"/>
        </w:rPr>
        <w:t>a</w:t>
      </w:r>
      <w:r>
        <w:rPr>
          <w:szCs w:val="26"/>
        </w:rPr>
        <w:t xml:space="preserve"> utilizar como</w:t>
      </w:r>
      <w:r w:rsidR="00FE0F68">
        <w:rPr>
          <w:szCs w:val="26"/>
        </w:rPr>
        <w:t xml:space="preserve"> fuente de financiación</w:t>
      </w:r>
      <w:r>
        <w:rPr>
          <w:szCs w:val="26"/>
        </w:rPr>
        <w:t xml:space="preserve"> el</w:t>
      </w:r>
      <w:r w:rsidR="00FE0F68">
        <w:rPr>
          <w:szCs w:val="26"/>
        </w:rPr>
        <w:t xml:space="preserve"> rem</w:t>
      </w:r>
      <w:r w:rsidR="00FE0F68">
        <w:rPr>
          <w:szCs w:val="26"/>
        </w:rPr>
        <w:t>a</w:t>
      </w:r>
      <w:r w:rsidR="00FE0F68">
        <w:rPr>
          <w:szCs w:val="26"/>
        </w:rPr>
        <w:t xml:space="preserve">nente de tesorería no afecto por un importe </w:t>
      </w:r>
      <w:r>
        <w:rPr>
          <w:szCs w:val="26"/>
        </w:rPr>
        <w:t>máximo de</w:t>
      </w:r>
      <w:r w:rsidR="00FE0F68">
        <w:rPr>
          <w:szCs w:val="26"/>
        </w:rPr>
        <w:t xml:space="preserve"> 0,9</w:t>
      </w:r>
      <w:r w:rsidR="007A7A8F">
        <w:rPr>
          <w:szCs w:val="26"/>
        </w:rPr>
        <w:t>5</w:t>
      </w:r>
      <w:r w:rsidR="00FE0F68">
        <w:rPr>
          <w:szCs w:val="26"/>
        </w:rPr>
        <w:t xml:space="preserve"> millones.</w:t>
      </w:r>
    </w:p>
    <w:p w:rsidR="00865F5A" w:rsidRDefault="000B429B" w:rsidP="00EC27E5">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De acuerdo con </w:t>
      </w:r>
      <w:r w:rsidR="007F2AA4">
        <w:rPr>
          <w:szCs w:val="26"/>
        </w:rPr>
        <w:t>lo expuesto</w:t>
      </w:r>
      <w:r>
        <w:rPr>
          <w:szCs w:val="26"/>
        </w:rPr>
        <w:t>, recomendamos</w:t>
      </w:r>
      <w:r w:rsidR="007F2AA4">
        <w:rPr>
          <w:szCs w:val="26"/>
        </w:rPr>
        <w:t xml:space="preserve"> que</w:t>
      </w:r>
      <w:r w:rsidR="00A62D7C">
        <w:rPr>
          <w:szCs w:val="26"/>
        </w:rPr>
        <w:t>:</w:t>
      </w:r>
    </w:p>
    <w:p w:rsidR="001F52CA" w:rsidRPr="008325B4" w:rsidRDefault="001F52CA" w:rsidP="001F52C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pacing w:val="4"/>
          <w:szCs w:val="26"/>
        </w:rPr>
      </w:pPr>
      <w:r w:rsidRPr="008325B4">
        <w:rPr>
          <w:i/>
          <w:spacing w:val="4"/>
          <w:szCs w:val="26"/>
        </w:rPr>
        <w:t xml:space="preserve">El Gobierno de Navarra </w:t>
      </w:r>
      <w:r w:rsidR="007F2AA4" w:rsidRPr="008325B4">
        <w:rPr>
          <w:i/>
          <w:spacing w:val="4"/>
          <w:szCs w:val="26"/>
        </w:rPr>
        <w:t>regul</w:t>
      </w:r>
      <w:r w:rsidR="005A6930" w:rsidRPr="008325B4">
        <w:rPr>
          <w:i/>
          <w:spacing w:val="4"/>
          <w:szCs w:val="26"/>
        </w:rPr>
        <w:t>e</w:t>
      </w:r>
      <w:r w:rsidRPr="008325B4">
        <w:rPr>
          <w:i/>
          <w:spacing w:val="4"/>
          <w:szCs w:val="26"/>
        </w:rPr>
        <w:t xml:space="preserve"> específicamente para la Universidad las obligaciones derivadas de la aplicación de los principios de estabilidad pres</w:t>
      </w:r>
      <w:r w:rsidRPr="008325B4">
        <w:rPr>
          <w:i/>
          <w:spacing w:val="4"/>
          <w:szCs w:val="26"/>
        </w:rPr>
        <w:t>u</w:t>
      </w:r>
      <w:r w:rsidRPr="008325B4">
        <w:rPr>
          <w:i/>
          <w:spacing w:val="4"/>
          <w:szCs w:val="26"/>
        </w:rPr>
        <w:t xml:space="preserve">puestaria y sostenibilidad financiera en la elaboración de sus presupuestos, en su liquidación y en la formulación de su cuenta general. Entre otras cuestiones, debería clarificarse el tratamiento a seguir con los </w:t>
      </w:r>
      <w:r w:rsidR="00357737" w:rsidRPr="008325B4">
        <w:rPr>
          <w:i/>
          <w:spacing w:val="4"/>
          <w:szCs w:val="26"/>
        </w:rPr>
        <w:t xml:space="preserve">remanentes de tesorería y </w:t>
      </w:r>
      <w:r w:rsidR="00566357" w:rsidRPr="008325B4">
        <w:rPr>
          <w:i/>
          <w:spacing w:val="4"/>
          <w:szCs w:val="26"/>
        </w:rPr>
        <w:t>la dotación del fondo de contingencia pr</w:t>
      </w:r>
      <w:r w:rsidR="00D311EA" w:rsidRPr="008325B4">
        <w:rPr>
          <w:i/>
          <w:spacing w:val="4"/>
          <w:szCs w:val="26"/>
        </w:rPr>
        <w:t>evisto en el art. 31 de la LOEP</w:t>
      </w:r>
      <w:r w:rsidR="00566357" w:rsidRPr="008325B4">
        <w:rPr>
          <w:i/>
          <w:spacing w:val="4"/>
          <w:szCs w:val="26"/>
        </w:rPr>
        <w:t>SF.</w:t>
      </w:r>
    </w:p>
    <w:p w:rsidR="001F52CA" w:rsidRPr="002317FE" w:rsidRDefault="001F52CA" w:rsidP="008325B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i/>
          <w:szCs w:val="26"/>
        </w:rPr>
      </w:pPr>
      <w:r w:rsidRPr="002317FE">
        <w:rPr>
          <w:i/>
          <w:szCs w:val="26"/>
        </w:rPr>
        <w:lastRenderedPageBreak/>
        <w:t xml:space="preserve">La Universidad </w:t>
      </w:r>
      <w:r w:rsidR="007F2AA4">
        <w:rPr>
          <w:i/>
          <w:szCs w:val="26"/>
        </w:rPr>
        <w:t>inform</w:t>
      </w:r>
      <w:r w:rsidR="005A6930">
        <w:rPr>
          <w:i/>
          <w:szCs w:val="26"/>
        </w:rPr>
        <w:t>e</w:t>
      </w:r>
      <w:r w:rsidRPr="002317FE">
        <w:rPr>
          <w:i/>
          <w:szCs w:val="26"/>
        </w:rPr>
        <w:t xml:space="preserve"> del cumplimiento de los principios de estabilidad y sostenibilidad </w:t>
      </w:r>
      <w:r w:rsidR="000B429B">
        <w:rPr>
          <w:i/>
          <w:szCs w:val="26"/>
        </w:rPr>
        <w:t>en la</w:t>
      </w:r>
      <w:r w:rsidRPr="002317FE">
        <w:rPr>
          <w:i/>
          <w:szCs w:val="26"/>
        </w:rPr>
        <w:t xml:space="preserve"> </w:t>
      </w:r>
      <w:r w:rsidR="006B1A80">
        <w:rPr>
          <w:i/>
          <w:szCs w:val="26"/>
        </w:rPr>
        <w:t xml:space="preserve">memoria de la </w:t>
      </w:r>
      <w:r w:rsidRPr="002317FE">
        <w:rPr>
          <w:i/>
          <w:szCs w:val="26"/>
        </w:rPr>
        <w:t>cuenta general.</w:t>
      </w:r>
    </w:p>
    <w:p w:rsidR="004B0D73" w:rsidRDefault="004B0D73" w:rsidP="004B0D73">
      <w:pPr>
        <w:pStyle w:val="atitulo2"/>
        <w:spacing w:before="240"/>
      </w:pPr>
      <w:bookmarkStart w:id="31" w:name="_Toc443895235"/>
      <w:r>
        <w:t>IV.4. Áreas de gestión relevantes</w:t>
      </w:r>
      <w:bookmarkEnd w:id="31"/>
    </w:p>
    <w:p w:rsidR="00AF2F5F" w:rsidRPr="00AF2F5F" w:rsidRDefault="00AF2F5F" w:rsidP="008325B4">
      <w:pPr>
        <w:pStyle w:val="texto"/>
        <w:tabs>
          <w:tab w:val="clear" w:pos="2835"/>
          <w:tab w:val="clear" w:pos="3969"/>
          <w:tab w:val="clear" w:pos="5103"/>
          <w:tab w:val="clear" w:pos="6237"/>
          <w:tab w:val="clear" w:pos="7371"/>
        </w:tabs>
        <w:spacing w:after="240"/>
        <w:rPr>
          <w:szCs w:val="26"/>
        </w:rPr>
      </w:pPr>
      <w:r w:rsidRPr="001761C3">
        <w:rPr>
          <w:szCs w:val="26"/>
        </w:rPr>
        <w:t xml:space="preserve">Con carácter previo queremos destacar </w:t>
      </w:r>
      <w:r>
        <w:rPr>
          <w:szCs w:val="26"/>
        </w:rPr>
        <w:t>el trabajo realizado</w:t>
      </w:r>
      <w:r w:rsidRPr="001761C3">
        <w:rPr>
          <w:szCs w:val="26"/>
        </w:rPr>
        <w:t xml:space="preserve"> por </w:t>
      </w:r>
      <w:r w:rsidR="00FB257D">
        <w:rPr>
          <w:szCs w:val="26"/>
        </w:rPr>
        <w:t>los</w:t>
      </w:r>
      <w:r w:rsidRPr="001761C3">
        <w:rPr>
          <w:szCs w:val="26"/>
        </w:rPr>
        <w:t xml:space="preserve"> servicio</w:t>
      </w:r>
      <w:r w:rsidR="00FB257D">
        <w:rPr>
          <w:szCs w:val="26"/>
        </w:rPr>
        <w:t>s</w:t>
      </w:r>
      <w:r w:rsidRPr="001761C3">
        <w:rPr>
          <w:szCs w:val="26"/>
        </w:rPr>
        <w:t xml:space="preserve"> </w:t>
      </w:r>
      <w:r w:rsidR="00850908">
        <w:rPr>
          <w:szCs w:val="26"/>
        </w:rPr>
        <w:t>de la Gerencia</w:t>
      </w:r>
      <w:r w:rsidR="00FB257D">
        <w:rPr>
          <w:szCs w:val="26"/>
        </w:rPr>
        <w:t xml:space="preserve"> y </w:t>
      </w:r>
      <w:r w:rsidRPr="001761C3">
        <w:rPr>
          <w:szCs w:val="26"/>
        </w:rPr>
        <w:t>de</w:t>
      </w:r>
      <w:r w:rsidR="00850908">
        <w:rPr>
          <w:szCs w:val="26"/>
        </w:rPr>
        <w:t>l servicio de</w:t>
      </w:r>
      <w:r w:rsidRPr="001761C3">
        <w:rPr>
          <w:szCs w:val="26"/>
        </w:rPr>
        <w:t xml:space="preserve"> Intervención y Auditoría</w:t>
      </w:r>
      <w:r>
        <w:rPr>
          <w:szCs w:val="26"/>
        </w:rPr>
        <w:t xml:space="preserve"> que ha facilitado de manera relevante</w:t>
      </w:r>
      <w:r w:rsidRPr="001761C3">
        <w:rPr>
          <w:szCs w:val="26"/>
        </w:rPr>
        <w:t xml:space="preserve"> la actuación</w:t>
      </w:r>
      <w:r w:rsidR="00FB257D">
        <w:rPr>
          <w:szCs w:val="26"/>
        </w:rPr>
        <w:t xml:space="preserve"> fiscalizadora</w:t>
      </w:r>
      <w:r w:rsidRPr="001761C3">
        <w:rPr>
          <w:szCs w:val="26"/>
        </w:rPr>
        <w:t xml:space="preserve"> de esta Cámara de Comptos.</w:t>
      </w:r>
    </w:p>
    <w:p w:rsidR="004B0D73" w:rsidRPr="00D03E5F" w:rsidRDefault="004B0D73" w:rsidP="004B0D73">
      <w:pPr>
        <w:pStyle w:val="atitulo3"/>
      </w:pPr>
      <w:r>
        <w:t>IV.4.1. Personal</w:t>
      </w:r>
    </w:p>
    <w:p w:rsidR="004B0D73" w:rsidRDefault="004B0D73" w:rsidP="004B0D73">
      <w:pPr>
        <w:pStyle w:val="texto"/>
      </w:pPr>
      <w:r>
        <w:t>Del trabajo realizado, destacamos: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Tal y como establece el artículo 81.4 de la LOU, el Gobierno de Navarra en sesión del 18 de diciembre de 2013, autorizó –con carácter previo a la apr</w:t>
      </w:r>
      <w:r>
        <w:t>o</w:t>
      </w:r>
      <w:r>
        <w:t>bación del presupuesto de la Universidad</w:t>
      </w:r>
      <w:r w:rsidR="008C27C2">
        <w:t>–</w:t>
      </w:r>
      <w:r>
        <w:t xml:space="preserve"> el coste del capítulo 1 de gastos de personal de la misma por un total de 49,65 millones.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En 2014, </w:t>
      </w:r>
      <w:r w:rsidR="008006BA">
        <w:t xml:space="preserve">al </w:t>
      </w:r>
      <w:r w:rsidR="00353B85">
        <w:t>PAS y al PDI contratado</w:t>
      </w:r>
      <w:r>
        <w:t>, se le aplicó, al igual que al resto de empleados del Gobierno de Navarra, el adelanto</w:t>
      </w:r>
      <w:r w:rsidR="00F16E95">
        <w:t xml:space="preserve"> a enero y julio</w:t>
      </w:r>
      <w:r>
        <w:t xml:space="preserve"> de las pagas e</w:t>
      </w:r>
      <w:r>
        <w:t>x</w:t>
      </w:r>
      <w:r>
        <w:t>tras</w:t>
      </w:r>
      <w:r w:rsidR="00F16E95">
        <w:t xml:space="preserve"> del año. En 2015</w:t>
      </w:r>
      <w:r>
        <w:t xml:space="preserve">, </w:t>
      </w:r>
      <w:r w:rsidR="00353B85">
        <w:t xml:space="preserve">todo el personal </w:t>
      </w:r>
      <w:r>
        <w:t xml:space="preserve">ha </w:t>
      </w:r>
      <w:r w:rsidR="00F16E95">
        <w:t>recuperado el</w:t>
      </w:r>
      <w:r>
        <w:t xml:space="preserve"> 2</w:t>
      </w:r>
      <w:r w:rsidR="008006BA">
        <w:t>4,04</w:t>
      </w:r>
      <w:r>
        <w:t xml:space="preserve"> por ciento de la paga extra de diciembre de 2012.</w:t>
      </w:r>
    </w:p>
    <w:p w:rsidR="001207A4" w:rsidRDefault="001207A4"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La oferta pública de 2014 se ha limitado a una plaza de titular de univers</w:t>
      </w:r>
      <w:r>
        <w:t>i</w:t>
      </w:r>
      <w:r>
        <w:t>dad</w:t>
      </w:r>
      <w:r w:rsidR="00F938CE">
        <w:t>; en 2015, la oferta ha incluido tres plazas de titulares</w:t>
      </w:r>
      <w:r w:rsidR="008C27C2">
        <w:t xml:space="preserve"> –por turno libre–</w:t>
      </w:r>
      <w:r w:rsidR="00F938CE">
        <w:t xml:space="preserve"> y tres plazas de catedráticos</w:t>
      </w:r>
      <w:r w:rsidR="00F8570D">
        <w:t xml:space="preserve"> –por promoción interna</w:t>
      </w:r>
      <w:r w:rsidR="008C27C2">
        <w:t>–.</w:t>
      </w:r>
    </w:p>
    <w:p w:rsidR="008D2841" w:rsidRDefault="00D311EA" w:rsidP="008D284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O</w:t>
      </w:r>
      <w:r w:rsidR="008D2841">
        <w:t>bserva</w:t>
      </w:r>
      <w:r>
        <w:t>mos</w:t>
      </w:r>
      <w:r w:rsidR="008D2841">
        <w:t xml:space="preserve"> determinados pagos a empleados de la </w:t>
      </w:r>
      <w:r w:rsidR="00F21187" w:rsidRPr="002C7BC0">
        <w:rPr>
          <w:szCs w:val="26"/>
        </w:rPr>
        <w:t>U</w:t>
      </w:r>
      <w:r w:rsidR="00F21187">
        <w:rPr>
          <w:szCs w:val="26"/>
        </w:rPr>
        <w:t>niversidad</w:t>
      </w:r>
      <w:r w:rsidR="00F21187">
        <w:t xml:space="preserve"> </w:t>
      </w:r>
      <w:r w:rsidR="008D2841">
        <w:t>que se abonan fuera de la nómina. Así</w:t>
      </w:r>
      <w:r w:rsidR="00AA476E">
        <w:t>,</w:t>
      </w:r>
      <w:r w:rsidR="008D2841">
        <w:t xml:space="preserve"> en 2014 las participaciones en tribunales, aula de la experiencia y otras dietas, por importe total de 17</w:t>
      </w:r>
      <w:r w:rsidR="005A6930">
        <w:t>8</w:t>
      </w:r>
      <w:r w:rsidR="008D2841">
        <w:t xml:space="preserve">.898 euros, se abonan a los beneficiarios </w:t>
      </w:r>
      <w:r w:rsidR="005A6930">
        <w:t xml:space="preserve">directamente desde contabilidad, </w:t>
      </w:r>
      <w:r w:rsidR="00350BCA">
        <w:t>aunque se</w:t>
      </w:r>
      <w:r w:rsidR="005A6930">
        <w:t xml:space="preserve"> incluy</w:t>
      </w:r>
      <w:r w:rsidR="00350BCA">
        <w:t>en</w:t>
      </w:r>
      <w:r w:rsidR="005A6930">
        <w:t xml:space="preserve"> en las correspondientes informaciones fiscales suministradas por la Universidad.</w:t>
      </w:r>
    </w:p>
    <w:p w:rsidR="007628A5" w:rsidRDefault="004B0D73" w:rsidP="007628A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3D2634">
        <w:t xml:space="preserve">Dentro del PAS, </w:t>
      </w:r>
      <w:r w:rsidR="008D2841">
        <w:t>indicamos</w:t>
      </w:r>
      <w:r w:rsidRPr="003D2634">
        <w:t xml:space="preserve"> la existencia de puestos de trabajo fuera de la plantilla</w:t>
      </w:r>
      <w:r w:rsidR="00764C00">
        <w:t>.</w:t>
      </w:r>
      <w:r w:rsidR="007628A5" w:rsidRPr="007628A5">
        <w:t xml:space="preserve"> </w:t>
      </w:r>
      <w:r w:rsidR="007628A5" w:rsidRPr="003D2634">
        <w:t xml:space="preserve">Estas contrataciones derivan tanto de sustituciones por bajas u otras circunstancias como de refuerzos para determinados servicios. </w:t>
      </w:r>
    </w:p>
    <w:p w:rsidR="004B0D73" w:rsidRPr="003D2634" w:rsidRDefault="003D2634" w:rsidP="00B9441D">
      <w:pPr>
        <w:pStyle w:val="texto"/>
        <w:tabs>
          <w:tab w:val="num" w:pos="300"/>
          <w:tab w:val="num" w:pos="720"/>
        </w:tabs>
      </w:pPr>
      <w:r w:rsidRPr="003D2634">
        <w:t xml:space="preserve">Así, en </w:t>
      </w:r>
      <w:r w:rsidR="00B9441D">
        <w:t xml:space="preserve">el ejercicio de </w:t>
      </w:r>
      <w:r w:rsidRPr="003D2634">
        <w:t xml:space="preserve">2014, un total de 30 personas han estado contratadas fuera de plantilla </w:t>
      </w:r>
      <w:r w:rsidR="008D2841">
        <w:t>y</w:t>
      </w:r>
      <w:r w:rsidR="007628A5">
        <w:t xml:space="preserve"> han supuesto un gasto de</w:t>
      </w:r>
      <w:r w:rsidRPr="003D2634">
        <w:t xml:space="preserve"> 0,56 millones</w:t>
      </w:r>
      <w:r w:rsidR="00B9441D">
        <w:t xml:space="preserve">. </w:t>
      </w:r>
      <w:r w:rsidR="007628A5">
        <w:t>A</w:t>
      </w:r>
      <w:r w:rsidR="004B0D73" w:rsidRPr="003D2634">
        <w:t xml:space="preserve"> 31 de diciembre de 2014 </w:t>
      </w:r>
      <w:r w:rsidRPr="003D2634">
        <w:t xml:space="preserve">hay 26 personas contratadas </w:t>
      </w:r>
      <w:r w:rsidR="00DD48BA">
        <w:t>en esta situación</w:t>
      </w:r>
      <w:r w:rsidR="007628A5">
        <w:t>;</w:t>
      </w:r>
      <w:r w:rsidR="004B0D73" w:rsidRPr="003D2634">
        <w:t xml:space="preserve"> </w:t>
      </w:r>
      <w:r w:rsidR="007628A5">
        <w:t>d</w:t>
      </w:r>
      <w:r w:rsidRPr="003D2634">
        <w:t xml:space="preserve">e </w:t>
      </w:r>
      <w:r w:rsidR="007628A5">
        <w:t>estos</w:t>
      </w:r>
      <w:r>
        <w:t xml:space="preserve"> empleados,</w:t>
      </w:r>
      <w:r w:rsidRPr="003D2634">
        <w:t xml:space="preserve"> 20 de ellos presentan cierta estabilidad en el empleo, con contratos renovados anual o semestralmente y con antigüedades comprendidas entre 2008 y 2011.</w:t>
      </w:r>
    </w:p>
    <w:p w:rsidR="004B0D73" w:rsidRPr="00DD48BA" w:rsidRDefault="00D7517E"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DD48BA">
        <w:t>En concretos</w:t>
      </w:r>
      <w:r w:rsidR="00F95710" w:rsidRPr="00DD48BA">
        <w:t xml:space="preserve"> proyectos de investigación se contempla la existencia de gr</w:t>
      </w:r>
      <w:r w:rsidR="00F95710" w:rsidRPr="00DD48BA">
        <w:t>a</w:t>
      </w:r>
      <w:r w:rsidR="00F95710" w:rsidRPr="00DD48BA">
        <w:t>tificaciones al personal investigador contratado como resultado de haberse a</w:t>
      </w:r>
      <w:r w:rsidR="00F95710" w:rsidRPr="00DD48BA">
        <w:t>l</w:t>
      </w:r>
      <w:r w:rsidR="00F95710" w:rsidRPr="00DD48BA">
        <w:t xml:space="preserve">canzado </w:t>
      </w:r>
      <w:r w:rsidRPr="00DD48BA">
        <w:t xml:space="preserve">determinados </w:t>
      </w:r>
      <w:r w:rsidR="00F95710" w:rsidRPr="00DD48BA">
        <w:t>objetiv</w:t>
      </w:r>
      <w:r w:rsidRPr="00DD48BA">
        <w:t>os en la ejecución del</w:t>
      </w:r>
      <w:r w:rsidR="00F95710" w:rsidRPr="00DD48BA">
        <w:t xml:space="preserve"> p</w:t>
      </w:r>
      <w:r w:rsidRPr="00DD48BA">
        <w:t>ro</w:t>
      </w:r>
      <w:r w:rsidR="00F95710" w:rsidRPr="00DD48BA">
        <w:t>yecto</w:t>
      </w:r>
      <w:r w:rsidRPr="00DD48BA">
        <w:t xml:space="preserve"> y siempre que</w:t>
      </w:r>
      <w:r w:rsidR="008F489A" w:rsidRPr="00DD48BA">
        <w:t xml:space="preserve"> exista disponibilidad de crédito</w:t>
      </w:r>
      <w:r w:rsidR="00F95710" w:rsidRPr="00DD48BA">
        <w:t>. El importe total abonado en 2014 asciende a</w:t>
      </w:r>
      <w:r w:rsidR="004B0D73" w:rsidRPr="00DD48BA">
        <w:t xml:space="preserve"> 20.784 euros. Estas gratificacio</w:t>
      </w:r>
      <w:r w:rsidRPr="00DD48BA">
        <w:t xml:space="preserve">nes se justifican y determinan </w:t>
      </w:r>
      <w:r w:rsidR="00DA352B">
        <w:t xml:space="preserve">exclusivamente </w:t>
      </w:r>
      <w:r w:rsidRPr="00DD48BA">
        <w:lastRenderedPageBreak/>
        <w:t>por el investigador principal, son aprobadas por el servicio de investigación y se abonan a través de la nómina.</w:t>
      </w:r>
    </w:p>
    <w:p w:rsidR="00FB6B05" w:rsidRDefault="004B0D73" w:rsidP="00FB6B0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5B46EA">
        <w:t xml:space="preserve"> La publicidad sobre</w:t>
      </w:r>
      <w:r w:rsidR="005B46EA" w:rsidRPr="005B46EA">
        <w:t xml:space="preserve"> </w:t>
      </w:r>
      <w:r w:rsidR="00FB6B05">
        <w:t>las convocatorias de concursos</w:t>
      </w:r>
      <w:r w:rsidR="005B46EA" w:rsidRPr="005B46EA">
        <w:t xml:space="preserve"> para</w:t>
      </w:r>
      <w:r w:rsidRPr="005B46EA">
        <w:t xml:space="preserve"> contrataciones del PDI </w:t>
      </w:r>
      <w:r w:rsidR="003A7A21">
        <w:t xml:space="preserve">temporal </w:t>
      </w:r>
      <w:r>
        <w:t>se limita</w:t>
      </w:r>
      <w:r w:rsidR="005B46EA">
        <w:t>, desde diciembre de 2013,</w:t>
      </w:r>
      <w:r>
        <w:t xml:space="preserve"> al tablón de anuncios y a la página web de la Universidad</w:t>
      </w:r>
      <w:r w:rsidR="0014673A">
        <w:t>. A</w:t>
      </w:r>
      <w:r>
        <w:t>nteriormente también se incluía anuncios en la prensa escrita</w:t>
      </w:r>
      <w:r w:rsidR="00FB6B05">
        <w:t xml:space="preserve"> local</w:t>
      </w:r>
      <w:r w:rsidR="0014673A">
        <w:t>; actualmente</w:t>
      </w:r>
      <w:r w:rsidR="007E03B1">
        <w:t>,</w:t>
      </w:r>
      <w:r w:rsidR="003A7A21">
        <w:t xml:space="preserve"> se remite a los medios de comunicación escrita una nota de prensa con </w:t>
      </w:r>
      <w:r w:rsidR="00DB6381">
        <w:t xml:space="preserve">el anuncio de </w:t>
      </w:r>
      <w:r w:rsidR="003A7A21">
        <w:t>las convocatorias.</w:t>
      </w:r>
    </w:p>
    <w:p w:rsidR="004B0D73" w:rsidRDefault="004B0D73" w:rsidP="004E38E3">
      <w:pPr>
        <w:pStyle w:val="texto"/>
      </w:pPr>
      <w:r>
        <w:t>Como hechos posteriores relevantes en materia de personal señalamos:</w:t>
      </w:r>
    </w:p>
    <w:p w:rsidR="004B0D73" w:rsidRDefault="004B0D73" w:rsidP="004B0D73">
      <w:pPr>
        <w:pStyle w:val="texto"/>
      </w:pPr>
      <w:r>
        <w:t>a) Mediante el Decreto Foral 2/2015, de 21 de enero,</w:t>
      </w:r>
      <w:r w:rsidRPr="00E06383">
        <w:t xml:space="preserve"> que modifica el Decr</w:t>
      </w:r>
      <w:r w:rsidRPr="00E06383">
        <w:t>e</w:t>
      </w:r>
      <w:r w:rsidRPr="00E06383">
        <w:t>to</w:t>
      </w:r>
      <w:r>
        <w:t xml:space="preserve"> </w:t>
      </w:r>
      <w:r w:rsidRPr="00E06383">
        <w:t>Foral 36/2009, de 20 de abril, por el que se regula el régimen del</w:t>
      </w:r>
      <w:r>
        <w:t xml:space="preserve"> </w:t>
      </w:r>
      <w:r w:rsidRPr="00E06383">
        <w:t>personal docente e investigador contratado de la Universidad</w:t>
      </w:r>
      <w:r>
        <w:t xml:space="preserve"> </w:t>
      </w:r>
      <w:r w:rsidRPr="00E06383">
        <w:t>Pública de Navarra</w:t>
      </w:r>
      <w:r>
        <w:t>, se contempla la figura de profesor contratado doctor en régimen laboral de inter</w:t>
      </w:r>
      <w:r>
        <w:t>i</w:t>
      </w:r>
      <w:r>
        <w:t>nidad. Esta categoría se crea en tanto no pueda aplicarse el procedimiento de cobertura definitivo legalmente previsto en el citado Decreto Foral 36/2009.</w:t>
      </w:r>
    </w:p>
    <w:p w:rsidR="004B0D73" w:rsidRDefault="004B0D73" w:rsidP="004B0D73">
      <w:pPr>
        <w:pStyle w:val="texto"/>
      </w:pPr>
      <w:r>
        <w:t>b) D</w:t>
      </w:r>
      <w:r w:rsidRPr="00C81D8F">
        <w:t xml:space="preserve">ecreto </w:t>
      </w:r>
      <w:r>
        <w:t>F</w:t>
      </w:r>
      <w:r w:rsidRPr="00C81D8F">
        <w:t>oral 38/2015, de 11 de junio, que</w:t>
      </w:r>
      <w:r>
        <w:t xml:space="preserve"> </w:t>
      </w:r>
      <w:r w:rsidRPr="00C81D8F">
        <w:t>modifica el Decreto Foral 37/2009, de 20 de abril, por</w:t>
      </w:r>
      <w:r>
        <w:t xml:space="preserve"> </w:t>
      </w:r>
      <w:r w:rsidRPr="00C81D8F">
        <w:t>el que se regula la asignación de retribuciones</w:t>
      </w:r>
      <w:r>
        <w:t xml:space="preserve"> </w:t>
      </w:r>
      <w:r w:rsidRPr="00C81D8F">
        <w:t>ad</w:t>
      </w:r>
      <w:r w:rsidRPr="00C81D8F">
        <w:t>i</w:t>
      </w:r>
      <w:r w:rsidRPr="00C81D8F">
        <w:t>cionales ligadas a méritos individuales del personal</w:t>
      </w:r>
      <w:r>
        <w:t xml:space="preserve"> </w:t>
      </w:r>
      <w:r w:rsidRPr="00C81D8F">
        <w:t>docente e investigador fu</w:t>
      </w:r>
      <w:r w:rsidRPr="00C81D8F">
        <w:t>n</w:t>
      </w:r>
      <w:r w:rsidRPr="00C81D8F">
        <w:t>cionario con dedicación a</w:t>
      </w:r>
      <w:r>
        <w:t xml:space="preserve"> </w:t>
      </w:r>
      <w:r w:rsidRPr="00C81D8F">
        <w:t>tiempo completo de la Universidad Pública de Nav</w:t>
      </w:r>
      <w:r w:rsidRPr="00C81D8F">
        <w:t>a</w:t>
      </w:r>
      <w:r w:rsidRPr="00C81D8F">
        <w:t>rra.</w:t>
      </w:r>
      <w:r>
        <w:t xml:space="preserve"> Mediante esta modificación, se amplía la percepción de dichos méritos i</w:t>
      </w:r>
      <w:r>
        <w:t>n</w:t>
      </w:r>
      <w:r>
        <w:t>dividuales al profesorado contratado doctor a tiempo competo.</w:t>
      </w:r>
    </w:p>
    <w:p w:rsidR="004B0D73" w:rsidRDefault="004B0D73" w:rsidP="004B0D73">
      <w:pPr>
        <w:pStyle w:val="texto"/>
      </w:pPr>
      <w:r>
        <w:t>Recomendaciones</w:t>
      </w:r>
      <w:r w:rsidR="00A62D7C">
        <w:t>:</w:t>
      </w:r>
    </w:p>
    <w:p w:rsidR="004B0D73" w:rsidRPr="00BB1089" w:rsidRDefault="00F21187"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Pr>
          <w:i/>
          <w:szCs w:val="26"/>
        </w:rPr>
        <w:t>Efectuar l</w:t>
      </w:r>
      <w:r w:rsidR="004B0D73" w:rsidRPr="00BB1089">
        <w:rPr>
          <w:i/>
          <w:szCs w:val="26"/>
        </w:rPr>
        <w:t xml:space="preserve">os pagos de cualquier concepto a los empleados de la </w:t>
      </w:r>
      <w:r w:rsidRPr="00F21187">
        <w:rPr>
          <w:i/>
          <w:szCs w:val="26"/>
        </w:rPr>
        <w:t>Univers</w:t>
      </w:r>
      <w:r w:rsidRPr="00F21187">
        <w:rPr>
          <w:i/>
          <w:szCs w:val="26"/>
        </w:rPr>
        <w:t>i</w:t>
      </w:r>
      <w:r w:rsidRPr="00F21187">
        <w:rPr>
          <w:i/>
          <w:szCs w:val="26"/>
        </w:rPr>
        <w:t xml:space="preserve">dad </w:t>
      </w:r>
      <w:r w:rsidR="004B0D73" w:rsidRPr="00BB1089">
        <w:rPr>
          <w:i/>
          <w:szCs w:val="26"/>
        </w:rPr>
        <w:t>a través de la nómina, con independencia de su imputación contable a los distintos capítulos presupuestarios.</w:t>
      </w:r>
    </w:p>
    <w:p w:rsidR="004B0D73" w:rsidRPr="00BB108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BB1089">
        <w:rPr>
          <w:i/>
          <w:szCs w:val="26"/>
        </w:rPr>
        <w:t xml:space="preserve">Dentro de la actual regulación sobre la materia, </w:t>
      </w:r>
      <w:r w:rsidR="00764C00">
        <w:rPr>
          <w:i/>
          <w:szCs w:val="26"/>
        </w:rPr>
        <w:t>estudiar la integración</w:t>
      </w:r>
      <w:r w:rsidRPr="00BB1089">
        <w:rPr>
          <w:i/>
          <w:szCs w:val="26"/>
        </w:rPr>
        <w:t xml:space="preserve">, en la relación de puestos de trabajo del PAS, </w:t>
      </w:r>
      <w:r w:rsidR="00764C00">
        <w:rPr>
          <w:i/>
          <w:szCs w:val="26"/>
        </w:rPr>
        <w:t xml:space="preserve">de </w:t>
      </w:r>
      <w:r w:rsidRPr="00BB1089">
        <w:rPr>
          <w:i/>
          <w:szCs w:val="26"/>
        </w:rPr>
        <w:t>aquellos puestos de trabajo que actual</w:t>
      </w:r>
      <w:r w:rsidR="00AB4851">
        <w:rPr>
          <w:i/>
          <w:szCs w:val="26"/>
        </w:rPr>
        <w:t xml:space="preserve">mente estén fuera de la misma </w:t>
      </w:r>
      <w:r w:rsidR="00513C54">
        <w:rPr>
          <w:i/>
          <w:szCs w:val="26"/>
        </w:rPr>
        <w:t xml:space="preserve">y </w:t>
      </w:r>
      <w:r w:rsidRPr="00BB1089">
        <w:rPr>
          <w:i/>
          <w:szCs w:val="26"/>
        </w:rPr>
        <w:t xml:space="preserve">que </w:t>
      </w:r>
      <w:r w:rsidR="00AB4851">
        <w:rPr>
          <w:i/>
          <w:szCs w:val="26"/>
        </w:rPr>
        <w:t>respondan a necesidades e</w:t>
      </w:r>
      <w:r w:rsidR="00AB4851">
        <w:rPr>
          <w:i/>
          <w:szCs w:val="26"/>
        </w:rPr>
        <w:t>s</w:t>
      </w:r>
      <w:r w:rsidR="00AB4851">
        <w:rPr>
          <w:i/>
          <w:szCs w:val="26"/>
        </w:rPr>
        <w:t>tructurales.</w:t>
      </w:r>
      <w:r w:rsidRPr="00BB1089">
        <w:rPr>
          <w:i/>
          <w:szCs w:val="26"/>
        </w:rPr>
        <w:t xml:space="preserve"> </w:t>
      </w:r>
    </w:p>
    <w:p w:rsidR="00AB4851" w:rsidRPr="00F2104A" w:rsidRDefault="00AB4851"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F2104A">
        <w:rPr>
          <w:i/>
          <w:szCs w:val="26"/>
        </w:rPr>
        <w:t xml:space="preserve">Para aquellos proyectos que lo contemplen expresamente, </w:t>
      </w:r>
      <w:r w:rsidR="00F2104A" w:rsidRPr="00F2104A">
        <w:rPr>
          <w:i/>
          <w:szCs w:val="26"/>
        </w:rPr>
        <w:t>dictar instru</w:t>
      </w:r>
      <w:r w:rsidR="00F2104A" w:rsidRPr="00F2104A">
        <w:rPr>
          <w:i/>
          <w:szCs w:val="26"/>
        </w:rPr>
        <w:t>c</w:t>
      </w:r>
      <w:r w:rsidR="00F2104A" w:rsidRPr="00F2104A">
        <w:rPr>
          <w:i/>
          <w:szCs w:val="26"/>
        </w:rPr>
        <w:t xml:space="preserve">ciones </w:t>
      </w:r>
      <w:r w:rsidRPr="00F2104A">
        <w:rPr>
          <w:i/>
          <w:szCs w:val="26"/>
        </w:rPr>
        <w:t xml:space="preserve">que </w:t>
      </w:r>
      <w:r w:rsidR="00F2104A" w:rsidRPr="00F2104A">
        <w:rPr>
          <w:i/>
          <w:szCs w:val="26"/>
        </w:rPr>
        <w:t xml:space="preserve">regulen los aspectos básicos de </w:t>
      </w:r>
      <w:r w:rsidRPr="00F2104A">
        <w:rPr>
          <w:i/>
          <w:szCs w:val="26"/>
        </w:rPr>
        <w:t>la</w:t>
      </w:r>
      <w:r w:rsidR="00F2104A" w:rsidRPr="00F2104A">
        <w:rPr>
          <w:i/>
          <w:szCs w:val="26"/>
        </w:rPr>
        <w:t xml:space="preserve"> concesión de</w:t>
      </w:r>
      <w:r w:rsidRPr="00F2104A">
        <w:rPr>
          <w:i/>
          <w:szCs w:val="26"/>
        </w:rPr>
        <w:t xml:space="preserve"> </w:t>
      </w:r>
      <w:r w:rsidR="004B0D73" w:rsidRPr="00F2104A">
        <w:rPr>
          <w:i/>
          <w:szCs w:val="26"/>
        </w:rPr>
        <w:t xml:space="preserve">gratificaciones a </w:t>
      </w:r>
      <w:r w:rsidR="00F2104A" w:rsidRPr="00F2104A">
        <w:rPr>
          <w:i/>
          <w:szCs w:val="26"/>
        </w:rPr>
        <w:t xml:space="preserve">los </w:t>
      </w:r>
      <w:r w:rsidR="004B0D73" w:rsidRPr="00F2104A">
        <w:rPr>
          <w:i/>
          <w:szCs w:val="26"/>
        </w:rPr>
        <w:t>investigadores</w:t>
      </w:r>
      <w:r w:rsidRPr="00F2104A">
        <w:rPr>
          <w:i/>
          <w:szCs w:val="26"/>
        </w:rPr>
        <w:t xml:space="preserve"> contratados.</w:t>
      </w:r>
    </w:p>
    <w:p w:rsidR="008325B4" w:rsidRDefault="008325B4">
      <w:pPr>
        <w:spacing w:after="0"/>
        <w:ind w:firstLine="0"/>
        <w:jc w:val="left"/>
        <w:rPr>
          <w:rFonts w:ascii="Arial" w:hAnsi="Arial"/>
          <w:i/>
          <w:iCs/>
          <w:color w:val="000000"/>
          <w:spacing w:val="10"/>
          <w:kern w:val="28"/>
          <w:sz w:val="25"/>
          <w:szCs w:val="26"/>
        </w:rPr>
      </w:pPr>
      <w:r>
        <w:br w:type="page"/>
      </w:r>
    </w:p>
    <w:p w:rsidR="004B0D73" w:rsidRDefault="004B0D73" w:rsidP="004B0D73">
      <w:pPr>
        <w:pStyle w:val="atitulo3"/>
      </w:pPr>
      <w:r>
        <w:lastRenderedPageBreak/>
        <w:t>IV.4.2. Gestión de proyectos y contratos de investigación</w:t>
      </w:r>
    </w:p>
    <w:p w:rsidR="00477E4C" w:rsidRDefault="004B0D73" w:rsidP="007E03B1">
      <w:pPr>
        <w:pStyle w:val="texto"/>
        <w:spacing w:after="240"/>
      </w:pPr>
      <w:r>
        <w:t xml:space="preserve">En 2014, los gastos derivados de la </w:t>
      </w:r>
      <w:r w:rsidR="003A7A21">
        <w:t>realización</w:t>
      </w:r>
      <w:r>
        <w:t xml:space="preserve"> de proyectos y contratos de investigación han ascendido a 4,98 millones, según el siguiente detalle en miles de euros</w:t>
      </w:r>
      <w:r w:rsidR="00455A06">
        <w:t>.</w:t>
      </w:r>
    </w:p>
    <w:tbl>
      <w:tblPr>
        <w:tblW w:w="8744" w:type="dxa"/>
        <w:jc w:val="center"/>
        <w:tblCellMar>
          <w:left w:w="70" w:type="dxa"/>
          <w:right w:w="70" w:type="dxa"/>
        </w:tblCellMar>
        <w:tblLook w:val="0000" w:firstRow="0" w:lastRow="0" w:firstColumn="0" w:lastColumn="0" w:noHBand="0" w:noVBand="0"/>
      </w:tblPr>
      <w:tblGrid>
        <w:gridCol w:w="5697"/>
        <w:gridCol w:w="1475"/>
        <w:gridCol w:w="1572"/>
      </w:tblGrid>
      <w:tr w:rsidR="004B0D73" w:rsidRPr="008B51AD" w:rsidTr="000A4C01">
        <w:trPr>
          <w:trHeight w:val="284"/>
          <w:jc w:val="center"/>
        </w:trPr>
        <w:tc>
          <w:tcPr>
            <w:tcW w:w="5697"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6431B3">
            <w:pPr>
              <w:pStyle w:val="cuadroCabe"/>
              <w:rPr>
                <w:lang w:val="es-ES" w:eastAsia="es-ES"/>
              </w:rPr>
            </w:pPr>
            <w:r>
              <w:rPr>
                <w:lang w:val="es-ES" w:eastAsia="es-ES"/>
              </w:rPr>
              <w:t>Proyectos y contratos de investigación</w:t>
            </w:r>
          </w:p>
        </w:tc>
        <w:tc>
          <w:tcPr>
            <w:tcW w:w="1475" w:type="dxa"/>
            <w:tcBorders>
              <w:top w:val="single" w:sz="4" w:space="0" w:color="auto"/>
              <w:bottom w:val="single" w:sz="4" w:space="0" w:color="auto"/>
            </w:tcBorders>
            <w:shd w:val="clear" w:color="auto" w:fill="A8CBEE" w:themeFill="accent2" w:themeFillTint="66"/>
            <w:vAlign w:val="center"/>
          </w:tcPr>
          <w:p w:rsidR="004B0D73" w:rsidRDefault="004B0D73" w:rsidP="00455A06">
            <w:pPr>
              <w:pStyle w:val="cuadroCabe"/>
              <w:jc w:val="right"/>
              <w:rPr>
                <w:lang w:val="es-ES" w:eastAsia="es-ES"/>
              </w:rPr>
            </w:pPr>
            <w:r>
              <w:rPr>
                <w:lang w:val="es-ES" w:eastAsia="es-ES"/>
              </w:rPr>
              <w:t>Importe</w:t>
            </w:r>
          </w:p>
        </w:tc>
        <w:tc>
          <w:tcPr>
            <w:tcW w:w="1572"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455A06">
            <w:pPr>
              <w:pStyle w:val="cuadroCabe"/>
              <w:jc w:val="right"/>
              <w:rPr>
                <w:lang w:val="es-ES" w:eastAsia="es-ES"/>
              </w:rPr>
            </w:pPr>
            <w:r>
              <w:rPr>
                <w:lang w:val="es-ES" w:eastAsia="es-ES"/>
              </w:rPr>
              <w:t>%</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sidRPr="00455A06">
              <w:rPr>
                <w:rFonts w:ascii="Arial Narrow" w:hAnsi="Arial Narrow"/>
                <w:sz w:val="20"/>
                <w:szCs w:val="20"/>
              </w:rPr>
              <w:t>Personal</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3.125</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63</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sidRPr="00455A06">
              <w:rPr>
                <w:rFonts w:ascii="Arial Narrow" w:hAnsi="Arial Narrow"/>
                <w:sz w:val="20"/>
                <w:szCs w:val="20"/>
              </w:rPr>
              <w:t>Bienes corrientes y servicios</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1.434</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29</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sidRPr="00455A06">
              <w:rPr>
                <w:rFonts w:ascii="Arial Narrow" w:hAnsi="Arial Narrow"/>
                <w:sz w:val="20"/>
                <w:szCs w:val="20"/>
              </w:rPr>
              <w:t>Transferencias corrientes</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101</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2</w:t>
            </w:r>
          </w:p>
        </w:tc>
      </w:tr>
      <w:tr w:rsidR="004B0D73" w:rsidRPr="00455A06" w:rsidTr="00455A06">
        <w:trPr>
          <w:trHeight w:val="284"/>
          <w:jc w:val="center"/>
        </w:trPr>
        <w:tc>
          <w:tcPr>
            <w:tcW w:w="5697" w:type="dxa"/>
            <w:tcBorders>
              <w:top w:val="single" w:sz="2" w:space="0" w:color="auto"/>
              <w:bottom w:val="single" w:sz="2" w:space="0" w:color="auto"/>
            </w:tcBorders>
            <w:shd w:val="clear" w:color="auto" w:fill="auto"/>
            <w:noWrap/>
            <w:vAlign w:val="center"/>
          </w:tcPr>
          <w:p w:rsidR="004B0D73" w:rsidRPr="00455A06" w:rsidRDefault="004B0D73" w:rsidP="006431B3">
            <w:pPr>
              <w:pStyle w:val="texto"/>
              <w:spacing w:after="0"/>
              <w:ind w:firstLine="0"/>
              <w:rPr>
                <w:rFonts w:ascii="Arial Narrow" w:hAnsi="Arial Narrow"/>
                <w:sz w:val="20"/>
                <w:szCs w:val="20"/>
              </w:rPr>
            </w:pPr>
            <w:r w:rsidRPr="00455A06">
              <w:rPr>
                <w:rFonts w:ascii="Arial Narrow" w:hAnsi="Arial Narrow"/>
                <w:sz w:val="20"/>
                <w:szCs w:val="20"/>
              </w:rPr>
              <w:t>Inversiones</w:t>
            </w:r>
          </w:p>
        </w:tc>
        <w:tc>
          <w:tcPr>
            <w:tcW w:w="1475" w:type="dxa"/>
            <w:tcBorders>
              <w:top w:val="single" w:sz="2" w:space="0" w:color="auto"/>
              <w:bottom w:val="single" w:sz="2" w:space="0" w:color="auto"/>
            </w:tcBorders>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318</w:t>
            </w:r>
          </w:p>
        </w:tc>
        <w:tc>
          <w:tcPr>
            <w:tcW w:w="1572" w:type="dxa"/>
            <w:tcBorders>
              <w:top w:val="single" w:sz="2" w:space="0" w:color="auto"/>
              <w:bottom w:val="single" w:sz="2" w:space="0" w:color="auto"/>
            </w:tcBorders>
            <w:shd w:val="clear" w:color="auto" w:fill="auto"/>
            <w:noWrap/>
            <w:vAlign w:val="center"/>
          </w:tcPr>
          <w:p w:rsidR="004B0D73" w:rsidRPr="00455A06" w:rsidRDefault="004B0D73" w:rsidP="00455A06">
            <w:pPr>
              <w:pStyle w:val="texto"/>
              <w:spacing w:after="0"/>
              <w:ind w:firstLine="0"/>
              <w:jc w:val="right"/>
              <w:rPr>
                <w:rFonts w:ascii="Arial Narrow" w:hAnsi="Arial Narrow"/>
                <w:sz w:val="20"/>
                <w:szCs w:val="20"/>
              </w:rPr>
            </w:pPr>
            <w:r w:rsidRPr="00455A06">
              <w:rPr>
                <w:rFonts w:ascii="Arial Narrow" w:hAnsi="Arial Narrow"/>
                <w:sz w:val="20"/>
                <w:szCs w:val="20"/>
              </w:rPr>
              <w:t>6</w:t>
            </w:r>
          </w:p>
        </w:tc>
      </w:tr>
      <w:tr w:rsidR="004B0D73" w:rsidRPr="00A92E53" w:rsidTr="00455A06">
        <w:trPr>
          <w:trHeight w:val="284"/>
          <w:jc w:val="center"/>
        </w:trPr>
        <w:tc>
          <w:tcPr>
            <w:tcW w:w="5697" w:type="dxa"/>
            <w:tcBorders>
              <w:top w:val="single" w:sz="2" w:space="0" w:color="auto"/>
              <w:bottom w:val="single" w:sz="2" w:space="0" w:color="auto"/>
            </w:tcBorders>
            <w:shd w:val="clear" w:color="auto" w:fill="A8CBEE" w:themeFill="accent2" w:themeFillTint="66"/>
            <w:noWrap/>
            <w:vAlign w:val="center"/>
          </w:tcPr>
          <w:p w:rsidR="004B0D73" w:rsidRPr="00D46D2B" w:rsidRDefault="004B0D73" w:rsidP="006431B3">
            <w:pPr>
              <w:pStyle w:val="cuadroCabe"/>
              <w:rPr>
                <w:lang w:val="es-ES" w:eastAsia="es-ES"/>
              </w:rPr>
            </w:pPr>
            <w:r w:rsidRPr="00D46D2B">
              <w:rPr>
                <w:lang w:val="es-ES" w:eastAsia="es-ES"/>
              </w:rPr>
              <w:t xml:space="preserve">Total </w:t>
            </w:r>
            <w:r>
              <w:rPr>
                <w:lang w:val="es-ES" w:eastAsia="es-ES"/>
              </w:rPr>
              <w:t>gastos</w:t>
            </w:r>
          </w:p>
        </w:tc>
        <w:tc>
          <w:tcPr>
            <w:tcW w:w="1475" w:type="dxa"/>
            <w:tcBorders>
              <w:top w:val="single" w:sz="2" w:space="0" w:color="auto"/>
              <w:bottom w:val="single" w:sz="2" w:space="0" w:color="auto"/>
            </w:tcBorders>
            <w:shd w:val="clear" w:color="auto" w:fill="A8CBEE" w:themeFill="accent2" w:themeFillTint="66"/>
            <w:vAlign w:val="center"/>
          </w:tcPr>
          <w:p w:rsidR="004B0D73" w:rsidRPr="00D46D2B" w:rsidRDefault="004B0D73" w:rsidP="00455A06">
            <w:pPr>
              <w:pStyle w:val="cuadroCabe"/>
              <w:jc w:val="right"/>
              <w:rPr>
                <w:lang w:val="es-ES" w:eastAsia="es-ES"/>
              </w:rPr>
            </w:pPr>
            <w:r w:rsidRPr="00D46D2B">
              <w:rPr>
                <w:lang w:val="es-ES" w:eastAsia="es-ES"/>
              </w:rPr>
              <w:t>4.978</w:t>
            </w:r>
          </w:p>
        </w:tc>
        <w:tc>
          <w:tcPr>
            <w:tcW w:w="1572" w:type="dxa"/>
            <w:tcBorders>
              <w:top w:val="single" w:sz="2" w:space="0" w:color="auto"/>
              <w:bottom w:val="single" w:sz="2" w:space="0" w:color="auto"/>
            </w:tcBorders>
            <w:shd w:val="clear" w:color="auto" w:fill="A8CBEE" w:themeFill="accent2" w:themeFillTint="66"/>
            <w:noWrap/>
            <w:vAlign w:val="center"/>
          </w:tcPr>
          <w:p w:rsidR="004B0D73" w:rsidRPr="00D46D2B" w:rsidRDefault="004B0D73" w:rsidP="00455A06">
            <w:pPr>
              <w:pStyle w:val="cuadroCabe"/>
              <w:jc w:val="right"/>
              <w:rPr>
                <w:lang w:val="es-ES" w:eastAsia="es-ES"/>
              </w:rPr>
            </w:pPr>
            <w:r>
              <w:rPr>
                <w:lang w:val="es-ES" w:eastAsia="es-ES"/>
              </w:rPr>
              <w:t>100</w:t>
            </w:r>
          </w:p>
        </w:tc>
      </w:tr>
    </w:tbl>
    <w:p w:rsidR="004B0D73" w:rsidRDefault="004B0D73" w:rsidP="00455A06">
      <w:pPr>
        <w:pStyle w:val="texto"/>
        <w:spacing w:after="0"/>
      </w:pPr>
    </w:p>
    <w:p w:rsidR="004B0D73" w:rsidRDefault="004B0D73" w:rsidP="004B0D73">
      <w:pPr>
        <w:pStyle w:val="texto"/>
      </w:pPr>
      <w:r>
        <w:t xml:space="preserve">Este gasto se ha financiado básicamente con ingresos de transferencias para investigación </w:t>
      </w:r>
      <w:r w:rsidR="00455A06">
        <w:t>–</w:t>
      </w:r>
      <w:r>
        <w:t>3,24 millones</w:t>
      </w:r>
      <w:r w:rsidR="00455A06">
        <w:t>–</w:t>
      </w:r>
      <w:r>
        <w:t xml:space="preserve">, ingresos contratos OTRI </w:t>
      </w:r>
      <w:r w:rsidR="00455A06">
        <w:t>–</w:t>
      </w:r>
      <w:r>
        <w:t>1,07 millones</w:t>
      </w:r>
      <w:r w:rsidR="00455A06">
        <w:t>–</w:t>
      </w:r>
      <w:r>
        <w:t xml:space="preserve"> e i</w:t>
      </w:r>
      <w:r>
        <w:t>n</w:t>
      </w:r>
      <w:r>
        <w:t xml:space="preserve">gresos por repercusión de costes indirectos de investigación </w:t>
      </w:r>
      <w:r w:rsidR="00455A06">
        <w:t>–</w:t>
      </w:r>
      <w:r>
        <w:t>0,55 millones</w:t>
      </w:r>
      <w:r w:rsidR="00455A06">
        <w:t>–</w:t>
      </w:r>
      <w:r>
        <w:t>.</w:t>
      </w:r>
    </w:p>
    <w:p w:rsidR="004B0D73" w:rsidRDefault="004B0D73" w:rsidP="004B0D73">
      <w:pPr>
        <w:pStyle w:val="texto"/>
      </w:pPr>
      <w:r>
        <w:t>Así mismo, dentro del remanente de tesorería afectado cuantificado en 6,83 millones, prácticamente el 80 por ciento de ese importe está afectado a la f</w:t>
      </w:r>
      <w:r>
        <w:t>i</w:t>
      </w:r>
      <w:r>
        <w:t>nanciación de gastos de proyectos y contratos de investigación.</w:t>
      </w:r>
    </w:p>
    <w:p w:rsidR="004B0D73" w:rsidRDefault="004B0D73" w:rsidP="004B0D73">
      <w:pPr>
        <w:pStyle w:val="texto"/>
      </w:pPr>
      <w:r>
        <w:t>Del trabajo realizado, destacamos los siguientes aspectos:</w:t>
      </w:r>
    </w:p>
    <w:p w:rsidR="00F8570D" w:rsidRPr="00C26676" w:rsidRDefault="00F8570D"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C26676">
        <w:t>Se observa</w:t>
      </w:r>
      <w:r w:rsidR="008F4621" w:rsidRPr="00C26676">
        <w:t>, en general,</w:t>
      </w:r>
      <w:r w:rsidRPr="00C26676">
        <w:t xml:space="preserve"> una adecuada gestión</w:t>
      </w:r>
      <w:r w:rsidR="00C26676" w:rsidRPr="00C26676">
        <w:t xml:space="preserve"> contable-presupuestaria</w:t>
      </w:r>
      <w:r w:rsidRPr="00C26676">
        <w:t xml:space="preserve"> en esta materia compleja, tanto por su propia </w:t>
      </w:r>
      <w:r w:rsidR="00EF171E">
        <w:t>exte</w:t>
      </w:r>
      <w:r w:rsidR="00943A54">
        <w:t>n</w:t>
      </w:r>
      <w:r w:rsidR="00EF171E">
        <w:t>sión</w:t>
      </w:r>
      <w:r w:rsidRPr="00C26676">
        <w:t xml:space="preserve"> temporal como por l</w:t>
      </w:r>
      <w:r w:rsidR="00CD196B" w:rsidRPr="00C26676">
        <w:t>as</w:t>
      </w:r>
      <w:r w:rsidRPr="00C26676">
        <w:t xml:space="preserve"> exigencias administrativas</w:t>
      </w:r>
      <w:r w:rsidR="00E336C8" w:rsidRPr="00C26676">
        <w:t>,</w:t>
      </w:r>
      <w:r w:rsidRPr="00C26676">
        <w:t xml:space="preserve"> </w:t>
      </w:r>
      <w:r w:rsidR="008F4621" w:rsidRPr="00C26676">
        <w:t xml:space="preserve">financieras, </w:t>
      </w:r>
      <w:r w:rsidRPr="00C26676">
        <w:t>justificativas</w:t>
      </w:r>
      <w:r w:rsidR="00E336C8" w:rsidRPr="00C26676">
        <w:t xml:space="preserve"> y de seguimiento que co</w:t>
      </w:r>
      <w:r w:rsidR="00E336C8" w:rsidRPr="00C26676">
        <w:t>n</w:t>
      </w:r>
      <w:r w:rsidR="00E336C8" w:rsidRPr="00C26676">
        <w:t>lleva</w:t>
      </w:r>
      <w:r w:rsidR="00CD196B" w:rsidRPr="00C26676">
        <w:t>.</w:t>
      </w:r>
      <w:r w:rsidRPr="00C26676">
        <w:t xml:space="preserve"> </w:t>
      </w:r>
    </w:p>
    <w:p w:rsidR="002E27C3" w:rsidRDefault="004B0D73" w:rsidP="002E27C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El abono de las retribuciones del </w:t>
      </w:r>
      <w:r w:rsidR="008F4621">
        <w:t>personal implicado en los mismos</w:t>
      </w:r>
      <w:r>
        <w:t xml:space="preserve"> se efectúa desde el servicio de nóminas.</w:t>
      </w:r>
    </w:p>
    <w:p w:rsidR="0021409C" w:rsidRDefault="0021409C" w:rsidP="002E27C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Dentro de los saldos de dudoso cobro del Remanente de Tesorería se incl</w:t>
      </w:r>
      <w:r>
        <w:t>u</w:t>
      </w:r>
      <w:r>
        <w:t xml:space="preserve">yen </w:t>
      </w:r>
      <w:r w:rsidR="0037102A">
        <w:t xml:space="preserve">los </w:t>
      </w:r>
      <w:r>
        <w:t>anticipos pendientes de cobro de proyectos y ayudas a la investigación por importe de 1,07 millones. Con estos anticipos se facilita la gestión de d</w:t>
      </w:r>
      <w:r>
        <w:t>i</w:t>
      </w:r>
      <w:r>
        <w:t>chos proyectos en tanto no se perciban efectivamente los correspondientes i</w:t>
      </w:r>
      <w:r>
        <w:t>n</w:t>
      </w:r>
      <w:r>
        <w:t>gresos de los entes financiadores</w:t>
      </w:r>
      <w:r w:rsidR="009E5096">
        <w:t xml:space="preserve"> y siempre que tales ingresos estén suficient</w:t>
      </w:r>
      <w:r w:rsidR="009E5096">
        <w:t>e</w:t>
      </w:r>
      <w:r w:rsidR="009E5096">
        <w:t>mente acreditados</w:t>
      </w:r>
      <w:r>
        <w:t xml:space="preserve">. </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Revisiones</w:t>
      </w:r>
      <w:r w:rsidRPr="00503215">
        <w:t xml:space="preserve"> </w:t>
      </w:r>
      <w:r>
        <w:t>por el ente financiador de la justificación presentada por la Universidad sobre proyectos de investigación cerrados. El Ministerio de</w:t>
      </w:r>
      <w:r w:rsidR="00811A99">
        <w:t xml:space="preserve"> Ed</w:t>
      </w:r>
      <w:r w:rsidR="00811A99">
        <w:t>u</w:t>
      </w:r>
      <w:r w:rsidR="00811A99">
        <w:t xml:space="preserve">cación y el </w:t>
      </w:r>
      <w:r w:rsidR="00AA476E">
        <w:t xml:space="preserve">de </w:t>
      </w:r>
      <w:r>
        <w:t>Economía y Competitividad, en respuesta a actuaciones de la Comisión Europea, está</w:t>
      </w:r>
      <w:r w:rsidR="00811A99">
        <w:t>n</w:t>
      </w:r>
      <w:r>
        <w:t xml:space="preserve"> revisando</w:t>
      </w:r>
      <w:r w:rsidR="00764C00">
        <w:t xml:space="preserve"> </w:t>
      </w:r>
      <w:r>
        <w:t>la documentación presentada por las Un</w:t>
      </w:r>
      <w:r>
        <w:t>i</w:t>
      </w:r>
      <w:r>
        <w:t>versidades para la justificación de los gastos derivados de los citados proyectos de investigación financiados</w:t>
      </w:r>
      <w:r w:rsidR="00811A99">
        <w:t xml:space="preserve"> fundamentalmente</w:t>
      </w:r>
      <w:r>
        <w:t xml:space="preserve"> por el Plan Nacional de Inve</w:t>
      </w:r>
      <w:r>
        <w:t>s</w:t>
      </w:r>
      <w:r>
        <w:t>tigación Científica, Desarrollo e Innovación Tecnológica (2008-2011).</w:t>
      </w:r>
    </w:p>
    <w:p w:rsidR="004B0D73" w:rsidRDefault="004B0D73" w:rsidP="004B0D73">
      <w:pPr>
        <w:pStyle w:val="texto"/>
        <w:tabs>
          <w:tab w:val="num" w:pos="300"/>
          <w:tab w:val="num" w:pos="720"/>
        </w:tabs>
      </w:pPr>
      <w:r>
        <w:lastRenderedPageBreak/>
        <w:t xml:space="preserve">Resultado de este proceso de revisión y para los proyectos afectados, </w:t>
      </w:r>
      <w:r w:rsidR="00811A99">
        <w:t>los c</w:t>
      </w:r>
      <w:r w:rsidR="00811A99">
        <w:t>i</w:t>
      </w:r>
      <w:r w:rsidR="00811A99">
        <w:t>tados</w:t>
      </w:r>
      <w:r>
        <w:t xml:space="preserve"> Ministerio</w:t>
      </w:r>
      <w:r w:rsidR="00811A99">
        <w:t>s</w:t>
      </w:r>
      <w:r>
        <w:t xml:space="preserve"> </w:t>
      </w:r>
      <w:r w:rsidR="00AA476E">
        <w:t>s</w:t>
      </w:r>
      <w:r w:rsidR="00764C00">
        <w:t>olicita</w:t>
      </w:r>
      <w:r w:rsidR="00AA476E">
        <w:t>n</w:t>
      </w:r>
      <w:r w:rsidR="00764C00">
        <w:t xml:space="preserve"> el reintegro </w:t>
      </w:r>
      <w:r w:rsidR="00D53E9B">
        <w:t xml:space="preserve">a la Universidad </w:t>
      </w:r>
      <w:r w:rsidR="00764C00">
        <w:t>de determinados i</w:t>
      </w:r>
      <w:r w:rsidR="00764C00">
        <w:t>m</w:t>
      </w:r>
      <w:r w:rsidR="00764C00">
        <w:t xml:space="preserve">portes más los intereses de demora correspondientes. </w:t>
      </w:r>
    </w:p>
    <w:p w:rsidR="00F2104A" w:rsidRDefault="00F2104A" w:rsidP="004B0D73">
      <w:pPr>
        <w:pStyle w:val="texto"/>
        <w:tabs>
          <w:tab w:val="num" w:pos="300"/>
          <w:tab w:val="num" w:pos="720"/>
        </w:tabs>
      </w:pPr>
      <w:r>
        <w:t>La</w:t>
      </w:r>
      <w:r w:rsidR="006D1AFF">
        <w:t xml:space="preserve"> naturaleza de las </w:t>
      </w:r>
      <w:r>
        <w:t xml:space="preserve">anomalías observadas </w:t>
      </w:r>
      <w:r w:rsidR="006D1AFF">
        <w:t>es muy variada</w:t>
      </w:r>
      <w:r w:rsidR="00AA41E1">
        <w:t>, si bien</w:t>
      </w:r>
      <w:r w:rsidR="00822107">
        <w:t xml:space="preserve"> básic</w:t>
      </w:r>
      <w:r w:rsidR="00822107">
        <w:t>a</w:t>
      </w:r>
      <w:r w:rsidR="00822107">
        <w:t>mente se</w:t>
      </w:r>
      <w:r>
        <w:t xml:space="preserve"> refieren</w:t>
      </w:r>
      <w:r w:rsidR="00AA41E1">
        <w:t xml:space="preserve"> a</w:t>
      </w:r>
      <w:r w:rsidR="00884E03">
        <w:t xml:space="preserve"> la</w:t>
      </w:r>
      <w:r w:rsidR="00AA41E1">
        <w:t xml:space="preserve"> </w:t>
      </w:r>
      <w:r>
        <w:t>consideración o no de un gasto como elegible,</w:t>
      </w:r>
      <w:r w:rsidR="00764C00">
        <w:t xml:space="preserve"> a</w:t>
      </w:r>
      <w:r w:rsidR="00FE4FA3">
        <w:t xml:space="preserve"> </w:t>
      </w:r>
      <w:r w:rsidR="00884E03">
        <w:t xml:space="preserve">la </w:t>
      </w:r>
      <w:r w:rsidR="00FE4FA3">
        <w:t>vinc</w:t>
      </w:r>
      <w:r w:rsidR="00FE4FA3">
        <w:t>u</w:t>
      </w:r>
      <w:r w:rsidR="00FE4FA3">
        <w:t>lación de determinado gasto con el proyecto</w:t>
      </w:r>
      <w:r w:rsidR="00811A99">
        <w:t>,</w:t>
      </w:r>
      <w:r>
        <w:t xml:space="preserve"> </w:t>
      </w:r>
      <w:r w:rsidR="00764C00">
        <w:t xml:space="preserve">a </w:t>
      </w:r>
      <w:r w:rsidR="00884E03">
        <w:t>la demanda</w:t>
      </w:r>
      <w:r w:rsidR="00AA41E1">
        <w:t xml:space="preserve"> de un </w:t>
      </w:r>
      <w:r w:rsidR="006D1AFF">
        <w:t>mayor desgl</w:t>
      </w:r>
      <w:r w:rsidR="006D1AFF">
        <w:t>o</w:t>
      </w:r>
      <w:r w:rsidR="006D1AFF">
        <w:t>se de los gastos presentados</w:t>
      </w:r>
      <w:r w:rsidR="00811A99" w:rsidRPr="00811A99">
        <w:t xml:space="preserve"> </w:t>
      </w:r>
      <w:r w:rsidR="00811A99">
        <w:t>y también a cambios de criterios aplicados y no comunicados por el ente financiador</w:t>
      </w:r>
      <w:r w:rsidR="00764C00">
        <w:t>.</w:t>
      </w:r>
      <w:r>
        <w:t xml:space="preserve"> </w:t>
      </w:r>
    </w:p>
    <w:p w:rsidR="00822107" w:rsidRDefault="00822107" w:rsidP="004B0D73">
      <w:pPr>
        <w:pStyle w:val="texto"/>
        <w:tabs>
          <w:tab w:val="num" w:pos="300"/>
          <w:tab w:val="num" w:pos="720"/>
        </w:tabs>
      </w:pPr>
      <w:r>
        <w:t xml:space="preserve">Según el servicio de </w:t>
      </w:r>
      <w:r w:rsidR="00764C00">
        <w:t>I</w:t>
      </w:r>
      <w:r>
        <w:t>nvestigación, las pretensiones económicas de los r</w:t>
      </w:r>
      <w:r>
        <w:t>e</w:t>
      </w:r>
      <w:r>
        <w:t>querimientos son muy relevantes pero, en general, con las alegaciones prese</w:t>
      </w:r>
      <w:r>
        <w:t>n</w:t>
      </w:r>
      <w:r>
        <w:t xml:space="preserve">tadas por la Universidad se reducen </w:t>
      </w:r>
      <w:r w:rsidR="00884E03">
        <w:t>de forma significativa.</w:t>
      </w:r>
    </w:p>
    <w:p w:rsidR="00A62D7C" w:rsidRDefault="00884E03" w:rsidP="004B0D73">
      <w:pPr>
        <w:pStyle w:val="texto"/>
      </w:pPr>
      <w:r>
        <w:t xml:space="preserve">Sobre esta cuestión, </w:t>
      </w:r>
      <w:r w:rsidR="004B0D73">
        <w:t>el informe de la intervención</w:t>
      </w:r>
      <w:r>
        <w:t xml:space="preserve"> de la Universidad</w:t>
      </w:r>
      <w:r w:rsidR="004B0D73">
        <w:t xml:space="preserve"> sobre las cuentas anua</w:t>
      </w:r>
      <w:r>
        <w:t xml:space="preserve">les de 2014 </w:t>
      </w:r>
      <w:r w:rsidR="004B0D73">
        <w:t>indica</w:t>
      </w:r>
      <w:r w:rsidR="00A62D7C">
        <w:t>:</w:t>
      </w:r>
    </w:p>
    <w:p w:rsidR="004B0D73" w:rsidRPr="00A62D7C" w:rsidRDefault="004B0D73" w:rsidP="004B0D73">
      <w:pPr>
        <w:pStyle w:val="texto"/>
        <w:rPr>
          <w:sz w:val="22"/>
          <w:szCs w:val="22"/>
        </w:rPr>
      </w:pPr>
      <w:r w:rsidRPr="00A62D7C">
        <w:rPr>
          <w:sz w:val="22"/>
          <w:szCs w:val="22"/>
        </w:rPr>
        <w:t>“</w:t>
      </w:r>
      <w:r w:rsidRPr="00A62D7C">
        <w:rPr>
          <w:i/>
          <w:sz w:val="22"/>
          <w:szCs w:val="22"/>
        </w:rPr>
        <w:t>se debiera informar en la memoria de la cantidad estimada a cierre del ejercicio en co</w:t>
      </w:r>
      <w:r w:rsidRPr="00A62D7C">
        <w:rPr>
          <w:i/>
          <w:sz w:val="22"/>
          <w:szCs w:val="22"/>
        </w:rPr>
        <w:t>n</w:t>
      </w:r>
      <w:r w:rsidRPr="00A62D7C">
        <w:rPr>
          <w:i/>
          <w:sz w:val="22"/>
          <w:szCs w:val="22"/>
        </w:rPr>
        <w:t>cepto de posible reintegro por requerimientos de proyectos de investigación del Plan Naci</w:t>
      </w:r>
      <w:r w:rsidRPr="00A62D7C">
        <w:rPr>
          <w:i/>
          <w:sz w:val="22"/>
          <w:szCs w:val="22"/>
        </w:rPr>
        <w:t>o</w:t>
      </w:r>
      <w:r w:rsidRPr="00A62D7C">
        <w:rPr>
          <w:i/>
          <w:sz w:val="22"/>
          <w:szCs w:val="22"/>
        </w:rPr>
        <w:t>nal de ejercicios cerrados</w:t>
      </w:r>
      <w:r w:rsidRPr="00A62D7C">
        <w:rPr>
          <w:sz w:val="22"/>
          <w:szCs w:val="22"/>
        </w:rPr>
        <w:t xml:space="preserve">”. </w:t>
      </w:r>
    </w:p>
    <w:p w:rsidR="00811A99" w:rsidRDefault="00811A99" w:rsidP="00811A99">
      <w:pPr>
        <w:pStyle w:val="texto"/>
      </w:pPr>
      <w:r>
        <w:t>De acuerdo con la información aportada por la Universidad señalamos:</w:t>
      </w:r>
    </w:p>
    <w:p w:rsidR="004B0D73" w:rsidRPr="00811A99" w:rsidRDefault="004B0D73" w:rsidP="004B0D73">
      <w:pPr>
        <w:pStyle w:val="texto"/>
      </w:pPr>
      <w:r w:rsidRPr="00811A99">
        <w:t>a) Reintegros efectuados en 2014.</w:t>
      </w:r>
      <w:r w:rsidR="00811A99">
        <w:t xml:space="preserve"> En este ejercicio, la Universidad </w:t>
      </w:r>
      <w:r w:rsidR="00AA476E">
        <w:t>reintegró</w:t>
      </w:r>
      <w:r w:rsidR="00811A99">
        <w:t xml:space="preserve"> un total de 100.343 euros más unos intereses de demora de 14.926 euros.</w:t>
      </w:r>
    </w:p>
    <w:p w:rsidR="00811A99" w:rsidRDefault="004B0D73" w:rsidP="004B0D73">
      <w:pPr>
        <w:pStyle w:val="texto"/>
      </w:pPr>
      <w:r w:rsidRPr="00811A99">
        <w:t xml:space="preserve">b) </w:t>
      </w:r>
      <w:r w:rsidR="00811A99">
        <w:t>A 31 de diciembre de 2014, el importe requerido ascendía a 121.347 e</w:t>
      </w:r>
      <w:r w:rsidR="00811A99">
        <w:t>u</w:t>
      </w:r>
      <w:r w:rsidR="00811A99">
        <w:t>ros, de los que se han abonado 78.159 euros.</w:t>
      </w:r>
    </w:p>
    <w:p w:rsidR="004B0D73" w:rsidRDefault="004B0D73" w:rsidP="004B0D73">
      <w:pPr>
        <w:pStyle w:val="texto"/>
      </w:pPr>
      <w:r>
        <w:t>De acuerdo con lo expuesto y de la revisión efectuada sobre una muestra de proyectos de investigación, señalamos las siguientes recomendaciones</w:t>
      </w:r>
      <w:r w:rsidR="0047774A">
        <w:t>:</w:t>
      </w:r>
    </w:p>
    <w:p w:rsidR="004B0D73" w:rsidRPr="001D0F67" w:rsidRDefault="00811A99"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 xml:space="preserve">Dotar anualmente la provisión para riesgos y gastos con las cantidades </w:t>
      </w:r>
      <w:r w:rsidR="004B0D73" w:rsidRPr="001D0F67">
        <w:rPr>
          <w:i/>
          <w:szCs w:val="26"/>
        </w:rPr>
        <w:t>re</w:t>
      </w:r>
      <w:r w:rsidR="000F2B17">
        <w:rPr>
          <w:i/>
          <w:szCs w:val="26"/>
        </w:rPr>
        <w:t>queridas</w:t>
      </w:r>
      <w:r w:rsidR="004B0D73" w:rsidRPr="001D0F67">
        <w:rPr>
          <w:i/>
          <w:szCs w:val="26"/>
        </w:rPr>
        <w:t xml:space="preserve"> por los entes financiadores de proyectos de investigaci</w:t>
      </w:r>
      <w:r w:rsidR="00AC7F0A" w:rsidRPr="001D0F67">
        <w:rPr>
          <w:i/>
          <w:szCs w:val="26"/>
        </w:rPr>
        <w:t>ón. Al re</w:t>
      </w:r>
      <w:r w:rsidR="00AC7F0A" w:rsidRPr="001D0F67">
        <w:rPr>
          <w:i/>
          <w:szCs w:val="26"/>
        </w:rPr>
        <w:t>s</w:t>
      </w:r>
      <w:r w:rsidR="00AC7F0A" w:rsidRPr="001D0F67">
        <w:rPr>
          <w:i/>
          <w:szCs w:val="26"/>
        </w:rPr>
        <w:t xml:space="preserve">pecto, debe exigirse </w:t>
      </w:r>
      <w:r w:rsidR="004B0D73" w:rsidRPr="001D0F67">
        <w:rPr>
          <w:i/>
          <w:szCs w:val="26"/>
        </w:rPr>
        <w:t xml:space="preserve">el máximo rigor sobre la naturaleza y acreditación del gasto elegible así como en su justificación. </w:t>
      </w:r>
    </w:p>
    <w:p w:rsidR="004B0D73" w:rsidRPr="001D0F67" w:rsidRDefault="00811A99"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szCs w:val="26"/>
        </w:rPr>
        <w:t>Incluir tal información en</w:t>
      </w:r>
      <w:r w:rsidR="004B0D73" w:rsidRPr="001D0F67">
        <w:rPr>
          <w:i/>
          <w:szCs w:val="26"/>
        </w:rPr>
        <w:t xml:space="preserve"> la memoria económica del ejercicio.</w:t>
      </w:r>
    </w:p>
    <w:p w:rsidR="004B0D73" w:rsidRPr="002E27C3" w:rsidRDefault="004B0D73"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2E27C3">
        <w:rPr>
          <w:i/>
          <w:szCs w:val="26"/>
        </w:rPr>
        <w:t>Una vez se implante la contabilidad analítica, determinar los costes ind</w:t>
      </w:r>
      <w:r w:rsidRPr="002E27C3">
        <w:rPr>
          <w:i/>
          <w:szCs w:val="26"/>
        </w:rPr>
        <w:t>i</w:t>
      </w:r>
      <w:r w:rsidRPr="002E27C3">
        <w:rPr>
          <w:i/>
          <w:szCs w:val="26"/>
        </w:rPr>
        <w:t>rectos que se generan con la actividad investigadora. Igualmente, es</w:t>
      </w:r>
      <w:r w:rsidR="008F4621" w:rsidRPr="002E27C3">
        <w:rPr>
          <w:i/>
          <w:szCs w:val="26"/>
        </w:rPr>
        <w:t>a determ</w:t>
      </w:r>
      <w:r w:rsidR="008F4621" w:rsidRPr="002E27C3">
        <w:rPr>
          <w:i/>
          <w:szCs w:val="26"/>
        </w:rPr>
        <w:t>i</w:t>
      </w:r>
      <w:r w:rsidR="008F4621" w:rsidRPr="002E27C3">
        <w:rPr>
          <w:i/>
          <w:szCs w:val="26"/>
        </w:rPr>
        <w:t>nación</w:t>
      </w:r>
      <w:r w:rsidRPr="002E27C3">
        <w:rPr>
          <w:i/>
          <w:szCs w:val="26"/>
        </w:rPr>
        <w:t xml:space="preserve"> servir</w:t>
      </w:r>
      <w:r w:rsidR="008F4621" w:rsidRPr="002E27C3">
        <w:rPr>
          <w:i/>
          <w:szCs w:val="26"/>
        </w:rPr>
        <w:t>á</w:t>
      </w:r>
      <w:r w:rsidRPr="002E27C3">
        <w:rPr>
          <w:i/>
          <w:szCs w:val="26"/>
        </w:rPr>
        <w:t xml:space="preserve"> para repercutir esos costes a aquellos proyectos y contratos que no señalen expresamente el importe de los mismos. </w:t>
      </w:r>
    </w:p>
    <w:p w:rsidR="004B0D73" w:rsidRPr="002E27C3" w:rsidRDefault="004B0D73" w:rsidP="004B0D73">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sidRPr="002E27C3">
        <w:rPr>
          <w:i/>
          <w:szCs w:val="26"/>
        </w:rPr>
        <w:t>Procurar homogeneizar los criterios selectivos aplica</w:t>
      </w:r>
      <w:r w:rsidR="007F4171">
        <w:rPr>
          <w:i/>
          <w:szCs w:val="26"/>
        </w:rPr>
        <w:t>bles</w:t>
      </w:r>
      <w:r w:rsidRPr="002E27C3">
        <w:rPr>
          <w:i/>
          <w:szCs w:val="26"/>
        </w:rPr>
        <w:t xml:space="preserve"> en los procesos </w:t>
      </w:r>
      <w:r w:rsidR="008F4621" w:rsidRPr="002E27C3">
        <w:rPr>
          <w:i/>
          <w:szCs w:val="26"/>
        </w:rPr>
        <w:t>de contratación</w:t>
      </w:r>
      <w:r w:rsidRPr="002E27C3">
        <w:rPr>
          <w:i/>
          <w:szCs w:val="26"/>
        </w:rPr>
        <w:t xml:space="preserve"> de personal temporal de los distintos proyectos y contratos de investigación. </w:t>
      </w:r>
    </w:p>
    <w:p w:rsidR="004B0D73" w:rsidRPr="002E27C3" w:rsidRDefault="004B0D73" w:rsidP="00D31BB1">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spacing w:after="240"/>
        <w:ind w:left="0" w:firstLine="289"/>
        <w:rPr>
          <w:i/>
          <w:szCs w:val="26"/>
        </w:rPr>
      </w:pPr>
      <w:r w:rsidRPr="002E27C3">
        <w:rPr>
          <w:i/>
          <w:szCs w:val="26"/>
        </w:rPr>
        <w:t>Para aquellos suministros</w:t>
      </w:r>
      <w:r w:rsidR="008F4621" w:rsidRPr="002E27C3">
        <w:rPr>
          <w:i/>
          <w:szCs w:val="26"/>
        </w:rPr>
        <w:t xml:space="preserve"> para </w:t>
      </w:r>
      <w:r w:rsidR="007B22A6">
        <w:rPr>
          <w:i/>
          <w:szCs w:val="26"/>
        </w:rPr>
        <w:t>proyectos de</w:t>
      </w:r>
      <w:r w:rsidR="008F4621" w:rsidRPr="002E27C3">
        <w:rPr>
          <w:i/>
          <w:szCs w:val="26"/>
        </w:rPr>
        <w:t xml:space="preserve"> investigación</w:t>
      </w:r>
      <w:r w:rsidRPr="002E27C3">
        <w:rPr>
          <w:i/>
          <w:szCs w:val="26"/>
        </w:rPr>
        <w:t xml:space="preserve"> en que sea fa</w:t>
      </w:r>
      <w:r w:rsidRPr="002E27C3">
        <w:rPr>
          <w:i/>
          <w:szCs w:val="26"/>
        </w:rPr>
        <w:t>c</w:t>
      </w:r>
      <w:r w:rsidRPr="002E27C3">
        <w:rPr>
          <w:i/>
          <w:szCs w:val="26"/>
        </w:rPr>
        <w:t>tible, estudiar la tramitación de acuerdos marco con la finalidad de disponer de unos listados de proveedores</w:t>
      </w:r>
      <w:r w:rsidR="008F4621" w:rsidRPr="002E27C3">
        <w:rPr>
          <w:i/>
          <w:szCs w:val="26"/>
        </w:rPr>
        <w:t xml:space="preserve"> y de precios</w:t>
      </w:r>
      <w:r w:rsidRPr="002E27C3">
        <w:rPr>
          <w:i/>
          <w:szCs w:val="26"/>
        </w:rPr>
        <w:t>.</w:t>
      </w:r>
    </w:p>
    <w:p w:rsidR="004B0D73" w:rsidRDefault="004B0D73" w:rsidP="004B0D73">
      <w:pPr>
        <w:pStyle w:val="atitulo3"/>
      </w:pPr>
      <w:r>
        <w:lastRenderedPageBreak/>
        <w:t xml:space="preserve">IV.4.3. Precios públicos por matrículas </w:t>
      </w:r>
    </w:p>
    <w:p w:rsidR="004B0D73" w:rsidRDefault="004B0D73" w:rsidP="004B0D73">
      <w:pPr>
        <w:pStyle w:val="texto"/>
      </w:pPr>
      <w:r>
        <w:t>Destacamos los siguientes aspectos: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La fijación de la cuantía anual de los precios públicos aplicados p</w:t>
      </w:r>
      <w:r w:rsidR="00F21187">
        <w:t>or la Universidad se realiza</w:t>
      </w:r>
      <w:r>
        <w:t>:</w:t>
      </w:r>
    </w:p>
    <w:p w:rsidR="004B0D73" w:rsidRDefault="004B0D73" w:rsidP="004B0D73">
      <w:pPr>
        <w:pStyle w:val="texto"/>
      </w:pPr>
      <w:r>
        <w:t xml:space="preserve">a) Para los estudios oficiales, por el Gobierno de Navarra. Señalamos que desde el curso 2013/14, estos importes </w:t>
      </w:r>
      <w:r w:rsidR="008D2841">
        <w:t>no se han modificado</w:t>
      </w:r>
      <w:r>
        <w:t>.</w:t>
      </w:r>
    </w:p>
    <w:p w:rsidR="004B0D73" w:rsidRDefault="004B0D73" w:rsidP="004B0D73">
      <w:pPr>
        <w:pStyle w:val="texto"/>
      </w:pPr>
      <w:r>
        <w:t>b) Para enseñanzas propias y otros precios públicos, con carácter general, el Consejo Social.</w:t>
      </w:r>
    </w:p>
    <w:p w:rsidR="007E03B1" w:rsidRDefault="004B0D73" w:rsidP="007E03B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El criterio contable de registro contable-presupuestario de las matrículas es el de caja. </w:t>
      </w:r>
    </w:p>
    <w:p w:rsidR="004B0D73" w:rsidRPr="009F3206" w:rsidRDefault="009F3206" w:rsidP="007E03B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E</w:t>
      </w:r>
      <w:r w:rsidR="004B0D73" w:rsidRPr="009F3206">
        <w:t>n 2014, se desglosar</w:t>
      </w:r>
      <w:r w:rsidR="007F4171" w:rsidRPr="009F3206">
        <w:t>on</w:t>
      </w:r>
      <w:r w:rsidR="004B0D73" w:rsidRPr="009F3206">
        <w:t xml:space="preserve"> presupuestariamente</w:t>
      </w:r>
      <w:r w:rsidR="00F51324">
        <w:t>, tal como se informa en la memoria,</w:t>
      </w:r>
      <w:r w:rsidR="004B0D73" w:rsidRPr="009F3206">
        <w:t xml:space="preserve"> los derechos de matrícula entre titulaciones oficiales y enseñanzas propias y otros estudios.</w:t>
      </w:r>
    </w:p>
    <w:p w:rsidR="00D31BB1" w:rsidRDefault="004B0D73" w:rsidP="005F6F5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La gestión de las matrículas se realiza a través de la aplicación SIGMA, efectuándose las mismas por el alumno de forma </w:t>
      </w:r>
      <w:r w:rsidRPr="007F4171">
        <w:rPr>
          <w:i/>
        </w:rPr>
        <w:t>on line</w:t>
      </w:r>
      <w:r>
        <w:t xml:space="preserve"> y la propia aplicación genera el abonaré o carta de pago. El pago en la entidad financiera se puede efectuar, a opción del alumno, mediante un pago al contado o mediante pagos fraccionados sin coste alguno. </w:t>
      </w:r>
    </w:p>
    <w:p w:rsidR="004B0D73" w:rsidRDefault="004B0D73" w:rsidP="00EA32EA">
      <w:pPr>
        <w:pStyle w:val="texto"/>
        <w:tabs>
          <w:tab w:val="clear" w:pos="2835"/>
          <w:tab w:val="clear" w:pos="3969"/>
          <w:tab w:val="clear" w:pos="5103"/>
          <w:tab w:val="clear" w:pos="6237"/>
          <w:tab w:val="clear" w:pos="7371"/>
          <w:tab w:val="left" w:pos="480"/>
          <w:tab w:val="num" w:pos="928"/>
          <w:tab w:val="num" w:pos="6597"/>
        </w:tabs>
        <w:spacing w:after="240"/>
        <w:ind w:left="289" w:firstLine="0"/>
      </w:pPr>
      <w:r>
        <w:t>Así, para el curso 2015/16, rigen los siguientes plazos:</w:t>
      </w:r>
    </w:p>
    <w:tbl>
      <w:tblPr>
        <w:tblW w:w="8693" w:type="dxa"/>
        <w:jc w:val="center"/>
        <w:shd w:val="clear" w:color="auto" w:fill="FFFFFF"/>
        <w:tblCellMar>
          <w:left w:w="0" w:type="dxa"/>
          <w:right w:w="0" w:type="dxa"/>
        </w:tblCellMar>
        <w:tblLook w:val="04A0" w:firstRow="1" w:lastRow="0" w:firstColumn="1" w:lastColumn="0" w:noHBand="0" w:noVBand="1"/>
      </w:tblPr>
      <w:tblGrid>
        <w:gridCol w:w="2109"/>
        <w:gridCol w:w="837"/>
        <w:gridCol w:w="5747"/>
      </w:tblGrid>
      <w:tr w:rsidR="004B0D73" w:rsidTr="000A4C01">
        <w:trPr>
          <w:trHeight w:val="170"/>
          <w:jc w:val="center"/>
        </w:trPr>
        <w:tc>
          <w:tcPr>
            <w:tcW w:w="0" w:type="auto"/>
            <w:vMerge w:val="restart"/>
            <w:tcBorders>
              <w:top w:val="single" w:sz="4" w:space="0" w:color="auto"/>
              <w:bottom w:val="single" w:sz="4" w:space="0" w:color="auto"/>
            </w:tcBorders>
            <w:shd w:val="clear" w:color="auto" w:fill="A8CBEE" w:themeFill="accent2" w:themeFillTint="66"/>
            <w:tcMar>
              <w:top w:w="75" w:type="dxa"/>
              <w:left w:w="75" w:type="dxa"/>
              <w:bottom w:w="75" w:type="dxa"/>
              <w:right w:w="75" w:type="dxa"/>
            </w:tcMar>
            <w:vAlign w:val="center"/>
            <w:hideMark/>
          </w:tcPr>
          <w:p w:rsidR="004B0D73" w:rsidRPr="0006193A" w:rsidRDefault="004B0D73" w:rsidP="00455A06">
            <w:pPr>
              <w:pStyle w:val="cuadroCabe"/>
              <w:jc w:val="left"/>
              <w:rPr>
                <w:lang w:val="es-ES" w:eastAsia="es-ES"/>
              </w:rPr>
            </w:pPr>
            <w:r w:rsidRPr="0006193A">
              <w:rPr>
                <w:lang w:val="es-ES" w:eastAsia="es-ES"/>
              </w:rPr>
              <w:t>Pago</w:t>
            </w:r>
            <w:r>
              <w:rPr>
                <w:lang w:val="es-ES" w:eastAsia="es-ES"/>
              </w:rPr>
              <w:t>s</w:t>
            </w:r>
            <w:r w:rsidRPr="0006193A">
              <w:rPr>
                <w:lang w:val="es-ES" w:eastAsia="es-ES"/>
              </w:rPr>
              <w:t xml:space="preserve"> fraccionado</w:t>
            </w:r>
            <w:r>
              <w:rPr>
                <w:lang w:val="es-ES" w:eastAsia="es-ES"/>
              </w:rPr>
              <w:t>s</w:t>
            </w:r>
            <w:r w:rsidR="00455A06">
              <w:rPr>
                <w:lang w:val="es-ES" w:eastAsia="es-ES"/>
              </w:rPr>
              <w:t xml:space="preserve"> </w:t>
            </w:r>
            <w:r w:rsidRPr="0006193A">
              <w:rPr>
                <w:lang w:val="es-ES" w:eastAsia="es-ES"/>
              </w:rPr>
              <w:t xml:space="preserve">en </w:t>
            </w:r>
            <w:r>
              <w:rPr>
                <w:lang w:val="es-ES" w:eastAsia="es-ES"/>
              </w:rPr>
              <w:t>M</w:t>
            </w:r>
            <w:r w:rsidRPr="0006193A">
              <w:rPr>
                <w:lang w:val="es-ES" w:eastAsia="es-ES"/>
              </w:rPr>
              <w:t>atrícula Semestral</w:t>
            </w:r>
          </w:p>
        </w:tc>
        <w:tc>
          <w:tcPr>
            <w:tcW w:w="83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1º plazo</w:t>
            </w:r>
          </w:p>
        </w:tc>
        <w:tc>
          <w:tcPr>
            <w:tcW w:w="574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50% del total de los precios públicos en concepto de créditos matriculados y el 100%  de las tasas administrativas. Hasta 15 días siguientes a la matrícula.</w:t>
            </w:r>
          </w:p>
        </w:tc>
      </w:tr>
      <w:tr w:rsidR="004B0D73" w:rsidTr="000A4C01">
        <w:trPr>
          <w:trHeight w:val="456"/>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cuadroCabe"/>
              <w:rPr>
                <w:lang w:val="es-ES" w:eastAsia="es-ES"/>
              </w:rPr>
            </w:pPr>
          </w:p>
        </w:tc>
        <w:tc>
          <w:tcPr>
            <w:tcW w:w="83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2º plazo </w:t>
            </w:r>
          </w:p>
        </w:tc>
        <w:tc>
          <w:tcPr>
            <w:tcW w:w="574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jc w:val="left"/>
              <w:rPr>
                <w:rFonts w:ascii="Arial Narrow" w:hAnsi="Arial Narrow"/>
                <w:sz w:val="17"/>
                <w:szCs w:val="17"/>
              </w:rPr>
            </w:pPr>
            <w:r>
              <w:rPr>
                <w:rFonts w:ascii="Arial Narrow" w:hAnsi="Arial Narrow"/>
                <w:sz w:val="17"/>
                <w:szCs w:val="17"/>
              </w:rPr>
              <w:t xml:space="preserve">50% del total </w:t>
            </w:r>
            <w:r w:rsidRPr="0006193A">
              <w:rPr>
                <w:rFonts w:ascii="Arial Narrow" w:hAnsi="Arial Narrow"/>
                <w:sz w:val="17"/>
                <w:szCs w:val="17"/>
              </w:rPr>
              <w:t>de créditos matriculados.</w:t>
            </w:r>
            <w:r w:rsidRPr="0006193A">
              <w:rPr>
                <w:rFonts w:ascii="Arial Narrow" w:hAnsi="Arial Narrow"/>
                <w:sz w:val="17"/>
                <w:szCs w:val="17"/>
              </w:rPr>
              <w:br/>
              <w:t xml:space="preserve">     </w:t>
            </w:r>
            <w:r>
              <w:rPr>
                <w:rFonts w:ascii="Arial Narrow" w:hAnsi="Arial Narrow"/>
                <w:sz w:val="17"/>
                <w:szCs w:val="17"/>
              </w:rPr>
              <w:t>-</w:t>
            </w:r>
            <w:r w:rsidRPr="0006193A">
              <w:rPr>
                <w:rFonts w:ascii="Arial Narrow" w:hAnsi="Arial Narrow"/>
                <w:sz w:val="17"/>
                <w:szCs w:val="17"/>
              </w:rPr>
              <w:t>Semestre otoño</w:t>
            </w:r>
            <w:r>
              <w:rPr>
                <w:rFonts w:ascii="Arial Narrow" w:hAnsi="Arial Narrow"/>
                <w:sz w:val="17"/>
                <w:szCs w:val="17"/>
              </w:rPr>
              <w:t xml:space="preserve">. </w:t>
            </w:r>
            <w:r w:rsidRPr="0006193A">
              <w:rPr>
                <w:rFonts w:ascii="Arial Narrow" w:hAnsi="Arial Narrow"/>
                <w:sz w:val="17"/>
                <w:szCs w:val="17"/>
              </w:rPr>
              <w:t>Del 19 de octubre al 8 de noviembre de 2015</w:t>
            </w:r>
            <w:r w:rsidRPr="0006193A">
              <w:rPr>
                <w:rFonts w:ascii="Arial Narrow" w:hAnsi="Arial Narrow"/>
                <w:sz w:val="17"/>
                <w:szCs w:val="17"/>
              </w:rPr>
              <w:br/>
              <w:t xml:space="preserve">     </w:t>
            </w:r>
            <w:r>
              <w:rPr>
                <w:rFonts w:ascii="Arial Narrow" w:hAnsi="Arial Narrow"/>
                <w:sz w:val="17"/>
                <w:szCs w:val="17"/>
              </w:rPr>
              <w:t>-</w:t>
            </w:r>
            <w:r w:rsidRPr="0006193A">
              <w:rPr>
                <w:rFonts w:ascii="Arial Narrow" w:hAnsi="Arial Narrow"/>
                <w:sz w:val="17"/>
                <w:szCs w:val="17"/>
              </w:rPr>
              <w:t>Semestre primavera. Del 4 al 24 de  abril de 2016 </w:t>
            </w:r>
          </w:p>
        </w:tc>
      </w:tr>
      <w:tr w:rsidR="004B0D73" w:rsidTr="000A4C01">
        <w:trPr>
          <w:trHeight w:val="278"/>
          <w:jc w:val="center"/>
        </w:trPr>
        <w:tc>
          <w:tcPr>
            <w:tcW w:w="0" w:type="auto"/>
            <w:vMerge w:val="restart"/>
            <w:tcBorders>
              <w:top w:val="single" w:sz="4" w:space="0" w:color="auto"/>
              <w:bottom w:val="single" w:sz="4" w:space="0" w:color="auto"/>
            </w:tcBorders>
            <w:shd w:val="clear" w:color="auto" w:fill="A8CBEE" w:themeFill="accent2" w:themeFillTint="66"/>
            <w:tcMar>
              <w:top w:w="75" w:type="dxa"/>
              <w:left w:w="75" w:type="dxa"/>
              <w:bottom w:w="75" w:type="dxa"/>
              <w:right w:w="75" w:type="dxa"/>
            </w:tcMar>
            <w:vAlign w:val="center"/>
            <w:hideMark/>
          </w:tcPr>
          <w:p w:rsidR="004B0D73" w:rsidRPr="0006193A" w:rsidRDefault="004B0D73" w:rsidP="00455A06">
            <w:pPr>
              <w:pStyle w:val="cuadroCabe"/>
              <w:jc w:val="left"/>
              <w:rPr>
                <w:lang w:val="es-ES" w:eastAsia="es-ES"/>
              </w:rPr>
            </w:pPr>
            <w:r w:rsidRPr="0006193A">
              <w:rPr>
                <w:lang w:val="es-ES" w:eastAsia="es-ES"/>
              </w:rPr>
              <w:t>Pago</w:t>
            </w:r>
            <w:r>
              <w:rPr>
                <w:lang w:val="es-ES" w:eastAsia="es-ES"/>
              </w:rPr>
              <w:t>s</w:t>
            </w:r>
            <w:r w:rsidRPr="0006193A">
              <w:rPr>
                <w:lang w:val="es-ES" w:eastAsia="es-ES"/>
              </w:rPr>
              <w:t xml:space="preserve"> fraccionado</w:t>
            </w:r>
            <w:r>
              <w:rPr>
                <w:lang w:val="es-ES" w:eastAsia="es-ES"/>
              </w:rPr>
              <w:t>s</w:t>
            </w:r>
            <w:r w:rsidR="00455A06">
              <w:rPr>
                <w:lang w:val="es-ES" w:eastAsia="es-ES"/>
              </w:rPr>
              <w:t xml:space="preserve"> </w:t>
            </w:r>
            <w:r w:rsidRPr="0006193A">
              <w:rPr>
                <w:lang w:val="es-ES" w:eastAsia="es-ES"/>
              </w:rPr>
              <w:t xml:space="preserve">en </w:t>
            </w:r>
            <w:r>
              <w:rPr>
                <w:lang w:val="es-ES" w:eastAsia="es-ES"/>
              </w:rPr>
              <w:t>M</w:t>
            </w:r>
            <w:r w:rsidRPr="0006193A">
              <w:rPr>
                <w:lang w:val="es-ES" w:eastAsia="es-ES"/>
              </w:rPr>
              <w:t>atrícula Anu</w:t>
            </w:r>
            <w:r w:rsidRPr="00455A06">
              <w:rPr>
                <w:lang w:val="es-ES" w:eastAsia="es-ES"/>
              </w:rPr>
              <w:t>a</w:t>
            </w:r>
            <w:r w:rsidRPr="0006193A">
              <w:rPr>
                <w:lang w:val="es-ES" w:eastAsia="es-ES"/>
              </w:rPr>
              <w:t>l</w:t>
            </w:r>
          </w:p>
        </w:tc>
        <w:tc>
          <w:tcPr>
            <w:tcW w:w="83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1º plazo</w:t>
            </w:r>
          </w:p>
        </w:tc>
        <w:tc>
          <w:tcPr>
            <w:tcW w:w="5747" w:type="dxa"/>
            <w:tcBorders>
              <w:top w:val="single" w:sz="4"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40% del total créditos matriculados y 100% de las tasas administrativas. Hasta 15 días siguientes a la matrícula. </w:t>
            </w:r>
          </w:p>
        </w:tc>
      </w:tr>
      <w:tr w:rsidR="004B0D73" w:rsidTr="000A4C01">
        <w:trPr>
          <w:trHeight w:val="170"/>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texto"/>
              <w:spacing w:after="0"/>
              <w:ind w:firstLine="0"/>
              <w:rPr>
                <w:rFonts w:ascii="Arial Narrow" w:hAnsi="Arial Narrow"/>
                <w:sz w:val="17"/>
                <w:szCs w:val="17"/>
              </w:rPr>
            </w:pPr>
          </w:p>
        </w:tc>
        <w:tc>
          <w:tcPr>
            <w:tcW w:w="83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2º plazo</w:t>
            </w:r>
          </w:p>
        </w:tc>
        <w:tc>
          <w:tcPr>
            <w:tcW w:w="574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20% del total créditos matriculados. Del 19 octubre al 8 noviembre de 2015</w:t>
            </w:r>
          </w:p>
        </w:tc>
      </w:tr>
      <w:tr w:rsidR="004B0D73" w:rsidTr="000A4C01">
        <w:trPr>
          <w:trHeight w:val="170"/>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texto"/>
              <w:spacing w:after="0"/>
              <w:ind w:firstLine="0"/>
              <w:rPr>
                <w:rFonts w:ascii="Arial Narrow" w:hAnsi="Arial Narrow"/>
                <w:sz w:val="17"/>
                <w:szCs w:val="17"/>
              </w:rPr>
            </w:pPr>
          </w:p>
        </w:tc>
        <w:tc>
          <w:tcPr>
            <w:tcW w:w="83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3º plazo</w:t>
            </w:r>
          </w:p>
        </w:tc>
        <w:tc>
          <w:tcPr>
            <w:tcW w:w="5747" w:type="dxa"/>
            <w:tcBorders>
              <w:top w:val="single" w:sz="2" w:space="0" w:color="auto"/>
              <w:bottom w:val="single" w:sz="2"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20% del total créditos matriculados. Del 18 de enero al 7 de febrero de 2016</w:t>
            </w:r>
          </w:p>
        </w:tc>
      </w:tr>
      <w:tr w:rsidR="004B0D73" w:rsidTr="000A4C01">
        <w:trPr>
          <w:trHeight w:val="170"/>
          <w:jc w:val="center"/>
        </w:trPr>
        <w:tc>
          <w:tcPr>
            <w:tcW w:w="0" w:type="auto"/>
            <w:vMerge/>
            <w:tcBorders>
              <w:bottom w:val="single" w:sz="4" w:space="0" w:color="auto"/>
            </w:tcBorders>
            <w:shd w:val="clear" w:color="auto" w:fill="A8CBEE" w:themeFill="accent2" w:themeFillTint="66"/>
            <w:vAlign w:val="center"/>
            <w:hideMark/>
          </w:tcPr>
          <w:p w:rsidR="004B0D73" w:rsidRPr="0006193A" w:rsidRDefault="004B0D73" w:rsidP="006431B3">
            <w:pPr>
              <w:pStyle w:val="texto"/>
              <w:spacing w:after="0"/>
              <w:ind w:firstLine="0"/>
              <w:rPr>
                <w:rFonts w:ascii="Arial Narrow" w:hAnsi="Arial Narrow"/>
                <w:sz w:val="17"/>
                <w:szCs w:val="17"/>
              </w:rPr>
            </w:pPr>
          </w:p>
        </w:tc>
        <w:tc>
          <w:tcPr>
            <w:tcW w:w="83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4º plazo</w:t>
            </w:r>
          </w:p>
        </w:tc>
        <w:tc>
          <w:tcPr>
            <w:tcW w:w="5747" w:type="dxa"/>
            <w:tcBorders>
              <w:top w:val="single" w:sz="2" w:space="0" w:color="auto"/>
              <w:bottom w:val="single" w:sz="4" w:space="0" w:color="auto"/>
            </w:tcBorders>
            <w:shd w:val="clear" w:color="auto" w:fill="auto"/>
            <w:tcMar>
              <w:top w:w="75" w:type="dxa"/>
              <w:left w:w="75" w:type="dxa"/>
              <w:bottom w:w="75" w:type="dxa"/>
              <w:right w:w="75" w:type="dxa"/>
            </w:tcMar>
            <w:vAlign w:val="center"/>
            <w:hideMark/>
          </w:tcPr>
          <w:p w:rsidR="004B0D73" w:rsidRPr="0006193A" w:rsidRDefault="004B0D73" w:rsidP="006431B3">
            <w:pPr>
              <w:pStyle w:val="texto"/>
              <w:spacing w:after="0"/>
              <w:ind w:firstLine="0"/>
              <w:rPr>
                <w:rFonts w:ascii="Arial Narrow" w:hAnsi="Arial Narrow"/>
                <w:sz w:val="17"/>
                <w:szCs w:val="17"/>
              </w:rPr>
            </w:pPr>
            <w:r w:rsidRPr="0006193A">
              <w:rPr>
                <w:rFonts w:ascii="Arial Narrow" w:hAnsi="Arial Narrow"/>
                <w:sz w:val="17"/>
                <w:szCs w:val="17"/>
              </w:rPr>
              <w:t>20% del total créditos matriculados. Del 4 al 24 abril 2016</w:t>
            </w:r>
          </w:p>
        </w:tc>
      </w:tr>
    </w:tbl>
    <w:p w:rsidR="004B0D73" w:rsidRDefault="004B0D73" w:rsidP="00455A06">
      <w:pPr>
        <w:pStyle w:val="texto"/>
        <w:tabs>
          <w:tab w:val="clear" w:pos="2835"/>
          <w:tab w:val="clear" w:pos="3969"/>
          <w:tab w:val="clear" w:pos="5103"/>
          <w:tab w:val="clear" w:pos="6237"/>
          <w:tab w:val="clear" w:pos="7371"/>
          <w:tab w:val="left" w:pos="480"/>
          <w:tab w:val="num" w:pos="928"/>
          <w:tab w:val="num" w:pos="6597"/>
        </w:tabs>
        <w:spacing w:after="0"/>
        <w:ind w:left="289" w:firstLine="0"/>
      </w:pPr>
    </w:p>
    <w:p w:rsidR="004B0D73" w:rsidRDefault="004B0D73" w:rsidP="004B0D73">
      <w:pPr>
        <w:pStyle w:val="texto"/>
      </w:pPr>
      <w:r>
        <w:t xml:space="preserve">Este procedimiento favorece al alumno pero genera dificultades importantes en la gestión. </w:t>
      </w:r>
    </w:p>
    <w:p w:rsidR="004B0D73" w:rsidRDefault="004B0D73" w:rsidP="004B0D73">
      <w:pPr>
        <w:pStyle w:val="texto"/>
      </w:pPr>
      <w:r>
        <w:t>Las exenciones aplica</w:t>
      </w:r>
      <w:r w:rsidR="007F4171">
        <w:t xml:space="preserve">bles </w:t>
      </w:r>
      <w:r>
        <w:t>en las matrículas proceden de: becas, familia n</w:t>
      </w:r>
      <w:r>
        <w:t>u</w:t>
      </w:r>
      <w:r>
        <w:t>merosa –general y especial</w:t>
      </w:r>
      <w:r w:rsidR="00455A06">
        <w:t>–</w:t>
      </w:r>
      <w:r>
        <w:t>, discapacidad, matrículas de honor y violencia t</w:t>
      </w:r>
      <w:r>
        <w:t>e</w:t>
      </w:r>
      <w:r>
        <w:t>rrorista y de género. Señalamos:</w:t>
      </w:r>
    </w:p>
    <w:p w:rsidR="004B0D73" w:rsidRDefault="004B0D73" w:rsidP="004B0D73">
      <w:pPr>
        <w:pStyle w:val="texto"/>
      </w:pPr>
      <w:r>
        <w:t xml:space="preserve">a) Las becas del Ministerio se abonan directamente a la Universidad en dos </w:t>
      </w:r>
      <w:r w:rsidR="007B22A6">
        <w:t>re</w:t>
      </w:r>
      <w:r w:rsidR="00455A06">
        <w:t>soluciones de pago –</w:t>
      </w:r>
      <w:r>
        <w:t>anticipo y liquidación</w:t>
      </w:r>
      <w:r w:rsidR="00455A06">
        <w:t>–</w:t>
      </w:r>
      <w:r>
        <w:t xml:space="preserve"> y se registran en una partida e</w:t>
      </w:r>
      <w:r>
        <w:t>s</w:t>
      </w:r>
      <w:r>
        <w:t>pecífica del presupuesto. Estos cobros se efectúan de acuerdo con la disponib</w:t>
      </w:r>
      <w:r>
        <w:t>i</w:t>
      </w:r>
      <w:r>
        <w:lastRenderedPageBreak/>
        <w:t>lidad presupuestaria del Ministerio, lo que dificulta las previsiones de ingresos de la Universidad.</w:t>
      </w:r>
    </w:p>
    <w:p w:rsidR="004B0D73" w:rsidRDefault="004B0D73" w:rsidP="004B0D73">
      <w:pPr>
        <w:pStyle w:val="texto"/>
      </w:pPr>
      <w:r>
        <w:t>b) Para las exenciones por familia numerosa y por discapacidad, el alumno debe justificar documentalmente tales circunstancias en el momento de cu</w:t>
      </w:r>
      <w:r>
        <w:t>m</w:t>
      </w:r>
      <w:r>
        <w:t xml:space="preserve">plimentar la matrícula, revisándose la vigencia de tal documentación por los servicios de la Universidad. </w:t>
      </w:r>
    </w:p>
    <w:p w:rsidR="004B0D73" w:rsidRPr="00BE0D80" w:rsidRDefault="004B0D73" w:rsidP="004B0D73">
      <w:pPr>
        <w:pStyle w:val="texto"/>
      </w:pPr>
      <w:r>
        <w:t xml:space="preserve">Diariamente se procesa en la aplicación SIGMA la información recibida de las entidades financieras, se concilian los cobros efectuados y </w:t>
      </w:r>
      <w:r w:rsidR="00FD6B00">
        <w:t xml:space="preserve">lo </w:t>
      </w:r>
      <w:r>
        <w:t>contabiliza</w:t>
      </w:r>
      <w:r w:rsidR="007F4171">
        <w:t>n</w:t>
      </w:r>
      <w:r>
        <w:t xml:space="preserve"> los servicios económicos, depurándose los posibles errores y diferencias entre contabilidad y SIGMA</w:t>
      </w:r>
      <w:r w:rsidRPr="00BE0D80">
        <w:t xml:space="preserve">. </w:t>
      </w:r>
    </w:p>
    <w:p w:rsidR="008C27C2" w:rsidRDefault="004B0D73" w:rsidP="005F6F57">
      <w:pPr>
        <w:pStyle w:val="texto"/>
      </w:pPr>
      <w:r>
        <w:t xml:space="preserve">En conclusión, la gestión administrativa de las matrículas es muy compleja, presenta muchas singularidades y conlleva una importante carga administrativa. </w:t>
      </w:r>
    </w:p>
    <w:p w:rsidR="004B0D73" w:rsidRDefault="004B0D73" w:rsidP="008C27C2">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pPr>
      <w:r>
        <w:t>Exenciones por familia numerosa. En el curso 2014/2015, esta exención presenta la siguiente información:</w:t>
      </w:r>
    </w:p>
    <w:tbl>
      <w:tblPr>
        <w:tblW w:w="8827" w:type="dxa"/>
        <w:jc w:val="center"/>
        <w:tblInd w:w="38"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425"/>
        <w:gridCol w:w="1830"/>
        <w:gridCol w:w="1572"/>
      </w:tblGrid>
      <w:tr w:rsidR="004B0D73" w:rsidRPr="008B51AD" w:rsidTr="000A4C01">
        <w:trPr>
          <w:trHeight w:val="340"/>
          <w:jc w:val="center"/>
        </w:trPr>
        <w:tc>
          <w:tcPr>
            <w:tcW w:w="5425" w:type="dxa"/>
            <w:shd w:val="clear" w:color="auto" w:fill="A8CBEE" w:themeFill="accent2" w:themeFillTint="66"/>
            <w:noWrap/>
            <w:vAlign w:val="center"/>
          </w:tcPr>
          <w:p w:rsidR="004B0D73" w:rsidRPr="008B51AD" w:rsidRDefault="004B0D73" w:rsidP="006431B3">
            <w:pPr>
              <w:pStyle w:val="cuadroCabe"/>
              <w:rPr>
                <w:lang w:val="es-ES" w:eastAsia="es-ES"/>
              </w:rPr>
            </w:pPr>
            <w:r>
              <w:rPr>
                <w:lang w:val="es-ES" w:eastAsia="es-ES"/>
              </w:rPr>
              <w:t>Familia Numerosa</w:t>
            </w:r>
          </w:p>
        </w:tc>
        <w:tc>
          <w:tcPr>
            <w:tcW w:w="1830" w:type="dxa"/>
            <w:shd w:val="clear" w:color="auto" w:fill="A8CBEE" w:themeFill="accent2" w:themeFillTint="66"/>
            <w:vAlign w:val="center"/>
          </w:tcPr>
          <w:p w:rsidR="004B0D73" w:rsidRDefault="004B0D73" w:rsidP="00D31BB1">
            <w:pPr>
              <w:pStyle w:val="cuadroCabe"/>
              <w:jc w:val="right"/>
              <w:rPr>
                <w:lang w:val="es-ES" w:eastAsia="es-ES"/>
              </w:rPr>
            </w:pPr>
            <w:r>
              <w:rPr>
                <w:lang w:val="es-ES" w:eastAsia="es-ES"/>
              </w:rPr>
              <w:t>Nº de beneficiarios</w:t>
            </w:r>
          </w:p>
        </w:tc>
        <w:tc>
          <w:tcPr>
            <w:tcW w:w="1572" w:type="dxa"/>
            <w:shd w:val="clear" w:color="auto" w:fill="A8CBEE" w:themeFill="accent2" w:themeFillTint="66"/>
            <w:noWrap/>
            <w:vAlign w:val="center"/>
          </w:tcPr>
          <w:p w:rsidR="004B0D73" w:rsidRPr="008B51AD" w:rsidRDefault="004B0D73" w:rsidP="00D31BB1">
            <w:pPr>
              <w:pStyle w:val="cuadroCabe"/>
              <w:jc w:val="right"/>
              <w:rPr>
                <w:lang w:val="es-ES" w:eastAsia="es-ES"/>
              </w:rPr>
            </w:pPr>
            <w:r>
              <w:rPr>
                <w:lang w:val="es-ES" w:eastAsia="es-ES"/>
              </w:rPr>
              <w:t>Importe</w:t>
            </w:r>
          </w:p>
        </w:tc>
      </w:tr>
      <w:tr w:rsidR="004B0D73" w:rsidRPr="00D31BB1" w:rsidTr="007F4171">
        <w:trPr>
          <w:trHeight w:val="284"/>
          <w:jc w:val="center"/>
        </w:trPr>
        <w:tc>
          <w:tcPr>
            <w:tcW w:w="5425" w:type="dxa"/>
            <w:shd w:val="clear" w:color="auto" w:fill="auto"/>
            <w:noWrap/>
            <w:vAlign w:val="center"/>
          </w:tcPr>
          <w:p w:rsidR="004B0D73" w:rsidRPr="00D31BB1" w:rsidRDefault="004B0D73" w:rsidP="006431B3">
            <w:pPr>
              <w:pStyle w:val="texto"/>
              <w:spacing w:after="0"/>
              <w:ind w:firstLine="0"/>
              <w:rPr>
                <w:rFonts w:ascii="Arial Narrow" w:hAnsi="Arial Narrow"/>
                <w:sz w:val="20"/>
                <w:szCs w:val="20"/>
              </w:rPr>
            </w:pPr>
            <w:r w:rsidRPr="00D31BB1">
              <w:rPr>
                <w:rFonts w:ascii="Arial Narrow" w:hAnsi="Arial Narrow"/>
                <w:sz w:val="20"/>
                <w:szCs w:val="20"/>
              </w:rPr>
              <w:t xml:space="preserve">F.N. general </w:t>
            </w:r>
          </w:p>
        </w:tc>
        <w:tc>
          <w:tcPr>
            <w:tcW w:w="1830" w:type="dxa"/>
            <w:vAlign w:val="center"/>
          </w:tcPr>
          <w:p w:rsidR="004B0D73" w:rsidRPr="00D31BB1" w:rsidRDefault="007B22A6" w:rsidP="00D31BB1">
            <w:pPr>
              <w:pStyle w:val="texto"/>
              <w:spacing w:after="0"/>
              <w:ind w:firstLine="0"/>
              <w:jc w:val="right"/>
              <w:rPr>
                <w:rFonts w:ascii="Arial Narrow" w:hAnsi="Arial Narrow"/>
                <w:sz w:val="20"/>
                <w:szCs w:val="20"/>
              </w:rPr>
            </w:pPr>
            <w:r w:rsidRPr="00D31BB1">
              <w:rPr>
                <w:rFonts w:ascii="Arial Narrow" w:hAnsi="Arial Narrow"/>
                <w:sz w:val="20"/>
                <w:szCs w:val="20"/>
              </w:rPr>
              <w:t>1.420</w:t>
            </w:r>
          </w:p>
        </w:tc>
        <w:tc>
          <w:tcPr>
            <w:tcW w:w="1572" w:type="dxa"/>
            <w:shd w:val="clear" w:color="auto" w:fill="auto"/>
            <w:noWrap/>
            <w:vAlign w:val="center"/>
          </w:tcPr>
          <w:p w:rsidR="004B0D73" w:rsidRPr="00D31BB1" w:rsidRDefault="004B0D73" w:rsidP="00D31BB1">
            <w:pPr>
              <w:pStyle w:val="texto"/>
              <w:spacing w:after="0"/>
              <w:ind w:firstLine="0"/>
              <w:jc w:val="right"/>
              <w:rPr>
                <w:rFonts w:ascii="Arial Narrow" w:hAnsi="Arial Narrow"/>
                <w:sz w:val="20"/>
                <w:szCs w:val="20"/>
              </w:rPr>
            </w:pPr>
            <w:r w:rsidRPr="00D31BB1">
              <w:rPr>
                <w:rFonts w:ascii="Arial Narrow" w:hAnsi="Arial Narrow"/>
                <w:sz w:val="20"/>
                <w:szCs w:val="20"/>
              </w:rPr>
              <w:t>687.589</w:t>
            </w:r>
          </w:p>
        </w:tc>
      </w:tr>
      <w:tr w:rsidR="004B0D73" w:rsidRPr="00D31BB1" w:rsidTr="007F4171">
        <w:trPr>
          <w:trHeight w:val="284"/>
          <w:jc w:val="center"/>
        </w:trPr>
        <w:tc>
          <w:tcPr>
            <w:tcW w:w="5425" w:type="dxa"/>
            <w:shd w:val="clear" w:color="auto" w:fill="auto"/>
            <w:noWrap/>
            <w:vAlign w:val="center"/>
          </w:tcPr>
          <w:p w:rsidR="004B0D73" w:rsidRPr="00D31BB1" w:rsidRDefault="004B0D73" w:rsidP="006431B3">
            <w:pPr>
              <w:pStyle w:val="texto"/>
              <w:spacing w:after="0"/>
              <w:ind w:firstLine="0"/>
              <w:rPr>
                <w:rFonts w:ascii="Arial Narrow" w:hAnsi="Arial Narrow"/>
                <w:sz w:val="20"/>
                <w:szCs w:val="20"/>
              </w:rPr>
            </w:pPr>
            <w:r w:rsidRPr="00D31BB1">
              <w:rPr>
                <w:rFonts w:ascii="Arial Narrow" w:hAnsi="Arial Narrow"/>
                <w:sz w:val="20"/>
                <w:szCs w:val="20"/>
              </w:rPr>
              <w:t>F.N. especial</w:t>
            </w:r>
          </w:p>
        </w:tc>
        <w:tc>
          <w:tcPr>
            <w:tcW w:w="1830" w:type="dxa"/>
            <w:vAlign w:val="center"/>
          </w:tcPr>
          <w:p w:rsidR="004B0D73" w:rsidRPr="00D31BB1" w:rsidRDefault="007B22A6" w:rsidP="00D31BB1">
            <w:pPr>
              <w:pStyle w:val="texto"/>
              <w:spacing w:after="0"/>
              <w:ind w:firstLine="0"/>
              <w:jc w:val="right"/>
              <w:rPr>
                <w:rFonts w:ascii="Arial Narrow" w:hAnsi="Arial Narrow"/>
                <w:sz w:val="20"/>
                <w:szCs w:val="20"/>
              </w:rPr>
            </w:pPr>
            <w:r w:rsidRPr="00D31BB1">
              <w:rPr>
                <w:rFonts w:ascii="Arial Narrow" w:hAnsi="Arial Narrow"/>
                <w:sz w:val="20"/>
                <w:szCs w:val="20"/>
              </w:rPr>
              <w:t>222</w:t>
            </w:r>
          </w:p>
        </w:tc>
        <w:tc>
          <w:tcPr>
            <w:tcW w:w="1572" w:type="dxa"/>
            <w:shd w:val="clear" w:color="auto" w:fill="auto"/>
            <w:noWrap/>
            <w:vAlign w:val="center"/>
          </w:tcPr>
          <w:p w:rsidR="004B0D73" w:rsidRPr="00D31BB1" w:rsidRDefault="004B0D73" w:rsidP="00D31BB1">
            <w:pPr>
              <w:pStyle w:val="texto"/>
              <w:spacing w:after="0"/>
              <w:ind w:firstLine="0"/>
              <w:jc w:val="right"/>
              <w:rPr>
                <w:rFonts w:ascii="Arial Narrow" w:hAnsi="Arial Narrow"/>
                <w:sz w:val="20"/>
                <w:szCs w:val="20"/>
              </w:rPr>
            </w:pPr>
            <w:r w:rsidRPr="00D31BB1">
              <w:rPr>
                <w:rFonts w:ascii="Arial Narrow" w:hAnsi="Arial Narrow"/>
                <w:sz w:val="20"/>
                <w:szCs w:val="20"/>
              </w:rPr>
              <w:t>233.013</w:t>
            </w:r>
          </w:p>
        </w:tc>
      </w:tr>
    </w:tbl>
    <w:p w:rsidR="004B0D73" w:rsidRDefault="004B0D73" w:rsidP="008D4279">
      <w:pPr>
        <w:pStyle w:val="texto"/>
        <w:spacing w:after="0"/>
      </w:pPr>
    </w:p>
    <w:p w:rsidR="004B0D73" w:rsidRDefault="004B0D73" w:rsidP="004B0D73">
      <w:pPr>
        <w:pStyle w:val="texto"/>
      </w:pPr>
      <w:r>
        <w:t>El 28</w:t>
      </w:r>
      <w:r w:rsidR="007B22A6">
        <w:t xml:space="preserve"> por ciento</w:t>
      </w:r>
      <w:r>
        <w:t xml:space="preserve"> de</w:t>
      </w:r>
      <w:r w:rsidR="00114412">
        <w:t xml:space="preserve"> las exenciones de</w:t>
      </w:r>
      <w:r>
        <w:t xml:space="preserve"> los beneficiarios de familia numerosa general y el 34 por ciento de la especial</w:t>
      </w:r>
      <w:r w:rsidR="00114412">
        <w:t>,</w:t>
      </w:r>
      <w:r>
        <w:t xml:space="preserve"> corresponden a descuentos sobre s</w:t>
      </w:r>
      <w:r>
        <w:t>e</w:t>
      </w:r>
      <w:r>
        <w:t>gundas y siguientes matrículas. Si aplicáramos el mismo criterio que en la co</w:t>
      </w:r>
      <w:r>
        <w:t>n</w:t>
      </w:r>
      <w:r>
        <w:t xml:space="preserve">cesión de becas –es decir, </w:t>
      </w:r>
      <w:r w:rsidR="00114412">
        <w:t xml:space="preserve">exención </w:t>
      </w:r>
      <w:r>
        <w:t>solo válida para la primera matrícula</w:t>
      </w:r>
      <w:r w:rsidR="008D4279">
        <w:t>–</w:t>
      </w:r>
      <w:r>
        <w:t xml:space="preserve">, el importe total de las exenciones anteriores se vería reducido en 0,27 millones </w:t>
      </w:r>
      <w:r w:rsidR="008D4279">
        <w:t>–</w:t>
      </w:r>
      <w:r>
        <w:t>0,19 y 0,08 millones en general y en especial, respectivamente</w:t>
      </w:r>
      <w:r w:rsidR="008D4279">
        <w:t>–</w:t>
      </w:r>
      <w:r>
        <w:t>.</w:t>
      </w:r>
    </w:p>
    <w:p w:rsidR="004B0D73" w:rsidRDefault="004B0D73" w:rsidP="004B0D73">
      <w:pPr>
        <w:pStyle w:val="texto"/>
      </w:pPr>
      <w:r>
        <w:t>Por otra parte, conviene precisar que la Universidad recupera</w:t>
      </w:r>
      <w:r w:rsidR="007B22A6">
        <w:t xml:space="preserve"> del Ministerio</w:t>
      </w:r>
      <w:r>
        <w:t xml:space="preserve"> el importe de las deducciones por familia numerosa general, registrándose en la oportuna partida presupuestaria.</w:t>
      </w:r>
    </w:p>
    <w:p w:rsidR="004B0D73" w:rsidRDefault="004B0D73" w:rsidP="004B0D73">
      <w:pPr>
        <w:pStyle w:val="texto"/>
        <w:numPr>
          <w:ilvl w:val="0"/>
          <w:numId w:val="1"/>
        </w:numPr>
        <w:tabs>
          <w:tab w:val="clear" w:pos="928"/>
          <w:tab w:val="clear" w:pos="2835"/>
          <w:tab w:val="clear" w:pos="3969"/>
          <w:tab w:val="clear" w:pos="5103"/>
          <w:tab w:val="clear" w:pos="6237"/>
          <w:tab w:val="clear" w:pos="7371"/>
          <w:tab w:val="num" w:pos="300"/>
          <w:tab w:val="left" w:pos="480"/>
          <w:tab w:val="num" w:pos="720"/>
          <w:tab w:val="num" w:pos="6597"/>
        </w:tabs>
        <w:ind w:left="0" w:firstLine="290"/>
      </w:pPr>
      <w:r>
        <w:t xml:space="preserve">Devoluciones de matrícula. En el curso 2014/15 se han devuelto matrículas por un importe total de 0,24 millones y que han afectado a 293 beneficiarios. El 98 por ciento de dicho importe corresponde </w:t>
      </w:r>
      <w:r w:rsidR="007F4171">
        <w:t>a</w:t>
      </w:r>
      <w:r>
        <w:t xml:space="preserve"> matrículas </w:t>
      </w:r>
      <w:r w:rsidR="00F21187">
        <w:t>en la</w:t>
      </w:r>
      <w:r w:rsidR="00371DF5">
        <w:t>s</w:t>
      </w:r>
      <w:r w:rsidR="00F21187">
        <w:t xml:space="preserve"> </w:t>
      </w:r>
      <w:r>
        <w:t xml:space="preserve">que el alumno no ha indicado en los formularios su condición de becario, siendo finalmente perceptor de esta ayuda.  </w:t>
      </w:r>
    </w:p>
    <w:p w:rsidR="008325B4" w:rsidRDefault="004B0D73" w:rsidP="008D427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pPr>
      <w:r>
        <w:t>Derechos pendientes de cobro por matrículas. Dado que éstas se contabil</w:t>
      </w:r>
      <w:r>
        <w:t>i</w:t>
      </w:r>
      <w:r>
        <w:t>zan por el criterio de caja, los derechos anteriores no están registrados pres</w:t>
      </w:r>
      <w:r>
        <w:t>u</w:t>
      </w:r>
      <w:r>
        <w:t xml:space="preserve">puestariamente ni en contabilidad general, efectuándose su seguimiento de forma extracontable. </w:t>
      </w:r>
    </w:p>
    <w:p w:rsidR="008325B4" w:rsidRDefault="008325B4">
      <w:pPr>
        <w:spacing w:after="0"/>
        <w:ind w:firstLine="0"/>
        <w:jc w:val="left"/>
        <w:rPr>
          <w:spacing w:val="6"/>
          <w:sz w:val="26"/>
          <w:szCs w:val="24"/>
        </w:rPr>
      </w:pPr>
      <w:r>
        <w:br w:type="page"/>
      </w:r>
    </w:p>
    <w:p w:rsidR="00CC0122" w:rsidRDefault="004B0D73" w:rsidP="008325B4">
      <w:pPr>
        <w:pStyle w:val="texto"/>
      </w:pPr>
      <w:r>
        <w:lastRenderedPageBreak/>
        <w:t xml:space="preserve">De acuerdo con la información obtenida, en el cuadro siguiente se muestra su evolución en los tres últimos cursos: </w:t>
      </w:r>
    </w:p>
    <w:tbl>
      <w:tblPr>
        <w:tblW w:w="8837" w:type="dxa"/>
        <w:jc w:val="center"/>
        <w:tblCellMar>
          <w:left w:w="70" w:type="dxa"/>
          <w:right w:w="70" w:type="dxa"/>
        </w:tblCellMar>
        <w:tblLook w:val="0000" w:firstRow="0" w:lastRow="0" w:firstColumn="0" w:lastColumn="0" w:noHBand="0" w:noVBand="0"/>
      </w:tblPr>
      <w:tblGrid>
        <w:gridCol w:w="5457"/>
        <w:gridCol w:w="1200"/>
        <w:gridCol w:w="1190"/>
        <w:gridCol w:w="990"/>
      </w:tblGrid>
      <w:tr w:rsidR="004B0D73" w:rsidRPr="008B51AD" w:rsidTr="000A4C01">
        <w:trPr>
          <w:trHeight w:val="340"/>
          <w:jc w:val="center"/>
        </w:trPr>
        <w:tc>
          <w:tcPr>
            <w:tcW w:w="5457"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CC0122">
            <w:pPr>
              <w:pStyle w:val="cuadroCabe"/>
              <w:rPr>
                <w:lang w:val="es-ES" w:eastAsia="es-ES"/>
              </w:rPr>
            </w:pPr>
            <w:r>
              <w:rPr>
                <w:lang w:val="es-ES" w:eastAsia="es-ES"/>
              </w:rPr>
              <w:t>Derechos pendientes de cobro matrículas</w:t>
            </w:r>
          </w:p>
        </w:tc>
        <w:tc>
          <w:tcPr>
            <w:tcW w:w="1200"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CC0122">
            <w:pPr>
              <w:pStyle w:val="cuadroCabe"/>
              <w:jc w:val="right"/>
              <w:rPr>
                <w:lang w:val="es-ES" w:eastAsia="es-ES"/>
              </w:rPr>
            </w:pPr>
            <w:r>
              <w:rPr>
                <w:lang w:val="es-ES" w:eastAsia="es-ES"/>
              </w:rPr>
              <w:t>Curso 2012/13</w:t>
            </w:r>
          </w:p>
        </w:tc>
        <w:tc>
          <w:tcPr>
            <w:tcW w:w="1190"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CC0122">
            <w:pPr>
              <w:pStyle w:val="cuadroCabe"/>
              <w:jc w:val="right"/>
              <w:rPr>
                <w:lang w:val="es-ES" w:eastAsia="es-ES"/>
              </w:rPr>
            </w:pPr>
            <w:r>
              <w:rPr>
                <w:lang w:val="es-ES" w:eastAsia="es-ES"/>
              </w:rPr>
              <w:t>Curso 2013/14</w:t>
            </w:r>
          </w:p>
        </w:tc>
        <w:tc>
          <w:tcPr>
            <w:tcW w:w="990" w:type="dxa"/>
            <w:tcBorders>
              <w:top w:val="single" w:sz="4" w:space="0" w:color="auto"/>
              <w:bottom w:val="single" w:sz="4" w:space="0" w:color="auto"/>
            </w:tcBorders>
            <w:shd w:val="clear" w:color="auto" w:fill="A8CBEE" w:themeFill="accent2" w:themeFillTint="66"/>
            <w:vAlign w:val="center"/>
          </w:tcPr>
          <w:p w:rsidR="004B0D73" w:rsidRPr="008B51AD" w:rsidRDefault="004B0D73" w:rsidP="00CC0122">
            <w:pPr>
              <w:pStyle w:val="cuadroCabe"/>
              <w:jc w:val="right"/>
              <w:rPr>
                <w:lang w:val="es-ES" w:eastAsia="es-ES"/>
              </w:rPr>
            </w:pPr>
            <w:r>
              <w:rPr>
                <w:lang w:val="es-ES" w:eastAsia="es-ES"/>
              </w:rPr>
              <w:t>Curso 2014/15</w:t>
            </w:r>
          </w:p>
        </w:tc>
      </w:tr>
      <w:tr w:rsidR="004B0D73"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sidRPr="007211BD">
              <w:rPr>
                <w:rFonts w:ascii="Arial Narrow" w:hAnsi="Arial Narrow"/>
                <w:sz w:val="17"/>
                <w:szCs w:val="17"/>
              </w:rPr>
              <w:t>Nº matrículas Grado</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76</w:t>
            </w:r>
          </w:p>
        </w:tc>
        <w:tc>
          <w:tcPr>
            <w:tcW w:w="11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72</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93</w:t>
            </w:r>
          </w:p>
        </w:tc>
      </w:tr>
      <w:tr w:rsidR="004B0D73" w:rsidRPr="00A92E53"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tabs>
                <w:tab w:val="clear" w:pos="7371"/>
                <w:tab w:val="center" w:pos="7088"/>
              </w:tabs>
              <w:spacing w:after="0"/>
              <w:ind w:firstLine="0"/>
              <w:rPr>
                <w:rFonts w:ascii="Arial Narrow" w:hAnsi="Arial Narrow"/>
                <w:sz w:val="17"/>
                <w:szCs w:val="17"/>
              </w:rPr>
            </w:pPr>
            <w:r w:rsidRPr="007211BD">
              <w:rPr>
                <w:rFonts w:ascii="Arial Narrow" w:hAnsi="Arial Narrow"/>
                <w:sz w:val="17"/>
                <w:szCs w:val="17"/>
              </w:rPr>
              <w:t>Nº matrículas</w:t>
            </w:r>
            <w:r>
              <w:rPr>
                <w:rFonts w:ascii="Arial Narrow" w:hAnsi="Arial Narrow"/>
                <w:sz w:val="17"/>
                <w:szCs w:val="17"/>
              </w:rPr>
              <w:t xml:space="preserve"> Ciclos</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46</w:t>
            </w:r>
          </w:p>
        </w:tc>
        <w:tc>
          <w:tcPr>
            <w:tcW w:w="119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5</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8</w:t>
            </w:r>
          </w:p>
        </w:tc>
      </w:tr>
      <w:tr w:rsidR="004B0D73" w:rsidRPr="00A92E53"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sidRPr="007211BD">
              <w:rPr>
                <w:rFonts w:ascii="Arial Narrow" w:hAnsi="Arial Narrow"/>
                <w:sz w:val="17"/>
                <w:szCs w:val="17"/>
              </w:rPr>
              <w:t>Nº matrículas</w:t>
            </w:r>
            <w:r>
              <w:rPr>
                <w:rFonts w:ascii="Arial Narrow" w:hAnsi="Arial Narrow"/>
                <w:sz w:val="17"/>
                <w:szCs w:val="17"/>
              </w:rPr>
              <w:t xml:space="preserve"> Másteres</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3</w:t>
            </w:r>
          </w:p>
        </w:tc>
        <w:tc>
          <w:tcPr>
            <w:tcW w:w="119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0</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17</w:t>
            </w:r>
          </w:p>
        </w:tc>
      </w:tr>
      <w:tr w:rsidR="004B0D73" w:rsidRPr="00920307" w:rsidTr="00CC0122">
        <w:trPr>
          <w:trHeight w:val="284"/>
          <w:jc w:val="center"/>
        </w:trPr>
        <w:tc>
          <w:tcPr>
            <w:tcW w:w="5457"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sidRPr="007211BD">
              <w:rPr>
                <w:rFonts w:ascii="Arial Narrow" w:hAnsi="Arial Narrow"/>
                <w:sz w:val="17"/>
                <w:szCs w:val="17"/>
              </w:rPr>
              <w:t>Nº matrículas</w:t>
            </w:r>
            <w:r>
              <w:rPr>
                <w:rFonts w:ascii="Arial Narrow" w:hAnsi="Arial Narrow"/>
                <w:sz w:val="17"/>
                <w:szCs w:val="17"/>
              </w:rPr>
              <w:t xml:space="preserve"> Doctorandos</w:t>
            </w:r>
          </w:p>
        </w:tc>
        <w:tc>
          <w:tcPr>
            <w:tcW w:w="120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16</w:t>
            </w:r>
          </w:p>
        </w:tc>
        <w:tc>
          <w:tcPr>
            <w:tcW w:w="1190" w:type="dxa"/>
            <w:tcBorders>
              <w:top w:val="single" w:sz="2" w:space="0" w:color="auto"/>
              <w:bottom w:val="single" w:sz="2"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21</w:t>
            </w:r>
          </w:p>
        </w:tc>
        <w:tc>
          <w:tcPr>
            <w:tcW w:w="990" w:type="dxa"/>
            <w:tcBorders>
              <w:top w:val="single" w:sz="2" w:space="0" w:color="auto"/>
              <w:bottom w:val="single" w:sz="2"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34</w:t>
            </w:r>
          </w:p>
        </w:tc>
      </w:tr>
      <w:tr w:rsidR="004B0D73" w:rsidRPr="00920307" w:rsidTr="00CC0122">
        <w:trPr>
          <w:trHeight w:val="284"/>
          <w:jc w:val="center"/>
        </w:trPr>
        <w:tc>
          <w:tcPr>
            <w:tcW w:w="5457" w:type="dxa"/>
            <w:tcBorders>
              <w:top w:val="single" w:sz="2" w:space="0" w:color="auto"/>
              <w:bottom w:val="single" w:sz="4" w:space="0" w:color="auto"/>
            </w:tcBorders>
            <w:shd w:val="clear" w:color="auto" w:fill="auto"/>
            <w:noWrap/>
            <w:vAlign w:val="center"/>
          </w:tcPr>
          <w:p w:rsidR="004B0D73" w:rsidRPr="007211BD" w:rsidRDefault="004B0D73" w:rsidP="00CC0122">
            <w:pPr>
              <w:pStyle w:val="texto"/>
              <w:spacing w:after="0"/>
              <w:ind w:firstLine="0"/>
              <w:rPr>
                <w:rFonts w:ascii="Arial Narrow" w:hAnsi="Arial Narrow"/>
                <w:sz w:val="17"/>
                <w:szCs w:val="17"/>
              </w:rPr>
            </w:pPr>
            <w:r>
              <w:rPr>
                <w:rFonts w:ascii="Arial Narrow" w:hAnsi="Arial Narrow"/>
                <w:sz w:val="17"/>
                <w:szCs w:val="17"/>
              </w:rPr>
              <w:t>Nº otras matrículas de titulaciones no oficiales</w:t>
            </w:r>
          </w:p>
        </w:tc>
        <w:tc>
          <w:tcPr>
            <w:tcW w:w="1200" w:type="dxa"/>
            <w:tcBorders>
              <w:top w:val="single" w:sz="2" w:space="0" w:color="auto"/>
              <w:bottom w:val="single" w:sz="4"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n.d.</w:t>
            </w:r>
          </w:p>
        </w:tc>
        <w:tc>
          <w:tcPr>
            <w:tcW w:w="1190" w:type="dxa"/>
            <w:tcBorders>
              <w:top w:val="single" w:sz="2" w:space="0" w:color="auto"/>
              <w:bottom w:val="single" w:sz="4" w:space="0" w:color="auto"/>
            </w:tcBorders>
            <w:shd w:val="clear" w:color="auto" w:fill="auto"/>
            <w:noWrap/>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18</w:t>
            </w:r>
          </w:p>
        </w:tc>
        <w:tc>
          <w:tcPr>
            <w:tcW w:w="990" w:type="dxa"/>
            <w:tcBorders>
              <w:top w:val="single" w:sz="2" w:space="0" w:color="auto"/>
              <w:bottom w:val="single" w:sz="4" w:space="0" w:color="auto"/>
            </w:tcBorders>
            <w:vAlign w:val="center"/>
          </w:tcPr>
          <w:p w:rsidR="004B0D73" w:rsidRPr="007211BD" w:rsidRDefault="004B0D73" w:rsidP="00CC0122">
            <w:pPr>
              <w:pStyle w:val="texto"/>
              <w:spacing w:after="0"/>
              <w:ind w:firstLine="0"/>
              <w:jc w:val="right"/>
              <w:rPr>
                <w:rFonts w:ascii="Arial Narrow" w:hAnsi="Arial Narrow"/>
                <w:sz w:val="17"/>
                <w:szCs w:val="17"/>
              </w:rPr>
            </w:pPr>
            <w:r>
              <w:rPr>
                <w:rFonts w:ascii="Arial Narrow" w:hAnsi="Arial Narrow"/>
                <w:sz w:val="17"/>
                <w:szCs w:val="17"/>
              </w:rPr>
              <w:t>57</w:t>
            </w:r>
          </w:p>
        </w:tc>
      </w:tr>
      <w:tr w:rsidR="004B0D73" w:rsidRPr="00920307" w:rsidTr="00CC0122">
        <w:trPr>
          <w:trHeight w:val="284"/>
          <w:jc w:val="center"/>
        </w:trPr>
        <w:tc>
          <w:tcPr>
            <w:tcW w:w="5457" w:type="dxa"/>
            <w:tcBorders>
              <w:top w:val="single" w:sz="4" w:space="0" w:color="auto"/>
              <w:bottom w:val="single" w:sz="4" w:space="0" w:color="auto"/>
            </w:tcBorders>
            <w:shd w:val="clear" w:color="auto" w:fill="auto"/>
            <w:noWrap/>
            <w:vAlign w:val="center"/>
          </w:tcPr>
          <w:p w:rsidR="004B0D73" w:rsidRPr="007211BD" w:rsidRDefault="004B0D73" w:rsidP="00CC0122">
            <w:pPr>
              <w:pStyle w:val="cuadroCabe"/>
              <w:rPr>
                <w:lang w:val="es-ES" w:eastAsia="es-ES"/>
              </w:rPr>
            </w:pPr>
            <w:r w:rsidRPr="007211BD">
              <w:rPr>
                <w:lang w:val="es-ES" w:eastAsia="es-ES"/>
              </w:rPr>
              <w:t>Nº total deudores</w:t>
            </w:r>
          </w:p>
        </w:tc>
        <w:tc>
          <w:tcPr>
            <w:tcW w:w="1200" w:type="dxa"/>
            <w:tcBorders>
              <w:top w:val="single" w:sz="4" w:space="0" w:color="auto"/>
              <w:bottom w:val="single" w:sz="4" w:space="0" w:color="auto"/>
            </w:tcBorders>
            <w:shd w:val="clear" w:color="auto" w:fill="auto"/>
            <w:noWrap/>
            <w:vAlign w:val="center"/>
          </w:tcPr>
          <w:p w:rsidR="004B0D73" w:rsidRPr="007211BD" w:rsidRDefault="004B0D73" w:rsidP="00CC0122">
            <w:pPr>
              <w:pStyle w:val="cuadroCabe"/>
              <w:jc w:val="right"/>
              <w:rPr>
                <w:lang w:val="es-ES" w:eastAsia="es-ES"/>
              </w:rPr>
            </w:pPr>
            <w:r w:rsidRPr="007211BD">
              <w:rPr>
                <w:lang w:val="es-ES" w:eastAsia="es-ES"/>
              </w:rPr>
              <w:t>141</w:t>
            </w:r>
          </w:p>
        </w:tc>
        <w:tc>
          <w:tcPr>
            <w:tcW w:w="1190" w:type="dxa"/>
            <w:tcBorders>
              <w:top w:val="single" w:sz="4" w:space="0" w:color="auto"/>
              <w:bottom w:val="single" w:sz="4" w:space="0" w:color="auto"/>
            </w:tcBorders>
            <w:shd w:val="clear" w:color="auto" w:fill="auto"/>
            <w:noWrap/>
            <w:vAlign w:val="center"/>
          </w:tcPr>
          <w:p w:rsidR="004B0D73" w:rsidRPr="007211BD" w:rsidRDefault="004B0D73" w:rsidP="00CC0122">
            <w:pPr>
              <w:pStyle w:val="cuadroCabe"/>
              <w:jc w:val="right"/>
              <w:rPr>
                <w:lang w:val="es-ES" w:eastAsia="es-ES"/>
              </w:rPr>
            </w:pPr>
            <w:r w:rsidRPr="007211BD">
              <w:rPr>
                <w:lang w:val="es-ES" w:eastAsia="es-ES"/>
              </w:rPr>
              <w:t>116</w:t>
            </w:r>
          </w:p>
        </w:tc>
        <w:tc>
          <w:tcPr>
            <w:tcW w:w="990" w:type="dxa"/>
            <w:tcBorders>
              <w:top w:val="single" w:sz="4" w:space="0" w:color="auto"/>
              <w:bottom w:val="single" w:sz="4" w:space="0" w:color="auto"/>
            </w:tcBorders>
            <w:shd w:val="clear" w:color="auto" w:fill="auto"/>
            <w:vAlign w:val="center"/>
          </w:tcPr>
          <w:p w:rsidR="004B0D73" w:rsidRPr="007211BD" w:rsidRDefault="004B0D73" w:rsidP="00CC0122">
            <w:pPr>
              <w:pStyle w:val="cuadroCabe"/>
              <w:jc w:val="right"/>
              <w:rPr>
                <w:lang w:val="es-ES" w:eastAsia="es-ES"/>
              </w:rPr>
            </w:pPr>
            <w:r w:rsidRPr="007211BD">
              <w:rPr>
                <w:lang w:val="es-ES" w:eastAsia="es-ES"/>
              </w:rPr>
              <w:t>209</w:t>
            </w:r>
          </w:p>
        </w:tc>
      </w:tr>
      <w:tr w:rsidR="004B0D73" w:rsidRPr="00920307" w:rsidTr="000A4C01">
        <w:trPr>
          <w:trHeight w:val="284"/>
          <w:jc w:val="center"/>
        </w:trPr>
        <w:tc>
          <w:tcPr>
            <w:tcW w:w="5457" w:type="dxa"/>
            <w:tcBorders>
              <w:top w:val="single" w:sz="4" w:space="0" w:color="auto"/>
              <w:bottom w:val="single" w:sz="4" w:space="0" w:color="auto"/>
            </w:tcBorders>
            <w:shd w:val="clear" w:color="auto" w:fill="A8CBEE" w:themeFill="accent2" w:themeFillTint="66"/>
            <w:noWrap/>
            <w:vAlign w:val="center"/>
          </w:tcPr>
          <w:p w:rsidR="004B0D73" w:rsidRPr="007211BD" w:rsidRDefault="004B0D73" w:rsidP="00CC0122">
            <w:pPr>
              <w:pStyle w:val="cuadroCabe"/>
              <w:rPr>
                <w:lang w:val="es-ES" w:eastAsia="es-ES"/>
              </w:rPr>
            </w:pPr>
            <w:r w:rsidRPr="007211BD">
              <w:rPr>
                <w:lang w:val="es-ES" w:eastAsia="es-ES"/>
              </w:rPr>
              <w:t>Importe total morosidad</w:t>
            </w:r>
            <w:r>
              <w:rPr>
                <w:lang w:val="es-ES" w:eastAsia="es-ES"/>
              </w:rPr>
              <w:t xml:space="preserve"> (en euros)</w:t>
            </w:r>
          </w:p>
        </w:tc>
        <w:tc>
          <w:tcPr>
            <w:tcW w:w="1200" w:type="dxa"/>
            <w:tcBorders>
              <w:top w:val="single" w:sz="4" w:space="0" w:color="auto"/>
              <w:bottom w:val="single" w:sz="4" w:space="0" w:color="auto"/>
            </w:tcBorders>
            <w:shd w:val="clear" w:color="auto" w:fill="A8CBEE" w:themeFill="accent2" w:themeFillTint="66"/>
            <w:noWrap/>
            <w:vAlign w:val="center"/>
          </w:tcPr>
          <w:p w:rsidR="004B0D73" w:rsidRPr="007211BD" w:rsidRDefault="004B0D73" w:rsidP="00CC0122">
            <w:pPr>
              <w:pStyle w:val="cuadroCabe"/>
              <w:jc w:val="right"/>
              <w:rPr>
                <w:lang w:val="es-ES" w:eastAsia="es-ES"/>
              </w:rPr>
            </w:pPr>
            <w:r w:rsidRPr="007211BD">
              <w:rPr>
                <w:lang w:val="es-ES" w:eastAsia="es-ES"/>
              </w:rPr>
              <w:t>96.057</w:t>
            </w:r>
          </w:p>
        </w:tc>
        <w:tc>
          <w:tcPr>
            <w:tcW w:w="1190" w:type="dxa"/>
            <w:tcBorders>
              <w:top w:val="single" w:sz="4" w:space="0" w:color="auto"/>
              <w:bottom w:val="single" w:sz="4" w:space="0" w:color="auto"/>
            </w:tcBorders>
            <w:shd w:val="clear" w:color="auto" w:fill="A8CBEE" w:themeFill="accent2" w:themeFillTint="66"/>
            <w:noWrap/>
            <w:vAlign w:val="center"/>
          </w:tcPr>
          <w:p w:rsidR="004B0D73" w:rsidRPr="007211BD" w:rsidRDefault="004B0D73" w:rsidP="00CC0122">
            <w:pPr>
              <w:pStyle w:val="cuadroCabe"/>
              <w:jc w:val="right"/>
              <w:rPr>
                <w:lang w:val="es-ES" w:eastAsia="es-ES"/>
              </w:rPr>
            </w:pPr>
            <w:r w:rsidRPr="007211BD">
              <w:rPr>
                <w:lang w:val="es-ES" w:eastAsia="es-ES"/>
              </w:rPr>
              <w:t>52.391</w:t>
            </w:r>
          </w:p>
        </w:tc>
        <w:tc>
          <w:tcPr>
            <w:tcW w:w="990" w:type="dxa"/>
            <w:tcBorders>
              <w:top w:val="single" w:sz="4" w:space="0" w:color="auto"/>
              <w:bottom w:val="single" w:sz="4" w:space="0" w:color="auto"/>
            </w:tcBorders>
            <w:shd w:val="clear" w:color="auto" w:fill="A8CBEE" w:themeFill="accent2" w:themeFillTint="66"/>
            <w:vAlign w:val="center"/>
          </w:tcPr>
          <w:p w:rsidR="004B0D73" w:rsidRPr="007211BD" w:rsidRDefault="004B0D73" w:rsidP="00CC0122">
            <w:pPr>
              <w:pStyle w:val="cuadroCabe"/>
              <w:jc w:val="right"/>
              <w:rPr>
                <w:lang w:val="es-ES" w:eastAsia="es-ES"/>
              </w:rPr>
            </w:pPr>
            <w:r w:rsidRPr="007211BD">
              <w:rPr>
                <w:lang w:val="es-ES" w:eastAsia="es-ES"/>
              </w:rPr>
              <w:t>59.123</w:t>
            </w:r>
          </w:p>
        </w:tc>
      </w:tr>
    </w:tbl>
    <w:p w:rsidR="004B0D73" w:rsidRDefault="004B0D73" w:rsidP="008D4279">
      <w:pPr>
        <w:pStyle w:val="texto"/>
        <w:spacing w:before="240"/>
      </w:pPr>
      <w:r>
        <w:t>Como se observa, se ha reducido significativamente su importe, en un 38 por ciento y, para las titulaciones oficiales, apenas suponen el 0,5 por ciento del t</w:t>
      </w:r>
      <w:r>
        <w:t>o</w:t>
      </w:r>
      <w:r>
        <w:t>tal de ingresos por reconocidos por matrículas.</w:t>
      </w:r>
      <w:r w:rsidR="007D526A">
        <w:t xml:space="preserve"> No obstante</w:t>
      </w:r>
      <w:r w:rsidR="007F4171">
        <w:t>,</w:t>
      </w:r>
      <w:r w:rsidR="007D526A">
        <w:t xml:space="preserve"> ha aumentado el número de deudores especialmente en titulaciones no oficiales.</w:t>
      </w:r>
    </w:p>
    <w:p w:rsidR="004B0D73" w:rsidRDefault="004B0D73" w:rsidP="004B0D73">
      <w:pPr>
        <w:pStyle w:val="texto"/>
      </w:pPr>
      <w:r>
        <w:t>El motivo de estos impagos es muy diverso y las posibilidades de actuación sobre los morosos son muy limitadas. No obstante, el sistema informático bl</w:t>
      </w:r>
      <w:r>
        <w:t>o</w:t>
      </w:r>
      <w:r w:rsidR="007F4171">
        <w:t>quea a e</w:t>
      </w:r>
      <w:r>
        <w:t>stos la posibilidad de realizar o recibir una serie de prestaciones ac</w:t>
      </w:r>
      <w:r>
        <w:t>a</w:t>
      </w:r>
      <w:r>
        <w:t xml:space="preserve">démicas y administrativas, </w:t>
      </w:r>
      <w:r w:rsidRPr="00285655">
        <w:t>tales como solicitar certificaciones académicas, re</w:t>
      </w:r>
      <w:r w:rsidRPr="00285655">
        <w:t>a</w:t>
      </w:r>
      <w:r w:rsidRPr="00285655">
        <w:t xml:space="preserve">lizar traslados de expedientes, </w:t>
      </w:r>
      <w:r w:rsidR="007B22A6">
        <w:t xml:space="preserve">becas de colaboración, </w:t>
      </w:r>
      <w:r w:rsidRPr="00285655">
        <w:t xml:space="preserve">valoraciones académicas o exámenes, etc.  Al final, cuando el alumno moroso </w:t>
      </w:r>
      <w:r>
        <w:t>precisa</w:t>
      </w:r>
      <w:r w:rsidRPr="00285655">
        <w:t xml:space="preserve"> realizar al</w:t>
      </w:r>
      <w:r>
        <w:t>gún acto administrativo o docente, se le exige previamente el pago pendiente.</w:t>
      </w:r>
    </w:p>
    <w:p w:rsidR="004B0D73" w:rsidRDefault="004B0D73" w:rsidP="004B0D73">
      <w:pPr>
        <w:pStyle w:val="texto"/>
      </w:pPr>
      <w:r>
        <w:t>Recomendaciones</w:t>
      </w:r>
      <w:r w:rsidR="00194E66">
        <w:t>:</w:t>
      </w:r>
    </w:p>
    <w:p w:rsidR="004B0D73" w:rsidRPr="00982A8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982A83">
        <w:rPr>
          <w:i/>
          <w:szCs w:val="26"/>
        </w:rPr>
        <w:t xml:space="preserve">Convenir con los departamentos del Gobierno de Navarra implicados el acceso directo de la Universidad a sus bases de datos al objeto de verificar las exenciones derivadas de familias numerosas y de discapacidad, eliminando la obligación de </w:t>
      </w:r>
      <w:r w:rsidR="007F4171">
        <w:rPr>
          <w:i/>
          <w:szCs w:val="26"/>
        </w:rPr>
        <w:t>que el alumno aporte</w:t>
      </w:r>
      <w:r w:rsidRPr="00982A83">
        <w:rPr>
          <w:i/>
          <w:szCs w:val="26"/>
        </w:rPr>
        <w:t xml:space="preserve"> tal documentación justificativa y su post</w:t>
      </w:r>
      <w:r w:rsidRPr="00982A83">
        <w:rPr>
          <w:i/>
          <w:szCs w:val="26"/>
        </w:rPr>
        <w:t>e</w:t>
      </w:r>
      <w:r w:rsidRPr="00982A83">
        <w:rPr>
          <w:i/>
          <w:szCs w:val="26"/>
        </w:rPr>
        <w:t>rior revisión por los servicios administrativos de la Universidad.</w:t>
      </w:r>
    </w:p>
    <w:p w:rsidR="004B0D73" w:rsidRPr="00982A8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i/>
          <w:szCs w:val="26"/>
        </w:rPr>
      </w:pPr>
      <w:r w:rsidRPr="00982A83">
        <w:rPr>
          <w:i/>
          <w:szCs w:val="26"/>
        </w:rPr>
        <w:t>Conciliar anualmente los cobros efectivamente realizados entre las dos fuentes que disponen tal información: servicios de estudiantes y servicios ec</w:t>
      </w:r>
      <w:r w:rsidRPr="00982A83">
        <w:rPr>
          <w:i/>
          <w:szCs w:val="26"/>
        </w:rPr>
        <w:t>o</w:t>
      </w:r>
      <w:r w:rsidRPr="00982A83">
        <w:rPr>
          <w:i/>
          <w:szCs w:val="26"/>
        </w:rPr>
        <w:t>nómicos.</w:t>
      </w:r>
    </w:p>
    <w:p w:rsidR="004B0D73" w:rsidRPr="0033040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0"/>
        <w:ind w:left="0" w:firstLine="289"/>
      </w:pPr>
      <w:r w:rsidRPr="00982A83">
        <w:rPr>
          <w:i/>
          <w:szCs w:val="26"/>
        </w:rPr>
        <w:t xml:space="preserve">La implantación del nuevo plan contable público podría ser el momento para </w:t>
      </w:r>
      <w:r>
        <w:rPr>
          <w:i/>
          <w:szCs w:val="26"/>
        </w:rPr>
        <w:t xml:space="preserve">estudiar la </w:t>
      </w:r>
      <w:r w:rsidRPr="00982A83">
        <w:rPr>
          <w:i/>
          <w:szCs w:val="26"/>
        </w:rPr>
        <w:t>introduc</w:t>
      </w:r>
      <w:r>
        <w:rPr>
          <w:i/>
          <w:szCs w:val="26"/>
        </w:rPr>
        <w:t>ción</w:t>
      </w:r>
      <w:r w:rsidRPr="00982A83">
        <w:rPr>
          <w:i/>
          <w:szCs w:val="26"/>
        </w:rPr>
        <w:t xml:space="preserve"> </w:t>
      </w:r>
      <w:r>
        <w:rPr>
          <w:i/>
          <w:szCs w:val="26"/>
        </w:rPr>
        <w:t>d</w:t>
      </w:r>
      <w:r w:rsidRPr="00982A83">
        <w:rPr>
          <w:i/>
          <w:szCs w:val="26"/>
        </w:rPr>
        <w:t>el principio del devengo en la gestión de l</w:t>
      </w:r>
      <w:r>
        <w:rPr>
          <w:i/>
          <w:szCs w:val="26"/>
        </w:rPr>
        <w:t>os precios públicos</w:t>
      </w:r>
      <w:r w:rsidRPr="00982A83">
        <w:rPr>
          <w:i/>
          <w:szCs w:val="26"/>
        </w:rPr>
        <w:t>.</w:t>
      </w:r>
    </w:p>
    <w:p w:rsidR="009F3206" w:rsidRDefault="009F3206" w:rsidP="008325B4">
      <w:pPr>
        <w:pStyle w:val="texto"/>
      </w:pPr>
    </w:p>
    <w:p w:rsidR="008325B4" w:rsidRDefault="008325B4">
      <w:pPr>
        <w:spacing w:after="0"/>
        <w:ind w:firstLine="0"/>
        <w:jc w:val="left"/>
        <w:rPr>
          <w:rFonts w:ascii="Arial" w:hAnsi="Arial"/>
          <w:i/>
          <w:iCs/>
          <w:color w:val="000000"/>
          <w:spacing w:val="10"/>
          <w:kern w:val="28"/>
          <w:sz w:val="25"/>
          <w:szCs w:val="26"/>
        </w:rPr>
      </w:pPr>
      <w:r>
        <w:br w:type="page"/>
      </w:r>
    </w:p>
    <w:p w:rsidR="004B0D73" w:rsidRPr="00D03E5F" w:rsidRDefault="004B0D73" w:rsidP="004B0D73">
      <w:pPr>
        <w:pStyle w:val="atitulo3"/>
      </w:pPr>
      <w:r>
        <w:lastRenderedPageBreak/>
        <w:t>IV.4.4. Otras áreas</w:t>
      </w:r>
    </w:p>
    <w:p w:rsidR="004B0D73" w:rsidRDefault="004B0D73" w:rsidP="004B0D73">
      <w:pPr>
        <w:pStyle w:val="texto"/>
      </w:pPr>
      <w:r>
        <w:t>Señalamos los siguientes aspectos: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No se han detectado gastos devengados en 2014 traspasados al presupuesto de 2015. Asimismo, la cuenta de acreedores pendientes de aplicar al presupue</w:t>
      </w:r>
      <w:r>
        <w:t>s</w:t>
      </w:r>
      <w:r>
        <w:t>to presenta un saldo inicial y final nulo y no constan movimientos durante el ejercicio.</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 xml:space="preserve">Al presupuesto de 2014 se le imputan unos recargos por presentación de declaraciones extemporáneas de IRPF por importe total de 59.211 euros. Estos recargos se devengan por retraso de un día en la presentación ante la Hacienda Foral de dichas declaraciones correspondientes a </w:t>
      </w:r>
      <w:r w:rsidR="007B22A6">
        <w:t xml:space="preserve">dos </w:t>
      </w:r>
      <w:r>
        <w:t>periodos de los ejercicios de 2012 y 2013.</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No constan gastos por intereses de demora en el pago a proveedores</w:t>
      </w:r>
      <w:r w:rsidRPr="003C1CB3">
        <w:t>. El único gasto de esa naturaleza que se contempla</w:t>
      </w:r>
      <w:r w:rsidR="00943A54">
        <w:t xml:space="preserve"> </w:t>
      </w:r>
      <w:r w:rsidRPr="003C1CB3">
        <w:t>corresponde al ya citado por reintegros de proyectos de investigación</w:t>
      </w:r>
      <w:r>
        <w:t xml:space="preserve">. </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Gastos por transferencias. Dentro de los mismos, se incluyen tres líneas presupuestarias de ayudas a estudiantes en dificultades económicas para la co</w:t>
      </w:r>
      <w:r>
        <w:t>n</w:t>
      </w:r>
      <w:r>
        <w:t>tinuación de sus estudios: ayudas para matrículas, para estudios y becas de c</w:t>
      </w:r>
      <w:r>
        <w:t>o</w:t>
      </w:r>
      <w:r>
        <w:t>laboración</w:t>
      </w:r>
      <w:r w:rsidR="00D53E9B">
        <w:t>; e</w:t>
      </w:r>
      <w:r>
        <w:t>l gasto total en 2014 por estos conceptos asciende a 39.015 euros.</w:t>
      </w:r>
      <w:r w:rsidR="007B22A6">
        <w:t xml:space="preserve"> Estas actuaciones se coordinan por la unidad de Acción Social.</w:t>
      </w:r>
    </w:p>
    <w:p w:rsidR="004B0D73" w:rsidRDefault="004B0D73" w:rsidP="004B0D73">
      <w:pPr>
        <w:pStyle w:val="texto"/>
      </w:pPr>
      <w:r>
        <w:t>De acuerdo con el informe final del III Plan Estratégico de la Universidad, en el periodo de vigencia del mismo (2011 a 2014) se ha</w:t>
      </w:r>
      <w:r w:rsidR="00D47A3B">
        <w:t>n</w:t>
      </w:r>
      <w:r>
        <w:t xml:space="preserve"> valorado las dificu</w:t>
      </w:r>
      <w:r>
        <w:t>l</w:t>
      </w:r>
      <w:r>
        <w:t>tades económicas de 381 alumnos.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Contratación administrativa. En 2014, la Universidad ha tramitado un total de 39 contratos por un importe de adjudicación de 1,47 millones (IVA exclu</w:t>
      </w:r>
      <w:r>
        <w:t>i</w:t>
      </w:r>
      <w:r>
        <w:t>do). De estos contratos, el 67 por ciento se ha adjudicado mediante proced</w:t>
      </w:r>
      <w:r>
        <w:t>i</w:t>
      </w:r>
      <w:r>
        <w:t>miento abierto y un 33 por ciento por el negociado sin publicidad comunitaria. Atendiendo a su tipología, el 49 por ciento corresponde a contratos de asiste</w:t>
      </w:r>
      <w:r>
        <w:t>n</w:t>
      </w:r>
      <w:r>
        <w:t xml:space="preserve">cia, el 34 por ciento a suministros y un 17 por ciento a obras. </w:t>
      </w:r>
    </w:p>
    <w:p w:rsidR="009853B5" w:rsidRPr="00330403" w:rsidRDefault="00B015AA"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rFonts w:ascii="Times New (W1)" w:hAnsi="Times New (W1)"/>
        </w:rPr>
      </w:pPr>
      <w:r w:rsidRPr="00330403">
        <w:t>La</w:t>
      </w:r>
      <w:r w:rsidR="00BD4158" w:rsidRPr="00330403">
        <w:t xml:space="preserve"> concesión de los servicios de cafetería y comedor </w:t>
      </w:r>
      <w:r w:rsidR="009853B5" w:rsidRPr="00330403">
        <w:t xml:space="preserve">del </w:t>
      </w:r>
      <w:r w:rsidRPr="00330403">
        <w:t>campus Arrosadía</w:t>
      </w:r>
      <w:r w:rsidR="00BD4158" w:rsidRPr="00330403">
        <w:t xml:space="preserve"> </w:t>
      </w:r>
      <w:r w:rsidRPr="00330403">
        <w:t>se adjudicó</w:t>
      </w:r>
      <w:r w:rsidR="008A26E4" w:rsidRPr="00330403">
        <w:t xml:space="preserve"> mediante procedimiento abierto</w:t>
      </w:r>
      <w:r w:rsidRPr="00330403">
        <w:t xml:space="preserve"> en </w:t>
      </w:r>
      <w:r w:rsidR="007B22A6" w:rsidRPr="00330403">
        <w:t>abril</w:t>
      </w:r>
      <w:r w:rsidR="00977FAE" w:rsidRPr="00330403">
        <w:t xml:space="preserve"> de </w:t>
      </w:r>
      <w:r w:rsidRPr="00330403">
        <w:t>2009 para un periodo máximo de ocho años</w:t>
      </w:r>
      <w:r w:rsidR="008A26E4" w:rsidRPr="00330403">
        <w:t>,</w:t>
      </w:r>
      <w:r w:rsidRPr="00330403">
        <w:t xml:space="preserve"> con un canon anual de 51.500 euros revisable según el IPC</w:t>
      </w:r>
      <w:r w:rsidR="008A26E4" w:rsidRPr="00330403">
        <w:t xml:space="preserve"> y una inversión de 200.000 euros</w:t>
      </w:r>
      <w:r w:rsidRPr="00330403">
        <w:t>.</w:t>
      </w:r>
      <w:r w:rsidRPr="00330403">
        <w:rPr>
          <w:rFonts w:ascii="Times New (W1)" w:hAnsi="Times New (W1)"/>
        </w:rPr>
        <w:t xml:space="preserve"> En la correspondiente partida presupue</w:t>
      </w:r>
      <w:r w:rsidRPr="00330403">
        <w:rPr>
          <w:rFonts w:ascii="Times New (W1)" w:hAnsi="Times New (W1)"/>
        </w:rPr>
        <w:t>s</w:t>
      </w:r>
      <w:r w:rsidRPr="00330403">
        <w:rPr>
          <w:rFonts w:ascii="Times New (W1)" w:hAnsi="Times New (W1)"/>
        </w:rPr>
        <w:t>taria</w:t>
      </w:r>
      <w:r w:rsidR="00B33F2E" w:rsidRPr="00330403">
        <w:rPr>
          <w:rFonts w:ascii="Times New (W1)" w:hAnsi="Times New (W1)"/>
        </w:rPr>
        <w:t xml:space="preserve"> de 2014</w:t>
      </w:r>
      <w:r w:rsidRPr="00330403">
        <w:rPr>
          <w:rFonts w:ascii="Times New (W1)" w:hAnsi="Times New (W1)"/>
        </w:rPr>
        <w:t xml:space="preserve"> se incluye</w:t>
      </w:r>
      <w:r w:rsidR="00F74561" w:rsidRPr="00330403">
        <w:rPr>
          <w:rFonts w:ascii="Times New (W1)" w:hAnsi="Times New (W1)"/>
        </w:rPr>
        <w:t>, además del canon anterior,</w:t>
      </w:r>
      <w:r w:rsidRPr="00330403">
        <w:rPr>
          <w:rFonts w:ascii="Times New (W1)" w:hAnsi="Times New (W1)"/>
        </w:rPr>
        <w:t xml:space="preserve"> un ingreso de</w:t>
      </w:r>
      <w:r w:rsidR="00BD4158" w:rsidRPr="00330403">
        <w:rPr>
          <w:rFonts w:ascii="Times New (W1)" w:hAnsi="Times New (W1)"/>
        </w:rPr>
        <w:t xml:space="preserve"> </w:t>
      </w:r>
      <w:r w:rsidR="00F74561" w:rsidRPr="00330403">
        <w:rPr>
          <w:rFonts w:ascii="Times New (W1)" w:hAnsi="Times New (W1)"/>
        </w:rPr>
        <w:t>17.804 euros</w:t>
      </w:r>
      <w:r w:rsidR="00BD4158" w:rsidRPr="00330403">
        <w:rPr>
          <w:rFonts w:ascii="Times New (W1)" w:hAnsi="Times New (W1)"/>
        </w:rPr>
        <w:t xml:space="preserve"> por “autorización de uso de la coci</w:t>
      </w:r>
      <w:r w:rsidRPr="00330403">
        <w:rPr>
          <w:rFonts w:ascii="Times New (W1)" w:hAnsi="Times New (W1)"/>
        </w:rPr>
        <w:t>na”</w:t>
      </w:r>
      <w:r w:rsidR="00F74561" w:rsidRPr="00330403">
        <w:rPr>
          <w:rFonts w:ascii="Times New (W1)" w:hAnsi="Times New (W1)"/>
        </w:rPr>
        <w:t xml:space="preserve"> y </w:t>
      </w:r>
      <w:r w:rsidR="00FE5C7B" w:rsidRPr="00330403">
        <w:rPr>
          <w:rFonts w:ascii="Times New (W1)" w:hAnsi="Times New (W1)"/>
        </w:rPr>
        <w:t xml:space="preserve">que se </w:t>
      </w:r>
      <w:r w:rsidR="00F74561" w:rsidRPr="00330403">
        <w:rPr>
          <w:rFonts w:ascii="Times New (W1)" w:hAnsi="Times New (W1)"/>
        </w:rPr>
        <w:t xml:space="preserve">corresponde </w:t>
      </w:r>
      <w:r w:rsidR="00FE5C7B" w:rsidRPr="00330403">
        <w:rPr>
          <w:rFonts w:ascii="Times New (W1)" w:hAnsi="Times New (W1)"/>
        </w:rPr>
        <w:t>con</w:t>
      </w:r>
      <w:r w:rsidR="00F74561" w:rsidRPr="00330403">
        <w:rPr>
          <w:rFonts w:ascii="Times New (W1)" w:hAnsi="Times New (W1)"/>
        </w:rPr>
        <w:t xml:space="preserve"> 71.215 com</w:t>
      </w:r>
      <w:r w:rsidR="00F74561" w:rsidRPr="00330403">
        <w:rPr>
          <w:rFonts w:ascii="Times New (W1)" w:hAnsi="Times New (W1)"/>
        </w:rPr>
        <w:t>i</w:t>
      </w:r>
      <w:r w:rsidR="00F74561" w:rsidRPr="00330403">
        <w:rPr>
          <w:rFonts w:ascii="Times New (W1)" w:hAnsi="Times New (W1)"/>
        </w:rPr>
        <w:t xml:space="preserve">das preparadas entre noviembre de 2013 a mayo de 2014 </w:t>
      </w:r>
      <w:r w:rsidR="008E2B31" w:rsidRPr="00330403">
        <w:rPr>
          <w:rFonts w:ascii="Times New (W1)" w:hAnsi="Times New (W1)"/>
        </w:rPr>
        <w:t>a</w:t>
      </w:r>
      <w:r w:rsidR="00F74561" w:rsidRPr="00330403">
        <w:rPr>
          <w:rFonts w:ascii="Times New (W1)" w:hAnsi="Times New (W1)"/>
        </w:rPr>
        <w:t xml:space="preserve"> un coste unitario de 0,25 euros</w:t>
      </w:r>
      <w:r w:rsidR="00BD4158" w:rsidRPr="00330403">
        <w:rPr>
          <w:rFonts w:ascii="Times New (W1)" w:hAnsi="Times New (W1)"/>
        </w:rPr>
        <w:t xml:space="preserve">. </w:t>
      </w:r>
    </w:p>
    <w:p w:rsidR="00BD4158" w:rsidRPr="00330403" w:rsidRDefault="00B015AA" w:rsidP="009853B5">
      <w:pPr>
        <w:pStyle w:val="texto"/>
        <w:rPr>
          <w:rFonts w:ascii="Times New (W1)" w:hAnsi="Times New (W1)"/>
        </w:rPr>
      </w:pPr>
      <w:r w:rsidRPr="00330403">
        <w:rPr>
          <w:rFonts w:ascii="Times New (W1)" w:hAnsi="Times New (W1)"/>
        </w:rPr>
        <w:t>Este ingreso surge como consecuencia de que, e</w:t>
      </w:r>
      <w:r w:rsidR="00BD4158" w:rsidRPr="00330403">
        <w:rPr>
          <w:rFonts w:ascii="Times New (W1)" w:hAnsi="Times New (W1)"/>
        </w:rPr>
        <w:t>n 2012, la empresa</w:t>
      </w:r>
      <w:r w:rsidRPr="00330403">
        <w:rPr>
          <w:rFonts w:ascii="Times New (W1)" w:hAnsi="Times New (W1)"/>
        </w:rPr>
        <w:t xml:space="preserve"> conc</w:t>
      </w:r>
      <w:r w:rsidRPr="00330403">
        <w:rPr>
          <w:rFonts w:ascii="Times New (W1)" w:hAnsi="Times New (W1)"/>
        </w:rPr>
        <w:t>e</w:t>
      </w:r>
      <w:r w:rsidRPr="00330403">
        <w:rPr>
          <w:rFonts w:ascii="Times New (W1)" w:hAnsi="Times New (W1)"/>
        </w:rPr>
        <w:t>sionaria</w:t>
      </w:r>
      <w:r w:rsidR="00BD4158" w:rsidRPr="00330403">
        <w:rPr>
          <w:rFonts w:ascii="Times New (W1)" w:hAnsi="Times New (W1)"/>
        </w:rPr>
        <w:t xml:space="preserve"> solicita autorización para utilizar la</w:t>
      </w:r>
      <w:r w:rsidRPr="00330403">
        <w:rPr>
          <w:rFonts w:ascii="Times New (W1)" w:hAnsi="Times New (W1)"/>
        </w:rPr>
        <w:t>s anteriores instalaciones</w:t>
      </w:r>
      <w:r w:rsidR="00BD4158" w:rsidRPr="00330403">
        <w:rPr>
          <w:rFonts w:ascii="Times New (W1)" w:hAnsi="Times New (W1)"/>
        </w:rPr>
        <w:t xml:space="preserve"> al objeto de </w:t>
      </w:r>
      <w:r w:rsidR="00F74561" w:rsidRPr="00330403">
        <w:rPr>
          <w:rFonts w:ascii="Times New (W1)" w:hAnsi="Times New (W1)"/>
        </w:rPr>
        <w:t>elaborar</w:t>
      </w:r>
      <w:r w:rsidR="00BD4158" w:rsidRPr="00330403">
        <w:rPr>
          <w:rFonts w:ascii="Times New (W1)" w:hAnsi="Times New (W1)"/>
        </w:rPr>
        <w:t xml:space="preserve"> comidas </w:t>
      </w:r>
      <w:r w:rsidR="007F4171">
        <w:rPr>
          <w:rFonts w:ascii="Times New (W1)" w:hAnsi="Times New (W1)"/>
        </w:rPr>
        <w:t>para</w:t>
      </w:r>
      <w:r w:rsidR="00BD4158" w:rsidRPr="00330403">
        <w:rPr>
          <w:rFonts w:ascii="Times New (W1)" w:hAnsi="Times New (W1)"/>
        </w:rPr>
        <w:t xml:space="preserve"> centros ajenos a la Universidad; </w:t>
      </w:r>
      <w:r w:rsidR="00A02AFE" w:rsidRPr="00330403">
        <w:rPr>
          <w:rFonts w:ascii="Times New (W1)" w:hAnsi="Times New (W1)"/>
        </w:rPr>
        <w:t>dicha</w:t>
      </w:r>
      <w:r w:rsidR="005F57D4" w:rsidRPr="00330403">
        <w:rPr>
          <w:rFonts w:ascii="Times New (W1)" w:hAnsi="Times New (W1)"/>
        </w:rPr>
        <w:t xml:space="preserve"> autorización</w:t>
      </w:r>
      <w:r w:rsidR="00BD4158" w:rsidRPr="00330403">
        <w:rPr>
          <w:rFonts w:ascii="Times New (W1)" w:hAnsi="Times New (W1)"/>
        </w:rPr>
        <w:t xml:space="preserve"> se </w:t>
      </w:r>
      <w:r w:rsidR="00A02AFE" w:rsidRPr="00330403">
        <w:rPr>
          <w:rFonts w:ascii="Times New (W1)" w:hAnsi="Times New (W1)"/>
        </w:rPr>
        <w:lastRenderedPageBreak/>
        <w:t>concede en</w:t>
      </w:r>
      <w:r w:rsidR="00F74561" w:rsidRPr="00330403">
        <w:rPr>
          <w:rFonts w:ascii="Times New (W1)" w:hAnsi="Times New (W1)"/>
        </w:rPr>
        <w:t xml:space="preserve"> octubre de 2013</w:t>
      </w:r>
      <w:r w:rsidR="00BD4158" w:rsidRPr="00330403">
        <w:rPr>
          <w:rFonts w:ascii="Times New (W1)" w:hAnsi="Times New (W1)"/>
        </w:rPr>
        <w:t xml:space="preserve"> </w:t>
      </w:r>
      <w:r w:rsidR="00A02AFE" w:rsidRPr="00330403">
        <w:rPr>
          <w:rFonts w:ascii="Times New (W1)" w:hAnsi="Times New (W1)"/>
        </w:rPr>
        <w:t>y, dentro de sus condiciones, se</w:t>
      </w:r>
      <w:r w:rsidR="00BD4158" w:rsidRPr="00330403">
        <w:rPr>
          <w:rFonts w:ascii="Times New (W1)" w:hAnsi="Times New (W1)"/>
        </w:rPr>
        <w:t xml:space="preserve"> prevé un ingreso para la Universidad de 0,25 euros por comida elaborada</w:t>
      </w:r>
      <w:r w:rsidR="00A02AFE" w:rsidRPr="00330403">
        <w:rPr>
          <w:rFonts w:ascii="Times New (W1)" w:hAnsi="Times New (W1)"/>
        </w:rPr>
        <w:t>; la vigencia de esta</w:t>
      </w:r>
      <w:r w:rsidR="007017A0" w:rsidRPr="00330403">
        <w:rPr>
          <w:rFonts w:ascii="Times New (W1)" w:hAnsi="Times New (W1)"/>
        </w:rPr>
        <w:t xml:space="preserve"> </w:t>
      </w:r>
      <w:r w:rsidR="00A02AFE" w:rsidRPr="00330403">
        <w:rPr>
          <w:rFonts w:ascii="Times New (W1)" w:hAnsi="Times New (W1)"/>
        </w:rPr>
        <w:t>a</w:t>
      </w:r>
      <w:r w:rsidR="00A02AFE" w:rsidRPr="00330403">
        <w:rPr>
          <w:rFonts w:ascii="Times New (W1)" w:hAnsi="Times New (W1)"/>
        </w:rPr>
        <w:t>u</w:t>
      </w:r>
      <w:r w:rsidR="00A02AFE" w:rsidRPr="00330403">
        <w:rPr>
          <w:rFonts w:ascii="Times New (W1)" w:hAnsi="Times New (W1)"/>
        </w:rPr>
        <w:t>torización</w:t>
      </w:r>
      <w:r w:rsidR="007017A0" w:rsidRPr="00330403">
        <w:rPr>
          <w:rFonts w:ascii="Times New (W1)" w:hAnsi="Times New (W1)"/>
        </w:rPr>
        <w:t xml:space="preserve"> e</w:t>
      </w:r>
      <w:r w:rsidR="006847FA" w:rsidRPr="00330403">
        <w:rPr>
          <w:rFonts w:ascii="Times New (W1)" w:hAnsi="Times New (W1)"/>
        </w:rPr>
        <w:t>ra</w:t>
      </w:r>
      <w:r w:rsidR="007017A0" w:rsidRPr="00330403">
        <w:rPr>
          <w:rFonts w:ascii="Times New (W1)" w:hAnsi="Times New (W1)"/>
        </w:rPr>
        <w:t xml:space="preserve"> inicialmente hasta el 31 de diciembre de 2013, contemplándose su prorroga anual y estableciéndose como límite temporal el plazo del citado contrato de concesión de las cafeterías</w:t>
      </w:r>
      <w:r w:rsidR="00BD4158" w:rsidRPr="00330403">
        <w:rPr>
          <w:rFonts w:ascii="Times New (W1)" w:hAnsi="Times New (W1)"/>
        </w:rPr>
        <w:t>.</w:t>
      </w:r>
      <w:r w:rsidR="00F74561" w:rsidRPr="00330403">
        <w:rPr>
          <w:rFonts w:ascii="Times New (W1)" w:hAnsi="Times New (W1)"/>
        </w:rPr>
        <w:t xml:space="preserve"> Se justifica </w:t>
      </w:r>
      <w:r w:rsidR="00A02AFE" w:rsidRPr="00330403">
        <w:rPr>
          <w:rFonts w:ascii="Times New (W1)" w:hAnsi="Times New (W1)"/>
        </w:rPr>
        <w:t>la misma</w:t>
      </w:r>
      <w:r w:rsidR="00F74561" w:rsidRPr="00330403">
        <w:rPr>
          <w:rFonts w:ascii="Times New (W1)" w:hAnsi="Times New (W1)"/>
        </w:rPr>
        <w:t xml:space="preserve"> en “</w:t>
      </w:r>
      <w:r w:rsidR="00F74561" w:rsidRPr="00194E66">
        <w:rPr>
          <w:rFonts w:ascii="Times New (W1)" w:hAnsi="Times New (W1)"/>
        </w:rPr>
        <w:t>que no es p</w:t>
      </w:r>
      <w:r w:rsidR="00F74561" w:rsidRPr="00194E66">
        <w:rPr>
          <w:rFonts w:ascii="Times New (W1)" w:hAnsi="Times New (W1)"/>
        </w:rPr>
        <w:t>o</w:t>
      </w:r>
      <w:r w:rsidR="00F74561" w:rsidRPr="00194E66">
        <w:rPr>
          <w:rFonts w:ascii="Times New (W1)" w:hAnsi="Times New (W1)"/>
        </w:rPr>
        <w:t>sible conceder este tipo de autorización a una empresa distinta</w:t>
      </w:r>
      <w:r w:rsidR="00F74561" w:rsidRPr="00330403">
        <w:rPr>
          <w:rFonts w:ascii="Times New (W1)" w:hAnsi="Times New (W1)"/>
        </w:rPr>
        <w:t>”.</w:t>
      </w:r>
    </w:p>
    <w:p w:rsidR="00BD4158" w:rsidRPr="00D40CD2" w:rsidRDefault="00BD4158" w:rsidP="00FB1F99">
      <w:pPr>
        <w:pStyle w:val="texto"/>
        <w:spacing w:after="240"/>
        <w:rPr>
          <w:rFonts w:ascii="Times New (W1)" w:hAnsi="Times New (W1)"/>
        </w:rPr>
      </w:pPr>
      <w:r w:rsidRPr="00330403">
        <w:rPr>
          <w:rFonts w:ascii="Times New (W1)" w:hAnsi="Times New (W1)"/>
        </w:rPr>
        <w:t>E</w:t>
      </w:r>
      <w:r w:rsidR="008E2B31" w:rsidRPr="00330403">
        <w:rPr>
          <w:rFonts w:ascii="Times New (W1)" w:hAnsi="Times New (W1)"/>
        </w:rPr>
        <w:t>n nuestra opinión</w:t>
      </w:r>
      <w:r w:rsidR="007917EE" w:rsidRPr="00330403">
        <w:rPr>
          <w:rFonts w:ascii="Times New (W1)" w:hAnsi="Times New (W1)"/>
        </w:rPr>
        <w:t xml:space="preserve">, </w:t>
      </w:r>
      <w:r w:rsidR="008E2B31" w:rsidRPr="00330403">
        <w:rPr>
          <w:rFonts w:ascii="Times New (W1)" w:hAnsi="Times New (W1)"/>
        </w:rPr>
        <w:t>esta actuación</w:t>
      </w:r>
      <w:r w:rsidR="007917EE" w:rsidRPr="00330403">
        <w:rPr>
          <w:rFonts w:ascii="Times New (W1)" w:hAnsi="Times New (W1)"/>
        </w:rPr>
        <w:t xml:space="preserve"> modifica </w:t>
      </w:r>
      <w:r w:rsidR="008E2B31" w:rsidRPr="00330403">
        <w:rPr>
          <w:rFonts w:ascii="Times New (W1)" w:hAnsi="Times New (W1)"/>
        </w:rPr>
        <w:t xml:space="preserve">las condiciones reguladoras del </w:t>
      </w:r>
      <w:r w:rsidR="007917EE" w:rsidRPr="00330403">
        <w:rPr>
          <w:rFonts w:ascii="Times New (W1)" w:hAnsi="Times New (W1)"/>
        </w:rPr>
        <w:t>contrato de</w:t>
      </w:r>
      <w:r w:rsidR="008E2B31" w:rsidRPr="00330403">
        <w:rPr>
          <w:rFonts w:ascii="Times New (W1)" w:hAnsi="Times New (W1)"/>
        </w:rPr>
        <w:t xml:space="preserve"> la concesión al incluirse el uso de las cocinas para otras finalidades, aspecto que no estaba expresamente contemplado en los pliegos reguladores</w:t>
      </w:r>
      <w:r w:rsidR="003252ED" w:rsidRPr="00330403">
        <w:rPr>
          <w:rFonts w:ascii="Times New (W1)" w:hAnsi="Times New (W1)"/>
        </w:rPr>
        <w:t xml:space="preserve"> y que pudo </w:t>
      </w:r>
      <w:r w:rsidR="00035A3C" w:rsidRPr="00330403">
        <w:rPr>
          <w:rFonts w:ascii="Times New (W1)" w:hAnsi="Times New (W1)"/>
        </w:rPr>
        <w:t>afectar</w:t>
      </w:r>
      <w:r w:rsidR="003252ED" w:rsidRPr="00330403">
        <w:rPr>
          <w:rFonts w:ascii="Times New (W1)" w:hAnsi="Times New (W1)"/>
        </w:rPr>
        <w:t xml:space="preserve"> a la concurrencia</w:t>
      </w:r>
      <w:r w:rsidR="008E2B31" w:rsidRPr="00330403">
        <w:rPr>
          <w:rFonts w:ascii="Times New (W1)" w:hAnsi="Times New (W1)"/>
        </w:rPr>
        <w:t>.</w:t>
      </w:r>
      <w:r w:rsidRPr="00330403">
        <w:rPr>
          <w:rFonts w:ascii="Times New (W1)" w:hAnsi="Times New (W1)"/>
        </w:rPr>
        <w:t xml:space="preserve"> </w:t>
      </w:r>
      <w:r w:rsidR="00035A3C" w:rsidRPr="00D40CD2">
        <w:rPr>
          <w:rFonts w:ascii="Times New (W1)" w:hAnsi="Times New (W1)"/>
        </w:rPr>
        <w:t>Por tanto</w:t>
      </w:r>
      <w:r w:rsidR="008D2841" w:rsidRPr="00D40CD2">
        <w:rPr>
          <w:rFonts w:ascii="Times New (W1)" w:hAnsi="Times New (W1)"/>
        </w:rPr>
        <w:t>,</w:t>
      </w:r>
      <w:r w:rsidR="00035A3C" w:rsidRPr="00D40CD2">
        <w:rPr>
          <w:rFonts w:ascii="Times New (W1)" w:hAnsi="Times New (W1)"/>
        </w:rPr>
        <w:t xml:space="preserve"> consideramos que debería habe</w:t>
      </w:r>
      <w:r w:rsidR="00035A3C" w:rsidRPr="00D40CD2">
        <w:rPr>
          <w:rFonts w:ascii="Times New (W1)" w:hAnsi="Times New (W1)"/>
        </w:rPr>
        <w:t>r</w:t>
      </w:r>
      <w:r w:rsidR="00035A3C" w:rsidRPr="00D40CD2">
        <w:rPr>
          <w:rFonts w:ascii="Times New (W1)" w:hAnsi="Times New (W1)"/>
        </w:rPr>
        <w:t xml:space="preserve">se </w:t>
      </w:r>
      <w:r w:rsidR="00A02AFE" w:rsidRPr="00D40CD2">
        <w:rPr>
          <w:rFonts w:ascii="Times New (W1)" w:hAnsi="Times New (W1)"/>
        </w:rPr>
        <w:t xml:space="preserve">denegado la autorización solicitada o, en su caso, </w:t>
      </w:r>
      <w:r w:rsidR="00035A3C" w:rsidRPr="00D40CD2">
        <w:rPr>
          <w:rFonts w:ascii="Times New (W1)" w:hAnsi="Times New (W1)"/>
        </w:rPr>
        <w:t>plantea</w:t>
      </w:r>
      <w:r w:rsidR="00A02AFE" w:rsidRPr="00D40CD2">
        <w:rPr>
          <w:rFonts w:ascii="Times New (W1)" w:hAnsi="Times New (W1)"/>
        </w:rPr>
        <w:t>rse</w:t>
      </w:r>
      <w:r w:rsidR="00035A3C" w:rsidRPr="00D40CD2">
        <w:rPr>
          <w:rFonts w:ascii="Times New (W1)" w:hAnsi="Times New (W1)"/>
        </w:rPr>
        <w:t xml:space="preserve"> un nuevo pr</w:t>
      </w:r>
      <w:r w:rsidR="00035A3C" w:rsidRPr="00D40CD2">
        <w:rPr>
          <w:rFonts w:ascii="Times New (W1)" w:hAnsi="Times New (W1)"/>
        </w:rPr>
        <w:t>o</w:t>
      </w:r>
      <w:r w:rsidR="00035A3C" w:rsidRPr="00D40CD2">
        <w:rPr>
          <w:rFonts w:ascii="Times New (W1)" w:hAnsi="Times New (W1)"/>
        </w:rPr>
        <w:t xml:space="preserve">cedimiento selectivo </w:t>
      </w:r>
      <w:r w:rsidR="00E336C8" w:rsidRPr="00D40CD2">
        <w:rPr>
          <w:rFonts w:ascii="Times New (W1)" w:hAnsi="Times New (W1)"/>
        </w:rPr>
        <w:t>de la concesión</w:t>
      </w:r>
      <w:r w:rsidR="00035A3C" w:rsidRPr="00D40CD2">
        <w:rPr>
          <w:rFonts w:ascii="Times New (W1)" w:hAnsi="Times New (W1)"/>
        </w:rPr>
        <w:t>.</w:t>
      </w:r>
      <w:r w:rsidR="00F51324">
        <w:rPr>
          <w:rFonts w:ascii="Times New (W1)" w:hAnsi="Times New (W1)"/>
        </w:rPr>
        <w:t xml:space="preserve"> </w:t>
      </w:r>
    </w:p>
    <w:p w:rsidR="00A02AFE" w:rsidRPr="00D40CD2" w:rsidRDefault="00AB6007" w:rsidP="00BD4158">
      <w:pPr>
        <w:pStyle w:val="texto"/>
        <w:rPr>
          <w:i/>
        </w:rPr>
      </w:pPr>
      <w:r>
        <w:rPr>
          <w:i/>
        </w:rPr>
        <w:t>Recomendamos que se</w:t>
      </w:r>
      <w:r w:rsidR="00FB1F99">
        <w:rPr>
          <w:i/>
        </w:rPr>
        <w:t xml:space="preserve"> revise la concesión de la autorización citada.</w:t>
      </w:r>
    </w:p>
    <w:p w:rsidR="008542D1" w:rsidRDefault="009F2BDB"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before="120"/>
        <w:ind w:left="0" w:firstLine="289"/>
        <w:rPr>
          <w:szCs w:val="26"/>
        </w:rPr>
      </w:pPr>
      <w:r>
        <w:t>Los ingresos por intereses</w:t>
      </w:r>
      <w:r w:rsidRPr="009F2BDB">
        <w:t xml:space="preserve"> de inversiones financieras temporales</w:t>
      </w:r>
      <w:r w:rsidR="003543FA">
        <w:t xml:space="preserve"> (impos</w:t>
      </w:r>
      <w:r w:rsidR="003543FA">
        <w:t>i</w:t>
      </w:r>
      <w:r w:rsidR="003543FA">
        <w:t>ciones</w:t>
      </w:r>
      <w:r w:rsidR="000C3678">
        <w:t xml:space="preserve"> a plazo fijo</w:t>
      </w:r>
      <w:r w:rsidR="003543FA">
        <w:t>)</w:t>
      </w:r>
      <w:r>
        <w:t xml:space="preserve"> han ascendido en 2014 a</w:t>
      </w:r>
      <w:r w:rsidRPr="009F2BDB">
        <w:t xml:space="preserve"> un total de 84.627 euros</w:t>
      </w:r>
      <w:r w:rsidR="00F95710">
        <w:t>, un 29 por ciento inferior a los del año anterior. Esta reducción se justifica en la bajada de la rentabilidad de estos instrumentos financieros</w:t>
      </w:r>
      <w:r w:rsidR="00D47A3B">
        <w:t>,</w:t>
      </w:r>
      <w:r w:rsidR="00F95710">
        <w:t xml:space="preserve"> a pesar de que el saldo medio de imposiciones ha sido mayor </w:t>
      </w:r>
      <w:r w:rsidR="007F4171">
        <w:t>–</w:t>
      </w:r>
      <w:r w:rsidR="00F95710">
        <w:t>7,81 frente a 6,57 millones en 2013</w:t>
      </w:r>
      <w:r w:rsidR="007F4171">
        <w:t>–</w:t>
      </w:r>
      <w:r w:rsidR="00F95710">
        <w:t>.</w:t>
      </w:r>
      <w:r>
        <w:t xml:space="preserve"> Estos ingresos se registran de acuerdo con el criterio de caja</w:t>
      </w:r>
      <w:r w:rsidR="00F95710">
        <w:t>.</w:t>
      </w:r>
      <w:r w:rsidR="008542D1" w:rsidRPr="008542D1">
        <w:rPr>
          <w:szCs w:val="26"/>
        </w:rPr>
        <w:t xml:space="preserve"> </w:t>
      </w:r>
    </w:p>
    <w:p w:rsidR="008542D1" w:rsidRDefault="008542D1" w:rsidP="008D4279">
      <w:pPr>
        <w:pStyle w:val="texto"/>
        <w:tabs>
          <w:tab w:val="clear" w:pos="2835"/>
          <w:tab w:val="clear" w:pos="3969"/>
          <w:tab w:val="clear" w:pos="5103"/>
          <w:tab w:val="clear" w:pos="6237"/>
          <w:tab w:val="clear" w:pos="7371"/>
          <w:tab w:val="num" w:pos="300"/>
          <w:tab w:val="num" w:pos="720"/>
        </w:tabs>
        <w:spacing w:after="240"/>
        <w:rPr>
          <w:szCs w:val="26"/>
        </w:rPr>
      </w:pPr>
      <w:r>
        <w:rPr>
          <w:szCs w:val="26"/>
        </w:rPr>
        <w:t>El saldo a 31 de diciembre de 2014 de estas imposiciones, 11,5 millones, se desglosa en</w:t>
      </w:r>
      <w:r w:rsidR="008D4279">
        <w:rPr>
          <w:szCs w:val="26"/>
        </w:rPr>
        <w:t xml:space="preserve"> </w:t>
      </w:r>
      <w:r>
        <w:rPr>
          <w:szCs w:val="26"/>
        </w:rPr>
        <w:t>miles de euros</w:t>
      </w:r>
      <w:r w:rsidR="008D4279">
        <w:rPr>
          <w:szCs w:val="26"/>
        </w:rPr>
        <w:t>:</w:t>
      </w:r>
    </w:p>
    <w:tbl>
      <w:tblPr>
        <w:tblW w:w="8896" w:type="dxa"/>
        <w:jc w:val="center"/>
        <w:tblInd w:w="145" w:type="dxa"/>
        <w:tblCellMar>
          <w:left w:w="70" w:type="dxa"/>
          <w:right w:w="70" w:type="dxa"/>
        </w:tblCellMar>
        <w:tblLook w:val="0000" w:firstRow="0" w:lastRow="0" w:firstColumn="0" w:lastColumn="0" w:noHBand="0" w:noVBand="0"/>
      </w:tblPr>
      <w:tblGrid>
        <w:gridCol w:w="3275"/>
        <w:gridCol w:w="1275"/>
        <w:gridCol w:w="1275"/>
        <w:gridCol w:w="1433"/>
        <w:gridCol w:w="1638"/>
      </w:tblGrid>
      <w:tr w:rsidR="009F3206" w:rsidRPr="00507BAF" w:rsidTr="000A4C01">
        <w:trPr>
          <w:trHeight w:val="255"/>
          <w:jc w:val="center"/>
        </w:trPr>
        <w:tc>
          <w:tcPr>
            <w:tcW w:w="3275" w:type="dxa"/>
            <w:tcBorders>
              <w:top w:val="single" w:sz="4" w:space="0" w:color="auto"/>
              <w:bottom w:val="single" w:sz="4" w:space="0" w:color="auto"/>
            </w:tcBorders>
            <w:shd w:val="clear" w:color="auto" w:fill="A8CBEE" w:themeFill="accent2" w:themeFillTint="66"/>
            <w:noWrap/>
            <w:vAlign w:val="center"/>
          </w:tcPr>
          <w:p w:rsidR="009F3206" w:rsidRPr="00507BAF" w:rsidRDefault="009F3206" w:rsidP="00BD6173">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Entidad financiera</w:t>
            </w:r>
          </w:p>
        </w:tc>
        <w:tc>
          <w:tcPr>
            <w:tcW w:w="1275" w:type="dxa"/>
            <w:tcBorders>
              <w:top w:val="single" w:sz="4" w:space="0" w:color="auto"/>
              <w:bottom w:val="single" w:sz="4" w:space="0" w:color="auto"/>
            </w:tcBorders>
            <w:shd w:val="clear" w:color="auto" w:fill="A8CBEE" w:themeFill="accent2" w:themeFillTint="66"/>
            <w:noWrap/>
            <w:vAlign w:val="center"/>
          </w:tcPr>
          <w:p w:rsidR="009F3206"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Número</w:t>
            </w:r>
          </w:p>
          <w:p w:rsidR="009F3206" w:rsidRPr="00507BAF"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imposiciones</w:t>
            </w:r>
          </w:p>
        </w:tc>
        <w:tc>
          <w:tcPr>
            <w:tcW w:w="1275" w:type="dxa"/>
            <w:tcBorders>
              <w:top w:val="single" w:sz="4" w:space="0" w:color="auto"/>
              <w:bottom w:val="single" w:sz="4" w:space="0" w:color="auto"/>
            </w:tcBorders>
            <w:shd w:val="clear" w:color="auto" w:fill="A8CBEE" w:themeFill="accent2" w:themeFillTint="66"/>
            <w:vAlign w:val="center"/>
          </w:tcPr>
          <w:p w:rsidR="009F3206" w:rsidRPr="00507BAF"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 total</w:t>
            </w:r>
          </w:p>
        </w:tc>
        <w:tc>
          <w:tcPr>
            <w:tcW w:w="1433" w:type="dxa"/>
            <w:tcBorders>
              <w:top w:val="single" w:sz="4" w:space="0" w:color="auto"/>
              <w:bottom w:val="single" w:sz="4" w:space="0" w:color="auto"/>
            </w:tcBorders>
            <w:shd w:val="clear" w:color="auto" w:fill="A8CBEE" w:themeFill="accent2" w:themeFillTint="66"/>
            <w:vAlign w:val="center"/>
          </w:tcPr>
          <w:p w:rsidR="009F3206"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Fecha</w:t>
            </w:r>
          </w:p>
          <w:p w:rsidR="009F3206" w:rsidRPr="00507BAF"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imposiciones</w:t>
            </w:r>
          </w:p>
        </w:tc>
        <w:tc>
          <w:tcPr>
            <w:tcW w:w="1638" w:type="dxa"/>
            <w:tcBorders>
              <w:top w:val="single" w:sz="4" w:space="0" w:color="auto"/>
              <w:bottom w:val="single" w:sz="4" w:space="0" w:color="auto"/>
            </w:tcBorders>
            <w:shd w:val="clear" w:color="auto" w:fill="A8CBEE" w:themeFill="accent2" w:themeFillTint="66"/>
            <w:noWrap/>
            <w:vAlign w:val="center"/>
          </w:tcPr>
          <w:p w:rsidR="009F3206"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Fecha</w:t>
            </w:r>
          </w:p>
          <w:p w:rsidR="009F3206" w:rsidRPr="00507BAF" w:rsidRDefault="009F3206" w:rsidP="008D4279">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vencimiento</w:t>
            </w:r>
          </w:p>
        </w:tc>
      </w:tr>
      <w:tr w:rsidR="009F3206" w:rsidRPr="00EA32EA" w:rsidTr="00727BF7">
        <w:trPr>
          <w:trHeight w:val="255"/>
          <w:jc w:val="center"/>
        </w:trPr>
        <w:tc>
          <w:tcPr>
            <w:tcW w:w="3275" w:type="dxa"/>
            <w:tcBorders>
              <w:top w:val="single" w:sz="4" w:space="0" w:color="auto"/>
              <w:bottom w:val="single" w:sz="2"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sidRPr="00EA32EA">
              <w:rPr>
                <w:rFonts w:ascii="Arial Narrow" w:hAnsi="Arial Narrow"/>
                <w:sz w:val="20"/>
                <w:szCs w:val="20"/>
              </w:rPr>
              <w:t>B. Santander</w:t>
            </w:r>
          </w:p>
        </w:tc>
        <w:tc>
          <w:tcPr>
            <w:tcW w:w="1275" w:type="dxa"/>
            <w:tcBorders>
              <w:top w:val="single" w:sz="4"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4</w:t>
            </w:r>
          </w:p>
        </w:tc>
        <w:tc>
          <w:tcPr>
            <w:tcW w:w="1275" w:type="dxa"/>
            <w:tcBorders>
              <w:top w:val="single" w:sz="4"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2.000</w:t>
            </w:r>
          </w:p>
        </w:tc>
        <w:tc>
          <w:tcPr>
            <w:tcW w:w="1433" w:type="dxa"/>
            <w:tcBorders>
              <w:top w:val="single" w:sz="4"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Octubre 2014</w:t>
            </w:r>
          </w:p>
        </w:tc>
        <w:tc>
          <w:tcPr>
            <w:tcW w:w="1638" w:type="dxa"/>
            <w:tcBorders>
              <w:top w:val="single" w:sz="4" w:space="0" w:color="auto"/>
              <w:bottom w:val="single" w:sz="2" w:space="0" w:color="auto"/>
            </w:tcBorders>
            <w:shd w:val="clear" w:color="auto" w:fill="auto"/>
            <w:vAlign w:val="center"/>
          </w:tcPr>
          <w:p w:rsidR="009F3206" w:rsidRPr="00EA32EA" w:rsidRDefault="009F3206" w:rsidP="00EA32EA">
            <w:pPr>
              <w:pStyle w:val="texto"/>
              <w:spacing w:after="0"/>
              <w:ind w:firstLine="0"/>
              <w:jc w:val="right"/>
              <w:rPr>
                <w:rFonts w:ascii="Arial Narrow" w:hAnsi="Arial Narrow"/>
                <w:sz w:val="20"/>
                <w:szCs w:val="20"/>
              </w:rPr>
            </w:pPr>
            <w:r w:rsidRPr="00EA32EA">
              <w:rPr>
                <w:rFonts w:ascii="Arial Narrow" w:hAnsi="Arial Narrow"/>
                <w:sz w:val="20"/>
                <w:szCs w:val="20"/>
              </w:rPr>
              <w:t>Noviembre 2016</w:t>
            </w:r>
          </w:p>
        </w:tc>
      </w:tr>
      <w:tr w:rsidR="009F3206" w:rsidRPr="00EA32EA" w:rsidTr="00727BF7">
        <w:trPr>
          <w:trHeight w:val="255"/>
          <w:jc w:val="center"/>
        </w:trPr>
        <w:tc>
          <w:tcPr>
            <w:tcW w:w="3275" w:type="dxa"/>
            <w:tcBorders>
              <w:top w:val="single" w:sz="2" w:space="0" w:color="auto"/>
              <w:bottom w:val="single" w:sz="2"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sidRPr="00EA32EA">
              <w:rPr>
                <w:rFonts w:ascii="Arial Narrow" w:hAnsi="Arial Narrow"/>
                <w:sz w:val="20"/>
                <w:szCs w:val="20"/>
              </w:rPr>
              <w:t>Caixa Bank</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2</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4.500</w:t>
            </w:r>
          </w:p>
        </w:tc>
        <w:tc>
          <w:tcPr>
            <w:tcW w:w="1433"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Octubre 2014</w:t>
            </w:r>
          </w:p>
        </w:tc>
        <w:tc>
          <w:tcPr>
            <w:tcW w:w="1638"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Enero 2015</w:t>
            </w:r>
          </w:p>
        </w:tc>
      </w:tr>
      <w:tr w:rsidR="009F3206" w:rsidRPr="00EA32EA" w:rsidTr="00727BF7">
        <w:trPr>
          <w:trHeight w:val="255"/>
          <w:jc w:val="center"/>
        </w:trPr>
        <w:tc>
          <w:tcPr>
            <w:tcW w:w="3275" w:type="dxa"/>
            <w:tcBorders>
              <w:top w:val="single" w:sz="2" w:space="0" w:color="auto"/>
              <w:bottom w:val="single" w:sz="2"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sidRPr="00EA32EA">
              <w:rPr>
                <w:rFonts w:ascii="Arial Narrow" w:hAnsi="Arial Narrow"/>
                <w:sz w:val="20"/>
                <w:szCs w:val="20"/>
              </w:rPr>
              <w:t>Caja Rural</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1</w:t>
            </w:r>
          </w:p>
        </w:tc>
        <w:tc>
          <w:tcPr>
            <w:tcW w:w="1275"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4.000</w:t>
            </w:r>
          </w:p>
        </w:tc>
        <w:tc>
          <w:tcPr>
            <w:tcW w:w="1433"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Diciembre 2014</w:t>
            </w:r>
          </w:p>
        </w:tc>
        <w:tc>
          <w:tcPr>
            <w:tcW w:w="1638" w:type="dxa"/>
            <w:tcBorders>
              <w:top w:val="single" w:sz="2" w:space="0" w:color="auto"/>
              <w:bottom w:val="single" w:sz="2"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Febrero 2015</w:t>
            </w:r>
          </w:p>
        </w:tc>
      </w:tr>
      <w:tr w:rsidR="009F3206" w:rsidRPr="00EA32EA" w:rsidTr="00727BF7">
        <w:trPr>
          <w:trHeight w:val="255"/>
          <w:jc w:val="center"/>
        </w:trPr>
        <w:tc>
          <w:tcPr>
            <w:tcW w:w="3275" w:type="dxa"/>
            <w:tcBorders>
              <w:top w:val="single" w:sz="2" w:space="0" w:color="auto"/>
              <w:bottom w:val="single" w:sz="4" w:space="0" w:color="auto"/>
            </w:tcBorders>
            <w:shd w:val="clear" w:color="auto" w:fill="auto"/>
            <w:noWrap/>
            <w:vAlign w:val="center"/>
          </w:tcPr>
          <w:p w:rsidR="009F3206" w:rsidRPr="00EA32EA" w:rsidRDefault="009F3206" w:rsidP="00BD6173">
            <w:pPr>
              <w:pStyle w:val="texto"/>
              <w:spacing w:after="0"/>
              <w:ind w:firstLine="0"/>
              <w:rPr>
                <w:rFonts w:ascii="Arial Narrow" w:hAnsi="Arial Narrow"/>
                <w:sz w:val="20"/>
                <w:szCs w:val="20"/>
              </w:rPr>
            </w:pPr>
            <w:r w:rsidRPr="00EA32EA">
              <w:rPr>
                <w:rFonts w:ascii="Arial Narrow" w:hAnsi="Arial Narrow"/>
                <w:sz w:val="20"/>
                <w:szCs w:val="20"/>
              </w:rPr>
              <w:t>Banco Popular</w:t>
            </w:r>
          </w:p>
        </w:tc>
        <w:tc>
          <w:tcPr>
            <w:tcW w:w="1275"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1</w:t>
            </w:r>
          </w:p>
        </w:tc>
        <w:tc>
          <w:tcPr>
            <w:tcW w:w="1275"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1.000</w:t>
            </w:r>
          </w:p>
        </w:tc>
        <w:tc>
          <w:tcPr>
            <w:tcW w:w="1433"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Diciembre 2014</w:t>
            </w:r>
          </w:p>
        </w:tc>
        <w:tc>
          <w:tcPr>
            <w:tcW w:w="1638" w:type="dxa"/>
            <w:tcBorders>
              <w:top w:val="single" w:sz="2" w:space="0" w:color="auto"/>
              <w:bottom w:val="single" w:sz="4" w:space="0" w:color="auto"/>
            </w:tcBorders>
            <w:shd w:val="clear" w:color="auto" w:fill="auto"/>
            <w:vAlign w:val="center"/>
          </w:tcPr>
          <w:p w:rsidR="009F3206" w:rsidRPr="00EA32EA" w:rsidRDefault="009F3206" w:rsidP="008D4279">
            <w:pPr>
              <w:pStyle w:val="texto"/>
              <w:spacing w:after="0"/>
              <w:ind w:firstLine="0"/>
              <w:jc w:val="right"/>
              <w:rPr>
                <w:rFonts w:ascii="Arial Narrow" w:hAnsi="Arial Narrow"/>
                <w:sz w:val="20"/>
                <w:szCs w:val="20"/>
              </w:rPr>
            </w:pPr>
            <w:r w:rsidRPr="00EA32EA">
              <w:rPr>
                <w:rFonts w:ascii="Arial Narrow" w:hAnsi="Arial Narrow"/>
                <w:sz w:val="20"/>
                <w:szCs w:val="20"/>
              </w:rPr>
              <w:t>Marzo 2015</w:t>
            </w:r>
          </w:p>
        </w:tc>
      </w:tr>
    </w:tbl>
    <w:p w:rsidR="00A30B1F" w:rsidRPr="00F95710" w:rsidRDefault="00A30B1F" w:rsidP="00727BF7">
      <w:pPr>
        <w:pStyle w:val="texto"/>
        <w:spacing w:after="0"/>
        <w:ind w:firstLine="0"/>
      </w:pP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En 2014, se han anulado derechos reconocidos</w:t>
      </w:r>
      <w:r w:rsidR="0037102A">
        <w:t xml:space="preserve"> de ejercicios anteriores</w:t>
      </w:r>
      <w:r>
        <w:t xml:space="preserve"> por importe</w:t>
      </w:r>
      <w:r w:rsidR="0037102A">
        <w:t xml:space="preserve"> total de 1,58 millones. De este importe,</w:t>
      </w:r>
      <w:r>
        <w:t xml:space="preserve"> 1,43  millones </w:t>
      </w:r>
      <w:r w:rsidR="0037102A">
        <w:t>proceden de</w:t>
      </w:r>
      <w:r>
        <w:t xml:space="preserve"> precios públicos por el uso de instalaciones deportivas de la Universidad por parte de clubes deportivos externos, de acuerdo con el siguiente detalle:</w:t>
      </w:r>
    </w:p>
    <w:p w:rsidR="004B0D73" w:rsidRDefault="004B0D73" w:rsidP="004B0D73">
      <w:pPr>
        <w:pStyle w:val="texto"/>
      </w:pPr>
      <w:r>
        <w:t>a) Por prescripción, deuda generada en los ejercicios de 2001 a 2008, por importe de 1,31 millones.</w:t>
      </w:r>
    </w:p>
    <w:p w:rsidR="004B0D73" w:rsidRDefault="004B0D73" w:rsidP="004B0D73">
      <w:pPr>
        <w:pStyle w:val="texto"/>
      </w:pPr>
      <w:r>
        <w:t>b) Por extinción de un club deportivo, deuda generada entre 2009 y 2012, por importe de 0,12 millones.</w:t>
      </w:r>
    </w:p>
    <w:p w:rsidR="004B0D73" w:rsidRPr="00477E4C" w:rsidRDefault="004B0D73" w:rsidP="004B0D73">
      <w:pPr>
        <w:pStyle w:val="texto"/>
      </w:pPr>
      <w:r w:rsidRPr="00477E4C">
        <w:t xml:space="preserve">Estos importes estaban dotados en la provisión de dudoso cobro y sobre ellos la Universidad </w:t>
      </w:r>
      <w:r w:rsidR="0060441B" w:rsidRPr="00477E4C">
        <w:t>gestionó</w:t>
      </w:r>
      <w:r w:rsidRPr="00477E4C">
        <w:t xml:space="preserve"> su cobro por distintas vías, resultando finalmente inc</w:t>
      </w:r>
      <w:r w:rsidRPr="00477E4C">
        <w:t>o</w:t>
      </w:r>
      <w:r w:rsidRPr="00477E4C">
        <w:t>brables.</w:t>
      </w:r>
    </w:p>
    <w:p w:rsidR="007F08DB" w:rsidRDefault="007F08DB" w:rsidP="004B0D73">
      <w:pPr>
        <w:pStyle w:val="texto"/>
      </w:pPr>
      <w:r>
        <w:lastRenderedPageBreak/>
        <w:t xml:space="preserve">En </w:t>
      </w:r>
      <w:r w:rsidR="00113FC9">
        <w:t xml:space="preserve">enero de </w:t>
      </w:r>
      <w:r>
        <w:t>2016 se ha firmado un con</w:t>
      </w:r>
      <w:r w:rsidR="00113FC9">
        <w:t xml:space="preserve">venio marco de colaboración entre </w:t>
      </w:r>
      <w:r>
        <w:t xml:space="preserve">el Instituto </w:t>
      </w:r>
      <w:r w:rsidR="00113FC9">
        <w:t>Navarro de Deporte y Juventud y la Universidad para el desarrollo de actividades deportivas por parte de federaciones y clubes en las instalaciones universitarias.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Fondos bibliográficos. En diciembre de 2013 se modifica la normativa de inventario de bienes de la Universidad al señalarse que los fondos bibliográf</w:t>
      </w:r>
      <w:r>
        <w:t>i</w:t>
      </w:r>
      <w:r>
        <w:t>cos, a excepción de los antiguos, no se incluirán en el balance de la Univers</w:t>
      </w:r>
      <w:r>
        <w:t>i</w:t>
      </w:r>
      <w:r>
        <w:t>dad y se tratarán como bienes no inventariables. Este cambio de criterio impl</w:t>
      </w:r>
      <w:r>
        <w:t>i</w:t>
      </w:r>
      <w:r w:rsidR="008D2841">
        <w:t>có</w:t>
      </w:r>
      <w:r w:rsidR="006847FA">
        <w:t>, tal y como se indica en la memoria,</w:t>
      </w:r>
      <w:r w:rsidR="008D2841">
        <w:t xml:space="preserve"> un </w:t>
      </w:r>
      <w:r>
        <w:t>ajuste extraordinario en la cuenta de resultados de dicho año por una cuantía de 26,08 millones.</w:t>
      </w:r>
    </w:p>
    <w:p w:rsidR="004B0D73" w:rsidRPr="00330403" w:rsidRDefault="004B0D73" w:rsidP="00330403">
      <w:pPr>
        <w:pStyle w:val="texto"/>
        <w:spacing w:after="180"/>
        <w:rPr>
          <w:rFonts w:ascii="Times New (W1)" w:hAnsi="Times New (W1)"/>
        </w:rPr>
      </w:pPr>
      <w:r w:rsidRPr="00330403">
        <w:rPr>
          <w:rFonts w:ascii="Times New (W1)" w:hAnsi="Times New (W1)"/>
        </w:rPr>
        <w:t>En la cuenta de resultados de 2014 se realiza un asiento de amortización d</w:t>
      </w:r>
      <w:r w:rsidRPr="00330403">
        <w:rPr>
          <w:rFonts w:ascii="Times New (W1)" w:hAnsi="Times New (W1)"/>
        </w:rPr>
        <w:t>i</w:t>
      </w:r>
      <w:r w:rsidRPr="00330403">
        <w:rPr>
          <w:rFonts w:ascii="Times New (W1)" w:hAnsi="Times New (W1)"/>
        </w:rPr>
        <w:t xml:space="preserve">recta por la inversión presupuestaria del ejercicio en estos bienes por importe de 1,64 millones. </w:t>
      </w:r>
    </w:p>
    <w:p w:rsidR="004B0D7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Patrimonio Histórico de la Universidad. De acuerdo con el trabajo realiz</w:t>
      </w:r>
      <w:r>
        <w:t>a</w:t>
      </w:r>
      <w:r>
        <w:t>do por la Intervención, es conveniente, por un lado</w:t>
      </w:r>
      <w:r w:rsidR="007F4171">
        <w:t>,</w:t>
      </w:r>
      <w:r>
        <w:t xml:space="preserve"> homogeneizar los criterios de valoración y de imputación contable de estos bienes entre los servicios de cultura y los económicos</w:t>
      </w:r>
      <w:r w:rsidR="007F4171">
        <w:t>;</w:t>
      </w:r>
      <w:r>
        <w:t xml:space="preserve"> y, por otro, investigar las obras de arte que</w:t>
      </w:r>
      <w:r w:rsidR="00730DF3">
        <w:t xml:space="preserve"> no han podido ser </w:t>
      </w:r>
      <w:r w:rsidR="006A0C50">
        <w:t xml:space="preserve">localizadas –un total de </w:t>
      </w:r>
      <w:r w:rsidR="00730DF3">
        <w:t>6 obras, valoradas en 17.500 euros</w:t>
      </w:r>
      <w:r w:rsidR="00D31BB1">
        <w:t>–</w:t>
      </w:r>
      <w:r w:rsidR="00730DF3">
        <w:t>.</w:t>
      </w:r>
      <w:r>
        <w:t xml:space="preserve"> </w:t>
      </w:r>
    </w:p>
    <w:p w:rsidR="004B0D7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 xml:space="preserve">La Universidad consciente de la necesidad de captar recursos de otras fuentes de financiación, </w:t>
      </w:r>
      <w:r w:rsidR="007F4171">
        <w:t>aprobó</w:t>
      </w:r>
      <w:r>
        <w:t xml:space="preserve"> en julio de 2014 un Plan de Mecenazgo que va a permitir que las aportaci</w:t>
      </w:r>
      <w:r w:rsidR="00730DF3">
        <w:t>ones</w:t>
      </w:r>
      <w:r>
        <w:t xml:space="preserve"> a la misma de fondos privados se beneficien de los incentivos fiscales que establece la Ley Foral</w:t>
      </w:r>
      <w:r w:rsidRPr="00DB6ED6">
        <w:t xml:space="preserve"> 8/2014, de 16 de mayo, reg</w:t>
      </w:r>
      <w:r w:rsidRPr="00DB6ED6">
        <w:t>u</w:t>
      </w:r>
      <w:r w:rsidRPr="00DB6ED6">
        <w:t>ladora del mecenazgo cultural y sus incentivos fiscales en la Comunidad Foral de Navarra.</w:t>
      </w:r>
    </w:p>
    <w:p w:rsidR="004B0D73" w:rsidRDefault="004B0D73"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III Plan Estratégico (2011 a 2014). En el ejercicio de 2014 ha concluido el III Plan Estratégico de la Universidad, habiéndose elaborado en abril de 2015 un informe final</w:t>
      </w:r>
      <w:r>
        <w:rPr>
          <w:rStyle w:val="Refdenotaalpie"/>
        </w:rPr>
        <w:footnoteReference w:id="6"/>
      </w:r>
      <w:r>
        <w:t xml:space="preserve"> de seguimiento del mismo.</w:t>
      </w:r>
    </w:p>
    <w:p w:rsidR="004B0D73" w:rsidRDefault="004B0D73" w:rsidP="00330403">
      <w:pPr>
        <w:pStyle w:val="texto"/>
        <w:spacing w:after="180"/>
      </w:pPr>
      <w:r>
        <w:t>En dicho informe final se parte de que las importantes restricciones pres</w:t>
      </w:r>
      <w:r>
        <w:t>u</w:t>
      </w:r>
      <w:r>
        <w:t>puestarias y de recursos humanos que ha experimentado la Universidad en estos años ha</w:t>
      </w:r>
      <w:r w:rsidR="007F4171">
        <w:t>n</w:t>
      </w:r>
      <w:r>
        <w:t xml:space="preserve"> incidido de manera significativa en la consecución de los objetivos estratégicos del Plan.</w:t>
      </w:r>
      <w:r w:rsidRPr="009C14A1">
        <w:t xml:space="preserve"> </w:t>
      </w:r>
    </w:p>
    <w:p w:rsidR="004B0D73" w:rsidRDefault="004B0D73" w:rsidP="00330403">
      <w:pPr>
        <w:pStyle w:val="texto"/>
        <w:spacing w:after="180"/>
      </w:pPr>
      <w:r>
        <w:t>Así</w:t>
      </w:r>
      <w:r w:rsidR="007F4171">
        <w:t>,</w:t>
      </w:r>
      <w:r>
        <w:t xml:space="preserve"> se indica que la anterior situación ha </w:t>
      </w:r>
      <w:r w:rsidR="00D47A3B">
        <w:t>repercutido</w:t>
      </w:r>
      <w:r>
        <w:t xml:space="preserve"> muy negativamente en los ejes de Recursos, Extensión, Internacionalización y Procesos y Calidad. Los ejes de Formación y de Investigación, aun estando afectados por dicha situ</w:t>
      </w:r>
      <w:r>
        <w:t>a</w:t>
      </w:r>
      <w:r>
        <w:t>ción, presentan resultados más positivos.</w:t>
      </w:r>
    </w:p>
    <w:p w:rsidR="008325B4" w:rsidRDefault="008325B4">
      <w:pPr>
        <w:spacing w:after="0"/>
        <w:ind w:firstLine="0"/>
        <w:jc w:val="left"/>
        <w:rPr>
          <w:spacing w:val="6"/>
          <w:sz w:val="26"/>
          <w:szCs w:val="24"/>
        </w:rPr>
      </w:pPr>
      <w:r>
        <w:br w:type="page"/>
      </w:r>
    </w:p>
    <w:p w:rsidR="004B0D73" w:rsidRPr="00FB77D8" w:rsidRDefault="004B0D73" w:rsidP="00D47A3B">
      <w:pPr>
        <w:pStyle w:val="texto"/>
      </w:pPr>
      <w:r>
        <w:lastRenderedPageBreak/>
        <w:t>Como conclusión general, valoran satisfactoriamente los resultados globales obtenidos y la experiencia que suponen el ejercicio de una planificación estr</w:t>
      </w:r>
      <w:r>
        <w:t>a</w:t>
      </w:r>
      <w:r>
        <w:t>tégica.</w:t>
      </w:r>
      <w:r w:rsidRPr="009C14A1">
        <w:t xml:space="preserve"> </w:t>
      </w:r>
      <w:r>
        <w:t>T</w:t>
      </w:r>
      <w:r w:rsidRPr="00FB77D8">
        <w:t xml:space="preserve">ambién </w:t>
      </w:r>
      <w:r>
        <w:t>se han detectado</w:t>
      </w:r>
      <w:r w:rsidRPr="00FB77D8">
        <w:t xml:space="preserve"> un cierto número de aspectos organizativos y de gestión que han impedido conseguir algunos objetivos, total o parcialmente</w:t>
      </w:r>
      <w:r>
        <w:t>.</w:t>
      </w:r>
    </w:p>
    <w:p w:rsidR="00477E4C" w:rsidRDefault="004B0D73" w:rsidP="003E2274">
      <w:pPr>
        <w:pStyle w:val="texto"/>
        <w:spacing w:after="240"/>
        <w:rPr>
          <w:rFonts w:ascii="Times New (W1)" w:hAnsi="Times New (W1)"/>
          <w:spacing w:val="4"/>
        </w:rPr>
      </w:pPr>
      <w:r w:rsidRPr="00EA32EA">
        <w:rPr>
          <w:rFonts w:ascii="Times New (W1)" w:hAnsi="Times New (W1)"/>
          <w:spacing w:val="4"/>
        </w:rPr>
        <w:t>Finalmente, en el cuadro siguiente se muestra la evolución de los indicadores del cuadro de mando integral diseñado para el seguimiento del Plan Estratégico.</w:t>
      </w:r>
    </w:p>
    <w:p w:rsidR="004B0D73" w:rsidRPr="00772BA2" w:rsidRDefault="004B0D73" w:rsidP="00D31BB1">
      <w:pPr>
        <w:spacing w:before="240" w:after="240"/>
        <w:ind w:firstLine="0"/>
        <w:jc w:val="center"/>
        <w:rPr>
          <w:rFonts w:ascii="Arial" w:hAnsi="Arial" w:cs="Arial"/>
          <w:lang w:val="es-ES" w:eastAsia="es-ES"/>
        </w:rPr>
      </w:pPr>
      <w:r w:rsidRPr="00772BA2">
        <w:rPr>
          <w:rFonts w:ascii="Arial" w:hAnsi="Arial" w:cs="Arial"/>
          <w:lang w:val="es-ES" w:eastAsia="es-ES"/>
        </w:rPr>
        <w:t>Evolución de los indicadores del Cuadro de Mando Integral del III Plan Estratégico</w:t>
      </w:r>
    </w:p>
    <w:tbl>
      <w:tblPr>
        <w:tblW w:w="496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1011"/>
        <w:gridCol w:w="490"/>
        <w:gridCol w:w="2429"/>
        <w:gridCol w:w="1214"/>
        <w:gridCol w:w="702"/>
        <w:gridCol w:w="539"/>
        <w:gridCol w:w="601"/>
        <w:gridCol w:w="595"/>
        <w:gridCol w:w="640"/>
        <w:gridCol w:w="638"/>
      </w:tblGrid>
      <w:tr w:rsidR="004B0D73" w:rsidRPr="00772BA2" w:rsidTr="000A4C01">
        <w:trPr>
          <w:trHeight w:val="227"/>
          <w:jc w:val="center"/>
        </w:trPr>
        <w:tc>
          <w:tcPr>
            <w:tcW w:w="571" w:type="pct"/>
            <w:tcBorders>
              <w:bottom w:val="single" w:sz="4" w:space="0" w:color="auto"/>
            </w:tcBorders>
            <w:shd w:val="clear" w:color="auto" w:fill="A8CBEE" w:themeFill="accent2" w:themeFillTint="66"/>
            <w:vAlign w:val="center"/>
          </w:tcPr>
          <w:p w:rsidR="004B0D73" w:rsidRPr="00772BA2" w:rsidRDefault="004B0D73" w:rsidP="006431B3">
            <w:pPr>
              <w:spacing w:after="0"/>
              <w:ind w:left="50" w:firstLine="0"/>
              <w:jc w:val="lef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EJE</w:t>
            </w:r>
          </w:p>
        </w:tc>
        <w:tc>
          <w:tcPr>
            <w:tcW w:w="277" w:type="pct"/>
            <w:tcBorders>
              <w:bottom w:val="single" w:sz="4" w:space="0" w:color="auto"/>
            </w:tcBorders>
            <w:shd w:val="clear" w:color="auto" w:fill="A8CBEE" w:themeFill="accent2" w:themeFillTint="66"/>
            <w:vAlign w:val="center"/>
          </w:tcPr>
          <w:p w:rsidR="004B0D73" w:rsidRPr="00772BA2" w:rsidRDefault="004B0D73" w:rsidP="006431B3">
            <w:pPr>
              <w:spacing w:after="0"/>
              <w:ind w:firstLine="0"/>
              <w:jc w:val="center"/>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Nº</w:t>
            </w:r>
          </w:p>
        </w:tc>
        <w:tc>
          <w:tcPr>
            <w:tcW w:w="1371" w:type="pct"/>
            <w:tcBorders>
              <w:bottom w:val="single" w:sz="4" w:space="0" w:color="auto"/>
            </w:tcBorders>
            <w:shd w:val="clear" w:color="auto" w:fill="A8CBEE" w:themeFill="accent2" w:themeFillTint="66"/>
            <w:vAlign w:val="center"/>
          </w:tcPr>
          <w:p w:rsidR="004B0D73" w:rsidRPr="00772BA2" w:rsidRDefault="004B0D73" w:rsidP="006431B3">
            <w:pPr>
              <w:spacing w:after="0"/>
              <w:ind w:right="-86" w:firstLine="0"/>
              <w:jc w:val="lef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Denominación indicador</w:t>
            </w:r>
          </w:p>
        </w:tc>
        <w:tc>
          <w:tcPr>
            <w:tcW w:w="685" w:type="pct"/>
            <w:tcBorders>
              <w:bottom w:val="single" w:sz="4" w:space="0" w:color="auto"/>
            </w:tcBorders>
            <w:shd w:val="clear" w:color="auto" w:fill="A8CBEE" w:themeFill="accent2" w:themeFillTint="66"/>
            <w:vAlign w:val="center"/>
          </w:tcPr>
          <w:p w:rsidR="004B0D73" w:rsidRPr="00772BA2" w:rsidRDefault="004B0D73" w:rsidP="00EA32EA">
            <w:pPr>
              <w:spacing w:after="0"/>
              <w:ind w:right="-86" w:firstLine="0"/>
              <w:jc w:val="center"/>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Ref</w:t>
            </w:r>
            <w:r w:rsidR="008D4279">
              <w:rPr>
                <w:rFonts w:ascii="Arial" w:hAnsi="Arial" w:cs="Arial"/>
                <w:bCs/>
                <w:color w:val="000000"/>
                <w:sz w:val="17"/>
                <w:szCs w:val="17"/>
                <w:lang w:val="es-ES" w:eastAsia="es-ES"/>
              </w:rPr>
              <w:t>.</w:t>
            </w:r>
            <w:r w:rsidRPr="00772BA2">
              <w:rPr>
                <w:rFonts w:ascii="Arial" w:hAnsi="Arial" w:cs="Arial"/>
                <w:bCs/>
                <w:color w:val="000000"/>
                <w:sz w:val="17"/>
                <w:szCs w:val="17"/>
                <w:lang w:val="es-ES" w:eastAsia="es-ES"/>
              </w:rPr>
              <w:t xml:space="preserve"> </w:t>
            </w:r>
            <w:r>
              <w:rPr>
                <w:rFonts w:ascii="Arial" w:hAnsi="Arial" w:cs="Arial"/>
                <w:bCs/>
                <w:color w:val="000000"/>
                <w:sz w:val="17"/>
                <w:szCs w:val="17"/>
                <w:lang w:val="es-ES" w:eastAsia="es-ES"/>
              </w:rPr>
              <w:t xml:space="preserve">temporal </w:t>
            </w:r>
            <w:r w:rsidRPr="00772BA2">
              <w:rPr>
                <w:rFonts w:ascii="Arial" w:hAnsi="Arial" w:cs="Arial"/>
                <w:bCs/>
                <w:color w:val="000000"/>
                <w:sz w:val="17"/>
                <w:szCs w:val="17"/>
                <w:lang w:val="es-ES" w:eastAsia="es-ES"/>
              </w:rPr>
              <w:t>valor inicial</w:t>
            </w:r>
            <w:r w:rsidR="00EA32EA">
              <w:rPr>
                <w:rFonts w:ascii="Arial" w:hAnsi="Arial" w:cs="Arial"/>
                <w:bCs/>
                <w:color w:val="000000"/>
                <w:sz w:val="17"/>
                <w:szCs w:val="17"/>
                <w:lang w:val="es-ES" w:eastAsia="es-ES"/>
              </w:rPr>
              <w:t xml:space="preserve"> (</w:t>
            </w:r>
            <w:r>
              <w:rPr>
                <w:rFonts w:ascii="Arial" w:hAnsi="Arial" w:cs="Arial"/>
                <w:bCs/>
                <w:color w:val="000000"/>
                <w:sz w:val="17"/>
                <w:szCs w:val="17"/>
                <w:lang w:val="es-ES" w:eastAsia="es-ES"/>
              </w:rPr>
              <w:t>N</w:t>
            </w:r>
            <w:r w:rsidR="00EA32EA">
              <w:rPr>
                <w:rFonts w:ascii="Arial" w:hAnsi="Arial" w:cs="Arial"/>
                <w:bCs/>
                <w:color w:val="000000"/>
                <w:sz w:val="17"/>
                <w:szCs w:val="17"/>
                <w:lang w:val="es-ES" w:eastAsia="es-ES"/>
              </w:rPr>
              <w:t>)</w:t>
            </w:r>
          </w:p>
        </w:tc>
        <w:tc>
          <w:tcPr>
            <w:tcW w:w="396" w:type="pct"/>
            <w:tcBorders>
              <w:bottom w:val="single" w:sz="4" w:space="0" w:color="auto"/>
            </w:tcBorders>
            <w:shd w:val="clear" w:color="auto" w:fill="A8CBEE" w:themeFill="accent2" w:themeFillTint="66"/>
            <w:vAlign w:val="center"/>
          </w:tcPr>
          <w:p w:rsidR="004B0D73" w:rsidRDefault="004B0D73" w:rsidP="008D4279">
            <w:pPr>
              <w:spacing w:after="0"/>
              <w:ind w:left="-70" w:right="-86" w:firstLine="0"/>
              <w:jc w:val="righ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 xml:space="preserve">Valor </w:t>
            </w:r>
          </w:p>
          <w:p w:rsidR="008D4279" w:rsidRPr="00772BA2" w:rsidRDefault="008D4279" w:rsidP="008D4279">
            <w:pPr>
              <w:spacing w:after="0"/>
              <w:ind w:left="-70" w:right="-86" w:firstLine="0"/>
              <w:jc w:val="right"/>
              <w:rPr>
                <w:rFonts w:ascii="Arial" w:hAnsi="Arial" w:cs="Arial"/>
                <w:bCs/>
                <w:color w:val="000000"/>
                <w:sz w:val="17"/>
                <w:szCs w:val="17"/>
                <w:lang w:val="es-ES" w:eastAsia="es-ES"/>
              </w:rPr>
            </w:pPr>
            <w:r>
              <w:rPr>
                <w:rFonts w:ascii="Arial" w:hAnsi="Arial" w:cs="Arial"/>
                <w:bCs/>
                <w:color w:val="000000"/>
                <w:sz w:val="17"/>
                <w:szCs w:val="17"/>
                <w:lang w:val="es-ES" w:eastAsia="es-ES"/>
              </w:rPr>
              <w:t>Inicial</w:t>
            </w:r>
          </w:p>
        </w:tc>
        <w:tc>
          <w:tcPr>
            <w:tcW w:w="304"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N+1</w:t>
            </w:r>
          </w:p>
        </w:tc>
        <w:tc>
          <w:tcPr>
            <w:tcW w:w="339"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N+2</w:t>
            </w:r>
          </w:p>
        </w:tc>
        <w:tc>
          <w:tcPr>
            <w:tcW w:w="336"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N+3</w:t>
            </w:r>
          </w:p>
        </w:tc>
        <w:tc>
          <w:tcPr>
            <w:tcW w:w="361"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N+4</w:t>
            </w:r>
          </w:p>
        </w:tc>
        <w:tc>
          <w:tcPr>
            <w:tcW w:w="360" w:type="pct"/>
            <w:tcBorders>
              <w:bottom w:val="single" w:sz="4" w:space="0" w:color="auto"/>
            </w:tcBorders>
            <w:shd w:val="clear" w:color="auto" w:fill="A8CBEE" w:themeFill="accent2" w:themeFillTint="66"/>
            <w:vAlign w:val="center"/>
          </w:tcPr>
          <w:p w:rsidR="004B0D73" w:rsidRPr="00772BA2" w:rsidRDefault="004B0D73" w:rsidP="008D4279">
            <w:pPr>
              <w:spacing w:after="0"/>
              <w:ind w:firstLine="0"/>
              <w:jc w:val="right"/>
              <w:rPr>
                <w:rFonts w:ascii="Arial" w:hAnsi="Arial" w:cs="Arial"/>
                <w:bCs/>
                <w:color w:val="000000"/>
                <w:sz w:val="17"/>
                <w:szCs w:val="17"/>
                <w:lang w:val="es-ES" w:eastAsia="es-ES"/>
              </w:rPr>
            </w:pPr>
            <w:r w:rsidRPr="00772BA2">
              <w:rPr>
                <w:rFonts w:ascii="Arial" w:hAnsi="Arial" w:cs="Arial"/>
                <w:bCs/>
                <w:color w:val="000000"/>
                <w:sz w:val="17"/>
                <w:szCs w:val="17"/>
                <w:lang w:val="es-ES" w:eastAsia="es-ES"/>
              </w:rPr>
              <w:t>Meta</w:t>
            </w:r>
          </w:p>
        </w:tc>
      </w:tr>
      <w:tr w:rsidR="004B0D73" w:rsidRPr="00772BA2" w:rsidTr="00330403">
        <w:trPr>
          <w:trHeight w:val="312"/>
          <w:jc w:val="center"/>
        </w:trPr>
        <w:tc>
          <w:tcPr>
            <w:tcW w:w="571" w:type="pct"/>
            <w:vMerge w:val="restart"/>
            <w:tcBorders>
              <w:top w:val="single" w:sz="4"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r w:rsidRPr="00772BA2">
              <w:rPr>
                <w:rFonts w:ascii="Arial Narrow" w:hAnsi="Arial Narrow"/>
                <w:sz w:val="18"/>
                <w:szCs w:val="18"/>
                <w:lang w:val="es-ES" w:eastAsia="es-ES"/>
              </w:rPr>
              <w:t>Formación</w:t>
            </w:r>
          </w:p>
        </w:tc>
        <w:tc>
          <w:tcPr>
            <w:tcW w:w="277" w:type="pct"/>
            <w:tcBorders>
              <w:top w:val="single" w:sz="4"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w:t>
            </w:r>
          </w:p>
        </w:tc>
        <w:tc>
          <w:tcPr>
            <w:tcW w:w="1371" w:type="pct"/>
            <w:tcBorders>
              <w:top w:val="single" w:sz="4"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Tasa rendimiento (%)</w:t>
            </w:r>
          </w:p>
        </w:tc>
        <w:tc>
          <w:tcPr>
            <w:tcW w:w="685" w:type="pct"/>
            <w:tcBorders>
              <w:top w:val="single" w:sz="4"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2009-2010</w:t>
            </w:r>
          </w:p>
        </w:tc>
        <w:tc>
          <w:tcPr>
            <w:tcW w:w="396" w:type="pct"/>
            <w:tcBorders>
              <w:top w:val="single" w:sz="4"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74%</w:t>
            </w:r>
          </w:p>
        </w:tc>
        <w:tc>
          <w:tcPr>
            <w:tcW w:w="304" w:type="pct"/>
            <w:tcBorders>
              <w:top w:val="single" w:sz="4"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74%</w:t>
            </w:r>
          </w:p>
        </w:tc>
        <w:tc>
          <w:tcPr>
            <w:tcW w:w="339" w:type="pct"/>
            <w:tcBorders>
              <w:top w:val="single" w:sz="4"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77%</w:t>
            </w:r>
          </w:p>
        </w:tc>
        <w:tc>
          <w:tcPr>
            <w:tcW w:w="336" w:type="pct"/>
            <w:tcBorders>
              <w:top w:val="single" w:sz="4"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80%</w:t>
            </w:r>
          </w:p>
        </w:tc>
        <w:tc>
          <w:tcPr>
            <w:tcW w:w="361" w:type="pct"/>
            <w:tcBorders>
              <w:top w:val="single" w:sz="4" w:space="0" w:color="auto"/>
              <w:bottom w:val="single" w:sz="2" w:space="0" w:color="auto"/>
            </w:tcBorders>
            <w:vAlign w:val="center"/>
          </w:tcPr>
          <w:p w:rsidR="004B0D73" w:rsidRPr="00772BA2" w:rsidRDefault="004B0D73" w:rsidP="008D4279">
            <w:pPr>
              <w:spacing w:after="0"/>
              <w:ind w:left="65" w:hanging="65"/>
              <w:jc w:val="right"/>
              <w:rPr>
                <w:rFonts w:ascii="Arial Narrow" w:hAnsi="Arial Narrow"/>
                <w:sz w:val="16"/>
                <w:szCs w:val="16"/>
                <w:lang w:val="es-ES" w:eastAsia="es-ES"/>
              </w:rPr>
            </w:pPr>
            <w:r w:rsidRPr="00772BA2">
              <w:rPr>
                <w:rFonts w:ascii="Arial Narrow" w:hAnsi="Arial Narrow"/>
                <w:sz w:val="16"/>
                <w:szCs w:val="16"/>
                <w:lang w:val="es-ES" w:eastAsia="es-ES"/>
              </w:rPr>
              <w:t>82%</w:t>
            </w:r>
          </w:p>
        </w:tc>
        <w:tc>
          <w:tcPr>
            <w:tcW w:w="360" w:type="pct"/>
            <w:tcBorders>
              <w:top w:val="single" w:sz="4" w:space="0" w:color="auto"/>
              <w:bottom w:val="single" w:sz="2" w:space="0" w:color="auto"/>
            </w:tcBorders>
            <w:noWrap/>
            <w:vAlign w:val="center"/>
          </w:tcPr>
          <w:p w:rsidR="004B0D73" w:rsidRPr="00772BA2" w:rsidRDefault="004B0D73" w:rsidP="008D4279">
            <w:pPr>
              <w:spacing w:after="0"/>
              <w:ind w:left="65" w:hanging="65"/>
              <w:jc w:val="right"/>
              <w:rPr>
                <w:rFonts w:ascii="Arial Narrow" w:hAnsi="Arial Narrow"/>
                <w:sz w:val="16"/>
                <w:szCs w:val="16"/>
                <w:lang w:val="es-ES" w:eastAsia="es-ES"/>
              </w:rPr>
            </w:pPr>
            <w:r w:rsidRPr="00772BA2">
              <w:rPr>
                <w:rFonts w:ascii="Arial Narrow" w:hAnsi="Arial Narrow"/>
                <w:sz w:val="16"/>
                <w:szCs w:val="16"/>
                <w:lang w:val="es-ES" w:eastAsia="es-ES"/>
              </w:rPr>
              <w:t>78%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2</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Tasa graduación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6"/>
                <w:szCs w:val="16"/>
                <w:lang w:val="es-ES" w:eastAsia="es-ES"/>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45%</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49%</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51%</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43%</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61%</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55%</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3</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 xml:space="preserve">Asignaturas </w:t>
            </w:r>
            <w:r>
              <w:rPr>
                <w:rFonts w:ascii="Arial Narrow" w:hAnsi="Arial Narrow"/>
                <w:sz w:val="16"/>
                <w:szCs w:val="16"/>
                <w:lang w:val="es-ES" w:eastAsia="es-ES"/>
              </w:rPr>
              <w:t>ofertadas inglés G</w:t>
            </w:r>
            <w:r w:rsidRPr="00772BA2">
              <w:rPr>
                <w:rFonts w:ascii="Arial Narrow" w:hAnsi="Arial Narrow"/>
                <w:sz w:val="16"/>
                <w:szCs w:val="16"/>
                <w:lang w:val="es-ES" w:eastAsia="es-ES"/>
              </w:rPr>
              <w:t xml:space="preserve">rado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6"/>
                <w:szCs w:val="16"/>
                <w:lang w:val="es-ES" w:eastAsia="es-ES"/>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24</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66</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96</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121</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136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100</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4</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 xml:space="preserve">Asignaturas </w:t>
            </w:r>
            <w:r>
              <w:rPr>
                <w:rFonts w:ascii="Arial Narrow" w:hAnsi="Arial Narrow"/>
                <w:sz w:val="16"/>
                <w:szCs w:val="16"/>
                <w:lang w:val="es-ES" w:eastAsia="es-ES"/>
              </w:rPr>
              <w:t>ofertadas</w:t>
            </w:r>
            <w:r w:rsidRPr="00772BA2">
              <w:rPr>
                <w:rFonts w:ascii="Arial Narrow" w:hAnsi="Arial Narrow"/>
                <w:sz w:val="16"/>
                <w:szCs w:val="16"/>
                <w:lang w:val="es-ES" w:eastAsia="es-ES"/>
              </w:rPr>
              <w:t xml:space="preserve"> inglés</w:t>
            </w:r>
            <w:r>
              <w:rPr>
                <w:rFonts w:ascii="Arial Narrow" w:hAnsi="Arial Narrow"/>
                <w:sz w:val="16"/>
                <w:szCs w:val="16"/>
                <w:lang w:val="es-ES" w:eastAsia="es-ES"/>
              </w:rPr>
              <w:t xml:space="preserve"> Máster</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6"/>
                <w:szCs w:val="16"/>
                <w:lang w:val="es-ES" w:eastAsia="es-ES"/>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6</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9</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20</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5</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Estudiantes y titulados que</w:t>
            </w:r>
          </w:p>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realizan prácticas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6"/>
                <w:szCs w:val="16"/>
                <w:lang w:val="es-ES" w:eastAsia="es-ES"/>
              </w:rPr>
              <w:t>2009</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32%</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32%</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32%</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36%</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49%</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47%</w:t>
            </w:r>
          </w:p>
        </w:tc>
      </w:tr>
      <w:tr w:rsidR="004B0D73" w:rsidRPr="00772BA2" w:rsidTr="00330403">
        <w:trPr>
          <w:trHeight w:val="312"/>
          <w:jc w:val="center"/>
        </w:trPr>
        <w:tc>
          <w:tcPr>
            <w:tcW w:w="571" w:type="pct"/>
            <w:vMerge w:val="restar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r w:rsidRPr="00772BA2">
              <w:rPr>
                <w:rFonts w:ascii="Arial Narrow" w:hAnsi="Arial Narrow"/>
                <w:sz w:val="18"/>
                <w:szCs w:val="18"/>
                <w:lang w:val="es-ES" w:eastAsia="es-ES"/>
              </w:rPr>
              <w:t>Investig</w:t>
            </w:r>
            <w:r w:rsidRPr="00772BA2">
              <w:rPr>
                <w:rFonts w:ascii="Arial Narrow" w:hAnsi="Arial Narrow"/>
                <w:sz w:val="18"/>
                <w:szCs w:val="18"/>
                <w:lang w:val="es-ES" w:eastAsia="es-ES"/>
              </w:rPr>
              <w:t>a</w:t>
            </w:r>
            <w:r w:rsidRPr="00772BA2">
              <w:rPr>
                <w:rFonts w:ascii="Arial Narrow" w:hAnsi="Arial Narrow"/>
                <w:sz w:val="18"/>
                <w:szCs w:val="18"/>
                <w:lang w:val="es-ES" w:eastAsia="es-ES"/>
              </w:rPr>
              <w:t>ción</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6</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Producción científica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6"/>
                <w:szCs w:val="16"/>
                <w:lang w:val="es-ES" w:eastAsia="es-ES"/>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427</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469</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443</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530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504</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448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7</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Tesis doctorales</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Media 08-10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36</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40</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39</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47</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48</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8</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Patentes solicitadas</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9</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9</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14</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9</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11</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14</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9</w:t>
            </w:r>
          </w:p>
        </w:tc>
        <w:tc>
          <w:tcPr>
            <w:tcW w:w="1371" w:type="pct"/>
            <w:tcBorders>
              <w:top w:val="single" w:sz="2" w:space="0" w:color="auto"/>
              <w:bottom w:val="single" w:sz="2" w:space="0" w:color="auto"/>
            </w:tcBorders>
            <w:vAlign w:val="center"/>
          </w:tcPr>
          <w:p w:rsidR="004B0D73" w:rsidRPr="00772BA2" w:rsidRDefault="004B0D73" w:rsidP="0081699E">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Empresas creadas derivadas actividad investigadora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2</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2</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6</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10</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Captación ingresos procedentes inve</w:t>
            </w:r>
            <w:r w:rsidRPr="00772BA2">
              <w:rPr>
                <w:rFonts w:ascii="Arial Narrow" w:hAnsi="Arial Narrow"/>
                <w:sz w:val="16"/>
                <w:szCs w:val="16"/>
                <w:lang w:val="es-ES" w:eastAsia="es-ES"/>
              </w:rPr>
              <w:t>s</w:t>
            </w:r>
            <w:r w:rsidRPr="00772BA2">
              <w:rPr>
                <w:rFonts w:ascii="Arial Narrow" w:hAnsi="Arial Narrow"/>
                <w:sz w:val="16"/>
                <w:szCs w:val="16"/>
                <w:lang w:val="es-ES" w:eastAsia="es-ES"/>
              </w:rPr>
              <w:t>tigación competitiva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2009</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0,08%</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0,06%</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0,08%</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0,07%</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0,06%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0,08%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11</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Captación ingresos procedentes co</w:t>
            </w:r>
            <w:r w:rsidRPr="00772BA2">
              <w:rPr>
                <w:rFonts w:ascii="Arial Narrow" w:hAnsi="Arial Narrow"/>
                <w:sz w:val="16"/>
                <w:szCs w:val="16"/>
                <w:lang w:val="es-ES" w:eastAsia="es-ES"/>
              </w:rPr>
              <w:t>n</w:t>
            </w:r>
            <w:r w:rsidRPr="00772BA2">
              <w:rPr>
                <w:rFonts w:ascii="Arial Narrow" w:hAnsi="Arial Narrow"/>
                <w:sz w:val="16"/>
                <w:szCs w:val="16"/>
                <w:lang w:val="es-ES" w:eastAsia="es-ES"/>
              </w:rPr>
              <w:t>tratos transferencia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2009</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1,21%</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1,01%</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0,87%</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0,61%</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0,73%</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1,25%</w:t>
            </w:r>
          </w:p>
        </w:tc>
      </w:tr>
      <w:tr w:rsidR="004B0D73" w:rsidRPr="00772BA2" w:rsidTr="00330403">
        <w:trPr>
          <w:trHeight w:val="312"/>
          <w:jc w:val="center"/>
        </w:trPr>
        <w:tc>
          <w:tcPr>
            <w:tcW w:w="571" w:type="pc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r w:rsidRPr="00772BA2">
              <w:rPr>
                <w:rFonts w:ascii="Arial Narrow" w:hAnsi="Arial Narrow"/>
                <w:sz w:val="18"/>
                <w:szCs w:val="18"/>
                <w:lang w:val="es-ES" w:eastAsia="es-ES"/>
              </w:rPr>
              <w:t>Extensión</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12</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Programa ALUMNI</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883</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834</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613</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521</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1.316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1.500</w:t>
            </w:r>
          </w:p>
        </w:tc>
      </w:tr>
      <w:tr w:rsidR="004B0D73" w:rsidRPr="00772BA2" w:rsidTr="00330403">
        <w:trPr>
          <w:trHeight w:val="312"/>
          <w:jc w:val="center"/>
        </w:trPr>
        <w:tc>
          <w:tcPr>
            <w:tcW w:w="571" w:type="pct"/>
            <w:vMerge w:val="restar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r w:rsidRPr="00772BA2">
              <w:rPr>
                <w:rFonts w:ascii="Arial Narrow" w:hAnsi="Arial Narrow"/>
                <w:sz w:val="18"/>
                <w:szCs w:val="18"/>
                <w:lang w:val="es-ES" w:eastAsia="es-ES"/>
              </w:rPr>
              <w:t>Internaci</w:t>
            </w:r>
            <w:r w:rsidRPr="00772BA2">
              <w:rPr>
                <w:rFonts w:ascii="Arial Narrow" w:hAnsi="Arial Narrow"/>
                <w:sz w:val="18"/>
                <w:szCs w:val="18"/>
                <w:lang w:val="es-ES" w:eastAsia="es-ES"/>
              </w:rPr>
              <w:t>o</w:t>
            </w:r>
            <w:r w:rsidRPr="00772BA2">
              <w:rPr>
                <w:rFonts w:ascii="Arial Narrow" w:hAnsi="Arial Narrow"/>
                <w:sz w:val="18"/>
                <w:szCs w:val="18"/>
                <w:lang w:val="es-ES" w:eastAsia="es-ES"/>
              </w:rPr>
              <w:t>nalización</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13</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Mov</w:t>
            </w:r>
            <w:r>
              <w:rPr>
                <w:rFonts w:ascii="Arial Narrow" w:hAnsi="Arial Narrow"/>
                <w:sz w:val="16"/>
                <w:szCs w:val="16"/>
                <w:lang w:val="es-ES" w:eastAsia="es-ES"/>
              </w:rPr>
              <w:t>ilidad</w:t>
            </w:r>
            <w:r w:rsidRPr="00772BA2">
              <w:rPr>
                <w:rFonts w:ascii="Arial Narrow" w:hAnsi="Arial Narrow"/>
                <w:sz w:val="16"/>
                <w:szCs w:val="16"/>
                <w:lang w:val="es-ES" w:eastAsia="es-ES"/>
              </w:rPr>
              <w:t xml:space="preserve"> internacional estudiantes (</w:t>
            </w:r>
            <w:r>
              <w:rPr>
                <w:rFonts w:ascii="Arial Narrow" w:hAnsi="Arial Narrow"/>
                <w:sz w:val="16"/>
                <w:szCs w:val="16"/>
                <w:lang w:val="es-ES" w:eastAsia="es-ES"/>
              </w:rPr>
              <w:t>*</w:t>
            </w:r>
            <w:r w:rsidRPr="00772BA2">
              <w:rPr>
                <w:rFonts w:ascii="Arial Narrow" w:hAnsi="Arial Narrow"/>
                <w:sz w:val="16"/>
                <w:szCs w:val="16"/>
                <w:lang w:val="es-ES" w:eastAsia="es-ES"/>
              </w:rPr>
              <w:t>)</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476</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536</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424</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488</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537</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548</w:t>
            </w:r>
          </w:p>
        </w:tc>
      </w:tr>
      <w:tr w:rsidR="004B0D73" w:rsidRPr="00772BA2" w:rsidTr="00330403">
        <w:trPr>
          <w:trHeight w:val="312"/>
          <w:jc w:val="center"/>
        </w:trPr>
        <w:tc>
          <w:tcPr>
            <w:tcW w:w="571" w:type="pct"/>
            <w:vMerge/>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14</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Movilidad internacional PDI</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2009-2010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357</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400</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670</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370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506</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380</w:t>
            </w:r>
          </w:p>
        </w:tc>
      </w:tr>
      <w:tr w:rsidR="004B0D73" w:rsidRPr="00772BA2" w:rsidTr="00330403">
        <w:trPr>
          <w:trHeight w:val="312"/>
          <w:jc w:val="center"/>
        </w:trPr>
        <w:tc>
          <w:tcPr>
            <w:tcW w:w="571" w:type="pc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r w:rsidRPr="00772BA2">
              <w:rPr>
                <w:rFonts w:ascii="Arial Narrow" w:hAnsi="Arial Narrow"/>
                <w:sz w:val="18"/>
                <w:szCs w:val="18"/>
                <w:lang w:val="es-ES" w:eastAsia="es-ES"/>
              </w:rPr>
              <w:t>Procesos y calidad</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15</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Gestión electrónica certificados ac</w:t>
            </w:r>
            <w:r w:rsidRPr="00772BA2">
              <w:rPr>
                <w:rFonts w:ascii="Arial Narrow" w:hAnsi="Arial Narrow"/>
                <w:sz w:val="16"/>
                <w:szCs w:val="16"/>
                <w:lang w:val="es-ES" w:eastAsia="es-ES"/>
              </w:rPr>
              <w:t>a</w:t>
            </w:r>
            <w:r w:rsidRPr="00772BA2">
              <w:rPr>
                <w:rFonts w:ascii="Arial Narrow" w:hAnsi="Arial Narrow"/>
                <w:sz w:val="16"/>
                <w:szCs w:val="16"/>
                <w:lang w:val="es-ES" w:eastAsia="es-ES"/>
              </w:rPr>
              <w:t>démicos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0%</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80%</w:t>
            </w:r>
          </w:p>
        </w:tc>
      </w:tr>
      <w:tr w:rsidR="004B0D73" w:rsidRPr="00772BA2" w:rsidTr="00330403">
        <w:trPr>
          <w:trHeight w:val="312"/>
          <w:jc w:val="center"/>
        </w:trPr>
        <w:tc>
          <w:tcPr>
            <w:tcW w:w="571" w:type="pct"/>
            <w:vMerge w:val="restart"/>
            <w:tcBorders>
              <w:top w:val="single" w:sz="2" w:space="0" w:color="auto"/>
              <w:bottom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r w:rsidRPr="00772BA2">
              <w:rPr>
                <w:rFonts w:ascii="Arial Narrow" w:hAnsi="Arial Narrow"/>
                <w:sz w:val="18"/>
                <w:szCs w:val="18"/>
                <w:lang w:val="es-ES" w:eastAsia="es-ES"/>
              </w:rPr>
              <w:t>Recursos</w:t>
            </w:r>
          </w:p>
        </w:tc>
        <w:tc>
          <w:tcPr>
            <w:tcW w:w="277" w:type="pct"/>
            <w:tcBorders>
              <w:top w:val="single" w:sz="2" w:space="0" w:color="auto"/>
              <w:bottom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16</w:t>
            </w:r>
          </w:p>
        </w:tc>
        <w:tc>
          <w:tcPr>
            <w:tcW w:w="1371" w:type="pct"/>
            <w:tcBorders>
              <w:top w:val="single" w:sz="2" w:space="0" w:color="auto"/>
              <w:bottom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Cualificación investigadora  PDI (%)</w:t>
            </w:r>
            <w:r>
              <w:rPr>
                <w:rFonts w:ascii="Arial Narrow" w:hAnsi="Arial Narrow"/>
                <w:sz w:val="16"/>
                <w:szCs w:val="16"/>
                <w:lang w:val="es-ES" w:eastAsia="es-ES"/>
              </w:rPr>
              <w:t xml:space="preserve"> (*)</w:t>
            </w:r>
          </w:p>
        </w:tc>
        <w:tc>
          <w:tcPr>
            <w:tcW w:w="685" w:type="pct"/>
            <w:tcBorders>
              <w:top w:val="single" w:sz="2" w:space="0" w:color="auto"/>
              <w:bottom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2010</w:t>
            </w:r>
          </w:p>
        </w:tc>
        <w:tc>
          <w:tcPr>
            <w:tcW w:w="39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78%</w:t>
            </w:r>
          </w:p>
        </w:tc>
        <w:tc>
          <w:tcPr>
            <w:tcW w:w="304"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78%</w:t>
            </w:r>
          </w:p>
        </w:tc>
        <w:tc>
          <w:tcPr>
            <w:tcW w:w="339" w:type="pct"/>
            <w:tcBorders>
              <w:top w:val="single" w:sz="2" w:space="0" w:color="auto"/>
              <w:bottom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79%</w:t>
            </w:r>
          </w:p>
        </w:tc>
        <w:tc>
          <w:tcPr>
            <w:tcW w:w="336"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80%</w:t>
            </w:r>
          </w:p>
        </w:tc>
        <w:tc>
          <w:tcPr>
            <w:tcW w:w="361" w:type="pct"/>
            <w:tcBorders>
              <w:top w:val="single" w:sz="2" w:space="0" w:color="auto"/>
              <w:bottom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82%</w:t>
            </w:r>
          </w:p>
        </w:tc>
        <w:tc>
          <w:tcPr>
            <w:tcW w:w="360" w:type="pct"/>
            <w:tcBorders>
              <w:top w:val="single" w:sz="2" w:space="0" w:color="auto"/>
              <w:bottom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80%</w:t>
            </w:r>
          </w:p>
        </w:tc>
      </w:tr>
      <w:tr w:rsidR="004B0D73" w:rsidRPr="00772BA2" w:rsidTr="00330403">
        <w:trPr>
          <w:trHeight w:val="312"/>
          <w:jc w:val="center"/>
        </w:trPr>
        <w:tc>
          <w:tcPr>
            <w:tcW w:w="571" w:type="pct"/>
            <w:vMerge/>
            <w:tcBorders>
              <w:top w:val="single" w:sz="2" w:space="0" w:color="auto"/>
            </w:tcBorders>
            <w:noWrap/>
            <w:vAlign w:val="center"/>
          </w:tcPr>
          <w:p w:rsidR="004B0D73" w:rsidRPr="00772BA2" w:rsidRDefault="004B0D73" w:rsidP="006431B3">
            <w:pPr>
              <w:spacing w:after="0"/>
              <w:ind w:left="50" w:firstLine="0"/>
              <w:jc w:val="left"/>
              <w:rPr>
                <w:rFonts w:ascii="Arial Narrow" w:hAnsi="Arial Narrow"/>
                <w:sz w:val="18"/>
                <w:szCs w:val="18"/>
                <w:lang w:val="es-ES" w:eastAsia="es-ES"/>
              </w:rPr>
            </w:pPr>
          </w:p>
        </w:tc>
        <w:tc>
          <w:tcPr>
            <w:tcW w:w="277" w:type="pct"/>
            <w:tcBorders>
              <w:top w:val="single" w:sz="2" w:space="0" w:color="auto"/>
            </w:tcBorders>
            <w:noWrap/>
            <w:vAlign w:val="center"/>
          </w:tcPr>
          <w:p w:rsidR="004B0D73" w:rsidRPr="00772BA2" w:rsidRDefault="004B0D73" w:rsidP="006431B3">
            <w:pPr>
              <w:spacing w:after="0"/>
              <w:ind w:firstLine="0"/>
              <w:jc w:val="center"/>
              <w:rPr>
                <w:rFonts w:ascii="Arial Narrow" w:hAnsi="Arial Narrow"/>
                <w:sz w:val="18"/>
                <w:szCs w:val="18"/>
                <w:lang w:val="es-ES" w:eastAsia="es-ES"/>
              </w:rPr>
            </w:pPr>
            <w:r w:rsidRPr="00772BA2">
              <w:rPr>
                <w:rFonts w:ascii="Arial Narrow" w:hAnsi="Arial Narrow"/>
                <w:sz w:val="18"/>
                <w:szCs w:val="18"/>
                <w:lang w:val="es-ES" w:eastAsia="es-ES"/>
              </w:rPr>
              <w:t>17</w:t>
            </w:r>
          </w:p>
        </w:tc>
        <w:tc>
          <w:tcPr>
            <w:tcW w:w="1371" w:type="pct"/>
            <w:tcBorders>
              <w:top w:val="single" w:sz="2" w:space="0" w:color="auto"/>
            </w:tcBorders>
            <w:vAlign w:val="center"/>
          </w:tcPr>
          <w:p w:rsidR="004B0D73" w:rsidRPr="00772BA2" w:rsidRDefault="004B0D73" w:rsidP="006431B3">
            <w:pPr>
              <w:spacing w:after="0"/>
              <w:ind w:firstLine="0"/>
              <w:jc w:val="left"/>
              <w:rPr>
                <w:rFonts w:ascii="Arial Narrow" w:hAnsi="Arial Narrow"/>
                <w:sz w:val="16"/>
                <w:szCs w:val="16"/>
                <w:lang w:val="es-ES" w:eastAsia="es-ES"/>
              </w:rPr>
            </w:pPr>
            <w:r w:rsidRPr="00772BA2">
              <w:rPr>
                <w:rFonts w:ascii="Arial Narrow" w:hAnsi="Arial Narrow"/>
                <w:sz w:val="16"/>
                <w:szCs w:val="16"/>
                <w:lang w:val="es-ES" w:eastAsia="es-ES"/>
              </w:rPr>
              <w:t>Ingresos otras fuentes (%)</w:t>
            </w:r>
          </w:p>
        </w:tc>
        <w:tc>
          <w:tcPr>
            <w:tcW w:w="685" w:type="pct"/>
            <w:tcBorders>
              <w:top w:val="single" w:sz="2" w:space="0" w:color="auto"/>
            </w:tcBorders>
            <w:vAlign w:val="center"/>
          </w:tcPr>
          <w:p w:rsidR="004B0D73" w:rsidRPr="00772BA2" w:rsidRDefault="004B0D73" w:rsidP="006431B3">
            <w:pPr>
              <w:spacing w:after="0"/>
              <w:ind w:firstLine="0"/>
              <w:jc w:val="center"/>
              <w:rPr>
                <w:rFonts w:ascii="Arial Narrow" w:hAnsi="Arial Narrow"/>
                <w:sz w:val="16"/>
                <w:szCs w:val="16"/>
                <w:lang w:val="es-ES" w:eastAsia="es-ES"/>
              </w:rPr>
            </w:pPr>
            <w:r w:rsidRPr="00772BA2">
              <w:rPr>
                <w:rFonts w:ascii="Arial Narrow" w:hAnsi="Arial Narrow"/>
                <w:sz w:val="16"/>
                <w:szCs w:val="16"/>
                <w:lang w:val="es-ES" w:eastAsia="es-ES"/>
              </w:rPr>
              <w:t>2010</w:t>
            </w:r>
          </w:p>
        </w:tc>
        <w:tc>
          <w:tcPr>
            <w:tcW w:w="396"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4,1%</w:t>
            </w:r>
          </w:p>
        </w:tc>
        <w:tc>
          <w:tcPr>
            <w:tcW w:w="304"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4,4%</w:t>
            </w:r>
          </w:p>
        </w:tc>
        <w:tc>
          <w:tcPr>
            <w:tcW w:w="339" w:type="pct"/>
            <w:tcBorders>
              <w:top w:val="single" w:sz="2" w:space="0" w:color="auto"/>
            </w:tcBorders>
            <w:noWrap/>
            <w:vAlign w:val="center"/>
          </w:tcPr>
          <w:p w:rsidR="004B0D73" w:rsidRPr="00772BA2" w:rsidRDefault="004B0D73" w:rsidP="008D4279">
            <w:pPr>
              <w:tabs>
                <w:tab w:val="left" w:pos="1243"/>
              </w:tabs>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5,1%</w:t>
            </w:r>
          </w:p>
        </w:tc>
        <w:tc>
          <w:tcPr>
            <w:tcW w:w="336"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4,6%</w:t>
            </w:r>
          </w:p>
        </w:tc>
        <w:tc>
          <w:tcPr>
            <w:tcW w:w="361" w:type="pct"/>
            <w:tcBorders>
              <w:top w:val="single" w:sz="2" w:space="0" w:color="auto"/>
            </w:tcBorders>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4,5%</w:t>
            </w:r>
          </w:p>
        </w:tc>
        <w:tc>
          <w:tcPr>
            <w:tcW w:w="360" w:type="pct"/>
            <w:tcBorders>
              <w:top w:val="single" w:sz="2" w:space="0" w:color="auto"/>
            </w:tcBorders>
            <w:noWrap/>
            <w:vAlign w:val="center"/>
          </w:tcPr>
          <w:p w:rsidR="004B0D73" w:rsidRPr="00772BA2" w:rsidRDefault="004B0D73" w:rsidP="008D4279">
            <w:pPr>
              <w:spacing w:after="0"/>
              <w:ind w:firstLine="0"/>
              <w:jc w:val="right"/>
              <w:rPr>
                <w:rFonts w:ascii="Arial Narrow" w:hAnsi="Arial Narrow"/>
                <w:sz w:val="16"/>
                <w:szCs w:val="16"/>
                <w:lang w:val="es-ES" w:eastAsia="es-ES"/>
              </w:rPr>
            </w:pPr>
            <w:r w:rsidRPr="00772BA2">
              <w:rPr>
                <w:rFonts w:ascii="Arial Narrow" w:hAnsi="Arial Narrow"/>
                <w:sz w:val="16"/>
                <w:szCs w:val="16"/>
                <w:lang w:val="es-ES" w:eastAsia="es-ES"/>
              </w:rPr>
              <w:t>4,6%</w:t>
            </w:r>
          </w:p>
        </w:tc>
      </w:tr>
    </w:tbl>
    <w:p w:rsidR="004B0D73" w:rsidRDefault="004B0D73" w:rsidP="004B0D73">
      <w:pPr>
        <w:spacing w:after="0"/>
        <w:ind w:firstLine="0"/>
        <w:rPr>
          <w:sz w:val="18"/>
          <w:szCs w:val="18"/>
          <w:lang w:val="es-ES" w:eastAsia="es-ES"/>
        </w:rPr>
      </w:pPr>
    </w:p>
    <w:p w:rsidR="004B0D73" w:rsidRPr="00772BA2" w:rsidRDefault="004B0D73" w:rsidP="00330403">
      <w:pPr>
        <w:spacing w:after="120"/>
        <w:ind w:firstLine="0"/>
        <w:rPr>
          <w:sz w:val="18"/>
          <w:szCs w:val="18"/>
          <w:lang w:val="es-ES" w:eastAsia="es-ES"/>
        </w:rPr>
      </w:pPr>
      <w:r w:rsidRPr="00772BA2">
        <w:rPr>
          <w:sz w:val="18"/>
          <w:szCs w:val="18"/>
          <w:lang w:val="es-ES" w:eastAsia="es-ES"/>
        </w:rPr>
        <w:t>*</w:t>
      </w:r>
      <w:r>
        <w:rPr>
          <w:sz w:val="18"/>
          <w:szCs w:val="18"/>
          <w:lang w:val="es-ES" w:eastAsia="es-ES"/>
        </w:rPr>
        <w:t xml:space="preserve"> </w:t>
      </w:r>
      <w:r w:rsidRPr="00772BA2">
        <w:rPr>
          <w:sz w:val="18"/>
          <w:szCs w:val="18"/>
          <w:lang w:val="es-ES" w:eastAsia="es-ES"/>
        </w:rPr>
        <w:t>Los valores de los indicadores se han recalculado para poder realizar una comparación homogénea con los datos de los años posteriores y en la misma medida lo han sido los valores de las metas.</w:t>
      </w:r>
    </w:p>
    <w:p w:rsidR="004B0D73" w:rsidRPr="00CB4B2C" w:rsidRDefault="004B0D73" w:rsidP="004B0D73">
      <w:pPr>
        <w:spacing w:after="0"/>
        <w:ind w:firstLine="0"/>
        <w:rPr>
          <w:sz w:val="18"/>
          <w:szCs w:val="18"/>
          <w:lang w:val="es-ES" w:eastAsia="es-ES"/>
        </w:rPr>
      </w:pPr>
      <w:r w:rsidRPr="00772BA2">
        <w:rPr>
          <w:sz w:val="18"/>
          <w:szCs w:val="18"/>
          <w:lang w:val="es-ES" w:eastAsia="es-ES"/>
        </w:rPr>
        <w:t>**Los datos de los años n+1 a n+4 son datos acumulados habida cuenta de que el valor de la meta acumula los datos es</w:t>
      </w:r>
      <w:r>
        <w:rPr>
          <w:sz w:val="18"/>
          <w:szCs w:val="18"/>
          <w:lang w:val="es-ES" w:eastAsia="es-ES"/>
        </w:rPr>
        <w:t xml:space="preserve">perados de los años 2011 a 2014.  </w:t>
      </w:r>
    </w:p>
    <w:p w:rsidR="004B0D73" w:rsidRDefault="004B0D73" w:rsidP="008D4279">
      <w:pPr>
        <w:pStyle w:val="texto"/>
        <w:spacing w:after="0"/>
      </w:pPr>
    </w:p>
    <w:p w:rsidR="004B0D73" w:rsidRDefault="004B0D73" w:rsidP="004B0D73">
      <w:pPr>
        <w:pStyle w:val="texto"/>
      </w:pPr>
      <w:r>
        <w:t>En la actualidad se han iniciado los trabajos para elaborar el IV Plan Estrat</w:t>
      </w:r>
      <w:r>
        <w:t>é</w:t>
      </w:r>
      <w:r>
        <w:t>gico de la Universidad.</w:t>
      </w:r>
      <w:r w:rsidR="00A813B1">
        <w:t xml:space="preserve"> Este Plan debe servir de guía para el diseño del modelo, estructura y </w:t>
      </w:r>
      <w:r w:rsidR="005F6F57">
        <w:t>estudios a implantar por</w:t>
      </w:r>
      <w:r w:rsidR="00A813B1">
        <w:t xml:space="preserve"> la Universidad en los próximos años.</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Enseñanzas propias de la Universidad. La tipología de este tipo de estudios es la siguiente:</w:t>
      </w:r>
    </w:p>
    <w:p w:rsidR="004B0D73" w:rsidRDefault="004B0D73" w:rsidP="004B0D73">
      <w:pPr>
        <w:pStyle w:val="texto"/>
      </w:pPr>
      <w:r>
        <w:t>a) Títulos Propios de Máster, de Diploma de Especialización, de Experto Universitario, de Diploma de Extensión Universitaria y de Certificado de E</w:t>
      </w:r>
      <w:r>
        <w:t>x</w:t>
      </w:r>
      <w:r>
        <w:t>tensión Universitaria.</w:t>
      </w:r>
    </w:p>
    <w:p w:rsidR="004B0D73" w:rsidRDefault="004B0D73" w:rsidP="004B0D73">
      <w:pPr>
        <w:pStyle w:val="texto"/>
      </w:pPr>
      <w:r>
        <w:lastRenderedPageBreak/>
        <w:t>b) Otras modalidades de Formación Continua y Enseñanzas Propias que no dan lugar a la obtención de un Título Propio: Cursos de Especialización, Cursos y Seminarios.</w:t>
      </w:r>
    </w:p>
    <w:p w:rsidR="004B0D73" w:rsidRDefault="004B0D73" w:rsidP="004B0D73">
      <w:pPr>
        <w:pStyle w:val="texto"/>
      </w:pPr>
      <w:r>
        <w:t>La gestión de estas enseñanzas se hace directamente por la Universidad o a través de su Fundación. Esta formación debe autofinanciarse mediante los oportunos precios públicos y/o aportaciones de instituciones públicas y priv</w:t>
      </w:r>
      <w:r>
        <w:t>a</w:t>
      </w:r>
      <w:r>
        <w:t>das; dentro de sus gastos se contempla un canon del 10 por ciento para la co</w:t>
      </w:r>
      <w:r>
        <w:t>n</w:t>
      </w:r>
      <w:r>
        <w:t>tribución a los gastos generales de la Universidad o, en su caso, de la Fund</w:t>
      </w:r>
      <w:r>
        <w:t>a</w:t>
      </w:r>
      <w:r>
        <w:t>ción.</w:t>
      </w:r>
    </w:p>
    <w:p w:rsidR="004B0D73" w:rsidRPr="00D47E6C" w:rsidRDefault="004B0D73" w:rsidP="004B0D73">
      <w:pPr>
        <w:pStyle w:val="texto"/>
      </w:pPr>
      <w:r>
        <w:t xml:space="preserve">En el curso académico 2013/2014, las enseñanzas </w:t>
      </w:r>
      <w:r w:rsidRPr="00D47E6C">
        <w:t>propias gestionadas por la Fundación presentan la siguiente información:</w:t>
      </w:r>
    </w:p>
    <w:p w:rsidR="004B0D73" w:rsidRDefault="00D31BB1" w:rsidP="00D31BB1">
      <w:pPr>
        <w:pStyle w:val="texto"/>
      </w:pPr>
      <w:r>
        <w:t xml:space="preserve">a) </w:t>
      </w:r>
      <w:r w:rsidR="004B0D73">
        <w:t>Se han impartido un total de 14 acciones formativas, siete títulos propios y siete cursos de especialización. Por falta de alumnos, se cancelaron cuatro a</w:t>
      </w:r>
      <w:r w:rsidR="004B0D73">
        <w:t>c</w:t>
      </w:r>
      <w:r w:rsidR="004B0D73">
        <w:t>ciones.</w:t>
      </w:r>
    </w:p>
    <w:p w:rsidR="004B0D73" w:rsidRDefault="00D31BB1" w:rsidP="00D31BB1">
      <w:pPr>
        <w:pStyle w:val="texto"/>
      </w:pPr>
      <w:r>
        <w:t xml:space="preserve">b) </w:t>
      </w:r>
      <w:r w:rsidR="007F4171">
        <w:t>Se</w:t>
      </w:r>
      <w:r w:rsidR="004B0D73">
        <w:t xml:space="preserve"> imparti</w:t>
      </w:r>
      <w:r w:rsidR="007F4171">
        <w:t>eron</w:t>
      </w:r>
      <w:r w:rsidR="004B0D73">
        <w:t xml:space="preserve"> 2.726 horas</w:t>
      </w:r>
      <w:r w:rsidR="007F4171">
        <w:t xml:space="preserve"> lectivas</w:t>
      </w:r>
      <w:r w:rsidR="004B0D73">
        <w:t>, de las que el 52 por ciento fueron desarrolladas por docentes de la Universidad.</w:t>
      </w:r>
    </w:p>
    <w:p w:rsidR="004B0D73" w:rsidRDefault="00D31BB1" w:rsidP="00D31BB1">
      <w:pPr>
        <w:pStyle w:val="texto"/>
      </w:pPr>
      <w:r>
        <w:t xml:space="preserve">c) </w:t>
      </w:r>
      <w:r w:rsidR="004B0D73">
        <w:t>Para estas acciones, se matricularon un total de 314 alumnos, de los que el 68 por ciento eran mujeres.</w:t>
      </w:r>
    </w:p>
    <w:p w:rsidR="004B0D73" w:rsidRDefault="00D31BB1" w:rsidP="00D31BB1">
      <w:pPr>
        <w:pStyle w:val="texto"/>
      </w:pPr>
      <w:r>
        <w:t xml:space="preserve">d) </w:t>
      </w:r>
      <w:r w:rsidR="004B0D73">
        <w:t xml:space="preserve">La satisfacción global de los alumnos con la formación recibida </w:t>
      </w:r>
      <w:r w:rsidR="00730DF3">
        <w:t>se sitúa entre siete y ocho</w:t>
      </w:r>
      <w:r w:rsidR="004B0D73">
        <w:t xml:space="preserve"> sobre diez</w:t>
      </w:r>
      <w:r w:rsidR="00730DF3">
        <w:t xml:space="preserve"> puntos</w:t>
      </w:r>
      <w:r w:rsidR="004B0D73">
        <w:t>.</w:t>
      </w:r>
    </w:p>
    <w:p w:rsidR="004B0D73" w:rsidRDefault="00D31BB1" w:rsidP="00D31BB1">
      <w:pPr>
        <w:pStyle w:val="texto"/>
      </w:pPr>
      <w:r>
        <w:t xml:space="preserve">e) </w:t>
      </w:r>
      <w:r w:rsidR="004B0D73">
        <w:t xml:space="preserve">El resultado económico </w:t>
      </w:r>
      <w:r w:rsidR="00494381">
        <w:t xml:space="preserve">positivo </w:t>
      </w:r>
      <w:r w:rsidR="004B0D73">
        <w:t>global de estas acciones ha ascendido a 70.784 euros.</w:t>
      </w:r>
    </w:p>
    <w:p w:rsidR="004B0D73" w:rsidRDefault="004B0D73" w:rsidP="004B0D73">
      <w:pPr>
        <w:pStyle w:val="texto"/>
      </w:pPr>
      <w:r w:rsidRPr="004F1627">
        <w:t xml:space="preserve">La Fundación abona directamente la docencia </w:t>
      </w:r>
      <w:r w:rsidR="00E13D25">
        <w:t>al</w:t>
      </w:r>
      <w:r w:rsidRPr="004F1627">
        <w:t xml:space="preserve"> PDI de la Universidad que participa en las anteriores enseñanzas</w:t>
      </w:r>
      <w:r w:rsidR="004F1627" w:rsidRPr="004F1627">
        <w:t>. En 2014, impartieron tal docencia 87 profesores con una retribución</w:t>
      </w:r>
      <w:r w:rsidR="0060441B">
        <w:t xml:space="preserve"> global</w:t>
      </w:r>
      <w:r w:rsidR="004F1627" w:rsidRPr="004F1627">
        <w:t xml:space="preserve"> de 191.048 euros, aplicándoseles una r</w:t>
      </w:r>
      <w:r w:rsidR="004F1627" w:rsidRPr="004F1627">
        <w:t>e</w:t>
      </w:r>
      <w:r w:rsidR="004F1627" w:rsidRPr="004F1627">
        <w:t>tención de IRPF del 15 por ciento.</w:t>
      </w:r>
    </w:p>
    <w:p w:rsidR="00730DF3" w:rsidRDefault="00730DF3" w:rsidP="00730DF3">
      <w:pPr>
        <w:pStyle w:val="texto"/>
      </w:pPr>
      <w:r>
        <w:t>Como hecho posterior sobre la presencia del PDI de la Universidad en la d</w:t>
      </w:r>
      <w:r>
        <w:t>o</w:t>
      </w:r>
      <w:r>
        <w:t>cencia de enseñanzas propias, señalamos que por a</w:t>
      </w:r>
      <w:r w:rsidRPr="00330028">
        <w:t>cuerdo del Consejo de G</w:t>
      </w:r>
      <w:r w:rsidRPr="00330028">
        <w:t>o</w:t>
      </w:r>
      <w:r w:rsidRPr="00330028">
        <w:t>bierno</w:t>
      </w:r>
      <w:r>
        <w:t xml:space="preserve"> de la Universidad, </w:t>
      </w:r>
      <w:r w:rsidRPr="00330028">
        <w:t xml:space="preserve">aprobado </w:t>
      </w:r>
      <w:r>
        <w:t>en</w:t>
      </w:r>
      <w:r w:rsidRPr="00330028">
        <w:t xml:space="preserve"> marzo de 2015</w:t>
      </w:r>
      <w:r>
        <w:t xml:space="preserve">, </w:t>
      </w:r>
      <w:r w:rsidRPr="00330028">
        <w:t xml:space="preserve">se modifica </w:t>
      </w:r>
      <w:r>
        <w:t>determin</w:t>
      </w:r>
      <w:r>
        <w:t>a</w:t>
      </w:r>
      <w:r>
        <w:t>das cuestiones de</w:t>
      </w:r>
      <w:r w:rsidRPr="00330028">
        <w:t xml:space="preserve"> las Normas Reguladoras de los Estudios de Máster Univers</w:t>
      </w:r>
      <w:r w:rsidRPr="00330028">
        <w:t>i</w:t>
      </w:r>
      <w:r w:rsidRPr="00330028">
        <w:t>tario y Enseñanzas Propias en la Universidad Pública de Navarra.</w:t>
      </w:r>
      <w:r>
        <w:t xml:space="preserve"> </w:t>
      </w:r>
      <w:r w:rsidRPr="00302A1C">
        <w:t>En esta m</w:t>
      </w:r>
      <w:r w:rsidRPr="00302A1C">
        <w:t>o</w:t>
      </w:r>
      <w:r w:rsidRPr="00302A1C">
        <w:t xml:space="preserve">dificación, </w:t>
      </w:r>
      <w:r>
        <w:t>entre otros aspectos,</w:t>
      </w:r>
      <w:r w:rsidRPr="00302A1C">
        <w:t xml:space="preserve"> se establece que al menos el 30 por ciento de las horas lectivas </w:t>
      </w:r>
      <w:r>
        <w:t>de los citados estudios</w:t>
      </w:r>
      <w:r w:rsidRPr="00302A1C">
        <w:t xml:space="preserve"> serán impartidas por profesorado de la propia Universidad (con un mínimo del 10 por ciento de horas lectivas por pr</w:t>
      </w:r>
      <w:r w:rsidRPr="00302A1C">
        <w:t>o</w:t>
      </w:r>
      <w:r w:rsidRPr="00302A1C">
        <w:t>fesorado con vinculación permanente) y la dedicación máxima será de 100 h</w:t>
      </w:r>
      <w:r w:rsidRPr="00302A1C">
        <w:t>o</w:t>
      </w:r>
      <w:r w:rsidRPr="00302A1C">
        <w:t>ras lectivas por curso acad</w:t>
      </w:r>
      <w:r>
        <w:t xml:space="preserve">émico; igualmente se indica que mediante resolución del </w:t>
      </w:r>
      <w:r w:rsidR="007F4171">
        <w:t>r</w:t>
      </w:r>
      <w:r>
        <w:t>ector, oída la Comisión de Estudios de Posgrado, se fijará anualmente la compensación económica a percibir por hora lectiva y otras (tutorías, exám</w:t>
      </w:r>
      <w:r>
        <w:t>e</w:t>
      </w:r>
      <w:r>
        <w:t>nes...).</w:t>
      </w:r>
    </w:p>
    <w:p w:rsidR="00194E66" w:rsidRDefault="004B0D73" w:rsidP="00D47A3B">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sidRPr="00011CCB">
        <w:lastRenderedPageBreak/>
        <w:t>Institutos de Investigación</w:t>
      </w:r>
      <w:r>
        <w:t xml:space="preserve"> de la Universidad. </w:t>
      </w:r>
      <w:r w:rsidRPr="00011CCB">
        <w:t>La normat</w:t>
      </w:r>
      <w:r>
        <w:t>iva reguladora g</w:t>
      </w:r>
      <w:r>
        <w:t>e</w:t>
      </w:r>
      <w:r>
        <w:t>neral de estos institutos se aprueba en mayo de 2014. De acuerdo con el artíc</w:t>
      </w:r>
      <w:r>
        <w:t>u</w:t>
      </w:r>
      <w:r>
        <w:t>lo 1</w:t>
      </w:r>
      <w:r w:rsidR="00194E66">
        <w:t>.</w:t>
      </w:r>
      <w:r>
        <w:t>º de dicha norma, los mismos</w:t>
      </w:r>
      <w:r w:rsidR="00194E66">
        <w:t>:</w:t>
      </w:r>
    </w:p>
    <w:p w:rsidR="004B0D73" w:rsidRPr="00194E66" w:rsidRDefault="004B0D73" w:rsidP="00194E66">
      <w:pPr>
        <w:pStyle w:val="texto"/>
        <w:tabs>
          <w:tab w:val="clear" w:pos="2835"/>
          <w:tab w:val="clear" w:pos="3969"/>
          <w:tab w:val="clear" w:pos="5103"/>
          <w:tab w:val="clear" w:pos="6237"/>
          <w:tab w:val="clear" w:pos="7371"/>
          <w:tab w:val="left" w:pos="480"/>
          <w:tab w:val="num" w:pos="928"/>
          <w:tab w:val="num" w:pos="6597"/>
        </w:tabs>
        <w:ind w:left="290" w:firstLine="0"/>
        <w:rPr>
          <w:sz w:val="22"/>
          <w:szCs w:val="22"/>
        </w:rPr>
      </w:pPr>
      <w:r w:rsidRPr="00194E66">
        <w:rPr>
          <w:sz w:val="22"/>
          <w:szCs w:val="22"/>
        </w:rPr>
        <w:t>“</w:t>
      </w:r>
      <w:r w:rsidRPr="00194E66">
        <w:rPr>
          <w:i/>
          <w:sz w:val="22"/>
          <w:szCs w:val="22"/>
        </w:rPr>
        <w:t>se configuran como estructuras propias de la Universidad, sin personalidad jurídica propia, que sirven de soporte a la investigación y que se definen como asociaciones de investigadores con el objetivo de impulsar y fomentar la investigación científica, técnica, social o económica en determinado ámbito del saber o en la búsqueda de soluciones, de</w:t>
      </w:r>
      <w:r w:rsidRPr="00194E66">
        <w:rPr>
          <w:i/>
          <w:sz w:val="22"/>
          <w:szCs w:val="22"/>
        </w:rPr>
        <w:t>s</w:t>
      </w:r>
      <w:r w:rsidRPr="00194E66">
        <w:rPr>
          <w:i/>
          <w:sz w:val="22"/>
          <w:szCs w:val="22"/>
        </w:rPr>
        <w:t>de una perspectiva académica, a problemas sociales y económicos.</w:t>
      </w:r>
      <w:r w:rsidRPr="00194E66">
        <w:rPr>
          <w:sz w:val="22"/>
          <w:szCs w:val="22"/>
        </w:rPr>
        <w:t>”</w:t>
      </w:r>
    </w:p>
    <w:p w:rsidR="004B0D73" w:rsidRDefault="004B0D73" w:rsidP="004B0D73">
      <w:pPr>
        <w:pStyle w:val="texto"/>
      </w:pPr>
      <w:r>
        <w:t>Su financiación procederá fundamentalmente de la captación de fondos por sus investigadores en convocatorias competitivas o mediante convenios y co</w:t>
      </w:r>
      <w:r>
        <w:t>n</w:t>
      </w:r>
      <w:r>
        <w:t>tratos con entidades públicas y privadas.</w:t>
      </w:r>
    </w:p>
    <w:p w:rsidR="004B0D73" w:rsidRDefault="004B0D73" w:rsidP="004B0D73">
      <w:pPr>
        <w:pStyle w:val="texto"/>
      </w:pPr>
      <w:r>
        <w:t xml:space="preserve">Conviene precisar que estos institutos no se corresponden con los Institutos Universitarios de Investigación </w:t>
      </w:r>
      <w:r w:rsidR="008D2841">
        <w:t>regulados</w:t>
      </w:r>
      <w:r>
        <w:t xml:space="preserve"> en el artículo 7 de la LOU.</w:t>
      </w:r>
    </w:p>
    <w:p w:rsidR="004B0D73" w:rsidRPr="00011CCB" w:rsidRDefault="004B0D73" w:rsidP="004B0D73">
      <w:pPr>
        <w:pStyle w:val="texto"/>
      </w:pPr>
      <w:r>
        <w:t>Hasta la fecha se han creado los siguientes institutos:</w:t>
      </w:r>
    </w:p>
    <w:p w:rsidR="004B0D73" w:rsidRPr="00011CCB" w:rsidRDefault="004B0D73" w:rsidP="004B0D73">
      <w:pPr>
        <w:pStyle w:val="texto"/>
      </w:pPr>
      <w:r>
        <w:t xml:space="preserve">a) </w:t>
      </w:r>
      <w:r w:rsidRPr="00011CCB">
        <w:t>InaMat (Institute for Advanced Materials): trabaja en la generación de c</w:t>
      </w:r>
      <w:r w:rsidRPr="00011CCB">
        <w:t>o</w:t>
      </w:r>
      <w:r w:rsidRPr="00011CCB">
        <w:t>nocimiento y el desarrollo de tecnologías en el campo de los materiales ava</w:t>
      </w:r>
      <w:r w:rsidRPr="00011CCB">
        <w:t>n</w:t>
      </w:r>
      <w:r w:rsidRPr="00011CCB">
        <w:t xml:space="preserve">zados. </w:t>
      </w:r>
      <w:r w:rsidRPr="0044752F">
        <w:t>La orientación de su trabajo se centra en estrategias basadas en síntesis, preparación de nuevos materiales y en el estudio de sus propiedades en dime</w:t>
      </w:r>
      <w:r w:rsidRPr="0044752F">
        <w:t>n</w:t>
      </w:r>
      <w:r w:rsidRPr="0044752F">
        <w:t>siones macroscópicas, películas delgadas y estructuras nanométricas.</w:t>
      </w:r>
    </w:p>
    <w:p w:rsidR="004B0D73" w:rsidRPr="00011CCB" w:rsidRDefault="004B0D73" w:rsidP="004B0D73">
      <w:pPr>
        <w:pStyle w:val="texto"/>
      </w:pPr>
      <w:r>
        <w:t xml:space="preserve">b) </w:t>
      </w:r>
      <w:r w:rsidRPr="00011CCB">
        <w:t>ISC (Institute of Smart Cities): orientado al diseño, análisis, implement</w:t>
      </w:r>
      <w:r w:rsidRPr="00011CCB">
        <w:t>a</w:t>
      </w:r>
      <w:r w:rsidRPr="00011CCB">
        <w:t>ción y optimización de entornos inteligentes.</w:t>
      </w:r>
    </w:p>
    <w:p w:rsidR="004B0D73" w:rsidRDefault="004B0D73" w:rsidP="004B0D73">
      <w:pPr>
        <w:pStyle w:val="texto"/>
      </w:pPr>
      <w:r>
        <w:t xml:space="preserve">c) </w:t>
      </w:r>
      <w:r w:rsidRPr="00011CCB">
        <w:t>I</w:t>
      </w:r>
      <w:r w:rsidR="009F3206">
        <w:t>NARBE</w:t>
      </w:r>
      <w:r w:rsidRPr="00011CCB">
        <w:t xml:space="preserve"> (Institute for </w:t>
      </w:r>
      <w:r w:rsidR="009F3206">
        <w:t>Advanced R</w:t>
      </w:r>
      <w:r w:rsidRPr="00011CCB">
        <w:t>esearch in</w:t>
      </w:r>
      <w:r w:rsidR="009F3206">
        <w:t xml:space="preserve"> Business and </w:t>
      </w:r>
      <w:r w:rsidRPr="00011CCB">
        <w:t>Economics): dedicado a la investigación de las decisiones que adoptan los diferentes agentes económicos y sociales y sus efectos en el desempeño empresarial y el bienestar social.</w:t>
      </w:r>
      <w:r w:rsidRPr="0044752F">
        <w:t xml:space="preserve"> </w:t>
      </w:r>
      <w:r>
        <w:t>T</w:t>
      </w:r>
      <w:r w:rsidRPr="0044752F">
        <w:t>iene como objetivo último la generación de conocimiento nuevo y la difusión de ideas y propuestas que ayuden a superar los retos competitivos a los que se enfrentan las empresas y la sociedad en un entorno global.</w:t>
      </w:r>
    </w:p>
    <w:p w:rsidR="004B0D73" w:rsidRDefault="004B0D73" w:rsidP="00330403">
      <w:pPr>
        <w:pStyle w:val="texto"/>
        <w:spacing w:after="240"/>
      </w:pPr>
      <w:r>
        <w:t>Para cada uno de ellos, se aprueba igualmente en 2015 un reglamento interno de funcionamiento.</w:t>
      </w:r>
    </w:p>
    <w:p w:rsidR="004B0D73" w:rsidRPr="00D03E5F" w:rsidRDefault="004B0D73" w:rsidP="004B0D73">
      <w:pPr>
        <w:pStyle w:val="atitulo3"/>
      </w:pPr>
      <w:r>
        <w:t>IV.4.5. Fundación Universidad-Sociedad</w:t>
      </w:r>
    </w:p>
    <w:p w:rsidR="004B0D73" w:rsidRPr="008D4279" w:rsidRDefault="004B0D73" w:rsidP="004B0D73">
      <w:pPr>
        <w:pStyle w:val="texto"/>
        <w:rPr>
          <w:rFonts w:ascii="Times New (W1)" w:hAnsi="Times New (W1)"/>
          <w:spacing w:val="4"/>
        </w:rPr>
      </w:pPr>
      <w:r>
        <w:t>Las cuentas anuales de la citada fundación fueron objeto de auditoría fina</w:t>
      </w:r>
      <w:r>
        <w:t>n</w:t>
      </w:r>
      <w:r>
        <w:t>ciera por una firma privada, emitiéndose una opinión favorable o no modific</w:t>
      </w:r>
      <w:r>
        <w:t>a</w:t>
      </w:r>
      <w:r>
        <w:t>da.</w:t>
      </w:r>
      <w:r w:rsidRPr="008D4279">
        <w:rPr>
          <w:rFonts w:ascii="Times New (W1)" w:hAnsi="Times New (W1)"/>
          <w:spacing w:val="4"/>
        </w:rPr>
        <w:t xml:space="preserve"> </w:t>
      </w:r>
      <w:r w:rsidR="00751E98" w:rsidRPr="008D4279">
        <w:rPr>
          <w:rFonts w:ascii="Times New (W1)" w:hAnsi="Times New (W1)"/>
          <w:spacing w:val="4"/>
        </w:rPr>
        <w:t>Al respecto, sería conveniente que en la memoria de la Universidad se incl</w:t>
      </w:r>
      <w:r w:rsidR="00751E98" w:rsidRPr="008D4279">
        <w:rPr>
          <w:rFonts w:ascii="Times New (W1)" w:hAnsi="Times New (W1)"/>
          <w:spacing w:val="4"/>
        </w:rPr>
        <w:t>u</w:t>
      </w:r>
      <w:r w:rsidR="00751E98" w:rsidRPr="008D4279">
        <w:rPr>
          <w:rFonts w:ascii="Times New (W1)" w:hAnsi="Times New (W1)"/>
          <w:spacing w:val="4"/>
        </w:rPr>
        <w:t>yera</w:t>
      </w:r>
      <w:r w:rsidR="006847FA" w:rsidRPr="008D4279">
        <w:rPr>
          <w:rFonts w:ascii="Times New (W1)" w:hAnsi="Times New (W1)"/>
          <w:spacing w:val="4"/>
        </w:rPr>
        <w:t>, conjuntamente con los estados financieros,</w:t>
      </w:r>
      <w:r w:rsidR="00751E98" w:rsidRPr="008D4279">
        <w:rPr>
          <w:rFonts w:ascii="Times New (W1)" w:hAnsi="Times New (W1)"/>
          <w:spacing w:val="4"/>
        </w:rPr>
        <w:t xml:space="preserve"> la opinión de dicho informe.</w:t>
      </w:r>
    </w:p>
    <w:p w:rsidR="004B0D73" w:rsidRDefault="004B0D73" w:rsidP="008D4279">
      <w:pPr>
        <w:pStyle w:val="texto"/>
        <w:spacing w:after="240"/>
      </w:pPr>
      <w:r>
        <w:t xml:space="preserve">En </w:t>
      </w:r>
      <w:r w:rsidR="00751E98">
        <w:t>2014</w:t>
      </w:r>
      <w:r>
        <w:t>,</w:t>
      </w:r>
      <w:r w:rsidR="00751E98">
        <w:t xml:space="preserve"> la fundación</w:t>
      </w:r>
      <w:r>
        <w:t xml:space="preserve"> presenta las siguientes magnitudes más relevantes de su actividad económico-financiera y su comparación con el ejercicio anterior: (en miles de euros, salvo el número medio de empleados)</w:t>
      </w:r>
      <w:r w:rsidR="00330403">
        <w:t>.</w:t>
      </w:r>
    </w:p>
    <w:tbl>
      <w:tblPr>
        <w:tblW w:w="8750" w:type="dxa"/>
        <w:jc w:val="center"/>
        <w:tblCellMar>
          <w:left w:w="70" w:type="dxa"/>
          <w:right w:w="70" w:type="dxa"/>
        </w:tblCellMar>
        <w:tblLook w:val="04A0" w:firstRow="1" w:lastRow="0" w:firstColumn="1" w:lastColumn="0" w:noHBand="0" w:noVBand="1"/>
      </w:tblPr>
      <w:tblGrid>
        <w:gridCol w:w="5904"/>
        <w:gridCol w:w="1390"/>
        <w:gridCol w:w="1456"/>
      </w:tblGrid>
      <w:tr w:rsidR="004B0D73" w:rsidRPr="00BB2F69" w:rsidTr="008D4279">
        <w:trPr>
          <w:trHeight w:val="284"/>
          <w:jc w:val="center"/>
        </w:trPr>
        <w:tc>
          <w:tcPr>
            <w:tcW w:w="5904"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3E6B3A" w:rsidRDefault="004B0D73" w:rsidP="006431B3">
            <w:pPr>
              <w:pStyle w:val="cuadroCabe"/>
              <w:rPr>
                <w:lang w:val="es-ES" w:eastAsia="es-ES"/>
              </w:rPr>
            </w:pPr>
            <w:r>
              <w:rPr>
                <w:lang w:val="es-ES" w:eastAsia="es-ES"/>
              </w:rPr>
              <w:lastRenderedPageBreak/>
              <w:t>Fundación 2014</w:t>
            </w:r>
          </w:p>
        </w:tc>
        <w:tc>
          <w:tcPr>
            <w:tcW w:w="1390"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3E6B3A" w:rsidRDefault="004B0D73" w:rsidP="008D4279">
            <w:pPr>
              <w:pStyle w:val="cuadroCabe"/>
              <w:jc w:val="right"/>
              <w:rPr>
                <w:lang w:val="es-ES" w:eastAsia="es-ES"/>
              </w:rPr>
            </w:pPr>
            <w:r w:rsidRPr="003E6B3A">
              <w:rPr>
                <w:lang w:val="es-ES" w:eastAsia="es-ES"/>
              </w:rPr>
              <w:t>31/12/2013</w:t>
            </w:r>
          </w:p>
        </w:tc>
        <w:tc>
          <w:tcPr>
            <w:tcW w:w="1456" w:type="dxa"/>
            <w:tcBorders>
              <w:top w:val="single" w:sz="4" w:space="0" w:color="auto"/>
              <w:left w:val="nil"/>
              <w:bottom w:val="single" w:sz="4" w:space="0" w:color="auto"/>
              <w:right w:val="nil"/>
            </w:tcBorders>
            <w:shd w:val="clear" w:color="auto" w:fill="A8CBEE" w:themeFill="accent2" w:themeFillTint="66"/>
            <w:noWrap/>
            <w:vAlign w:val="center"/>
            <w:hideMark/>
          </w:tcPr>
          <w:p w:rsidR="004B0D73" w:rsidRPr="003E6B3A" w:rsidRDefault="004B0D73" w:rsidP="008D4279">
            <w:pPr>
              <w:pStyle w:val="cuadroCabe"/>
              <w:jc w:val="right"/>
              <w:rPr>
                <w:lang w:val="es-ES" w:eastAsia="es-ES"/>
              </w:rPr>
            </w:pPr>
            <w:r w:rsidRPr="003E6B3A">
              <w:rPr>
                <w:lang w:val="es-ES" w:eastAsia="es-ES"/>
              </w:rPr>
              <w:t>31/12/2014</w:t>
            </w:r>
          </w:p>
        </w:tc>
      </w:tr>
      <w:tr w:rsidR="004B0D73" w:rsidRPr="008D4279" w:rsidTr="008D4279">
        <w:trPr>
          <w:trHeight w:val="284"/>
          <w:jc w:val="center"/>
        </w:trPr>
        <w:tc>
          <w:tcPr>
            <w:tcW w:w="5904" w:type="dxa"/>
            <w:tcBorders>
              <w:top w:val="single" w:sz="4"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Fondos propios</w:t>
            </w:r>
          </w:p>
        </w:tc>
        <w:tc>
          <w:tcPr>
            <w:tcW w:w="1390" w:type="dxa"/>
            <w:tcBorders>
              <w:top w:val="single" w:sz="4"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832</w:t>
            </w:r>
          </w:p>
        </w:tc>
        <w:tc>
          <w:tcPr>
            <w:tcW w:w="1456" w:type="dxa"/>
            <w:tcBorders>
              <w:top w:val="single" w:sz="4"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851</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Deudas a largo plazo (fianzas recibidas)</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Pasivo corriente</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1.972</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1.828</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Inversiones financieras a corto plazo (otros activos financieros)</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1.300</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1.300</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Tesorería</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848</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541</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Ingresos de la actividad propia</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6.792</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6.774</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Ingresos aplicación encomienda Universidad</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406</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395</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Gastos de personal</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2.106</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2.136</w:t>
            </w:r>
          </w:p>
        </w:tc>
      </w:tr>
      <w:tr w:rsidR="004B0D73" w:rsidRPr="008D4279" w:rsidTr="008D4279">
        <w:trPr>
          <w:trHeight w:val="284"/>
          <w:jc w:val="center"/>
        </w:trPr>
        <w:tc>
          <w:tcPr>
            <w:tcW w:w="5904" w:type="dxa"/>
            <w:tcBorders>
              <w:top w:val="single" w:sz="2" w:space="0" w:color="auto"/>
              <w:left w:val="nil"/>
              <w:bottom w:val="single" w:sz="2"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Resultado del ejercicio</w:t>
            </w:r>
          </w:p>
        </w:tc>
        <w:tc>
          <w:tcPr>
            <w:tcW w:w="1390"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-133</w:t>
            </w:r>
          </w:p>
        </w:tc>
        <w:tc>
          <w:tcPr>
            <w:tcW w:w="1456" w:type="dxa"/>
            <w:tcBorders>
              <w:top w:val="single" w:sz="2" w:space="0" w:color="auto"/>
              <w:left w:val="nil"/>
              <w:bottom w:val="single" w:sz="2"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19</w:t>
            </w:r>
          </w:p>
        </w:tc>
      </w:tr>
      <w:tr w:rsidR="004B0D73" w:rsidRPr="008D4279" w:rsidTr="008D4279">
        <w:trPr>
          <w:trHeight w:val="284"/>
          <w:jc w:val="center"/>
        </w:trPr>
        <w:tc>
          <w:tcPr>
            <w:tcW w:w="5904" w:type="dxa"/>
            <w:tcBorders>
              <w:top w:val="single" w:sz="2" w:space="0" w:color="auto"/>
              <w:left w:val="nil"/>
              <w:bottom w:val="single" w:sz="4" w:space="0" w:color="auto"/>
              <w:right w:val="nil"/>
            </w:tcBorders>
            <w:shd w:val="clear" w:color="auto" w:fill="auto"/>
            <w:noWrap/>
            <w:vAlign w:val="center"/>
          </w:tcPr>
          <w:p w:rsidR="004B0D73" w:rsidRPr="008D4279" w:rsidRDefault="004B0D73" w:rsidP="006431B3">
            <w:pPr>
              <w:pStyle w:val="texto"/>
              <w:spacing w:after="0"/>
              <w:ind w:firstLine="0"/>
              <w:rPr>
                <w:rFonts w:ascii="Arial Narrow" w:hAnsi="Arial Narrow"/>
                <w:sz w:val="20"/>
                <w:szCs w:val="20"/>
              </w:rPr>
            </w:pPr>
            <w:r w:rsidRPr="008D4279">
              <w:rPr>
                <w:rFonts w:ascii="Arial Narrow" w:hAnsi="Arial Narrow"/>
                <w:sz w:val="20"/>
                <w:szCs w:val="20"/>
              </w:rPr>
              <w:t>Número medio de empleados</w:t>
            </w:r>
          </w:p>
        </w:tc>
        <w:tc>
          <w:tcPr>
            <w:tcW w:w="1390" w:type="dxa"/>
            <w:tcBorders>
              <w:top w:val="single" w:sz="2" w:space="0" w:color="auto"/>
              <w:left w:val="nil"/>
              <w:bottom w:val="single" w:sz="4"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45,42</w:t>
            </w:r>
          </w:p>
        </w:tc>
        <w:tc>
          <w:tcPr>
            <w:tcW w:w="1456" w:type="dxa"/>
            <w:tcBorders>
              <w:top w:val="single" w:sz="2" w:space="0" w:color="auto"/>
              <w:left w:val="nil"/>
              <w:bottom w:val="single" w:sz="4" w:space="0" w:color="auto"/>
              <w:right w:val="nil"/>
            </w:tcBorders>
            <w:shd w:val="clear" w:color="auto" w:fill="auto"/>
            <w:noWrap/>
            <w:vAlign w:val="center"/>
          </w:tcPr>
          <w:p w:rsidR="004B0D73" w:rsidRPr="008D4279" w:rsidRDefault="004B0D73" w:rsidP="008D4279">
            <w:pPr>
              <w:spacing w:after="0"/>
              <w:ind w:firstLine="0"/>
              <w:jc w:val="right"/>
              <w:rPr>
                <w:rFonts w:ascii="Arial Narrow" w:hAnsi="Arial Narrow"/>
                <w:lang w:val="es-ES" w:eastAsia="es-ES"/>
              </w:rPr>
            </w:pPr>
            <w:r w:rsidRPr="008D4279">
              <w:rPr>
                <w:rFonts w:ascii="Arial Narrow" w:hAnsi="Arial Narrow"/>
                <w:lang w:val="es-ES" w:eastAsia="es-ES"/>
              </w:rPr>
              <w:t>45,42</w:t>
            </w:r>
          </w:p>
        </w:tc>
      </w:tr>
    </w:tbl>
    <w:p w:rsidR="004B0D73" w:rsidRDefault="004B0D73" w:rsidP="008D4279">
      <w:pPr>
        <w:pStyle w:val="texto"/>
        <w:spacing w:after="0"/>
      </w:pPr>
    </w:p>
    <w:p w:rsidR="004B0D73" w:rsidRDefault="004B0D73" w:rsidP="00335087">
      <w:pPr>
        <w:pStyle w:val="texto"/>
        <w:spacing w:after="0"/>
      </w:pPr>
      <w:r>
        <w:t>Los recursos empleados (gastos más inversiones)</w:t>
      </w:r>
      <w:r w:rsidRPr="00E21B7B">
        <w:t xml:space="preserve"> </w:t>
      </w:r>
      <w:r>
        <w:t>en 2014  por la Fundación en sus distintas áreas se detallan en el cuadro siguiente (en miles de euros):</w:t>
      </w:r>
    </w:p>
    <w:tbl>
      <w:tblPr>
        <w:tblpPr w:leftFromText="141" w:rightFromText="141" w:vertAnchor="text" w:horzAnchor="margin" w:tblpXSpec="center" w:tblpY="362"/>
        <w:tblW w:w="8732" w:type="dxa"/>
        <w:tblCellMar>
          <w:left w:w="70" w:type="dxa"/>
          <w:right w:w="70" w:type="dxa"/>
        </w:tblCellMar>
        <w:tblLook w:val="0000" w:firstRow="0" w:lastRow="0" w:firstColumn="0" w:lastColumn="0" w:noHBand="0" w:noVBand="0"/>
      </w:tblPr>
      <w:tblGrid>
        <w:gridCol w:w="7160"/>
        <w:gridCol w:w="1572"/>
      </w:tblGrid>
      <w:tr w:rsidR="004B0D73" w:rsidRPr="00000AAA" w:rsidTr="00727BF7">
        <w:trPr>
          <w:trHeight w:val="284"/>
        </w:trPr>
        <w:tc>
          <w:tcPr>
            <w:tcW w:w="7160" w:type="dxa"/>
            <w:tcBorders>
              <w:top w:val="single" w:sz="4" w:space="0" w:color="auto"/>
              <w:bottom w:val="single" w:sz="4" w:space="0" w:color="auto"/>
            </w:tcBorders>
            <w:shd w:val="clear" w:color="auto" w:fill="A8CBEE" w:themeFill="accent2" w:themeFillTint="66"/>
            <w:noWrap/>
            <w:vAlign w:val="center"/>
          </w:tcPr>
          <w:p w:rsidR="004B0D73" w:rsidRPr="00194E66" w:rsidRDefault="00A62AC3" w:rsidP="00000AAA">
            <w:pPr>
              <w:pStyle w:val="cuadroCabe"/>
              <w:rPr>
                <w:rFonts w:cs="Arial"/>
                <w:szCs w:val="18"/>
                <w:lang w:val="es-ES" w:eastAsia="es-ES"/>
              </w:rPr>
            </w:pPr>
            <w:r w:rsidRPr="00194E66">
              <w:rPr>
                <w:rFonts w:cs="Arial"/>
                <w:szCs w:val="18"/>
              </w:rPr>
              <w:t>Áreas</w:t>
            </w:r>
          </w:p>
        </w:tc>
        <w:tc>
          <w:tcPr>
            <w:tcW w:w="1572" w:type="dxa"/>
            <w:tcBorders>
              <w:top w:val="single" w:sz="4" w:space="0" w:color="auto"/>
              <w:bottom w:val="single" w:sz="4" w:space="0" w:color="auto"/>
            </w:tcBorders>
            <w:shd w:val="clear" w:color="auto" w:fill="A8CBEE" w:themeFill="accent2" w:themeFillTint="66"/>
            <w:noWrap/>
            <w:vAlign w:val="center"/>
          </w:tcPr>
          <w:p w:rsidR="004B0D73" w:rsidRPr="008B51AD" w:rsidRDefault="004B0D73" w:rsidP="00000AAA">
            <w:pPr>
              <w:pStyle w:val="cuadroCabe"/>
              <w:jc w:val="right"/>
              <w:rPr>
                <w:lang w:val="es-ES" w:eastAsia="es-ES"/>
              </w:rPr>
            </w:pPr>
            <w:r>
              <w:rPr>
                <w:lang w:val="es-ES" w:eastAsia="es-ES"/>
              </w:rPr>
              <w:t>Importe</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Empleo</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4.745</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Formación</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765</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Idiomas</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756</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Dirección y soporte técnico</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371</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Apoyo al centro de I+D</w:t>
            </w:r>
          </w:p>
        </w:tc>
        <w:tc>
          <w:tcPr>
            <w:tcW w:w="1572"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76</w:t>
            </w:r>
          </w:p>
        </w:tc>
      </w:tr>
      <w:tr w:rsidR="004B0D73" w:rsidRPr="00335087" w:rsidTr="00727BF7">
        <w:trPr>
          <w:trHeight w:val="284"/>
        </w:trPr>
        <w:tc>
          <w:tcPr>
            <w:tcW w:w="7160"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Otras</w:t>
            </w:r>
          </w:p>
        </w:tc>
        <w:tc>
          <w:tcPr>
            <w:tcW w:w="1572" w:type="dxa"/>
            <w:tcBorders>
              <w:top w:val="single" w:sz="2" w:space="0" w:color="auto"/>
              <w:bottom w:val="single" w:sz="2"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106</w:t>
            </w:r>
          </w:p>
        </w:tc>
      </w:tr>
      <w:tr w:rsidR="004B0D73" w:rsidRPr="00920307" w:rsidTr="000A4C01">
        <w:trPr>
          <w:trHeight w:val="284"/>
        </w:trPr>
        <w:tc>
          <w:tcPr>
            <w:tcW w:w="7160" w:type="dxa"/>
            <w:tcBorders>
              <w:top w:val="single" w:sz="2" w:space="0" w:color="auto"/>
              <w:bottom w:val="single" w:sz="2" w:space="0" w:color="auto"/>
            </w:tcBorders>
            <w:shd w:val="clear" w:color="auto" w:fill="A8CBEE" w:themeFill="accent2" w:themeFillTint="66"/>
            <w:noWrap/>
            <w:vAlign w:val="center"/>
          </w:tcPr>
          <w:p w:rsidR="004B0D73" w:rsidRPr="00E21B7B" w:rsidRDefault="004B0D73" w:rsidP="006431B3">
            <w:pPr>
              <w:pStyle w:val="cuadroCabe"/>
              <w:rPr>
                <w:lang w:val="es-ES" w:eastAsia="es-ES"/>
              </w:rPr>
            </w:pPr>
            <w:r w:rsidRPr="00E21B7B">
              <w:rPr>
                <w:lang w:val="es-ES" w:eastAsia="es-ES"/>
              </w:rPr>
              <w:t>Total recursos empleados 2014</w:t>
            </w:r>
          </w:p>
        </w:tc>
        <w:tc>
          <w:tcPr>
            <w:tcW w:w="1572" w:type="dxa"/>
            <w:tcBorders>
              <w:top w:val="single" w:sz="2" w:space="0" w:color="auto"/>
              <w:bottom w:val="single" w:sz="2" w:space="0" w:color="auto"/>
            </w:tcBorders>
            <w:shd w:val="clear" w:color="auto" w:fill="A8CBEE" w:themeFill="accent2" w:themeFillTint="66"/>
            <w:vAlign w:val="center"/>
          </w:tcPr>
          <w:p w:rsidR="004B0D73" w:rsidRPr="00E21B7B" w:rsidRDefault="004B0D73" w:rsidP="00000AAA">
            <w:pPr>
              <w:pStyle w:val="cuadroCabe"/>
              <w:jc w:val="right"/>
              <w:rPr>
                <w:lang w:val="es-ES" w:eastAsia="es-ES"/>
              </w:rPr>
            </w:pPr>
            <w:r w:rsidRPr="00E21B7B">
              <w:rPr>
                <w:lang w:val="es-ES" w:eastAsia="es-ES"/>
              </w:rPr>
              <w:t>6.819</w:t>
            </w:r>
          </w:p>
        </w:tc>
      </w:tr>
    </w:tbl>
    <w:p w:rsidR="004B0D73" w:rsidRPr="00000AAA" w:rsidRDefault="004B0D73" w:rsidP="00000AAA">
      <w:pPr>
        <w:pStyle w:val="cuadroCabe"/>
        <w:rPr>
          <w:lang w:val="es-ES" w:eastAsia="es-ES"/>
        </w:rPr>
      </w:pPr>
    </w:p>
    <w:p w:rsidR="004B0D73" w:rsidRDefault="004B0D73" w:rsidP="00727BF7">
      <w:pPr>
        <w:pStyle w:val="texto"/>
        <w:spacing w:before="240"/>
      </w:pPr>
      <w:r>
        <w:t>Mediante resolución del Rector de la Universidad, se encomienda a la fund</w:t>
      </w:r>
      <w:r>
        <w:t>a</w:t>
      </w:r>
      <w:r>
        <w:t xml:space="preserve">ción, para 2014, el desarrollo de las siguientes actividades: </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5621C9">
        <w:rPr>
          <w:szCs w:val="26"/>
        </w:rPr>
        <w:t xml:space="preserve">Área de empleo: Actividades de inserción laboral y actividades de apoyo. </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Área de formación: para titulados en prácticas y para acciones de encarg</w:t>
      </w:r>
      <w:r>
        <w:rPr>
          <w:szCs w:val="26"/>
        </w:rPr>
        <w:t>a</w:t>
      </w:r>
      <w:r>
        <w:rPr>
          <w:szCs w:val="26"/>
        </w:rPr>
        <w:t>das por la Universidad (enseñanzas propias).</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5621C9">
        <w:rPr>
          <w:szCs w:val="26"/>
        </w:rPr>
        <w:t>Área de idiomas</w:t>
      </w:r>
      <w:r>
        <w:rPr>
          <w:szCs w:val="26"/>
        </w:rPr>
        <w:t>: gestión del Centro Superior de Idiomas y organización de cursos generales y específicos de idiomas.</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Gestión del </w:t>
      </w:r>
      <w:r w:rsidRPr="005621C9">
        <w:rPr>
          <w:szCs w:val="26"/>
        </w:rPr>
        <w:t xml:space="preserve">Centro de </w:t>
      </w:r>
      <w:r>
        <w:rPr>
          <w:szCs w:val="26"/>
        </w:rPr>
        <w:t>I</w:t>
      </w:r>
      <w:r w:rsidRPr="005621C9">
        <w:rPr>
          <w:szCs w:val="26"/>
        </w:rPr>
        <w:t>+</w:t>
      </w:r>
      <w:r>
        <w:rPr>
          <w:szCs w:val="26"/>
        </w:rPr>
        <w:t>D</w:t>
      </w:r>
      <w:r w:rsidRPr="005621C9">
        <w:rPr>
          <w:szCs w:val="26"/>
        </w:rPr>
        <w:t xml:space="preserve"> en </w:t>
      </w:r>
      <w:r>
        <w:rPr>
          <w:szCs w:val="26"/>
        </w:rPr>
        <w:t>E</w:t>
      </w:r>
      <w:r w:rsidRPr="005621C9">
        <w:rPr>
          <w:szCs w:val="26"/>
        </w:rPr>
        <w:t xml:space="preserve">lectrónica y </w:t>
      </w:r>
      <w:r>
        <w:rPr>
          <w:szCs w:val="26"/>
        </w:rPr>
        <w:t>C</w:t>
      </w:r>
      <w:r w:rsidRPr="005621C9">
        <w:rPr>
          <w:szCs w:val="26"/>
        </w:rPr>
        <w:t>omunicaciones</w:t>
      </w:r>
      <w:r w:rsidR="00D53E9B">
        <w:rPr>
          <w:szCs w:val="26"/>
        </w:rPr>
        <w:t>.</w:t>
      </w:r>
    </w:p>
    <w:p w:rsidR="004B0D73"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5621C9">
        <w:rPr>
          <w:szCs w:val="26"/>
        </w:rPr>
        <w:t xml:space="preserve">Programa </w:t>
      </w:r>
      <w:r>
        <w:rPr>
          <w:szCs w:val="26"/>
        </w:rPr>
        <w:t>A</w:t>
      </w:r>
      <w:r w:rsidRPr="005621C9">
        <w:rPr>
          <w:szCs w:val="26"/>
        </w:rPr>
        <w:t xml:space="preserve">lumni de </w:t>
      </w:r>
      <w:r>
        <w:rPr>
          <w:szCs w:val="26"/>
        </w:rPr>
        <w:t>A</w:t>
      </w:r>
      <w:r w:rsidRPr="005621C9">
        <w:rPr>
          <w:szCs w:val="26"/>
        </w:rPr>
        <w:t xml:space="preserve">migos y </w:t>
      </w:r>
      <w:r>
        <w:rPr>
          <w:szCs w:val="26"/>
        </w:rPr>
        <w:t>A</w:t>
      </w:r>
      <w:r w:rsidRPr="005621C9">
        <w:rPr>
          <w:szCs w:val="26"/>
        </w:rPr>
        <w:t>ntig</w:t>
      </w:r>
      <w:r>
        <w:rPr>
          <w:szCs w:val="26"/>
        </w:rPr>
        <w:t>uos</w:t>
      </w:r>
      <w:r w:rsidRPr="005621C9">
        <w:rPr>
          <w:szCs w:val="26"/>
        </w:rPr>
        <w:t xml:space="preserve"> </w:t>
      </w:r>
      <w:r>
        <w:rPr>
          <w:szCs w:val="26"/>
        </w:rPr>
        <w:t>A</w:t>
      </w:r>
      <w:r w:rsidRPr="005621C9">
        <w:rPr>
          <w:szCs w:val="26"/>
        </w:rPr>
        <w:t>lumnos</w:t>
      </w:r>
      <w:r>
        <w:rPr>
          <w:szCs w:val="26"/>
        </w:rPr>
        <w:t xml:space="preserve"> de la Universidad.</w:t>
      </w:r>
    </w:p>
    <w:p w:rsidR="004B0D73" w:rsidRPr="005621C9" w:rsidRDefault="004B0D73" w:rsidP="004B0D7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5621C9">
        <w:t xml:space="preserve">Promoción internacional. Promoción de las relaciones de la </w:t>
      </w:r>
      <w:r w:rsidR="00D47A3B" w:rsidRPr="002C7BC0">
        <w:rPr>
          <w:szCs w:val="26"/>
        </w:rPr>
        <w:t>U</w:t>
      </w:r>
      <w:r w:rsidR="00D47A3B">
        <w:rPr>
          <w:szCs w:val="26"/>
        </w:rPr>
        <w:t>niversidad</w:t>
      </w:r>
      <w:r w:rsidR="00D47A3B" w:rsidRPr="005621C9">
        <w:t xml:space="preserve"> </w:t>
      </w:r>
      <w:r w:rsidRPr="005621C9">
        <w:t xml:space="preserve"> en China para fomentar las titulaciones de la universidad y facilitar la movil</w:t>
      </w:r>
      <w:r w:rsidRPr="005621C9">
        <w:t>i</w:t>
      </w:r>
      <w:r w:rsidRPr="005621C9">
        <w:t>dad tanto de estudiantes como de profesorado.</w:t>
      </w:r>
    </w:p>
    <w:p w:rsidR="004B0D73" w:rsidRDefault="004B0D73" w:rsidP="004B0D73">
      <w:pPr>
        <w:pStyle w:val="texto"/>
        <w:rPr>
          <w:lang w:val="es-ES"/>
        </w:rPr>
      </w:pPr>
      <w:r>
        <w:rPr>
          <w:lang w:val="es-ES"/>
        </w:rPr>
        <w:t>El presupuesto de esta encomienda ascendía a un importe máximo de 457.008 euros. En el anexo de dicha resolución se regula el procedimiento, r</w:t>
      </w:r>
      <w:r>
        <w:rPr>
          <w:lang w:val="es-ES"/>
        </w:rPr>
        <w:t>e</w:t>
      </w:r>
      <w:r>
        <w:rPr>
          <w:lang w:val="es-ES"/>
        </w:rPr>
        <w:t>quisitos, gestión económica y liquidación de los gastos incurridos en 2014. Así mismo se indica que la fundación asume la recaudación de los ingresos deriv</w:t>
      </w:r>
      <w:r>
        <w:rPr>
          <w:lang w:val="es-ES"/>
        </w:rPr>
        <w:t>a</w:t>
      </w:r>
      <w:r>
        <w:rPr>
          <w:lang w:val="es-ES"/>
        </w:rPr>
        <w:lastRenderedPageBreak/>
        <w:t>dos de las actividades encomendadas (fundamentalmente de títulos propios, idiomas y alumni), cuyo importe se ingresará posteriormente en las cuentas de la propia Universidad.</w:t>
      </w:r>
    </w:p>
    <w:p w:rsidR="004B0D73" w:rsidRDefault="004B0D73" w:rsidP="004B0D73">
      <w:pPr>
        <w:pStyle w:val="texto"/>
        <w:rPr>
          <w:lang w:val="es-ES"/>
        </w:rPr>
      </w:pPr>
      <w:r>
        <w:rPr>
          <w:lang w:val="es-ES"/>
        </w:rPr>
        <w:t>Resultado de la aplicación de no disponibilidad de créditos para gastos, se reduce el importe anterior en 58.447 euros.</w:t>
      </w:r>
    </w:p>
    <w:p w:rsidR="004B0D73" w:rsidRPr="005621C9" w:rsidRDefault="004B0D73" w:rsidP="00335087">
      <w:pPr>
        <w:pStyle w:val="texto"/>
        <w:spacing w:after="240"/>
        <w:rPr>
          <w:lang w:val="es-ES"/>
        </w:rPr>
      </w:pPr>
      <w:r>
        <w:rPr>
          <w:lang w:val="es-ES"/>
        </w:rPr>
        <w:t>El gasto liquidado ante la Universidad en 2014 ha sido de 392.289 euros, s</w:t>
      </w:r>
      <w:r>
        <w:rPr>
          <w:lang w:val="es-ES"/>
        </w:rPr>
        <w:t>e</w:t>
      </w:r>
      <w:r>
        <w:rPr>
          <w:lang w:val="es-ES"/>
        </w:rPr>
        <w:t>gún el siguiente detalle:</w:t>
      </w:r>
    </w:p>
    <w:tbl>
      <w:tblPr>
        <w:tblW w:w="8802" w:type="dxa"/>
        <w:jc w:val="center"/>
        <w:tblInd w:w="14" w:type="dxa"/>
        <w:tblCellMar>
          <w:left w:w="70" w:type="dxa"/>
          <w:right w:w="70" w:type="dxa"/>
        </w:tblCellMar>
        <w:tblLook w:val="04A0" w:firstRow="1" w:lastRow="0" w:firstColumn="1" w:lastColumn="0" w:noHBand="0" w:noVBand="1"/>
      </w:tblPr>
      <w:tblGrid>
        <w:gridCol w:w="3605"/>
        <w:gridCol w:w="1535"/>
        <w:gridCol w:w="1554"/>
        <w:gridCol w:w="1494"/>
        <w:gridCol w:w="614"/>
      </w:tblGrid>
      <w:tr w:rsidR="00000AAA" w:rsidRPr="00335087" w:rsidTr="000A4C01">
        <w:trPr>
          <w:trHeight w:val="300"/>
          <w:jc w:val="center"/>
        </w:trPr>
        <w:tc>
          <w:tcPr>
            <w:tcW w:w="3605" w:type="dxa"/>
            <w:tcBorders>
              <w:top w:val="single" w:sz="4" w:space="0" w:color="auto"/>
              <w:bottom w:val="single" w:sz="2" w:space="0" w:color="auto"/>
            </w:tcBorders>
            <w:shd w:val="clear" w:color="auto" w:fill="A8CBEE" w:themeFill="accent2" w:themeFillTint="66"/>
            <w:noWrap/>
            <w:vAlign w:val="center"/>
          </w:tcPr>
          <w:p w:rsidR="00000AAA" w:rsidRPr="00000AAA" w:rsidRDefault="00000AAA" w:rsidP="006431B3">
            <w:pPr>
              <w:pStyle w:val="texto"/>
              <w:spacing w:after="0"/>
              <w:ind w:firstLine="0"/>
              <w:rPr>
                <w:rFonts w:ascii="Arial Narrow" w:hAnsi="Arial Narrow"/>
                <w:sz w:val="24"/>
              </w:rPr>
            </w:pPr>
            <w:r w:rsidRPr="00000AAA">
              <w:rPr>
                <w:rFonts w:ascii="Arial Narrow" w:hAnsi="Arial Narrow"/>
                <w:sz w:val="24"/>
              </w:rPr>
              <w:t>Área</w:t>
            </w:r>
          </w:p>
        </w:tc>
        <w:tc>
          <w:tcPr>
            <w:tcW w:w="1535" w:type="dxa"/>
            <w:tcBorders>
              <w:top w:val="single" w:sz="4" w:space="0" w:color="auto"/>
              <w:bottom w:val="single" w:sz="2" w:space="0" w:color="auto"/>
            </w:tcBorders>
            <w:shd w:val="clear" w:color="auto" w:fill="A8CBEE" w:themeFill="accent2" w:themeFillTint="66"/>
            <w:vAlign w:val="center"/>
          </w:tcPr>
          <w:p w:rsidR="00000AAA" w:rsidRPr="00000AAA" w:rsidRDefault="00000AAA" w:rsidP="00000AAA">
            <w:pPr>
              <w:pStyle w:val="texto"/>
              <w:spacing w:after="0"/>
              <w:ind w:firstLine="0"/>
              <w:jc w:val="right"/>
              <w:rPr>
                <w:rFonts w:ascii="Arial" w:hAnsi="Arial" w:cs="Arial"/>
                <w:sz w:val="18"/>
                <w:szCs w:val="18"/>
              </w:rPr>
            </w:pPr>
            <w:r w:rsidRPr="00000AAA">
              <w:rPr>
                <w:rFonts w:ascii="Arial" w:hAnsi="Arial" w:cs="Arial"/>
                <w:sz w:val="18"/>
                <w:szCs w:val="18"/>
              </w:rPr>
              <w:t>Presupuesto</w:t>
            </w:r>
          </w:p>
          <w:p w:rsidR="00000AAA" w:rsidRPr="00000AAA" w:rsidRDefault="00000AAA" w:rsidP="00000AAA">
            <w:pPr>
              <w:pStyle w:val="texto"/>
              <w:spacing w:after="0"/>
              <w:ind w:firstLine="0"/>
              <w:jc w:val="right"/>
              <w:rPr>
                <w:rFonts w:ascii="Arial" w:hAnsi="Arial" w:cs="Arial"/>
                <w:sz w:val="18"/>
                <w:szCs w:val="18"/>
              </w:rPr>
            </w:pPr>
            <w:r w:rsidRPr="00000AAA">
              <w:rPr>
                <w:rFonts w:ascii="Arial" w:hAnsi="Arial" w:cs="Arial"/>
                <w:sz w:val="18"/>
                <w:szCs w:val="18"/>
              </w:rPr>
              <w:t>Inicial</w:t>
            </w:r>
          </w:p>
        </w:tc>
        <w:tc>
          <w:tcPr>
            <w:tcW w:w="1554" w:type="dxa"/>
            <w:tcBorders>
              <w:top w:val="single" w:sz="4" w:space="0" w:color="auto"/>
              <w:bottom w:val="single" w:sz="2" w:space="0" w:color="auto"/>
            </w:tcBorders>
            <w:shd w:val="clear" w:color="auto" w:fill="A8CBEE" w:themeFill="accent2" w:themeFillTint="66"/>
            <w:vAlign w:val="center"/>
          </w:tcPr>
          <w:p w:rsidR="00000AAA" w:rsidRPr="00000AAA" w:rsidRDefault="00000AAA" w:rsidP="00000AAA">
            <w:pPr>
              <w:pStyle w:val="texto"/>
              <w:spacing w:after="0"/>
              <w:ind w:firstLine="0"/>
              <w:jc w:val="right"/>
              <w:rPr>
                <w:rFonts w:ascii="Arial" w:hAnsi="Arial" w:cs="Arial"/>
                <w:sz w:val="18"/>
                <w:szCs w:val="18"/>
              </w:rPr>
            </w:pPr>
            <w:r w:rsidRPr="00000AAA">
              <w:rPr>
                <w:rFonts w:ascii="Arial" w:hAnsi="Arial" w:cs="Arial"/>
                <w:sz w:val="18"/>
                <w:szCs w:val="18"/>
              </w:rPr>
              <w:t>Presupuesto</w:t>
            </w:r>
          </w:p>
          <w:p w:rsidR="00000AAA" w:rsidRPr="00000AAA" w:rsidRDefault="00000AAA" w:rsidP="00000AAA">
            <w:pPr>
              <w:pStyle w:val="texto"/>
              <w:spacing w:after="0"/>
              <w:ind w:firstLine="0"/>
              <w:jc w:val="right"/>
              <w:rPr>
                <w:rFonts w:ascii="Arial" w:hAnsi="Arial" w:cs="Arial"/>
                <w:sz w:val="18"/>
                <w:szCs w:val="18"/>
              </w:rPr>
            </w:pPr>
            <w:r w:rsidRPr="00000AAA">
              <w:rPr>
                <w:rFonts w:ascii="Arial" w:hAnsi="Arial" w:cs="Arial"/>
                <w:sz w:val="18"/>
                <w:szCs w:val="18"/>
              </w:rPr>
              <w:t>Ajustado</w:t>
            </w:r>
          </w:p>
        </w:tc>
        <w:tc>
          <w:tcPr>
            <w:tcW w:w="1494" w:type="dxa"/>
            <w:tcBorders>
              <w:top w:val="single" w:sz="4" w:space="0" w:color="auto"/>
              <w:bottom w:val="single" w:sz="2" w:space="0" w:color="auto"/>
            </w:tcBorders>
            <w:shd w:val="clear" w:color="auto" w:fill="A8CBEE" w:themeFill="accent2" w:themeFillTint="66"/>
            <w:vAlign w:val="center"/>
          </w:tcPr>
          <w:p w:rsidR="00000AAA" w:rsidRPr="00000AAA" w:rsidRDefault="00000AAA" w:rsidP="00000AAA">
            <w:pPr>
              <w:pStyle w:val="texto"/>
              <w:spacing w:after="0"/>
              <w:ind w:firstLine="0"/>
              <w:jc w:val="right"/>
              <w:rPr>
                <w:rFonts w:ascii="Arial" w:hAnsi="Arial" w:cs="Arial"/>
                <w:sz w:val="18"/>
                <w:szCs w:val="18"/>
              </w:rPr>
            </w:pPr>
            <w:r w:rsidRPr="00000AAA">
              <w:rPr>
                <w:rFonts w:ascii="Arial" w:hAnsi="Arial" w:cs="Arial"/>
                <w:sz w:val="18"/>
                <w:szCs w:val="18"/>
              </w:rPr>
              <w:t>Gasto liquidado</w:t>
            </w:r>
          </w:p>
        </w:tc>
        <w:tc>
          <w:tcPr>
            <w:tcW w:w="614" w:type="dxa"/>
            <w:tcBorders>
              <w:top w:val="single" w:sz="4" w:space="0" w:color="auto"/>
              <w:bottom w:val="single" w:sz="2" w:space="0" w:color="auto"/>
            </w:tcBorders>
            <w:shd w:val="clear" w:color="auto" w:fill="A8CBEE" w:themeFill="accent2" w:themeFillTint="66"/>
            <w:noWrap/>
            <w:vAlign w:val="center"/>
          </w:tcPr>
          <w:p w:rsidR="00000AAA" w:rsidRPr="00000AAA" w:rsidRDefault="00000AAA" w:rsidP="00000AAA">
            <w:pPr>
              <w:pStyle w:val="texto"/>
              <w:spacing w:after="0"/>
              <w:ind w:firstLine="0"/>
              <w:jc w:val="right"/>
              <w:rPr>
                <w:rFonts w:ascii="Arial" w:hAnsi="Arial" w:cs="Arial"/>
                <w:sz w:val="18"/>
                <w:szCs w:val="18"/>
              </w:rPr>
            </w:pPr>
            <w:r w:rsidRPr="00000AAA">
              <w:rPr>
                <w:rFonts w:ascii="Arial" w:hAnsi="Arial" w:cs="Arial"/>
                <w:sz w:val="18"/>
                <w:szCs w:val="18"/>
              </w:rPr>
              <w:t>%</w:t>
            </w:r>
          </w:p>
        </w:tc>
      </w:tr>
      <w:tr w:rsidR="004B0D73" w:rsidRPr="00335087" w:rsidTr="00335087">
        <w:trPr>
          <w:trHeight w:val="300"/>
          <w:jc w:val="center"/>
        </w:trPr>
        <w:tc>
          <w:tcPr>
            <w:tcW w:w="3605" w:type="dxa"/>
            <w:tcBorders>
              <w:top w:val="single" w:sz="4" w:space="0" w:color="auto"/>
              <w:bottom w:val="single" w:sz="2" w:space="0" w:color="auto"/>
            </w:tcBorders>
            <w:shd w:val="clear" w:color="auto" w:fill="auto"/>
            <w:noWrap/>
            <w:vAlign w:val="center"/>
            <w:hideMark/>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Idiomas</w:t>
            </w:r>
          </w:p>
        </w:tc>
        <w:tc>
          <w:tcPr>
            <w:tcW w:w="1535" w:type="dxa"/>
            <w:tcBorders>
              <w:top w:val="single" w:sz="4"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249.711</w:t>
            </w:r>
          </w:p>
        </w:tc>
        <w:tc>
          <w:tcPr>
            <w:tcW w:w="1554" w:type="dxa"/>
            <w:tcBorders>
              <w:top w:val="single" w:sz="4" w:space="0" w:color="auto"/>
              <w:bottom w:val="single" w:sz="2"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220.670</w:t>
            </w:r>
          </w:p>
        </w:tc>
        <w:tc>
          <w:tcPr>
            <w:tcW w:w="1494" w:type="dxa"/>
            <w:tcBorders>
              <w:top w:val="single" w:sz="4"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220.670</w:t>
            </w:r>
          </w:p>
        </w:tc>
        <w:tc>
          <w:tcPr>
            <w:tcW w:w="614" w:type="dxa"/>
            <w:tcBorders>
              <w:top w:val="single" w:sz="4" w:space="0" w:color="auto"/>
              <w:bottom w:val="single" w:sz="2" w:space="0" w:color="auto"/>
            </w:tcBorders>
            <w:shd w:val="clear" w:color="auto" w:fill="auto"/>
            <w:noWrap/>
            <w:vAlign w:val="center"/>
            <w:hideMark/>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88</w:t>
            </w:r>
          </w:p>
        </w:tc>
      </w:tr>
      <w:tr w:rsidR="004B0D73" w:rsidRPr="00335087" w:rsidTr="00335087">
        <w:trPr>
          <w:trHeight w:val="300"/>
          <w:jc w:val="center"/>
        </w:trPr>
        <w:tc>
          <w:tcPr>
            <w:tcW w:w="3605"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Centro I+D</w:t>
            </w:r>
          </w:p>
        </w:tc>
        <w:tc>
          <w:tcPr>
            <w:tcW w:w="1535" w:type="dxa"/>
            <w:tcBorders>
              <w:top w:val="single" w:sz="2" w:space="0" w:color="auto"/>
              <w:bottom w:val="single" w:sz="2"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100.770</w:t>
            </w:r>
          </w:p>
        </w:tc>
        <w:tc>
          <w:tcPr>
            <w:tcW w:w="1554" w:type="dxa"/>
            <w:tcBorders>
              <w:top w:val="single" w:sz="2" w:space="0" w:color="auto"/>
              <w:bottom w:val="single" w:sz="2"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89.915</w:t>
            </w:r>
          </w:p>
        </w:tc>
        <w:tc>
          <w:tcPr>
            <w:tcW w:w="1494" w:type="dxa"/>
            <w:tcBorders>
              <w:top w:val="single" w:sz="2" w:space="0" w:color="auto"/>
              <w:bottom w:val="single" w:sz="2"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89.915</w:t>
            </w:r>
          </w:p>
        </w:tc>
        <w:tc>
          <w:tcPr>
            <w:tcW w:w="614" w:type="dxa"/>
            <w:tcBorders>
              <w:top w:val="single" w:sz="2" w:space="0" w:color="auto"/>
              <w:bottom w:val="single" w:sz="2"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89</w:t>
            </w:r>
          </w:p>
        </w:tc>
      </w:tr>
      <w:tr w:rsidR="004B0D73" w:rsidRPr="00335087" w:rsidTr="00335087">
        <w:trPr>
          <w:trHeight w:val="300"/>
          <w:jc w:val="center"/>
        </w:trPr>
        <w:tc>
          <w:tcPr>
            <w:tcW w:w="3605" w:type="dxa"/>
            <w:tcBorders>
              <w:top w:val="single" w:sz="2" w:space="0" w:color="auto"/>
              <w:bottom w:val="single" w:sz="2" w:space="0" w:color="auto"/>
            </w:tcBorders>
            <w:shd w:val="clear" w:color="auto" w:fill="auto"/>
            <w:noWrap/>
            <w:vAlign w:val="center"/>
            <w:hideMark/>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Programa Alumni</w:t>
            </w:r>
          </w:p>
        </w:tc>
        <w:tc>
          <w:tcPr>
            <w:tcW w:w="1535" w:type="dxa"/>
            <w:tcBorders>
              <w:top w:val="single" w:sz="2"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82.127</w:t>
            </w:r>
          </w:p>
        </w:tc>
        <w:tc>
          <w:tcPr>
            <w:tcW w:w="1554" w:type="dxa"/>
            <w:tcBorders>
              <w:top w:val="single" w:sz="2" w:space="0" w:color="auto"/>
              <w:bottom w:val="single" w:sz="2"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63.546</w:t>
            </w:r>
          </w:p>
        </w:tc>
        <w:tc>
          <w:tcPr>
            <w:tcW w:w="1494" w:type="dxa"/>
            <w:tcBorders>
              <w:top w:val="single" w:sz="2" w:space="0" w:color="auto"/>
              <w:bottom w:val="single" w:sz="2" w:space="0" w:color="auto"/>
            </w:tcBorders>
            <w:shd w:val="clear" w:color="auto" w:fill="auto"/>
            <w:vAlign w:val="center"/>
            <w:hideMark/>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63.546</w:t>
            </w:r>
          </w:p>
        </w:tc>
        <w:tc>
          <w:tcPr>
            <w:tcW w:w="614" w:type="dxa"/>
            <w:tcBorders>
              <w:top w:val="single" w:sz="2" w:space="0" w:color="auto"/>
              <w:bottom w:val="single" w:sz="2" w:space="0" w:color="auto"/>
            </w:tcBorders>
            <w:shd w:val="clear" w:color="auto" w:fill="auto"/>
            <w:noWrap/>
            <w:vAlign w:val="center"/>
            <w:hideMark/>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77</w:t>
            </w:r>
          </w:p>
        </w:tc>
      </w:tr>
      <w:tr w:rsidR="004B0D73" w:rsidRPr="00335087" w:rsidTr="00335087">
        <w:trPr>
          <w:trHeight w:val="300"/>
          <w:jc w:val="center"/>
        </w:trPr>
        <w:tc>
          <w:tcPr>
            <w:tcW w:w="3605" w:type="dxa"/>
            <w:tcBorders>
              <w:top w:val="single" w:sz="2" w:space="0" w:color="auto"/>
              <w:bottom w:val="single" w:sz="4"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Promoción internacional</w:t>
            </w:r>
          </w:p>
        </w:tc>
        <w:tc>
          <w:tcPr>
            <w:tcW w:w="1535" w:type="dxa"/>
            <w:tcBorders>
              <w:top w:val="single" w:sz="2" w:space="0" w:color="auto"/>
              <w:bottom w:val="single" w:sz="4"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24.400</w:t>
            </w:r>
          </w:p>
        </w:tc>
        <w:tc>
          <w:tcPr>
            <w:tcW w:w="1554" w:type="dxa"/>
            <w:tcBorders>
              <w:top w:val="single" w:sz="2" w:space="0" w:color="auto"/>
              <w:bottom w:val="single" w:sz="4" w:space="0" w:color="auto"/>
            </w:tcBorders>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24.400</w:t>
            </w:r>
          </w:p>
        </w:tc>
        <w:tc>
          <w:tcPr>
            <w:tcW w:w="1494" w:type="dxa"/>
            <w:tcBorders>
              <w:top w:val="single" w:sz="2" w:space="0" w:color="auto"/>
              <w:bottom w:val="single" w:sz="4" w:space="0" w:color="auto"/>
            </w:tcBorders>
            <w:shd w:val="clear" w:color="auto" w:fill="auto"/>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18.158</w:t>
            </w:r>
          </w:p>
        </w:tc>
        <w:tc>
          <w:tcPr>
            <w:tcW w:w="614" w:type="dxa"/>
            <w:tcBorders>
              <w:top w:val="single" w:sz="2" w:space="0" w:color="auto"/>
              <w:bottom w:val="single" w:sz="4" w:space="0" w:color="auto"/>
            </w:tcBorders>
            <w:shd w:val="clear" w:color="auto" w:fill="auto"/>
            <w:noWrap/>
            <w:vAlign w:val="center"/>
          </w:tcPr>
          <w:p w:rsidR="004B0D73" w:rsidRPr="00335087" w:rsidRDefault="004B0D73" w:rsidP="00000AAA">
            <w:pPr>
              <w:pStyle w:val="texto"/>
              <w:spacing w:after="0"/>
              <w:ind w:firstLine="0"/>
              <w:jc w:val="right"/>
              <w:rPr>
                <w:rFonts w:ascii="Arial Narrow" w:hAnsi="Arial Narrow"/>
                <w:sz w:val="20"/>
                <w:szCs w:val="20"/>
              </w:rPr>
            </w:pPr>
            <w:r w:rsidRPr="00335087">
              <w:rPr>
                <w:rFonts w:ascii="Arial Narrow" w:hAnsi="Arial Narrow"/>
                <w:sz w:val="20"/>
                <w:szCs w:val="20"/>
              </w:rPr>
              <w:t>74</w:t>
            </w:r>
          </w:p>
        </w:tc>
      </w:tr>
      <w:tr w:rsidR="004B0D73" w:rsidRPr="00C04F1B" w:rsidTr="000A4C01">
        <w:trPr>
          <w:trHeight w:val="300"/>
          <w:jc w:val="center"/>
        </w:trPr>
        <w:tc>
          <w:tcPr>
            <w:tcW w:w="3605"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6431B3">
            <w:pPr>
              <w:pStyle w:val="cuadroCabe"/>
              <w:rPr>
                <w:lang w:val="es-ES" w:eastAsia="es-ES"/>
              </w:rPr>
            </w:pPr>
            <w:r w:rsidRPr="00C04F1B">
              <w:rPr>
                <w:lang w:val="es-ES" w:eastAsia="es-ES"/>
              </w:rPr>
              <w:t> </w:t>
            </w:r>
            <w:r w:rsidRPr="00602852">
              <w:rPr>
                <w:lang w:val="es-ES" w:eastAsia="es-ES"/>
              </w:rPr>
              <w:t>Total</w:t>
            </w:r>
          </w:p>
        </w:tc>
        <w:tc>
          <w:tcPr>
            <w:tcW w:w="1535" w:type="dxa"/>
            <w:tcBorders>
              <w:top w:val="single" w:sz="4" w:space="0" w:color="auto"/>
              <w:bottom w:val="single" w:sz="4" w:space="0" w:color="auto"/>
            </w:tcBorders>
            <w:shd w:val="clear" w:color="auto" w:fill="A8CBEE" w:themeFill="accent2" w:themeFillTint="66"/>
            <w:vAlign w:val="center"/>
            <w:hideMark/>
          </w:tcPr>
          <w:p w:rsidR="004B0D73" w:rsidRPr="00C04F1B" w:rsidRDefault="004B0D73" w:rsidP="00000AAA">
            <w:pPr>
              <w:pStyle w:val="cuadroCabe"/>
              <w:jc w:val="right"/>
              <w:rPr>
                <w:lang w:val="es-ES" w:eastAsia="es-ES"/>
              </w:rPr>
            </w:pPr>
            <w:r w:rsidRPr="00C04F1B">
              <w:rPr>
                <w:lang w:val="es-ES" w:eastAsia="es-ES"/>
              </w:rPr>
              <w:t>457.008</w:t>
            </w:r>
          </w:p>
        </w:tc>
        <w:tc>
          <w:tcPr>
            <w:tcW w:w="1554" w:type="dxa"/>
            <w:tcBorders>
              <w:top w:val="single" w:sz="4" w:space="0" w:color="auto"/>
              <w:bottom w:val="single" w:sz="4" w:space="0" w:color="auto"/>
            </w:tcBorders>
            <w:shd w:val="clear" w:color="auto" w:fill="A8CBEE" w:themeFill="accent2" w:themeFillTint="66"/>
            <w:vAlign w:val="center"/>
          </w:tcPr>
          <w:p w:rsidR="004B0D73" w:rsidRPr="005915BF" w:rsidRDefault="004B0D73" w:rsidP="00000AAA">
            <w:pPr>
              <w:pStyle w:val="cuadroCabe"/>
              <w:jc w:val="right"/>
              <w:rPr>
                <w:lang w:val="es-ES" w:eastAsia="es-ES"/>
              </w:rPr>
            </w:pPr>
            <w:r>
              <w:rPr>
                <w:lang w:val="es-ES" w:eastAsia="es-ES"/>
              </w:rPr>
              <w:t>398.531</w:t>
            </w:r>
          </w:p>
        </w:tc>
        <w:tc>
          <w:tcPr>
            <w:tcW w:w="1494" w:type="dxa"/>
            <w:tcBorders>
              <w:top w:val="single" w:sz="4" w:space="0" w:color="auto"/>
              <w:bottom w:val="single" w:sz="4" w:space="0" w:color="auto"/>
            </w:tcBorders>
            <w:shd w:val="clear" w:color="auto" w:fill="A8CBEE" w:themeFill="accent2" w:themeFillTint="66"/>
            <w:vAlign w:val="center"/>
            <w:hideMark/>
          </w:tcPr>
          <w:p w:rsidR="004B0D73" w:rsidRPr="00C04F1B" w:rsidRDefault="004B0D73" w:rsidP="00000AAA">
            <w:pPr>
              <w:pStyle w:val="cuadroCabe"/>
              <w:jc w:val="right"/>
              <w:rPr>
                <w:lang w:val="es-ES" w:eastAsia="es-ES"/>
              </w:rPr>
            </w:pPr>
            <w:r w:rsidRPr="00C04F1B">
              <w:rPr>
                <w:lang w:val="es-ES" w:eastAsia="es-ES"/>
              </w:rPr>
              <w:t>392.289</w:t>
            </w:r>
          </w:p>
        </w:tc>
        <w:tc>
          <w:tcPr>
            <w:tcW w:w="614"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000AAA">
            <w:pPr>
              <w:pStyle w:val="cuadroCabe"/>
              <w:jc w:val="right"/>
              <w:rPr>
                <w:lang w:val="es-ES" w:eastAsia="es-ES"/>
              </w:rPr>
            </w:pPr>
            <w:r w:rsidRPr="00C04F1B">
              <w:rPr>
                <w:lang w:val="es-ES" w:eastAsia="es-ES"/>
              </w:rPr>
              <w:t>8</w:t>
            </w:r>
            <w:r>
              <w:rPr>
                <w:lang w:val="es-ES" w:eastAsia="es-ES"/>
              </w:rPr>
              <w:t>6</w:t>
            </w:r>
          </w:p>
        </w:tc>
      </w:tr>
    </w:tbl>
    <w:p w:rsidR="004B0D73" w:rsidRDefault="004B0D73" w:rsidP="008325B4">
      <w:pPr>
        <w:pStyle w:val="texto"/>
        <w:spacing w:after="0"/>
      </w:pPr>
    </w:p>
    <w:p w:rsidR="004B0D73" w:rsidRPr="00335087" w:rsidRDefault="004B0D73" w:rsidP="004B0D73">
      <w:pPr>
        <w:pStyle w:val="texto"/>
        <w:rPr>
          <w:rFonts w:ascii="Times New (W1)" w:hAnsi="Times New (W1)"/>
          <w:spacing w:val="4"/>
        </w:rPr>
      </w:pPr>
      <w:r>
        <w:t>Además del gasto anterior,</w:t>
      </w:r>
      <w:r w:rsidRPr="00335087">
        <w:rPr>
          <w:rFonts w:ascii="Times New (W1)" w:hAnsi="Times New (W1)"/>
          <w:spacing w:val="4"/>
        </w:rPr>
        <w:t xml:space="preserve"> la Universidad asumió, con cargo a las partidas de la encomienda, un gasto adicional de 3.000 euros para el pago de un software. </w:t>
      </w:r>
    </w:p>
    <w:p w:rsidR="004B0D73" w:rsidRPr="008325B4" w:rsidRDefault="004B0D73" w:rsidP="00727BF7">
      <w:pPr>
        <w:pStyle w:val="texto"/>
        <w:spacing w:after="240"/>
        <w:rPr>
          <w:spacing w:val="2"/>
        </w:rPr>
      </w:pPr>
      <w:r w:rsidRPr="008325B4">
        <w:rPr>
          <w:spacing w:val="2"/>
        </w:rPr>
        <w:t>Los ingresos reconocidos por la Universidad por las actividades encomendadas a la Fundación han ascendido a 1,09 millones, de acuerdo con el siguiente detalle:</w:t>
      </w:r>
    </w:p>
    <w:tbl>
      <w:tblPr>
        <w:tblW w:w="8750" w:type="dxa"/>
        <w:jc w:val="center"/>
        <w:tblCellMar>
          <w:left w:w="70" w:type="dxa"/>
          <w:right w:w="70" w:type="dxa"/>
        </w:tblCellMar>
        <w:tblLook w:val="04A0" w:firstRow="1" w:lastRow="0" w:firstColumn="1" w:lastColumn="0" w:noHBand="0" w:noVBand="1"/>
      </w:tblPr>
      <w:tblGrid>
        <w:gridCol w:w="6767"/>
        <w:gridCol w:w="1983"/>
      </w:tblGrid>
      <w:tr w:rsidR="004B0D73" w:rsidRPr="00C04F1B" w:rsidTr="000A4C01">
        <w:trPr>
          <w:trHeight w:val="300"/>
          <w:jc w:val="center"/>
        </w:trPr>
        <w:tc>
          <w:tcPr>
            <w:tcW w:w="6767"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6431B3">
            <w:pPr>
              <w:pStyle w:val="cuadroCabe"/>
              <w:rPr>
                <w:lang w:val="es-ES" w:eastAsia="es-ES"/>
              </w:rPr>
            </w:pPr>
            <w:r>
              <w:rPr>
                <w:lang w:val="es-ES" w:eastAsia="es-ES"/>
              </w:rPr>
              <w:t>Ingresos</w:t>
            </w:r>
          </w:p>
        </w:tc>
        <w:tc>
          <w:tcPr>
            <w:tcW w:w="1983"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335087">
            <w:pPr>
              <w:pStyle w:val="cuadroCabe"/>
              <w:jc w:val="right"/>
              <w:rPr>
                <w:lang w:val="es-ES" w:eastAsia="es-ES"/>
              </w:rPr>
            </w:pPr>
            <w:r>
              <w:rPr>
                <w:lang w:val="es-ES" w:eastAsia="es-ES"/>
              </w:rPr>
              <w:t>Importe</w:t>
            </w:r>
          </w:p>
        </w:tc>
      </w:tr>
      <w:tr w:rsidR="004B0D73" w:rsidRPr="00335087" w:rsidTr="00335087">
        <w:trPr>
          <w:trHeight w:val="300"/>
          <w:jc w:val="center"/>
        </w:trPr>
        <w:tc>
          <w:tcPr>
            <w:tcW w:w="6767" w:type="dxa"/>
            <w:tcBorders>
              <w:top w:val="single" w:sz="4"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Matrículas Títulos Propios</w:t>
            </w:r>
          </w:p>
        </w:tc>
        <w:tc>
          <w:tcPr>
            <w:tcW w:w="1983" w:type="dxa"/>
            <w:tcBorders>
              <w:top w:val="single" w:sz="4" w:space="0" w:color="auto"/>
              <w:bottom w:val="single" w:sz="2"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sidRPr="00335087">
              <w:rPr>
                <w:rFonts w:ascii="Arial Narrow" w:hAnsi="Arial Narrow"/>
                <w:sz w:val="20"/>
                <w:szCs w:val="20"/>
              </w:rPr>
              <w:t>560.298</w:t>
            </w:r>
          </w:p>
        </w:tc>
      </w:tr>
      <w:tr w:rsidR="004B0D73" w:rsidRPr="00335087" w:rsidTr="00335087">
        <w:trPr>
          <w:trHeight w:val="300"/>
          <w:jc w:val="center"/>
        </w:trPr>
        <w:tc>
          <w:tcPr>
            <w:tcW w:w="6767"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Matrículas C.S. Idiomas</w:t>
            </w:r>
          </w:p>
        </w:tc>
        <w:tc>
          <w:tcPr>
            <w:tcW w:w="1983" w:type="dxa"/>
            <w:tcBorders>
              <w:top w:val="single" w:sz="2" w:space="0" w:color="auto"/>
              <w:bottom w:val="single" w:sz="2"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sidRPr="00335087">
              <w:rPr>
                <w:rFonts w:ascii="Arial Narrow" w:hAnsi="Arial Narrow"/>
                <w:sz w:val="20"/>
                <w:szCs w:val="20"/>
              </w:rPr>
              <w:t>475.673</w:t>
            </w:r>
          </w:p>
        </w:tc>
      </w:tr>
      <w:tr w:rsidR="004B0D73" w:rsidRPr="00335087" w:rsidTr="00335087">
        <w:trPr>
          <w:trHeight w:val="300"/>
          <w:jc w:val="center"/>
        </w:trPr>
        <w:tc>
          <w:tcPr>
            <w:tcW w:w="6767" w:type="dxa"/>
            <w:tcBorders>
              <w:top w:val="single" w:sz="2" w:space="0" w:color="auto"/>
              <w:bottom w:val="single" w:sz="2"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Programa Alumni</w:t>
            </w:r>
          </w:p>
        </w:tc>
        <w:tc>
          <w:tcPr>
            <w:tcW w:w="1983" w:type="dxa"/>
            <w:tcBorders>
              <w:top w:val="single" w:sz="2" w:space="0" w:color="auto"/>
              <w:bottom w:val="single" w:sz="2"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sidRPr="00335087">
              <w:rPr>
                <w:rFonts w:ascii="Arial Narrow" w:hAnsi="Arial Narrow"/>
                <w:sz w:val="20"/>
                <w:szCs w:val="20"/>
              </w:rPr>
              <w:t>27.674</w:t>
            </w:r>
          </w:p>
        </w:tc>
      </w:tr>
      <w:tr w:rsidR="004B0D73" w:rsidRPr="00335087" w:rsidTr="00335087">
        <w:trPr>
          <w:trHeight w:val="300"/>
          <w:jc w:val="center"/>
        </w:trPr>
        <w:tc>
          <w:tcPr>
            <w:tcW w:w="6767" w:type="dxa"/>
            <w:tcBorders>
              <w:top w:val="single" w:sz="2" w:space="0" w:color="auto"/>
              <w:bottom w:val="single" w:sz="4" w:space="0" w:color="auto"/>
            </w:tcBorders>
            <w:shd w:val="clear" w:color="auto" w:fill="auto"/>
            <w:noWrap/>
            <w:vAlign w:val="center"/>
          </w:tcPr>
          <w:p w:rsidR="004B0D73" w:rsidRPr="00335087" w:rsidRDefault="004B0D73" w:rsidP="006431B3">
            <w:pPr>
              <w:pStyle w:val="texto"/>
              <w:spacing w:after="0"/>
              <w:ind w:firstLine="0"/>
              <w:rPr>
                <w:rFonts w:ascii="Arial Narrow" w:hAnsi="Arial Narrow"/>
                <w:sz w:val="20"/>
                <w:szCs w:val="20"/>
              </w:rPr>
            </w:pPr>
            <w:r w:rsidRPr="00335087">
              <w:rPr>
                <w:rFonts w:ascii="Arial Narrow" w:hAnsi="Arial Narrow"/>
                <w:sz w:val="20"/>
                <w:szCs w:val="20"/>
              </w:rPr>
              <w:t>Otros ingresos</w:t>
            </w:r>
          </w:p>
        </w:tc>
        <w:tc>
          <w:tcPr>
            <w:tcW w:w="1983" w:type="dxa"/>
            <w:tcBorders>
              <w:top w:val="single" w:sz="2" w:space="0" w:color="auto"/>
              <w:bottom w:val="single" w:sz="4" w:space="0" w:color="auto"/>
            </w:tcBorders>
            <w:shd w:val="clear" w:color="auto" w:fill="auto"/>
            <w:vAlign w:val="center"/>
          </w:tcPr>
          <w:p w:rsidR="004B0D73" w:rsidRPr="00335087" w:rsidRDefault="004B0D73" w:rsidP="00335087">
            <w:pPr>
              <w:pStyle w:val="texto"/>
              <w:spacing w:after="0"/>
              <w:ind w:firstLine="0"/>
              <w:jc w:val="right"/>
              <w:rPr>
                <w:rFonts w:ascii="Arial Narrow" w:hAnsi="Arial Narrow"/>
                <w:sz w:val="20"/>
                <w:szCs w:val="20"/>
              </w:rPr>
            </w:pPr>
            <w:r w:rsidRPr="00335087">
              <w:rPr>
                <w:rFonts w:ascii="Arial Narrow" w:hAnsi="Arial Narrow"/>
                <w:sz w:val="20"/>
                <w:szCs w:val="20"/>
              </w:rPr>
              <w:t>26.145</w:t>
            </w:r>
          </w:p>
        </w:tc>
      </w:tr>
      <w:tr w:rsidR="004B0D73" w:rsidRPr="00C04F1B" w:rsidTr="000A4C01">
        <w:trPr>
          <w:trHeight w:val="300"/>
          <w:jc w:val="center"/>
        </w:trPr>
        <w:tc>
          <w:tcPr>
            <w:tcW w:w="6767" w:type="dxa"/>
            <w:tcBorders>
              <w:top w:val="single" w:sz="4" w:space="0" w:color="auto"/>
              <w:bottom w:val="single" w:sz="4" w:space="0" w:color="auto"/>
            </w:tcBorders>
            <w:shd w:val="clear" w:color="auto" w:fill="A8CBEE" w:themeFill="accent2" w:themeFillTint="66"/>
            <w:noWrap/>
            <w:vAlign w:val="center"/>
            <w:hideMark/>
          </w:tcPr>
          <w:p w:rsidR="004B0D73" w:rsidRPr="00C04F1B" w:rsidRDefault="004B0D73" w:rsidP="006431B3">
            <w:pPr>
              <w:pStyle w:val="cuadroCabe"/>
              <w:rPr>
                <w:lang w:val="es-ES" w:eastAsia="es-ES"/>
              </w:rPr>
            </w:pPr>
            <w:r w:rsidRPr="00C04F1B">
              <w:rPr>
                <w:lang w:val="es-ES" w:eastAsia="es-ES"/>
              </w:rPr>
              <w:t> </w:t>
            </w:r>
            <w:r w:rsidRPr="00602852">
              <w:rPr>
                <w:lang w:val="es-ES" w:eastAsia="es-ES"/>
              </w:rPr>
              <w:t>Total</w:t>
            </w:r>
          </w:p>
        </w:tc>
        <w:tc>
          <w:tcPr>
            <w:tcW w:w="1983" w:type="dxa"/>
            <w:tcBorders>
              <w:top w:val="single" w:sz="4" w:space="0" w:color="auto"/>
              <w:bottom w:val="single" w:sz="4" w:space="0" w:color="auto"/>
            </w:tcBorders>
            <w:shd w:val="clear" w:color="auto" w:fill="A8CBEE" w:themeFill="accent2" w:themeFillTint="66"/>
            <w:vAlign w:val="center"/>
            <w:hideMark/>
          </w:tcPr>
          <w:p w:rsidR="004B0D73" w:rsidRPr="00C04F1B" w:rsidRDefault="004B0D73" w:rsidP="00335087">
            <w:pPr>
              <w:pStyle w:val="cuadroCabe"/>
              <w:jc w:val="right"/>
              <w:rPr>
                <w:lang w:val="es-ES" w:eastAsia="es-ES"/>
              </w:rPr>
            </w:pPr>
            <w:r>
              <w:rPr>
                <w:lang w:val="es-ES" w:eastAsia="es-ES"/>
              </w:rPr>
              <w:t>1.089.790</w:t>
            </w:r>
          </w:p>
        </w:tc>
      </w:tr>
    </w:tbl>
    <w:p w:rsidR="004B0D73" w:rsidRDefault="004B0D73" w:rsidP="008325B4">
      <w:pPr>
        <w:pStyle w:val="texto"/>
        <w:spacing w:after="0"/>
      </w:pPr>
    </w:p>
    <w:p w:rsidR="000A26BE" w:rsidRDefault="000A26BE" w:rsidP="000A26BE">
      <w:pPr>
        <w:pStyle w:val="atitulo2"/>
        <w:spacing w:before="240"/>
      </w:pPr>
      <w:bookmarkStart w:id="32" w:name="_Toc443895236"/>
      <w:r>
        <w:t>IV.</w:t>
      </w:r>
      <w:r w:rsidR="004B0D73">
        <w:t>5</w:t>
      </w:r>
      <w:r>
        <w:t>. Políticas de igualdad de género</w:t>
      </w:r>
      <w:bookmarkEnd w:id="32"/>
    </w:p>
    <w:p w:rsidR="00FB68DE" w:rsidRDefault="002577D1" w:rsidP="002577D1">
      <w:pPr>
        <w:pStyle w:val="atitulo3"/>
      </w:pPr>
      <w:r w:rsidRPr="002577D1">
        <w:t>IV.</w:t>
      </w:r>
      <w:r w:rsidR="004B0D73">
        <w:t>5</w:t>
      </w:r>
      <w:r w:rsidRPr="002577D1">
        <w:t>.1. Marco normativo</w:t>
      </w:r>
      <w:r>
        <w:t xml:space="preserve"> </w:t>
      </w:r>
      <w:r w:rsidR="00F03BBA">
        <w:t xml:space="preserve">general aplicable a la </w:t>
      </w:r>
      <w:r w:rsidR="00D23AC3">
        <w:t>U</w:t>
      </w:r>
      <w:r w:rsidR="00F03BBA">
        <w:t>niversidad</w:t>
      </w:r>
      <w:r w:rsidR="00FB68DE">
        <w:t xml:space="preserve"> </w:t>
      </w:r>
      <w:r w:rsidR="00CE62C7">
        <w:t xml:space="preserve"> </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sidRPr="00AE2D0C">
        <w:rPr>
          <w:szCs w:val="26"/>
        </w:rPr>
        <w:t>La igualdad entre mujeres y hombres es un principio jurídico universal rec</w:t>
      </w:r>
      <w:r w:rsidRPr="00AE2D0C">
        <w:rPr>
          <w:szCs w:val="26"/>
        </w:rPr>
        <w:t>o</w:t>
      </w:r>
      <w:r w:rsidRPr="00AE2D0C">
        <w:rPr>
          <w:szCs w:val="26"/>
        </w:rPr>
        <w:t>nocido en numerosos textos internacionales, entre los que destaca la Conve</w:t>
      </w:r>
      <w:r w:rsidRPr="00AE2D0C">
        <w:rPr>
          <w:szCs w:val="26"/>
        </w:rPr>
        <w:t>n</w:t>
      </w:r>
      <w:r w:rsidRPr="00AE2D0C">
        <w:rPr>
          <w:szCs w:val="26"/>
        </w:rPr>
        <w:t>ción sobre la eliminación de todas las formas de discriminación contra la m</w:t>
      </w:r>
      <w:r w:rsidRPr="00AE2D0C">
        <w:rPr>
          <w:szCs w:val="26"/>
        </w:rPr>
        <w:t>u</w:t>
      </w:r>
      <w:r w:rsidRPr="00AE2D0C">
        <w:rPr>
          <w:szCs w:val="26"/>
        </w:rPr>
        <w:t xml:space="preserve">jer, aprobada por la Asamblea General de Naciones Unidas en diciembre de 1979 y ratificada por España en 1983. </w:t>
      </w:r>
    </w:p>
    <w:p w:rsid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E</w:t>
      </w:r>
      <w:r w:rsidRPr="00AE2D0C">
        <w:rPr>
          <w:szCs w:val="26"/>
        </w:rPr>
        <w:t>l artículo 14 de la Constitución</w:t>
      </w:r>
      <w:r>
        <w:rPr>
          <w:szCs w:val="26"/>
        </w:rPr>
        <w:t xml:space="preserve"> Española</w:t>
      </w:r>
      <w:r w:rsidRPr="00AE2D0C">
        <w:rPr>
          <w:szCs w:val="26"/>
        </w:rPr>
        <w:t xml:space="preserve"> proclama el derecho a la igualdad y a la no discriminación por razones de sexo</w:t>
      </w:r>
      <w:r w:rsidR="00D53E9B">
        <w:rPr>
          <w:szCs w:val="26"/>
        </w:rPr>
        <w:t xml:space="preserve">. </w:t>
      </w:r>
      <w:r w:rsidR="00D47A3B">
        <w:rPr>
          <w:szCs w:val="26"/>
        </w:rPr>
        <w:t>Así mismo, e</w:t>
      </w:r>
      <w:r w:rsidRPr="00AE2D0C">
        <w:rPr>
          <w:szCs w:val="26"/>
        </w:rPr>
        <w:t>l apartado 2 del a</w:t>
      </w:r>
      <w:r w:rsidRPr="00AE2D0C">
        <w:rPr>
          <w:szCs w:val="26"/>
        </w:rPr>
        <w:t>r</w:t>
      </w:r>
      <w:r w:rsidRPr="00AE2D0C">
        <w:rPr>
          <w:szCs w:val="26"/>
        </w:rPr>
        <w:t>t</w:t>
      </w:r>
      <w:r>
        <w:rPr>
          <w:szCs w:val="26"/>
        </w:rPr>
        <w:t>ículo</w:t>
      </w:r>
      <w:r w:rsidRPr="00AE2D0C">
        <w:rPr>
          <w:szCs w:val="26"/>
        </w:rPr>
        <w:t xml:space="preserve"> 9 consagra la obligación de los poderes públicos de promover las cond</w:t>
      </w:r>
      <w:r w:rsidRPr="00AE2D0C">
        <w:rPr>
          <w:szCs w:val="26"/>
        </w:rPr>
        <w:t>i</w:t>
      </w:r>
      <w:r w:rsidRPr="00AE2D0C">
        <w:rPr>
          <w:szCs w:val="26"/>
        </w:rPr>
        <w:t>ciones para que la libertad y la igualdad del individuo y de los grupos en que se integra sean reales y efectivas.</w:t>
      </w:r>
    </w:p>
    <w:p w:rsid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lastRenderedPageBreak/>
        <w:t>La Ley Orgánica 3/2007, para la igualdad efectiva de mujeres y hombres, realiza la transposición a nuestro país de dos directivas europeas sobre la mat</w:t>
      </w:r>
      <w:r>
        <w:rPr>
          <w:szCs w:val="26"/>
        </w:rPr>
        <w:t>e</w:t>
      </w:r>
      <w:r>
        <w:rPr>
          <w:szCs w:val="26"/>
        </w:rPr>
        <w:t>ria. Dicha ley orgánica recoge un artículo específico a la educación superior y que, en resumen, establece:</w:t>
      </w:r>
    </w:p>
    <w:p w:rsidR="00AE2D0C" w:rsidRPr="00AE2D0C"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E2D0C">
        <w:rPr>
          <w:szCs w:val="26"/>
        </w:rPr>
        <w:t>En el ámbito de la educación superior, las administraciones públicas co</w:t>
      </w:r>
      <w:r w:rsidRPr="00AE2D0C">
        <w:rPr>
          <w:szCs w:val="26"/>
        </w:rPr>
        <w:t>m</w:t>
      </w:r>
      <w:r w:rsidRPr="00AE2D0C">
        <w:rPr>
          <w:szCs w:val="26"/>
        </w:rPr>
        <w:t>petentes fomentarán la enseñanza y la investigación sobre el significado y a</w:t>
      </w:r>
      <w:r w:rsidRPr="00AE2D0C">
        <w:rPr>
          <w:szCs w:val="26"/>
        </w:rPr>
        <w:t>l</w:t>
      </w:r>
      <w:r w:rsidRPr="00AE2D0C">
        <w:rPr>
          <w:szCs w:val="26"/>
        </w:rPr>
        <w:t>cance de la igualdad entre hombres y mujeres.</w:t>
      </w:r>
    </w:p>
    <w:p w:rsidR="00AE2D0C" w:rsidRPr="00AE2D0C"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E2D0C">
        <w:rPr>
          <w:szCs w:val="26"/>
        </w:rPr>
        <w:t xml:space="preserve">En particular y con tal finalidad, </w:t>
      </w:r>
      <w:r w:rsidR="00C26C97">
        <w:rPr>
          <w:szCs w:val="26"/>
        </w:rPr>
        <w:t>se</w:t>
      </w:r>
      <w:r w:rsidRPr="00AE2D0C">
        <w:rPr>
          <w:szCs w:val="26"/>
        </w:rPr>
        <w:t xml:space="preserve"> promoverá:</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a) </w:t>
      </w:r>
      <w:r w:rsidRPr="00AE2D0C">
        <w:rPr>
          <w:szCs w:val="26"/>
        </w:rPr>
        <w:t>La inclusión en los planes de estudio</w:t>
      </w:r>
      <w:r w:rsidR="00C26C97">
        <w:rPr>
          <w:szCs w:val="26"/>
        </w:rPr>
        <w:t>,</w:t>
      </w:r>
      <w:r w:rsidRPr="00AE2D0C">
        <w:rPr>
          <w:szCs w:val="26"/>
        </w:rPr>
        <w:t xml:space="preserve"> en que proceda, de enseñanzas en materia de igualdad entre mujeres y hombres.</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b) </w:t>
      </w:r>
      <w:r w:rsidRPr="00AE2D0C">
        <w:rPr>
          <w:szCs w:val="26"/>
        </w:rPr>
        <w:t>La creación de pos</w:t>
      </w:r>
      <w:r w:rsidR="00943F97">
        <w:rPr>
          <w:szCs w:val="26"/>
        </w:rPr>
        <w:t>t</w:t>
      </w:r>
      <w:r w:rsidRPr="00AE2D0C">
        <w:rPr>
          <w:szCs w:val="26"/>
        </w:rPr>
        <w:t>grados específicos.</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c) </w:t>
      </w:r>
      <w:r w:rsidRPr="00AE2D0C">
        <w:rPr>
          <w:szCs w:val="26"/>
        </w:rPr>
        <w:t>La realización de estudios e investigaciones especializadas en la materia.</w:t>
      </w:r>
    </w:p>
    <w:p w:rsidR="00AE2D0C" w:rsidRPr="00AE2D0C"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E2D0C">
        <w:rPr>
          <w:szCs w:val="26"/>
        </w:rPr>
        <w:t>Además</w:t>
      </w:r>
      <w:r w:rsidR="007F4171">
        <w:rPr>
          <w:szCs w:val="26"/>
        </w:rPr>
        <w:t>,</w:t>
      </w:r>
      <w:r w:rsidRPr="00AE2D0C">
        <w:rPr>
          <w:szCs w:val="26"/>
        </w:rPr>
        <w:t xml:space="preserve"> esta Ley recoge principios y criterios de actuación de los poderes públicos entre los que se destacan:</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a) L</w:t>
      </w:r>
      <w:r w:rsidRPr="00AE2D0C">
        <w:rPr>
          <w:szCs w:val="26"/>
        </w:rPr>
        <w:t>a participación equilibrada de mujeres y hombres en las candidaturas electorales y en la toma de decisiones</w:t>
      </w:r>
      <w:r w:rsidR="00410F93">
        <w:rPr>
          <w:szCs w:val="26"/>
        </w:rPr>
        <w:t>.</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b) L</w:t>
      </w:r>
      <w:r w:rsidRPr="00AE2D0C">
        <w:rPr>
          <w:szCs w:val="26"/>
        </w:rPr>
        <w:t>a presencia equilibrada en los nombramientos y designaciones de los cargos de responsabilidad y en los órganos de control y de gobierno de los ce</w:t>
      </w:r>
      <w:r w:rsidRPr="00AE2D0C">
        <w:rPr>
          <w:szCs w:val="26"/>
        </w:rPr>
        <w:t>n</w:t>
      </w:r>
      <w:r w:rsidRPr="00AE2D0C">
        <w:rPr>
          <w:szCs w:val="26"/>
        </w:rPr>
        <w:t>tros docentes</w:t>
      </w:r>
      <w:r w:rsidR="00410F93">
        <w:rPr>
          <w:szCs w:val="26"/>
        </w:rPr>
        <w:t>.</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c) L</w:t>
      </w:r>
      <w:r w:rsidRPr="00AE2D0C">
        <w:rPr>
          <w:szCs w:val="26"/>
        </w:rPr>
        <w:t>a implantación de un lenguaje no sexista en el ámbito administrativo</w:t>
      </w:r>
      <w:r w:rsidR="00410F93">
        <w:rPr>
          <w:szCs w:val="26"/>
        </w:rPr>
        <w:t>.</w:t>
      </w:r>
    </w:p>
    <w:p w:rsidR="00AE2D0C" w:rsidRPr="00AE2D0C" w:rsidRDefault="00AE2D0C" w:rsidP="00AE2D0C">
      <w:pPr>
        <w:pStyle w:val="texto"/>
        <w:tabs>
          <w:tab w:val="clear" w:pos="2835"/>
          <w:tab w:val="clear" w:pos="3969"/>
          <w:tab w:val="clear" w:pos="5103"/>
          <w:tab w:val="clear" w:pos="6237"/>
          <w:tab w:val="clear" w:pos="7371"/>
          <w:tab w:val="left" w:pos="480"/>
          <w:tab w:val="num" w:pos="928"/>
          <w:tab w:val="num" w:pos="6597"/>
        </w:tabs>
        <w:rPr>
          <w:szCs w:val="26"/>
        </w:rPr>
      </w:pPr>
      <w:r>
        <w:rPr>
          <w:szCs w:val="26"/>
        </w:rPr>
        <w:t>d) L</w:t>
      </w:r>
      <w:r w:rsidRPr="00AE2D0C">
        <w:rPr>
          <w:szCs w:val="26"/>
        </w:rPr>
        <w:t>a remoción de los obstáculos que impliquen discriminaciones entre m</w:t>
      </w:r>
      <w:r w:rsidRPr="00AE2D0C">
        <w:rPr>
          <w:szCs w:val="26"/>
        </w:rPr>
        <w:t>u</w:t>
      </w:r>
      <w:r w:rsidRPr="00AE2D0C">
        <w:rPr>
          <w:szCs w:val="26"/>
        </w:rPr>
        <w:t>jeres y hombres en el acceso al empleo público y en la carrera profesional; en la conciliación de la vida personal, familiar y laboral; en la formación continua en igualdad; en la presencia equilibrada en los órganos de selección y valor</w:t>
      </w:r>
      <w:r w:rsidRPr="00AE2D0C">
        <w:rPr>
          <w:szCs w:val="26"/>
        </w:rPr>
        <w:t>a</w:t>
      </w:r>
      <w:r w:rsidRPr="00AE2D0C">
        <w:rPr>
          <w:szCs w:val="26"/>
        </w:rPr>
        <w:t>ción; en las medidas de protección frente al acoso sexual y al acoso por razón de sexo y, en las medidas efectivas que eliminen discriminaciones retributivas, directas o indirectas, por razón de sexo.</w:t>
      </w:r>
    </w:p>
    <w:p w:rsidR="00194E66" w:rsidRDefault="00AE2D0C" w:rsidP="00AE2D0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Finalmente, en su disposición adicional primera establece que</w:t>
      </w:r>
      <w:r w:rsidR="00194E66">
        <w:rPr>
          <w:szCs w:val="26"/>
        </w:rPr>
        <w:t>:</w:t>
      </w:r>
    </w:p>
    <w:p w:rsidR="00AE2D0C" w:rsidRPr="00194E66" w:rsidRDefault="00AE2D0C" w:rsidP="00194E66">
      <w:pPr>
        <w:pStyle w:val="texto"/>
        <w:tabs>
          <w:tab w:val="clear" w:pos="2835"/>
          <w:tab w:val="clear" w:pos="3969"/>
          <w:tab w:val="clear" w:pos="5103"/>
          <w:tab w:val="clear" w:pos="6237"/>
          <w:tab w:val="clear" w:pos="7371"/>
          <w:tab w:val="left" w:pos="480"/>
          <w:tab w:val="num" w:pos="928"/>
          <w:tab w:val="num" w:pos="6597"/>
        </w:tabs>
        <w:ind w:firstLine="290"/>
        <w:rPr>
          <w:sz w:val="22"/>
          <w:szCs w:val="22"/>
        </w:rPr>
      </w:pPr>
      <w:r w:rsidRPr="00194E66">
        <w:rPr>
          <w:sz w:val="22"/>
          <w:szCs w:val="22"/>
        </w:rPr>
        <w:t>“</w:t>
      </w:r>
      <w:r w:rsidR="00046464">
        <w:rPr>
          <w:sz w:val="22"/>
          <w:szCs w:val="22"/>
        </w:rPr>
        <w:t>…</w:t>
      </w:r>
      <w:r w:rsidRPr="00194E66">
        <w:rPr>
          <w:i/>
          <w:sz w:val="22"/>
          <w:szCs w:val="22"/>
        </w:rPr>
        <w:t>se entenderá por composición equilibrada la presencia de mujeres y hombres de fo</w:t>
      </w:r>
      <w:r w:rsidRPr="00194E66">
        <w:rPr>
          <w:i/>
          <w:sz w:val="22"/>
          <w:szCs w:val="22"/>
        </w:rPr>
        <w:t>r</w:t>
      </w:r>
      <w:r w:rsidRPr="00194E66">
        <w:rPr>
          <w:i/>
          <w:sz w:val="22"/>
          <w:szCs w:val="22"/>
        </w:rPr>
        <w:t>me que, en el conjunto a que se refiera, las personas de cada sexo no superen el 60 por cie</w:t>
      </w:r>
      <w:r w:rsidRPr="00194E66">
        <w:rPr>
          <w:i/>
          <w:sz w:val="22"/>
          <w:szCs w:val="22"/>
        </w:rPr>
        <w:t>n</w:t>
      </w:r>
      <w:r w:rsidRPr="00194E66">
        <w:rPr>
          <w:i/>
          <w:sz w:val="22"/>
          <w:szCs w:val="22"/>
        </w:rPr>
        <w:t>to ni sean menos del 40 por c</w:t>
      </w:r>
      <w:r w:rsidR="00410F93" w:rsidRPr="00194E66">
        <w:rPr>
          <w:i/>
          <w:sz w:val="22"/>
          <w:szCs w:val="22"/>
        </w:rPr>
        <w:t>ie</w:t>
      </w:r>
      <w:r w:rsidRPr="00194E66">
        <w:rPr>
          <w:i/>
          <w:sz w:val="22"/>
          <w:szCs w:val="22"/>
        </w:rPr>
        <w:t>nto</w:t>
      </w:r>
      <w:r w:rsidRPr="00194E66">
        <w:rPr>
          <w:sz w:val="22"/>
          <w:szCs w:val="22"/>
        </w:rPr>
        <w:t>”</w:t>
      </w:r>
      <w:r w:rsidR="00194E66">
        <w:rPr>
          <w:sz w:val="22"/>
          <w:szCs w:val="22"/>
        </w:rPr>
        <w:t>.</w:t>
      </w:r>
    </w:p>
    <w:p w:rsidR="00727BF7" w:rsidRDefault="00410F93" w:rsidP="00410F93">
      <w:pPr>
        <w:pStyle w:val="texto"/>
        <w:tabs>
          <w:tab w:val="clear" w:pos="2835"/>
          <w:tab w:val="clear" w:pos="3969"/>
          <w:tab w:val="clear" w:pos="5103"/>
          <w:tab w:val="clear" w:pos="6237"/>
          <w:tab w:val="clear" w:pos="7371"/>
          <w:tab w:val="left" w:pos="480"/>
          <w:tab w:val="num" w:pos="928"/>
          <w:tab w:val="num" w:pos="6597"/>
        </w:tabs>
        <w:rPr>
          <w:szCs w:val="26"/>
        </w:rPr>
      </w:pPr>
      <w:r>
        <w:rPr>
          <w:szCs w:val="26"/>
        </w:rPr>
        <w:t>La</w:t>
      </w:r>
      <w:r w:rsidRPr="00410F93">
        <w:rPr>
          <w:szCs w:val="26"/>
        </w:rPr>
        <w:t xml:space="preserve"> L</w:t>
      </w:r>
      <w:r>
        <w:rPr>
          <w:szCs w:val="26"/>
        </w:rPr>
        <w:t>ey</w:t>
      </w:r>
      <w:r w:rsidRPr="00410F93">
        <w:rPr>
          <w:szCs w:val="26"/>
        </w:rPr>
        <w:t xml:space="preserve"> O</w:t>
      </w:r>
      <w:r>
        <w:rPr>
          <w:szCs w:val="26"/>
        </w:rPr>
        <w:t>rgánica</w:t>
      </w:r>
      <w:r w:rsidRPr="00410F93">
        <w:rPr>
          <w:szCs w:val="26"/>
        </w:rPr>
        <w:t xml:space="preserve"> 4/2007, de 12 de abril, por la</w:t>
      </w:r>
      <w:r>
        <w:rPr>
          <w:szCs w:val="26"/>
        </w:rPr>
        <w:t xml:space="preserve"> </w:t>
      </w:r>
      <w:r w:rsidRPr="00410F93">
        <w:rPr>
          <w:szCs w:val="26"/>
        </w:rPr>
        <w:t>que se modifica la Ley Org</w:t>
      </w:r>
      <w:r w:rsidRPr="00410F93">
        <w:rPr>
          <w:szCs w:val="26"/>
        </w:rPr>
        <w:t>á</w:t>
      </w:r>
      <w:r w:rsidRPr="00410F93">
        <w:rPr>
          <w:szCs w:val="26"/>
        </w:rPr>
        <w:t>nica 6/2001, de 21</w:t>
      </w:r>
      <w:r>
        <w:rPr>
          <w:szCs w:val="26"/>
        </w:rPr>
        <w:t xml:space="preserve"> </w:t>
      </w:r>
      <w:r w:rsidRPr="00410F93">
        <w:rPr>
          <w:szCs w:val="26"/>
        </w:rPr>
        <w:t>de diciembre, de Universidades</w:t>
      </w:r>
      <w:r>
        <w:rPr>
          <w:szCs w:val="26"/>
        </w:rPr>
        <w:t xml:space="preserve">, introduce diversos aspectos relativos a la política de igualdad. </w:t>
      </w:r>
    </w:p>
    <w:p w:rsidR="00727BF7" w:rsidRDefault="00727BF7" w:rsidP="00410F93">
      <w:pPr>
        <w:pStyle w:val="texto"/>
        <w:tabs>
          <w:tab w:val="clear" w:pos="2835"/>
          <w:tab w:val="clear" w:pos="3969"/>
          <w:tab w:val="clear" w:pos="5103"/>
          <w:tab w:val="clear" w:pos="6237"/>
          <w:tab w:val="clear" w:pos="7371"/>
          <w:tab w:val="left" w:pos="480"/>
          <w:tab w:val="num" w:pos="928"/>
          <w:tab w:val="num" w:pos="6597"/>
        </w:tabs>
        <w:rPr>
          <w:szCs w:val="26"/>
        </w:rPr>
      </w:pPr>
    </w:p>
    <w:p w:rsidR="00727BF7" w:rsidRDefault="00727BF7" w:rsidP="00410F93">
      <w:pPr>
        <w:pStyle w:val="texto"/>
        <w:tabs>
          <w:tab w:val="clear" w:pos="2835"/>
          <w:tab w:val="clear" w:pos="3969"/>
          <w:tab w:val="clear" w:pos="5103"/>
          <w:tab w:val="clear" w:pos="6237"/>
          <w:tab w:val="clear" w:pos="7371"/>
          <w:tab w:val="left" w:pos="480"/>
          <w:tab w:val="num" w:pos="928"/>
          <w:tab w:val="num" w:pos="6597"/>
        </w:tabs>
        <w:rPr>
          <w:szCs w:val="26"/>
        </w:rPr>
      </w:pPr>
    </w:p>
    <w:p w:rsidR="00410F93" w:rsidRDefault="00410F93" w:rsidP="00410F93">
      <w:pPr>
        <w:pStyle w:val="texto"/>
        <w:tabs>
          <w:tab w:val="clear" w:pos="2835"/>
          <w:tab w:val="clear" w:pos="3969"/>
          <w:tab w:val="clear" w:pos="5103"/>
          <w:tab w:val="clear" w:pos="6237"/>
          <w:tab w:val="clear" w:pos="7371"/>
          <w:tab w:val="left" w:pos="480"/>
          <w:tab w:val="num" w:pos="928"/>
          <w:tab w:val="num" w:pos="6597"/>
        </w:tabs>
        <w:rPr>
          <w:szCs w:val="26"/>
        </w:rPr>
      </w:pPr>
      <w:r>
        <w:rPr>
          <w:szCs w:val="26"/>
        </w:rPr>
        <w:lastRenderedPageBreak/>
        <w:t>Así destacamos:</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410F93">
        <w:rPr>
          <w:szCs w:val="26"/>
        </w:rPr>
        <w:t>Disposición adicional duodécima:</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firstLine="290"/>
        <w:rPr>
          <w:sz w:val="22"/>
          <w:szCs w:val="22"/>
        </w:rPr>
      </w:pPr>
      <w:r w:rsidRPr="00194E66">
        <w:rPr>
          <w:sz w:val="22"/>
          <w:szCs w:val="22"/>
        </w:rPr>
        <w:t>“</w:t>
      </w:r>
      <w:r w:rsidR="00046464">
        <w:rPr>
          <w:sz w:val="22"/>
          <w:szCs w:val="22"/>
        </w:rPr>
        <w:t>…</w:t>
      </w:r>
      <w:r w:rsidRPr="00194E66">
        <w:rPr>
          <w:i/>
          <w:sz w:val="22"/>
          <w:szCs w:val="22"/>
        </w:rPr>
        <w:t>las universidades contarán entre sus estructuras de organización con unidades de igualdad para desarrollar las funciones relacionadas con el principio de igualdad entre m</w:t>
      </w:r>
      <w:r w:rsidRPr="00194E66">
        <w:rPr>
          <w:i/>
          <w:sz w:val="22"/>
          <w:szCs w:val="22"/>
        </w:rPr>
        <w:t>u</w:t>
      </w:r>
      <w:r w:rsidRPr="00194E66">
        <w:rPr>
          <w:i/>
          <w:sz w:val="22"/>
          <w:szCs w:val="22"/>
        </w:rPr>
        <w:t>jeres y hombres</w:t>
      </w:r>
      <w:r w:rsidRPr="00194E66">
        <w:rPr>
          <w:sz w:val="22"/>
          <w:szCs w:val="22"/>
        </w:rPr>
        <w:t>”.</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bookmarkStart w:id="33" w:name="tm_385744898"/>
      <w:bookmarkStart w:id="34" w:name="tm_385744899"/>
      <w:bookmarkEnd w:id="33"/>
      <w:bookmarkEnd w:id="34"/>
      <w:r>
        <w:rPr>
          <w:szCs w:val="26"/>
        </w:rPr>
        <w:t>Apartado 10,</w:t>
      </w:r>
      <w:r w:rsidRPr="00410F93">
        <w:rPr>
          <w:szCs w:val="26"/>
        </w:rPr>
        <w:t xml:space="preserve"> sobre órganos de gobierno y representación: </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left="290" w:firstLine="0"/>
        <w:rPr>
          <w:sz w:val="22"/>
          <w:szCs w:val="22"/>
        </w:rPr>
      </w:pPr>
      <w:r w:rsidRPr="00194E66">
        <w:rPr>
          <w:sz w:val="22"/>
          <w:szCs w:val="22"/>
        </w:rPr>
        <w:t>“</w:t>
      </w:r>
      <w:r w:rsidR="00046464">
        <w:rPr>
          <w:sz w:val="22"/>
          <w:szCs w:val="22"/>
        </w:rPr>
        <w:t>…</w:t>
      </w:r>
      <w:r w:rsidRPr="00194E66">
        <w:rPr>
          <w:i/>
          <w:sz w:val="22"/>
          <w:szCs w:val="22"/>
        </w:rPr>
        <w:t>los estatutos establecerán las normas electorales aplicables, las cuales deberán pr</w:t>
      </w:r>
      <w:r w:rsidRPr="00194E66">
        <w:rPr>
          <w:i/>
          <w:sz w:val="22"/>
          <w:szCs w:val="22"/>
        </w:rPr>
        <w:t>o</w:t>
      </w:r>
      <w:r w:rsidRPr="00194E66">
        <w:rPr>
          <w:i/>
          <w:sz w:val="22"/>
          <w:szCs w:val="22"/>
        </w:rPr>
        <w:t>piciar en los órganos colegiados la presencia equilibrada entre mujeres y hombres</w:t>
      </w:r>
      <w:r w:rsidRPr="00194E66">
        <w:rPr>
          <w:sz w:val="22"/>
          <w:szCs w:val="22"/>
        </w:rPr>
        <w:t>”</w:t>
      </w:r>
      <w:r w:rsidR="00194E66">
        <w:rPr>
          <w:sz w:val="22"/>
          <w:szCs w:val="22"/>
        </w:rPr>
        <w:t>.</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A</w:t>
      </w:r>
      <w:r w:rsidR="005963E0">
        <w:rPr>
          <w:szCs w:val="26"/>
        </w:rPr>
        <w:t>partado</w:t>
      </w:r>
      <w:r w:rsidRPr="00410F93">
        <w:rPr>
          <w:szCs w:val="26"/>
        </w:rPr>
        <w:t xml:space="preserve"> 4</w:t>
      </w:r>
      <w:r>
        <w:rPr>
          <w:szCs w:val="26"/>
        </w:rPr>
        <w:t>2</w:t>
      </w:r>
      <w:r w:rsidRPr="00410F93">
        <w:rPr>
          <w:szCs w:val="26"/>
        </w:rPr>
        <w:t xml:space="preserve"> sobre investigación: </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firstLine="290"/>
        <w:rPr>
          <w:sz w:val="22"/>
          <w:szCs w:val="22"/>
        </w:rPr>
      </w:pPr>
      <w:r w:rsidRPr="00194E66">
        <w:rPr>
          <w:sz w:val="22"/>
          <w:szCs w:val="22"/>
        </w:rPr>
        <w:t>“</w:t>
      </w:r>
      <w:r w:rsidRPr="00194E66">
        <w:rPr>
          <w:i/>
          <w:sz w:val="22"/>
          <w:szCs w:val="22"/>
        </w:rPr>
        <w:t>Se promoverá que los equipos de investigación desarrollen su carrera profesional f</w:t>
      </w:r>
      <w:r w:rsidRPr="00194E66">
        <w:rPr>
          <w:i/>
          <w:sz w:val="22"/>
          <w:szCs w:val="22"/>
        </w:rPr>
        <w:t>o</w:t>
      </w:r>
      <w:r w:rsidRPr="00194E66">
        <w:rPr>
          <w:i/>
          <w:sz w:val="22"/>
          <w:szCs w:val="22"/>
        </w:rPr>
        <w:t>mentando una presencia equilibrada entre mujeres y hombres en todos sus ámbitos</w:t>
      </w:r>
      <w:r w:rsidRPr="00194E66">
        <w:rPr>
          <w:sz w:val="22"/>
          <w:szCs w:val="22"/>
        </w:rPr>
        <w:t>”</w:t>
      </w:r>
      <w:r w:rsidR="00194E66">
        <w:rPr>
          <w:sz w:val="22"/>
          <w:szCs w:val="22"/>
        </w:rPr>
        <w:t>.</w:t>
      </w:r>
    </w:p>
    <w:p w:rsidR="00194E66" w:rsidRDefault="00410F93" w:rsidP="00410F9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A</w:t>
      </w:r>
      <w:r w:rsidR="00B122CA">
        <w:rPr>
          <w:szCs w:val="26"/>
        </w:rPr>
        <w:t>partado 64</w:t>
      </w:r>
      <w:r w:rsidR="00FF2AED">
        <w:rPr>
          <w:szCs w:val="26"/>
        </w:rPr>
        <w:t>,</w:t>
      </w:r>
      <w:r w:rsidRPr="00410F93">
        <w:rPr>
          <w:szCs w:val="26"/>
        </w:rPr>
        <w:t xml:space="preserve"> sobre concurso para el acceso a plazas de docentes: </w:t>
      </w:r>
    </w:p>
    <w:p w:rsidR="00410F93" w:rsidRPr="00194E66" w:rsidRDefault="00410F93" w:rsidP="00194E66">
      <w:pPr>
        <w:pStyle w:val="texto"/>
        <w:tabs>
          <w:tab w:val="clear" w:pos="2835"/>
          <w:tab w:val="clear" w:pos="3969"/>
          <w:tab w:val="clear" w:pos="5103"/>
          <w:tab w:val="clear" w:pos="6237"/>
          <w:tab w:val="clear" w:pos="7371"/>
          <w:tab w:val="left" w:pos="480"/>
          <w:tab w:val="num" w:pos="928"/>
          <w:tab w:val="num" w:pos="6597"/>
        </w:tabs>
        <w:ind w:firstLine="290"/>
        <w:rPr>
          <w:i/>
          <w:sz w:val="22"/>
          <w:szCs w:val="22"/>
        </w:rPr>
      </w:pPr>
      <w:r w:rsidRPr="00194E66">
        <w:rPr>
          <w:i/>
          <w:sz w:val="22"/>
          <w:szCs w:val="22"/>
        </w:rPr>
        <w:t>“Los estatutos de cada universidad regularán la composición de las comisiones de sele</w:t>
      </w:r>
      <w:r w:rsidRPr="00194E66">
        <w:rPr>
          <w:i/>
          <w:sz w:val="22"/>
          <w:szCs w:val="22"/>
        </w:rPr>
        <w:t>c</w:t>
      </w:r>
      <w:r w:rsidRPr="00194E66">
        <w:rPr>
          <w:i/>
          <w:sz w:val="22"/>
          <w:szCs w:val="22"/>
        </w:rPr>
        <w:t>ción de las plazas convocadas y garantizarán, en todo caso, la necesaria aptitud científica y docente de sus componentes. Dicha composición deberá ajustarse a los principios de impa</w:t>
      </w:r>
      <w:r w:rsidRPr="00194E66">
        <w:rPr>
          <w:i/>
          <w:sz w:val="22"/>
          <w:szCs w:val="22"/>
        </w:rPr>
        <w:t>r</w:t>
      </w:r>
      <w:r w:rsidRPr="00194E66">
        <w:rPr>
          <w:i/>
          <w:sz w:val="22"/>
          <w:szCs w:val="22"/>
        </w:rPr>
        <w:t>cialidad y profesionalidad de sus miembros, procurando una composición equilibrada entre mujeres y hombres, salvo que no sea posible por razones fundadas y objetivas debidamente motivadas</w:t>
      </w:r>
      <w:r w:rsidR="00B122CA" w:rsidRPr="00194E66">
        <w:rPr>
          <w:i/>
          <w:sz w:val="22"/>
          <w:szCs w:val="22"/>
        </w:rPr>
        <w:t>”</w:t>
      </w:r>
      <w:r w:rsidRPr="00194E66">
        <w:rPr>
          <w:i/>
          <w:sz w:val="22"/>
          <w:szCs w:val="22"/>
        </w:rPr>
        <w:t xml:space="preserve">. </w:t>
      </w:r>
    </w:p>
    <w:p w:rsidR="00B122CA" w:rsidRDefault="00B122CA" w:rsidP="007313F5">
      <w:pPr>
        <w:pStyle w:val="texto"/>
      </w:pPr>
      <w:r w:rsidRPr="00B122CA">
        <w:t>En el ámbito de la Comunidad Foral, dest</w:t>
      </w:r>
      <w:r>
        <w:t>a</w:t>
      </w:r>
      <w:r w:rsidRPr="00B122CA">
        <w:t>camo</w:t>
      </w:r>
      <w:r>
        <w:t>s la Ley Foral 33/2002, de 28 d</w:t>
      </w:r>
      <w:r w:rsidRPr="00B122CA">
        <w:t>e</w:t>
      </w:r>
      <w:r>
        <w:t xml:space="preserve"> </w:t>
      </w:r>
      <w:r w:rsidRPr="00B122CA">
        <w:t>noviembre, de fomento de la igualdad de oportunidades entre mujeres y hombres</w:t>
      </w:r>
      <w:r>
        <w:t>, que introduce objetivos y medidas en materia de sensibilización y de participación social y política para promocionar la presencia de mujeres.</w:t>
      </w:r>
      <w:r w:rsidR="007313F5" w:rsidRPr="007313F5">
        <w:t xml:space="preserve"> </w:t>
      </w:r>
      <w:r w:rsidR="007313F5">
        <w:t>Esta Ley Foral contempla la r</w:t>
      </w:r>
      <w:r w:rsidR="007313F5" w:rsidRPr="005B4248">
        <w:t>evisión del ordenamiento jurídico navarro para intr</w:t>
      </w:r>
      <w:r w:rsidR="007313F5" w:rsidRPr="005B4248">
        <w:t>o</w:t>
      </w:r>
      <w:r w:rsidR="007313F5" w:rsidRPr="005B4248">
        <w:t>ducir cambios en función de las Directivas de la Unión Europea y de las no</w:t>
      </w:r>
      <w:r w:rsidR="007313F5" w:rsidRPr="005B4248">
        <w:t>r</w:t>
      </w:r>
      <w:r w:rsidR="007313F5" w:rsidRPr="005B4248">
        <w:t>mas emanadas de la Comunidad internacional en materia de igualdad de opo</w:t>
      </w:r>
      <w:r w:rsidR="007313F5" w:rsidRPr="005B4248">
        <w:t>r</w:t>
      </w:r>
      <w:r w:rsidR="007313F5" w:rsidRPr="005B4248">
        <w:t>tunidades entre hombres y mujeres</w:t>
      </w:r>
      <w:r w:rsidR="007313F5">
        <w:t>. Para dar cumplimiento a dicha norma, se debería adecuar esta Ley Foral a la normativa posterior publicada.</w:t>
      </w:r>
    </w:p>
    <w:p w:rsidR="00B122CA" w:rsidRDefault="00114412" w:rsidP="00B122CA">
      <w:pPr>
        <w:pStyle w:val="texto"/>
      </w:pPr>
      <w:r>
        <w:t>Igualmente</w:t>
      </w:r>
      <w:r w:rsidR="007F4171">
        <w:t>,</w:t>
      </w:r>
      <w:r>
        <w:t xml:space="preserve"> el </w:t>
      </w:r>
      <w:r w:rsidR="007F4171">
        <w:t>Primer</w:t>
      </w:r>
      <w:r w:rsidR="00B122CA">
        <w:t xml:space="preserve"> Plan de Igualdad de Oportunidades para mujeres y hombres de la Comunidad Foral (2006-2010</w:t>
      </w:r>
      <w:r w:rsidR="007313F5">
        <w:t xml:space="preserve">) </w:t>
      </w:r>
      <w:r w:rsidR="00B122CA">
        <w:t>hace referencia explícita a la i</w:t>
      </w:r>
      <w:r w:rsidR="00B122CA">
        <w:t>n</w:t>
      </w:r>
      <w:r w:rsidR="00B122CA">
        <w:t>corporación del principio de igualdad en el ámbito universitario</w:t>
      </w:r>
      <w:r w:rsidR="007313F5">
        <w:t>, al establecer básicamente las siguientes medidas:</w:t>
      </w:r>
    </w:p>
    <w:p w:rsidR="00907E47" w:rsidRPr="00907E47" w:rsidRDefault="00907E47" w:rsidP="00907E4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07E47">
        <w:rPr>
          <w:szCs w:val="26"/>
        </w:rPr>
        <w:t>Revisar los planes de estudio integrando el análisis de género en todas las disciplinas académicas, especialmente las relacionadas con la formación del profesorado y en los cursos de postgrado.</w:t>
      </w:r>
    </w:p>
    <w:p w:rsidR="00907E47" w:rsidRPr="00907E47" w:rsidRDefault="00907E47" w:rsidP="00907E4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07E47">
        <w:rPr>
          <w:szCs w:val="26"/>
        </w:rPr>
        <w:t>Impulsar estudios e investigaciones que incorporen el análisis de género como herramienta que aporte un nuevo punto de vista en la construcción de las ciencias y disciplinas científicas.</w:t>
      </w:r>
    </w:p>
    <w:p w:rsidR="00907E47" w:rsidRPr="00907E47" w:rsidRDefault="00907E47" w:rsidP="00907E4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07E47">
        <w:rPr>
          <w:szCs w:val="26"/>
        </w:rPr>
        <w:t>Desarrollar una base de datos de estudios de mujeres, con el fin de facilitar la consulta y el conocimiento.</w:t>
      </w:r>
    </w:p>
    <w:p w:rsidR="00410F93" w:rsidRDefault="00907E47" w:rsidP="002577D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07E47">
        <w:rPr>
          <w:szCs w:val="26"/>
        </w:rPr>
        <w:lastRenderedPageBreak/>
        <w:t>Impulsar las investigaciones que recojan las aportaciones de las mujeres en los diferentes campos del conocimiento.</w:t>
      </w:r>
    </w:p>
    <w:p w:rsidR="00E3743D" w:rsidRPr="00E3743D" w:rsidRDefault="00E3743D" w:rsidP="00335087">
      <w:pPr>
        <w:pStyle w:val="texto"/>
        <w:spacing w:after="240"/>
      </w:pPr>
      <w:r w:rsidRPr="00E3743D">
        <w:t xml:space="preserve">Asimismo, el Instituto Navarro </w:t>
      </w:r>
      <w:r>
        <w:t>para la</w:t>
      </w:r>
      <w:r w:rsidRPr="00E3743D">
        <w:t xml:space="preserve"> Igualdad ha publicado </w:t>
      </w:r>
      <w:r>
        <w:t>una Guía</w:t>
      </w:r>
      <w:r w:rsidRPr="00E3743D">
        <w:t xml:space="preserve"> para incorporar la perspectiva de género en las subvenciones y contratos públicos real</w:t>
      </w:r>
      <w:r>
        <w:t>izados</w:t>
      </w:r>
      <w:r w:rsidRPr="00E3743D">
        <w:t xml:space="preserve"> por las Adm</w:t>
      </w:r>
      <w:r>
        <w:t>i</w:t>
      </w:r>
      <w:r w:rsidRPr="00E3743D">
        <w:t>nistraciones Públicas de la Comunidad Foral.</w:t>
      </w:r>
    </w:p>
    <w:p w:rsidR="002577D1" w:rsidRDefault="004B0D73" w:rsidP="002577D1">
      <w:pPr>
        <w:pStyle w:val="atitulo3"/>
      </w:pPr>
      <w:r>
        <w:t>IV.5</w:t>
      </w:r>
      <w:r w:rsidR="00FB68DE">
        <w:t xml:space="preserve">.2. Actuaciones de la </w:t>
      </w:r>
      <w:r w:rsidR="0081699E">
        <w:t>Universidad</w:t>
      </w:r>
    </w:p>
    <w:p w:rsidR="00B22B07" w:rsidRPr="00B22B07" w:rsidRDefault="00B22B07" w:rsidP="00B22B07">
      <w:pPr>
        <w:pStyle w:val="texto"/>
        <w:numPr>
          <w:ilvl w:val="0"/>
          <w:numId w:val="19"/>
        </w:numPr>
        <w:rPr>
          <w:b/>
        </w:rPr>
      </w:pPr>
      <w:r w:rsidRPr="00B22B07">
        <w:rPr>
          <w:b/>
        </w:rPr>
        <w:t>Estatutos</w:t>
      </w:r>
    </w:p>
    <w:p w:rsidR="009F2FBD" w:rsidRDefault="004D0B92" w:rsidP="009F2FBD">
      <w:pPr>
        <w:pStyle w:val="texto"/>
      </w:pPr>
      <w:r>
        <w:t>Como r</w:t>
      </w:r>
      <w:r w:rsidR="009F2FBD">
        <w:t>esultado de la modificación de los estatutos de la Universidad aco</w:t>
      </w:r>
      <w:r w:rsidR="009F2FBD">
        <w:t>n</w:t>
      </w:r>
      <w:r w:rsidR="009F2FBD">
        <w:t>tecida en 2011, se introducen en los mismos, los siguientes mandatos:</w:t>
      </w:r>
    </w:p>
    <w:p w:rsidR="009F2FBD" w:rsidRPr="009F2FBD"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F2FBD">
        <w:rPr>
          <w:szCs w:val="26"/>
        </w:rPr>
        <w:t>Exposición de motivos: La promulgación de la Ley Orgánica 6/2001, de 21 de diciembre, de Universidades, ha abierto un nuevo proceso estatuyente en el seno de la comunidad universitaria española. La Universidad Pública de Nav</w:t>
      </w:r>
      <w:r w:rsidRPr="009F2FBD">
        <w:rPr>
          <w:szCs w:val="26"/>
        </w:rPr>
        <w:t>a</w:t>
      </w:r>
      <w:r w:rsidRPr="009F2FBD">
        <w:rPr>
          <w:szCs w:val="26"/>
        </w:rPr>
        <w:t>rra, impulsada por el mandato legal, ha aprovechado la ocasión para volver a reflexionar sobre su estructura y gobierno, así como sobre las actividades ac</w:t>
      </w:r>
      <w:r w:rsidRPr="009F2FBD">
        <w:rPr>
          <w:szCs w:val="26"/>
        </w:rPr>
        <w:t>a</w:t>
      </w:r>
      <w:r w:rsidRPr="009F2FBD">
        <w:rPr>
          <w:szCs w:val="26"/>
        </w:rPr>
        <w:t>démicas y otras diversas cuestiones universitarias, analizadas todas ellas desde el punto de vista del deber primordial de actuar como instrumento de transfo</w:t>
      </w:r>
      <w:r w:rsidRPr="009F2FBD">
        <w:rPr>
          <w:szCs w:val="26"/>
        </w:rPr>
        <w:t>r</w:t>
      </w:r>
      <w:r w:rsidRPr="009F2FBD">
        <w:rPr>
          <w:szCs w:val="26"/>
        </w:rPr>
        <w:t>mación social al servicio de la libertad,</w:t>
      </w:r>
      <w:r w:rsidRPr="00FD6B00">
        <w:rPr>
          <w:szCs w:val="26"/>
        </w:rPr>
        <w:t xml:space="preserve"> la igualdad </w:t>
      </w:r>
      <w:r w:rsidRPr="009F2FBD">
        <w:rPr>
          <w:szCs w:val="26"/>
        </w:rPr>
        <w:t>y el progreso en aras de la realización plena de la dignidad humana.</w:t>
      </w:r>
    </w:p>
    <w:p w:rsidR="00BA3B07"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BA3B07">
        <w:rPr>
          <w:szCs w:val="26"/>
        </w:rPr>
        <w:t xml:space="preserve">Artículo 3. Para el mejor cumplimiento de sus funciones y rigiéndose por los </w:t>
      </w:r>
      <w:r w:rsidRPr="00FD6B00">
        <w:rPr>
          <w:szCs w:val="26"/>
        </w:rPr>
        <w:t xml:space="preserve">principios de igualdad, </w:t>
      </w:r>
      <w:r w:rsidRPr="00BA3B07">
        <w:rPr>
          <w:szCs w:val="26"/>
        </w:rPr>
        <w:t>participación democrática, transparencia y libertad académica, la Universidad Pública de Navarra</w:t>
      </w:r>
      <w:r w:rsidR="00BA3B07" w:rsidRPr="00BA3B07">
        <w:rPr>
          <w:szCs w:val="26"/>
        </w:rPr>
        <w:t>…</w:t>
      </w:r>
    </w:p>
    <w:p w:rsidR="009F2FBD" w:rsidRPr="00FD6B00"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BA3B07">
        <w:rPr>
          <w:szCs w:val="26"/>
        </w:rPr>
        <w:t>Artículo 49. 1. La elección de los representantes de los distintos sectores de la comunidad universitaria en el Claustro, las Juntas de Centro y los Cons</w:t>
      </w:r>
      <w:r w:rsidRPr="00BA3B07">
        <w:rPr>
          <w:szCs w:val="26"/>
        </w:rPr>
        <w:t>e</w:t>
      </w:r>
      <w:r w:rsidRPr="00BA3B07">
        <w:rPr>
          <w:szCs w:val="26"/>
        </w:rPr>
        <w:t>jos de Departamento e Institutos Universitarios de Investigación, así como la de los restantes órganos de gobierno y representación, se realizará en los términos previstos en la Ley Orgánica de Universidades, en los presentes Estatutos y en el Reglamento electoral de la Universidad, propiciando en tales órganos</w:t>
      </w:r>
      <w:r w:rsidRPr="00FD6B00">
        <w:rPr>
          <w:szCs w:val="26"/>
        </w:rPr>
        <w:t xml:space="preserve"> la pr</w:t>
      </w:r>
      <w:r w:rsidRPr="00FD6B00">
        <w:rPr>
          <w:szCs w:val="26"/>
        </w:rPr>
        <w:t>e</w:t>
      </w:r>
      <w:r w:rsidRPr="00FD6B00">
        <w:rPr>
          <w:szCs w:val="26"/>
        </w:rPr>
        <w:t>sencia equilibrada entre hombres y mujeres.</w:t>
      </w:r>
    </w:p>
    <w:p w:rsidR="009F2FBD" w:rsidRPr="00FD6B00"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F2FBD">
        <w:rPr>
          <w:szCs w:val="26"/>
        </w:rPr>
        <w:t xml:space="preserve">Artículo 67.1. </w:t>
      </w:r>
      <w:r w:rsidR="00BA3B07">
        <w:rPr>
          <w:szCs w:val="26"/>
        </w:rPr>
        <w:t>La Universidad p</w:t>
      </w:r>
      <w:r w:rsidRPr="009F2FBD">
        <w:rPr>
          <w:szCs w:val="26"/>
        </w:rPr>
        <w:t>romoverá, además, que los Grupos de I</w:t>
      </w:r>
      <w:r w:rsidRPr="009F2FBD">
        <w:rPr>
          <w:szCs w:val="26"/>
        </w:rPr>
        <w:t>n</w:t>
      </w:r>
      <w:r w:rsidRPr="009F2FBD">
        <w:rPr>
          <w:szCs w:val="26"/>
        </w:rPr>
        <w:t>vestigación desarrollen su carrera profesional fomentando</w:t>
      </w:r>
      <w:r w:rsidRPr="00FD6B00">
        <w:rPr>
          <w:szCs w:val="26"/>
        </w:rPr>
        <w:t xml:space="preserve"> la presencia equil</w:t>
      </w:r>
      <w:r w:rsidRPr="00FD6B00">
        <w:rPr>
          <w:szCs w:val="26"/>
        </w:rPr>
        <w:t>i</w:t>
      </w:r>
      <w:r w:rsidRPr="00FD6B00">
        <w:rPr>
          <w:szCs w:val="26"/>
        </w:rPr>
        <w:t>brada entre mujeres y hombres en todos los ámbitos.</w:t>
      </w:r>
    </w:p>
    <w:p w:rsidR="00FD6B00"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F2FBD">
        <w:rPr>
          <w:szCs w:val="26"/>
        </w:rPr>
        <w:t xml:space="preserve">Artículo 80.5. Sobre </w:t>
      </w:r>
      <w:r w:rsidR="0091310A">
        <w:rPr>
          <w:szCs w:val="26"/>
        </w:rPr>
        <w:t>las comisiones de los</w:t>
      </w:r>
      <w:r w:rsidRPr="009F2FBD">
        <w:rPr>
          <w:szCs w:val="26"/>
        </w:rPr>
        <w:t xml:space="preserve"> concursos de acceso para las plazas correspondientes a los cuerpos docentes universitario</w:t>
      </w:r>
      <w:r w:rsidR="00BA3B07">
        <w:rPr>
          <w:szCs w:val="26"/>
        </w:rPr>
        <w:t>s</w:t>
      </w:r>
      <w:r w:rsidR="00FD6B00">
        <w:rPr>
          <w:szCs w:val="26"/>
        </w:rPr>
        <w:t>:</w:t>
      </w:r>
    </w:p>
    <w:p w:rsidR="009F2FBD" w:rsidRPr="00FD6B00" w:rsidRDefault="00BA3B07" w:rsidP="00FD6B00">
      <w:pPr>
        <w:pStyle w:val="texto"/>
        <w:tabs>
          <w:tab w:val="clear" w:pos="2835"/>
          <w:tab w:val="clear" w:pos="3969"/>
          <w:tab w:val="clear" w:pos="5103"/>
          <w:tab w:val="clear" w:pos="6237"/>
          <w:tab w:val="clear" w:pos="7371"/>
          <w:tab w:val="left" w:pos="480"/>
          <w:tab w:val="num" w:pos="928"/>
          <w:tab w:val="num" w:pos="6597"/>
        </w:tabs>
        <w:ind w:left="290" w:firstLine="0"/>
        <w:rPr>
          <w:sz w:val="22"/>
          <w:szCs w:val="22"/>
        </w:rPr>
      </w:pPr>
      <w:r w:rsidRPr="00FD6B00">
        <w:rPr>
          <w:sz w:val="22"/>
          <w:szCs w:val="22"/>
        </w:rPr>
        <w:t xml:space="preserve"> “…</w:t>
      </w:r>
      <w:r w:rsidR="009F2FBD" w:rsidRPr="00FD6B00">
        <w:rPr>
          <w:i/>
          <w:sz w:val="22"/>
          <w:szCs w:val="22"/>
        </w:rPr>
        <w:t>En la formación de la Comisión se procurará una composición equilibrada entre m</w:t>
      </w:r>
      <w:r w:rsidR="009F2FBD" w:rsidRPr="00FD6B00">
        <w:rPr>
          <w:i/>
          <w:sz w:val="22"/>
          <w:szCs w:val="22"/>
        </w:rPr>
        <w:t>u</w:t>
      </w:r>
      <w:r w:rsidR="009F2FBD" w:rsidRPr="00FD6B00">
        <w:rPr>
          <w:i/>
          <w:sz w:val="22"/>
          <w:szCs w:val="22"/>
        </w:rPr>
        <w:t>jeres y hombres, salvo que no sea posible por razones fundadas y objetivas debidamente acredi</w:t>
      </w:r>
      <w:r w:rsidRPr="00FD6B00">
        <w:rPr>
          <w:i/>
          <w:sz w:val="22"/>
          <w:szCs w:val="22"/>
        </w:rPr>
        <w:t>tadas…</w:t>
      </w:r>
      <w:r w:rsidR="009F2FBD" w:rsidRPr="00FD6B00">
        <w:rPr>
          <w:sz w:val="22"/>
          <w:szCs w:val="22"/>
        </w:rPr>
        <w:t>”</w:t>
      </w:r>
    </w:p>
    <w:p w:rsidR="009F2FBD" w:rsidRPr="00232338" w:rsidRDefault="007566EF" w:rsidP="0023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Contratación de personal:</w:t>
      </w:r>
      <w:r w:rsidR="00232338">
        <w:rPr>
          <w:szCs w:val="26"/>
        </w:rPr>
        <w:t xml:space="preserve"> Los artículos 84 y 111 indican que</w:t>
      </w:r>
      <w:r w:rsidR="00F77124">
        <w:rPr>
          <w:szCs w:val="26"/>
        </w:rPr>
        <w:t>,</w:t>
      </w:r>
      <w:r w:rsidR="00232338">
        <w:rPr>
          <w:szCs w:val="26"/>
        </w:rPr>
        <w:t xml:space="preserve"> en la contr</w:t>
      </w:r>
      <w:r w:rsidR="00232338">
        <w:rPr>
          <w:szCs w:val="26"/>
        </w:rPr>
        <w:t>a</w:t>
      </w:r>
      <w:r w:rsidR="00232338">
        <w:rPr>
          <w:szCs w:val="26"/>
        </w:rPr>
        <w:t>tación del PDI y del PAS</w:t>
      </w:r>
      <w:r w:rsidR="002C44AB">
        <w:rPr>
          <w:szCs w:val="26"/>
        </w:rPr>
        <w:t>, respectivamente,</w:t>
      </w:r>
      <w:r w:rsidR="00232338">
        <w:rPr>
          <w:szCs w:val="26"/>
        </w:rPr>
        <w:t xml:space="preserve"> </w:t>
      </w:r>
      <w:r w:rsidR="00232338" w:rsidRPr="009F2FBD">
        <w:rPr>
          <w:szCs w:val="26"/>
        </w:rPr>
        <w:t>se efectuará</w:t>
      </w:r>
      <w:r w:rsidR="00232338">
        <w:rPr>
          <w:szCs w:val="26"/>
        </w:rPr>
        <w:t>n</w:t>
      </w:r>
      <w:r w:rsidR="00232338" w:rsidRPr="009F2FBD">
        <w:rPr>
          <w:szCs w:val="26"/>
        </w:rPr>
        <w:t xml:space="preserve"> con respeto a los </w:t>
      </w:r>
      <w:r w:rsidR="00232338" w:rsidRPr="009F2FBD">
        <w:rPr>
          <w:szCs w:val="26"/>
        </w:rPr>
        <w:lastRenderedPageBreak/>
        <w:t xml:space="preserve">principios constitucionales de </w:t>
      </w:r>
      <w:r w:rsidR="00232338" w:rsidRPr="00FD6B00">
        <w:rPr>
          <w:szCs w:val="26"/>
        </w:rPr>
        <w:t>igualdad,</w:t>
      </w:r>
      <w:r w:rsidR="00232338" w:rsidRPr="009F2FBD">
        <w:rPr>
          <w:szCs w:val="26"/>
        </w:rPr>
        <w:t xml:space="preserve"> mérito y capacidad.</w:t>
      </w:r>
      <w:r w:rsidR="00232338">
        <w:rPr>
          <w:szCs w:val="26"/>
        </w:rPr>
        <w:t xml:space="preserve"> Estos principios, de acuerdo con el artículo 141, se aplicaran igualmente a las contrataciones de personal efectuadas por las</w:t>
      </w:r>
      <w:r w:rsidR="00232338" w:rsidRPr="00232338">
        <w:rPr>
          <w:szCs w:val="26"/>
        </w:rPr>
        <w:t xml:space="preserve"> </w:t>
      </w:r>
      <w:r w:rsidR="00232338" w:rsidRPr="009F2FBD">
        <w:rPr>
          <w:szCs w:val="26"/>
        </w:rPr>
        <w:t>entidades jurídico-privadas en cuyo capital social o fondo patrimonial participe la Universidad mayoritariamente</w:t>
      </w:r>
      <w:r w:rsidR="00232338">
        <w:rPr>
          <w:szCs w:val="26"/>
        </w:rPr>
        <w:t>.</w:t>
      </w:r>
    </w:p>
    <w:p w:rsidR="009324DF" w:rsidRDefault="009F2FBD"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F2FBD">
        <w:rPr>
          <w:szCs w:val="26"/>
        </w:rPr>
        <w:t>Disposición adicional Sexta. La Universidad Pública de Navarra, en el á</w:t>
      </w:r>
      <w:r w:rsidRPr="009F2FBD">
        <w:rPr>
          <w:szCs w:val="26"/>
        </w:rPr>
        <w:t>m</w:t>
      </w:r>
      <w:r w:rsidRPr="009F2FBD">
        <w:rPr>
          <w:szCs w:val="26"/>
        </w:rPr>
        <w:t xml:space="preserve">bito de sus competencias, promoverá las condiciones para que la libertad y la </w:t>
      </w:r>
      <w:r w:rsidRPr="00FD6B00">
        <w:rPr>
          <w:szCs w:val="26"/>
        </w:rPr>
        <w:t xml:space="preserve">igualdad </w:t>
      </w:r>
      <w:r w:rsidRPr="009F2FBD">
        <w:rPr>
          <w:szCs w:val="26"/>
        </w:rPr>
        <w:t>del individuo sean reales y efectivas y, en concreto, removerá los ob</w:t>
      </w:r>
      <w:r w:rsidRPr="009F2FBD">
        <w:rPr>
          <w:szCs w:val="26"/>
        </w:rPr>
        <w:t>s</w:t>
      </w:r>
      <w:r w:rsidRPr="009F2FBD">
        <w:rPr>
          <w:szCs w:val="26"/>
        </w:rPr>
        <w:t>táculos que dificulten o impidan su plenitud, facilitando la participación de t</w:t>
      </w:r>
      <w:r w:rsidRPr="009F2FBD">
        <w:rPr>
          <w:szCs w:val="26"/>
        </w:rPr>
        <w:t>o</w:t>
      </w:r>
      <w:r w:rsidRPr="009F2FBD">
        <w:rPr>
          <w:szCs w:val="26"/>
        </w:rPr>
        <w:t xml:space="preserve">dos los miembros de la comunidad universitaria en la vida académica. </w:t>
      </w:r>
    </w:p>
    <w:p w:rsidR="009F2FBD" w:rsidRPr="009F2FBD" w:rsidRDefault="009324DF" w:rsidP="009F2FB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Disposición adicional </w:t>
      </w:r>
      <w:r w:rsidR="009F2FBD" w:rsidRPr="009F2FBD">
        <w:rPr>
          <w:szCs w:val="26"/>
        </w:rPr>
        <w:t xml:space="preserve">Octava. La Universidad Pública de Navarra contará entre sus estructuras de organización con </w:t>
      </w:r>
      <w:r w:rsidR="009F2FBD" w:rsidRPr="00FD6B00">
        <w:rPr>
          <w:szCs w:val="26"/>
        </w:rPr>
        <w:t xml:space="preserve">unidades de igualdad </w:t>
      </w:r>
      <w:r w:rsidR="009F2FBD" w:rsidRPr="009F2FBD">
        <w:rPr>
          <w:szCs w:val="26"/>
        </w:rPr>
        <w:t>para el desarr</w:t>
      </w:r>
      <w:r w:rsidR="009F2FBD" w:rsidRPr="009F2FBD">
        <w:rPr>
          <w:szCs w:val="26"/>
        </w:rPr>
        <w:t>o</w:t>
      </w:r>
      <w:r w:rsidR="009F2FBD" w:rsidRPr="009F2FBD">
        <w:rPr>
          <w:szCs w:val="26"/>
        </w:rPr>
        <w:t xml:space="preserve">llo de las funciones relacionadas con el principio de igualdad entre mujeres y hombres. </w:t>
      </w:r>
    </w:p>
    <w:p w:rsidR="009F2FBD" w:rsidRPr="009F2FBD" w:rsidRDefault="009F2FBD" w:rsidP="00000AA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sidRPr="009F2FBD">
        <w:rPr>
          <w:szCs w:val="26"/>
        </w:rPr>
        <w:t xml:space="preserve">Disposición adicional Novena. Las denominaciones relativas a los órganos unipersonales de la Universidad, a sus titulares e integrantes y a los miembros de la comunidad universitaria, así como cualesquiera otras que, en los presentes Estatutos, se efectúen en género masculino, se entenderán </w:t>
      </w:r>
      <w:r w:rsidRPr="00FD6B00">
        <w:rPr>
          <w:szCs w:val="26"/>
        </w:rPr>
        <w:t>hechas indistint</w:t>
      </w:r>
      <w:r w:rsidRPr="00FD6B00">
        <w:rPr>
          <w:szCs w:val="26"/>
        </w:rPr>
        <w:t>a</w:t>
      </w:r>
      <w:r w:rsidRPr="00FD6B00">
        <w:rPr>
          <w:szCs w:val="26"/>
        </w:rPr>
        <w:t>mente en género femenino</w:t>
      </w:r>
      <w:r w:rsidRPr="009F2FBD">
        <w:rPr>
          <w:szCs w:val="26"/>
        </w:rPr>
        <w:t>, según el sexo de la persona a quien dichas denom</w:t>
      </w:r>
      <w:r w:rsidRPr="009F2FBD">
        <w:rPr>
          <w:szCs w:val="26"/>
        </w:rPr>
        <w:t>i</w:t>
      </w:r>
      <w:r w:rsidRPr="009F2FBD">
        <w:rPr>
          <w:szCs w:val="26"/>
        </w:rPr>
        <w:t>naciones afecten.</w:t>
      </w:r>
    </w:p>
    <w:p w:rsidR="00424631" w:rsidRPr="00424631" w:rsidRDefault="00424631" w:rsidP="00424631">
      <w:pPr>
        <w:pStyle w:val="texto"/>
        <w:numPr>
          <w:ilvl w:val="0"/>
          <w:numId w:val="19"/>
        </w:numPr>
        <w:tabs>
          <w:tab w:val="clear" w:pos="2835"/>
          <w:tab w:val="clear" w:pos="3969"/>
          <w:tab w:val="clear" w:pos="5103"/>
          <w:tab w:val="clear" w:pos="6237"/>
          <w:tab w:val="clear" w:pos="7371"/>
          <w:tab w:val="left" w:pos="480"/>
          <w:tab w:val="num" w:pos="6597"/>
        </w:tabs>
        <w:rPr>
          <w:b/>
          <w:szCs w:val="26"/>
        </w:rPr>
      </w:pPr>
      <w:r w:rsidRPr="00424631">
        <w:rPr>
          <w:b/>
          <w:szCs w:val="26"/>
        </w:rPr>
        <w:t>Unidad de Igualdad</w:t>
      </w:r>
    </w:p>
    <w:p w:rsidR="007851BF" w:rsidRDefault="00424631" w:rsidP="009324DF">
      <w:pPr>
        <w:pStyle w:val="texto"/>
        <w:tabs>
          <w:tab w:val="clear" w:pos="2835"/>
          <w:tab w:val="clear" w:pos="3969"/>
          <w:tab w:val="clear" w:pos="5103"/>
          <w:tab w:val="clear" w:pos="6237"/>
          <w:tab w:val="clear" w:pos="7371"/>
          <w:tab w:val="left" w:pos="480"/>
          <w:tab w:val="num" w:pos="928"/>
          <w:tab w:val="num" w:pos="6597"/>
        </w:tabs>
        <w:rPr>
          <w:szCs w:val="26"/>
        </w:rPr>
      </w:pPr>
      <w:r>
        <w:rPr>
          <w:szCs w:val="26"/>
        </w:rPr>
        <w:t>En</w:t>
      </w:r>
      <w:r w:rsidR="007851BF">
        <w:rPr>
          <w:szCs w:val="26"/>
        </w:rPr>
        <w:t xml:space="preserve"> 2009</w:t>
      </w:r>
      <w:r>
        <w:rPr>
          <w:szCs w:val="26"/>
        </w:rPr>
        <w:t xml:space="preserve"> se crea la</w:t>
      </w:r>
      <w:r w:rsidR="007851BF">
        <w:rPr>
          <w:szCs w:val="26"/>
        </w:rPr>
        <w:t xml:space="preserve"> Unidad de Igualdad, respondiendo a las directrices </w:t>
      </w:r>
      <w:r w:rsidR="002C16B7">
        <w:rPr>
          <w:szCs w:val="26"/>
        </w:rPr>
        <w:t xml:space="preserve">legales </w:t>
      </w:r>
      <w:r w:rsidR="007851BF">
        <w:rPr>
          <w:szCs w:val="26"/>
        </w:rPr>
        <w:t xml:space="preserve">anteriores y al II Plan Estratégico de la </w:t>
      </w:r>
      <w:r w:rsidR="0081699E">
        <w:rPr>
          <w:szCs w:val="26"/>
        </w:rPr>
        <w:t>Universidad</w:t>
      </w:r>
      <w:r w:rsidR="007851BF">
        <w:rPr>
          <w:szCs w:val="26"/>
        </w:rPr>
        <w:t>.</w:t>
      </w:r>
      <w:r w:rsidR="00A96CD7">
        <w:rPr>
          <w:szCs w:val="26"/>
        </w:rPr>
        <w:t xml:space="preserve"> </w:t>
      </w:r>
      <w:r w:rsidR="002908F2">
        <w:rPr>
          <w:szCs w:val="26"/>
        </w:rPr>
        <w:t>Los recursos humanos de esta Unidad se limitan a una técnica y las funciones asignadas son</w:t>
      </w:r>
      <w:r w:rsidR="00A96CD7">
        <w:rPr>
          <w:szCs w:val="26"/>
        </w:rPr>
        <w:t xml:space="preserve"> las siguie</w:t>
      </w:r>
      <w:r w:rsidR="00A96CD7">
        <w:rPr>
          <w:szCs w:val="26"/>
        </w:rPr>
        <w:t>n</w:t>
      </w:r>
      <w:r w:rsidR="00A96CD7">
        <w:rPr>
          <w:szCs w:val="26"/>
        </w:rPr>
        <w:t>tes:</w:t>
      </w:r>
    </w:p>
    <w:p w:rsidR="00A96CD7" w:rsidRP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96CD7">
        <w:rPr>
          <w:szCs w:val="26"/>
        </w:rPr>
        <w:t>Visibilizar las desigualdades por razón de género existentes hoy en día en el ámbito universitario.</w:t>
      </w:r>
    </w:p>
    <w:p w:rsidR="00A96CD7" w:rsidRP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96CD7">
        <w:rPr>
          <w:szCs w:val="26"/>
        </w:rPr>
        <w:t xml:space="preserve">Promover la </w:t>
      </w:r>
      <w:r w:rsidR="007F4171">
        <w:rPr>
          <w:szCs w:val="26"/>
        </w:rPr>
        <w:t>i</w:t>
      </w:r>
      <w:r w:rsidRPr="00A96CD7">
        <w:rPr>
          <w:szCs w:val="26"/>
        </w:rPr>
        <w:t xml:space="preserve">gualdad entre mujeres y hombres en todas las áreas y ámbitos de actuación de la Universidad: </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a) </w:t>
      </w:r>
      <w:r w:rsidR="00A96CD7" w:rsidRPr="00A96CD7">
        <w:rPr>
          <w:szCs w:val="26"/>
        </w:rPr>
        <w:t>Impulsando la paridad de género en los órganos de gestión/dirección de la Universidad</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b) </w:t>
      </w:r>
      <w:r w:rsidR="00A96CD7" w:rsidRPr="00A96CD7">
        <w:rPr>
          <w:szCs w:val="26"/>
        </w:rPr>
        <w:t>Eliminando los obstáculos que impiden a las mujeres desarrollar su carr</w:t>
      </w:r>
      <w:r w:rsidR="00A96CD7" w:rsidRPr="00A96CD7">
        <w:rPr>
          <w:szCs w:val="26"/>
        </w:rPr>
        <w:t>e</w:t>
      </w:r>
      <w:r w:rsidR="00A96CD7" w:rsidRPr="00A96CD7">
        <w:rPr>
          <w:szCs w:val="26"/>
        </w:rPr>
        <w:t>ra profesional tanto entre el PDI como entre el PAS.</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c) </w:t>
      </w:r>
      <w:r w:rsidR="00A96CD7" w:rsidRPr="00A96CD7">
        <w:rPr>
          <w:szCs w:val="26"/>
        </w:rPr>
        <w:t>Fomentar el conocimiento del alcance y significado del principio de igualdad entre mujeres y hombres entre toda la comunidad universitaria</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d) </w:t>
      </w:r>
      <w:r w:rsidR="00A96CD7" w:rsidRPr="00A96CD7">
        <w:rPr>
          <w:szCs w:val="26"/>
        </w:rPr>
        <w:t>Promover la utilización no sexista del lenguaje</w:t>
      </w:r>
    </w:p>
    <w:p w:rsidR="00A96CD7" w:rsidRPr="00A96CD7" w:rsidRDefault="00000AAA" w:rsidP="00A96CD7">
      <w:pPr>
        <w:pStyle w:val="texto"/>
        <w:tabs>
          <w:tab w:val="clear" w:pos="2835"/>
          <w:tab w:val="clear" w:pos="3969"/>
          <w:tab w:val="clear" w:pos="5103"/>
          <w:tab w:val="clear" w:pos="6237"/>
          <w:tab w:val="clear" w:pos="7371"/>
          <w:tab w:val="left" w:pos="480"/>
          <w:tab w:val="num" w:pos="928"/>
          <w:tab w:val="num" w:pos="6597"/>
        </w:tabs>
        <w:rPr>
          <w:szCs w:val="26"/>
        </w:rPr>
      </w:pPr>
      <w:r>
        <w:rPr>
          <w:szCs w:val="26"/>
        </w:rPr>
        <w:lastRenderedPageBreak/>
        <w:t xml:space="preserve">e) </w:t>
      </w:r>
      <w:r w:rsidR="00A96CD7" w:rsidRPr="00A96CD7">
        <w:rPr>
          <w:szCs w:val="26"/>
        </w:rPr>
        <w:t>Impulsar la formación en género y la co-educación, así como la particip</w:t>
      </w:r>
      <w:r w:rsidR="00A96CD7" w:rsidRPr="00A96CD7">
        <w:rPr>
          <w:szCs w:val="26"/>
        </w:rPr>
        <w:t>a</w:t>
      </w:r>
      <w:r w:rsidR="00A96CD7" w:rsidRPr="00A96CD7">
        <w:rPr>
          <w:szCs w:val="26"/>
        </w:rPr>
        <w:t>ción en proyectos de investigación y colaboración con otras instituciones y e</w:t>
      </w:r>
      <w:r w:rsidR="00A96CD7" w:rsidRPr="00A96CD7">
        <w:rPr>
          <w:szCs w:val="26"/>
        </w:rPr>
        <w:t>m</w:t>
      </w:r>
      <w:r w:rsidR="00A96CD7" w:rsidRPr="00A96CD7">
        <w:rPr>
          <w:szCs w:val="26"/>
        </w:rPr>
        <w:t>presas que favorezcan la igualdad</w:t>
      </w:r>
    </w:p>
    <w:p w:rsid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96CD7">
        <w:rPr>
          <w:szCs w:val="26"/>
        </w:rPr>
        <w:t>Velar por la aplicación efectiva del principio de igualdad entre mujeres y hombres.</w:t>
      </w:r>
    </w:p>
    <w:p w:rsidR="00A96CD7" w:rsidRDefault="00A96CD7" w:rsidP="00A96CD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A96CD7">
        <w:rPr>
          <w:szCs w:val="26"/>
        </w:rPr>
        <w:t>Contribuir a la erradicación de la violencia de género, el acoso y el abuso por razón de género en el ámbito universitario.</w:t>
      </w:r>
    </w:p>
    <w:p w:rsidR="00A96CD7" w:rsidRDefault="00A96CD7" w:rsidP="0094095F">
      <w:pPr>
        <w:pStyle w:val="texto"/>
        <w:tabs>
          <w:tab w:val="clear" w:pos="2835"/>
          <w:tab w:val="clear" w:pos="3969"/>
          <w:tab w:val="clear" w:pos="5103"/>
          <w:tab w:val="clear" w:pos="6237"/>
          <w:tab w:val="clear" w:pos="7371"/>
          <w:tab w:val="left" w:pos="480"/>
          <w:tab w:val="num" w:pos="928"/>
          <w:tab w:val="num" w:pos="6597"/>
        </w:tabs>
        <w:rPr>
          <w:szCs w:val="26"/>
        </w:rPr>
      </w:pPr>
      <w:r w:rsidRPr="00A96CD7">
        <w:rPr>
          <w:szCs w:val="26"/>
        </w:rPr>
        <w:t>La Unidad de Igualdad dispone de un espacio en la página web</w:t>
      </w:r>
      <w:r>
        <w:rPr>
          <w:szCs w:val="26"/>
        </w:rPr>
        <w:t xml:space="preserve"> de las Un</w:t>
      </w:r>
      <w:r>
        <w:rPr>
          <w:szCs w:val="26"/>
        </w:rPr>
        <w:t>i</w:t>
      </w:r>
      <w:r>
        <w:rPr>
          <w:szCs w:val="26"/>
        </w:rPr>
        <w:t xml:space="preserve">versidad y en ella se encuentra </w:t>
      </w:r>
      <w:r w:rsidRPr="00A96CD7">
        <w:rPr>
          <w:szCs w:val="26"/>
        </w:rPr>
        <w:t xml:space="preserve">información sobre aspectos generales y sobre todas las actividades que realiza. </w:t>
      </w:r>
    </w:p>
    <w:p w:rsidR="00424631" w:rsidRDefault="00424631" w:rsidP="0094095F">
      <w:pPr>
        <w:pStyle w:val="texto"/>
        <w:tabs>
          <w:tab w:val="clear" w:pos="2835"/>
          <w:tab w:val="clear" w:pos="3969"/>
          <w:tab w:val="clear" w:pos="5103"/>
          <w:tab w:val="clear" w:pos="6237"/>
          <w:tab w:val="clear" w:pos="7371"/>
          <w:tab w:val="left" w:pos="480"/>
          <w:tab w:val="num" w:pos="928"/>
          <w:tab w:val="num" w:pos="6597"/>
        </w:tabs>
        <w:rPr>
          <w:szCs w:val="26"/>
        </w:rPr>
      </w:pPr>
      <w:r>
        <w:rPr>
          <w:szCs w:val="26"/>
        </w:rPr>
        <w:t>De acuerdo con la información aportada por la responsable</w:t>
      </w:r>
      <w:r w:rsidR="007E7405">
        <w:rPr>
          <w:szCs w:val="26"/>
        </w:rPr>
        <w:t xml:space="preserve"> técnica</w:t>
      </w:r>
      <w:r>
        <w:rPr>
          <w:szCs w:val="26"/>
        </w:rPr>
        <w:t xml:space="preserve"> de la Unidad, s</w:t>
      </w:r>
      <w:r w:rsidR="00B5314E">
        <w:rPr>
          <w:szCs w:val="26"/>
        </w:rPr>
        <w:t>u</w:t>
      </w:r>
      <w:r>
        <w:rPr>
          <w:szCs w:val="26"/>
        </w:rPr>
        <w:t xml:space="preserve"> trabajo se ha centrado en tres áreas:</w:t>
      </w:r>
    </w:p>
    <w:p w:rsidR="002C16B7" w:rsidRPr="002C16B7" w:rsidRDefault="002C16B7" w:rsidP="002C16B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C16B7">
        <w:rPr>
          <w:szCs w:val="26"/>
        </w:rPr>
        <w:t xml:space="preserve">Alumnado: </w:t>
      </w:r>
      <w:r w:rsidR="004D0B92">
        <w:rPr>
          <w:szCs w:val="26"/>
        </w:rPr>
        <w:t>Actividades de</w:t>
      </w:r>
      <w:r w:rsidRPr="002C16B7">
        <w:rPr>
          <w:szCs w:val="26"/>
        </w:rPr>
        <w:t xml:space="preserve"> sensibilización (prevención violencia, estereot</w:t>
      </w:r>
      <w:r w:rsidRPr="002C16B7">
        <w:rPr>
          <w:szCs w:val="26"/>
        </w:rPr>
        <w:t>i</w:t>
      </w:r>
      <w:r w:rsidRPr="002C16B7">
        <w:rPr>
          <w:szCs w:val="26"/>
        </w:rPr>
        <w:t>pos</w:t>
      </w:r>
      <w:r>
        <w:rPr>
          <w:szCs w:val="26"/>
        </w:rPr>
        <w:t>, acoso</w:t>
      </w:r>
      <w:r w:rsidR="004D0B92">
        <w:rPr>
          <w:szCs w:val="26"/>
        </w:rPr>
        <w:t>…) y organización de</w:t>
      </w:r>
      <w:r w:rsidRPr="002C16B7">
        <w:rPr>
          <w:szCs w:val="26"/>
        </w:rPr>
        <w:t xml:space="preserve"> </w:t>
      </w:r>
      <w:r>
        <w:rPr>
          <w:szCs w:val="26"/>
        </w:rPr>
        <w:t xml:space="preserve">diversas </w:t>
      </w:r>
      <w:r w:rsidRPr="002C16B7">
        <w:rPr>
          <w:szCs w:val="26"/>
        </w:rPr>
        <w:t>actividades</w:t>
      </w:r>
      <w:r>
        <w:rPr>
          <w:szCs w:val="26"/>
        </w:rPr>
        <w:t>,</w:t>
      </w:r>
      <w:r w:rsidRPr="002C16B7">
        <w:rPr>
          <w:szCs w:val="26"/>
        </w:rPr>
        <w:t xml:space="preserve"> </w:t>
      </w:r>
      <w:r w:rsidR="00EC74BE">
        <w:rPr>
          <w:szCs w:val="26"/>
        </w:rPr>
        <w:t>talleres</w:t>
      </w:r>
      <w:r>
        <w:rPr>
          <w:szCs w:val="26"/>
        </w:rPr>
        <w:t xml:space="preserve"> y</w:t>
      </w:r>
      <w:r w:rsidRPr="002C16B7">
        <w:rPr>
          <w:szCs w:val="26"/>
        </w:rPr>
        <w:t xml:space="preserve"> conferencias.</w:t>
      </w:r>
    </w:p>
    <w:p w:rsidR="002C16B7" w:rsidRPr="002C16B7" w:rsidRDefault="002C16B7" w:rsidP="002C16B7">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C16B7">
        <w:rPr>
          <w:szCs w:val="26"/>
        </w:rPr>
        <w:t>PDI:</w:t>
      </w:r>
      <w:r w:rsidR="00EC74BE">
        <w:rPr>
          <w:szCs w:val="26"/>
        </w:rPr>
        <w:t xml:space="preserve"> </w:t>
      </w:r>
      <w:r>
        <w:rPr>
          <w:szCs w:val="26"/>
        </w:rPr>
        <w:t>básicamente en la</w:t>
      </w:r>
      <w:r w:rsidRPr="002C16B7">
        <w:rPr>
          <w:szCs w:val="26"/>
        </w:rPr>
        <w:t xml:space="preserve"> incorporación en la docencia del enfoque de gén</w:t>
      </w:r>
      <w:r w:rsidRPr="002C16B7">
        <w:rPr>
          <w:szCs w:val="26"/>
        </w:rPr>
        <w:t>e</w:t>
      </w:r>
      <w:r w:rsidRPr="002C16B7">
        <w:rPr>
          <w:szCs w:val="26"/>
        </w:rPr>
        <w:t xml:space="preserve">ro. </w:t>
      </w:r>
      <w:r>
        <w:rPr>
          <w:szCs w:val="26"/>
        </w:rPr>
        <w:t>Para ello, organiza cursos,</w:t>
      </w:r>
      <w:r w:rsidRPr="002C16B7">
        <w:rPr>
          <w:szCs w:val="26"/>
        </w:rPr>
        <w:t xml:space="preserve"> participa en la elaboración o reparto de unidades didácticas</w:t>
      </w:r>
      <w:r>
        <w:rPr>
          <w:szCs w:val="26"/>
        </w:rPr>
        <w:t>, y fomenta la elaboración de</w:t>
      </w:r>
      <w:r w:rsidRPr="002C16B7">
        <w:rPr>
          <w:szCs w:val="26"/>
        </w:rPr>
        <w:t xml:space="preserve"> trabajos fin de grado</w:t>
      </w:r>
      <w:r>
        <w:rPr>
          <w:szCs w:val="26"/>
        </w:rPr>
        <w:t>,</w:t>
      </w:r>
      <w:r w:rsidRPr="002C16B7">
        <w:rPr>
          <w:szCs w:val="26"/>
        </w:rPr>
        <w:t xml:space="preserve"> fin de master</w:t>
      </w:r>
      <w:r>
        <w:rPr>
          <w:szCs w:val="26"/>
        </w:rPr>
        <w:t xml:space="preserve"> y proyectos de investigación</w:t>
      </w:r>
      <w:r w:rsidRPr="002C16B7">
        <w:rPr>
          <w:szCs w:val="26"/>
        </w:rPr>
        <w:t xml:space="preserve"> con enfoque de género</w:t>
      </w:r>
      <w:r>
        <w:rPr>
          <w:szCs w:val="26"/>
        </w:rPr>
        <w:t>.</w:t>
      </w:r>
    </w:p>
    <w:p w:rsidR="00424631" w:rsidRDefault="002C16B7" w:rsidP="00D858C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2C16B7">
        <w:rPr>
          <w:szCs w:val="26"/>
        </w:rPr>
        <w:t>PAS: concienciación de uso de lenguaje inclusivo en la elaboración de m</w:t>
      </w:r>
      <w:r w:rsidRPr="002C16B7">
        <w:rPr>
          <w:szCs w:val="26"/>
        </w:rPr>
        <w:t>a</w:t>
      </w:r>
      <w:r w:rsidRPr="002C16B7">
        <w:rPr>
          <w:szCs w:val="26"/>
        </w:rPr>
        <w:t>teriales gráficos, carteles, impresos, solicitudes</w:t>
      </w:r>
      <w:r>
        <w:rPr>
          <w:szCs w:val="26"/>
        </w:rPr>
        <w:t>.</w:t>
      </w:r>
      <w:r w:rsidRPr="002C16B7">
        <w:rPr>
          <w:szCs w:val="26"/>
        </w:rPr>
        <w:t>..</w:t>
      </w:r>
      <w:r>
        <w:rPr>
          <w:szCs w:val="26"/>
        </w:rPr>
        <w:t xml:space="preserve"> Igualmente se imparte form</w:t>
      </w:r>
      <w:r>
        <w:rPr>
          <w:szCs w:val="26"/>
        </w:rPr>
        <w:t>a</w:t>
      </w:r>
      <w:r>
        <w:rPr>
          <w:szCs w:val="26"/>
        </w:rPr>
        <w:t>ción de</w:t>
      </w:r>
      <w:r w:rsidRPr="002C16B7">
        <w:rPr>
          <w:szCs w:val="26"/>
        </w:rPr>
        <w:t xml:space="preserve"> igualdad en el puesto de trabajo y sobre medid</w:t>
      </w:r>
      <w:r>
        <w:rPr>
          <w:szCs w:val="26"/>
        </w:rPr>
        <w:t>as</w:t>
      </w:r>
      <w:r w:rsidRPr="002C16B7">
        <w:rPr>
          <w:szCs w:val="26"/>
        </w:rPr>
        <w:t xml:space="preserve"> de conciliación.</w:t>
      </w:r>
    </w:p>
    <w:p w:rsidR="007149C5" w:rsidRPr="00D858C5" w:rsidRDefault="007149C5" w:rsidP="007149C5">
      <w:pPr>
        <w:pStyle w:val="texto"/>
        <w:tabs>
          <w:tab w:val="clear" w:pos="2835"/>
          <w:tab w:val="clear" w:pos="3969"/>
          <w:tab w:val="clear" w:pos="5103"/>
          <w:tab w:val="clear" w:pos="6237"/>
          <w:tab w:val="clear" w:pos="7371"/>
          <w:tab w:val="left" w:pos="480"/>
          <w:tab w:val="num" w:pos="928"/>
          <w:tab w:val="num" w:pos="6597"/>
        </w:tabs>
        <w:rPr>
          <w:szCs w:val="26"/>
        </w:rPr>
      </w:pPr>
      <w:r>
        <w:rPr>
          <w:szCs w:val="26"/>
        </w:rPr>
        <w:t>Asimismo es inminente la aprobación de un Protocolo contra el Acoso en la Universidad, con rango de obligatoriedad para todos los estamentos.</w:t>
      </w:r>
    </w:p>
    <w:p w:rsidR="00A96CD7" w:rsidRDefault="00A96CD7" w:rsidP="00A96CD7">
      <w:pPr>
        <w:pStyle w:val="texto"/>
        <w:numPr>
          <w:ilvl w:val="0"/>
          <w:numId w:val="19"/>
        </w:numPr>
        <w:tabs>
          <w:tab w:val="clear" w:pos="2835"/>
          <w:tab w:val="clear" w:pos="3969"/>
          <w:tab w:val="clear" w:pos="5103"/>
          <w:tab w:val="clear" w:pos="6237"/>
          <w:tab w:val="clear" w:pos="7371"/>
          <w:tab w:val="left" w:pos="480"/>
          <w:tab w:val="num" w:pos="6597"/>
        </w:tabs>
        <w:rPr>
          <w:b/>
          <w:szCs w:val="26"/>
        </w:rPr>
      </w:pPr>
      <w:r w:rsidRPr="00A96CD7">
        <w:rPr>
          <w:b/>
          <w:szCs w:val="26"/>
        </w:rPr>
        <w:t>Planes de Igualdad</w:t>
      </w:r>
    </w:p>
    <w:p w:rsidR="00A96CD7" w:rsidRDefault="00A96CD7" w:rsidP="00A96CD7">
      <w:pPr>
        <w:pStyle w:val="texto"/>
        <w:tabs>
          <w:tab w:val="clear" w:pos="2835"/>
          <w:tab w:val="clear" w:pos="3969"/>
          <w:tab w:val="clear" w:pos="5103"/>
          <w:tab w:val="clear" w:pos="6237"/>
          <w:tab w:val="clear" w:pos="7371"/>
          <w:tab w:val="left" w:pos="480"/>
          <w:tab w:val="num" w:pos="928"/>
          <w:tab w:val="num" w:pos="6597"/>
        </w:tabs>
        <w:rPr>
          <w:szCs w:val="26"/>
        </w:rPr>
      </w:pPr>
      <w:r w:rsidRPr="00A96CD7">
        <w:rPr>
          <w:szCs w:val="26"/>
        </w:rPr>
        <w:t>Con carácter previ</w:t>
      </w:r>
      <w:r>
        <w:rPr>
          <w:szCs w:val="26"/>
        </w:rPr>
        <w:t xml:space="preserve">o, en 2007 se elaboró un Diagnóstico de desigualdad de género en la </w:t>
      </w:r>
      <w:r w:rsidR="0081699E">
        <w:rPr>
          <w:szCs w:val="26"/>
        </w:rPr>
        <w:t>Universidad</w:t>
      </w:r>
      <w:r>
        <w:rPr>
          <w:szCs w:val="26"/>
        </w:rPr>
        <w:t xml:space="preserve"> elaborado por un equipo de investigación. Este info</w:t>
      </w:r>
      <w:r>
        <w:rPr>
          <w:szCs w:val="26"/>
        </w:rPr>
        <w:t>r</w:t>
      </w:r>
      <w:r>
        <w:rPr>
          <w:szCs w:val="26"/>
        </w:rPr>
        <w:t>me fue actualizado en 2008.</w:t>
      </w:r>
    </w:p>
    <w:p w:rsidR="00A96CD7" w:rsidRDefault="00A96CD7" w:rsidP="00A96CD7">
      <w:pPr>
        <w:pStyle w:val="texto"/>
        <w:tabs>
          <w:tab w:val="clear" w:pos="2835"/>
          <w:tab w:val="clear" w:pos="3969"/>
          <w:tab w:val="clear" w:pos="5103"/>
          <w:tab w:val="clear" w:pos="6237"/>
          <w:tab w:val="clear" w:pos="7371"/>
          <w:tab w:val="left" w:pos="480"/>
          <w:tab w:val="num" w:pos="928"/>
          <w:tab w:val="num" w:pos="6597"/>
        </w:tabs>
        <w:rPr>
          <w:szCs w:val="26"/>
        </w:rPr>
      </w:pPr>
      <w:r>
        <w:rPr>
          <w:szCs w:val="26"/>
        </w:rPr>
        <w:t xml:space="preserve">Fruto de estos estudios, se desarrolla el </w:t>
      </w:r>
      <w:r w:rsidR="00FD6B00">
        <w:rPr>
          <w:szCs w:val="26"/>
        </w:rPr>
        <w:t>P</w:t>
      </w:r>
      <w:r w:rsidR="007F4171">
        <w:rPr>
          <w:szCs w:val="26"/>
        </w:rPr>
        <w:t>rimer</w:t>
      </w:r>
      <w:r>
        <w:rPr>
          <w:szCs w:val="26"/>
        </w:rPr>
        <w:t xml:space="preserve"> Plan de Igualdad de la Un</w:t>
      </w:r>
      <w:r>
        <w:rPr>
          <w:szCs w:val="26"/>
        </w:rPr>
        <w:t>i</w:t>
      </w:r>
      <w:r>
        <w:rPr>
          <w:szCs w:val="26"/>
        </w:rPr>
        <w:t>versidad. Este plan establece cinco áreas de actuación en las que se definen d</w:t>
      </w:r>
      <w:r>
        <w:rPr>
          <w:szCs w:val="26"/>
        </w:rPr>
        <w:t>i</w:t>
      </w:r>
      <w:r>
        <w:rPr>
          <w:szCs w:val="26"/>
        </w:rPr>
        <w:t xml:space="preserve">versos objetivos y se proponen acciones concretas para cada uno de ellos; </w:t>
      </w:r>
      <w:r w:rsidR="00976FF9">
        <w:rPr>
          <w:szCs w:val="26"/>
        </w:rPr>
        <w:t>esas áreas son: la Universidad como ejemplo de buenas prácticas en la igualdad de hombres y mujeres, PDI, PAS, alumnado y órganos de poder universitario.</w:t>
      </w:r>
    </w:p>
    <w:p w:rsidR="0094095F" w:rsidRDefault="0094095F" w:rsidP="002908F2">
      <w:pPr>
        <w:pStyle w:val="texto"/>
        <w:tabs>
          <w:tab w:val="clear" w:pos="2835"/>
          <w:tab w:val="clear" w:pos="3969"/>
          <w:tab w:val="clear" w:pos="5103"/>
          <w:tab w:val="clear" w:pos="6237"/>
          <w:tab w:val="clear" w:pos="7371"/>
          <w:tab w:val="left" w:pos="480"/>
          <w:tab w:val="num" w:pos="928"/>
          <w:tab w:val="num" w:pos="6597"/>
        </w:tabs>
        <w:rPr>
          <w:szCs w:val="26"/>
        </w:rPr>
      </w:pPr>
      <w:r>
        <w:rPr>
          <w:szCs w:val="26"/>
        </w:rPr>
        <w:t>En desarrollo de este Plan de Igualdad, se han elaborado tres planes de a</w:t>
      </w:r>
      <w:r>
        <w:rPr>
          <w:szCs w:val="26"/>
        </w:rPr>
        <w:t>c</w:t>
      </w:r>
      <w:r>
        <w:rPr>
          <w:szCs w:val="26"/>
        </w:rPr>
        <w:t>ción consecutivos para los periodos de 2008/2009, 2009/2010 y 2010/2011.</w:t>
      </w:r>
      <w:r w:rsidR="002908F2">
        <w:rPr>
          <w:szCs w:val="26"/>
        </w:rPr>
        <w:t xml:space="preserve"> </w:t>
      </w:r>
      <w:r>
        <w:rPr>
          <w:szCs w:val="26"/>
        </w:rPr>
        <w:t>Del último de estos planes de acción, destacamos las siguientes medidas operativas:</w:t>
      </w:r>
    </w:p>
    <w:p w:rsidR="00D34705" w:rsidRPr="00FD6B00" w:rsidRDefault="00D34705" w:rsidP="002908F2">
      <w:pPr>
        <w:autoSpaceDE w:val="0"/>
        <w:autoSpaceDN w:val="0"/>
        <w:adjustRightInd w:val="0"/>
        <w:rPr>
          <w:sz w:val="22"/>
          <w:szCs w:val="22"/>
        </w:rPr>
      </w:pPr>
      <w:r w:rsidRPr="00FD6B00">
        <w:rPr>
          <w:sz w:val="22"/>
          <w:szCs w:val="22"/>
        </w:rPr>
        <w:t>Para el objetivo de consolidar la perspectiva de género en la política de comunicación inst</w:t>
      </w:r>
      <w:r w:rsidRPr="00FD6B00">
        <w:rPr>
          <w:sz w:val="22"/>
          <w:szCs w:val="22"/>
        </w:rPr>
        <w:t>i</w:t>
      </w:r>
      <w:r w:rsidRPr="00FD6B00">
        <w:rPr>
          <w:sz w:val="22"/>
          <w:szCs w:val="22"/>
        </w:rPr>
        <w:t>tucional: planificación con el Servicio de Comunicación y Secretaría General de una estrategia para la implantación de un lenguaje inclusivo y elaboración de materiales de apoyo así como de plant</w:t>
      </w:r>
      <w:r w:rsidRPr="00FD6B00">
        <w:rPr>
          <w:sz w:val="22"/>
          <w:szCs w:val="22"/>
        </w:rPr>
        <w:t>i</w:t>
      </w:r>
      <w:r w:rsidRPr="00FD6B00">
        <w:rPr>
          <w:sz w:val="22"/>
          <w:szCs w:val="22"/>
        </w:rPr>
        <w:lastRenderedPageBreak/>
        <w:t>llas -con un uso no sexista del lenguaje- de los principales impresos y documentos utilizados por el personal del PAS y PDI, tales como formularios de matrícula, guías de titulación, convocatoria a oposiciones y/o listas, certificados, etc.</w:t>
      </w:r>
    </w:p>
    <w:p w:rsidR="00D34705" w:rsidRPr="00FD6B00" w:rsidRDefault="00D34705" w:rsidP="00976FF9">
      <w:pPr>
        <w:autoSpaceDE w:val="0"/>
        <w:autoSpaceDN w:val="0"/>
        <w:adjustRightInd w:val="0"/>
        <w:rPr>
          <w:sz w:val="22"/>
          <w:szCs w:val="22"/>
        </w:rPr>
      </w:pPr>
      <w:r w:rsidRPr="00FD6B00">
        <w:rPr>
          <w:sz w:val="22"/>
          <w:szCs w:val="22"/>
        </w:rPr>
        <w:t>Promover la transversalidad de la perspectiva de género en el diseño, ejecución y evaluación de las nuevas titulaciones de grado en el marco Europeo de Educación Superior: elaboración de un estudio, en coordinación con el Departamento de Trabajo Social de la Universidad, sobre la inco</w:t>
      </w:r>
      <w:r w:rsidRPr="00FD6B00">
        <w:rPr>
          <w:sz w:val="22"/>
          <w:szCs w:val="22"/>
        </w:rPr>
        <w:t>r</w:t>
      </w:r>
      <w:r w:rsidRPr="00FD6B00">
        <w:rPr>
          <w:sz w:val="22"/>
          <w:szCs w:val="22"/>
        </w:rPr>
        <w:t xml:space="preserve">poración de la perspectiva de género tanto en el grado de Trabajo Social como en el resto de grados y posgrados que se ofertan desde la Universidad. </w:t>
      </w:r>
      <w:r w:rsidR="00976FF9" w:rsidRPr="00FD6B00">
        <w:rPr>
          <w:sz w:val="22"/>
          <w:szCs w:val="22"/>
        </w:rPr>
        <w:t xml:space="preserve">Este trabajo se concluyó en 2012 y su conclusión principal fue: </w:t>
      </w:r>
      <w:r w:rsidRPr="00FD6B00">
        <w:rPr>
          <w:sz w:val="22"/>
          <w:szCs w:val="22"/>
        </w:rPr>
        <w:t>“</w:t>
      </w:r>
      <w:r w:rsidRPr="00FD6B00">
        <w:rPr>
          <w:i/>
          <w:sz w:val="22"/>
          <w:szCs w:val="22"/>
        </w:rPr>
        <w:t>en la comparativa entre la situación anterior (Diplomaturas y Licenciaturas) y la actual (Grados), decir que no han existido mejoras ni en las Escuelas de Ingeniería: ETSIA y E</w:t>
      </w:r>
      <w:r w:rsidRPr="00FD6B00">
        <w:rPr>
          <w:i/>
          <w:sz w:val="22"/>
          <w:szCs w:val="22"/>
        </w:rPr>
        <w:t>T</w:t>
      </w:r>
      <w:r w:rsidRPr="00FD6B00">
        <w:rPr>
          <w:i/>
          <w:sz w:val="22"/>
          <w:szCs w:val="22"/>
        </w:rPr>
        <w:t>SIIT ni en las Facultades de Ciencias Económicas y Empresariales, de Ciencias Jurídicas y Escu</w:t>
      </w:r>
      <w:r w:rsidRPr="00FD6B00">
        <w:rPr>
          <w:i/>
          <w:sz w:val="22"/>
          <w:szCs w:val="22"/>
        </w:rPr>
        <w:t>e</w:t>
      </w:r>
      <w:r w:rsidRPr="00FD6B00">
        <w:rPr>
          <w:i/>
          <w:sz w:val="22"/>
          <w:szCs w:val="22"/>
        </w:rPr>
        <w:t>la Universitaria de Estudios Sanitarios respecto a la transversalidad de género. No ha sido así, sin embargo, en la Facultad de Ciencias Humanas y Sociales, que recoge resultados positivos en este sentido</w:t>
      </w:r>
      <w:r w:rsidRPr="00FD6B00">
        <w:rPr>
          <w:sz w:val="22"/>
          <w:szCs w:val="22"/>
        </w:rPr>
        <w:t>”.</w:t>
      </w:r>
    </w:p>
    <w:p w:rsidR="00976FF9" w:rsidRPr="00FD6B00" w:rsidRDefault="00976FF9" w:rsidP="00D858C5">
      <w:pPr>
        <w:autoSpaceDE w:val="0"/>
        <w:autoSpaceDN w:val="0"/>
        <w:adjustRightInd w:val="0"/>
        <w:spacing w:after="0"/>
        <w:rPr>
          <w:sz w:val="22"/>
          <w:szCs w:val="22"/>
        </w:rPr>
      </w:pPr>
      <w:r w:rsidRPr="00FD6B00">
        <w:rPr>
          <w:sz w:val="22"/>
          <w:szCs w:val="22"/>
        </w:rPr>
        <w:t>Como propuestas de mejora, se señalan las siguientes:</w:t>
      </w:r>
      <w:r w:rsidR="00D34705" w:rsidRPr="00FD6B00">
        <w:rPr>
          <w:sz w:val="22"/>
          <w:szCs w:val="22"/>
        </w:rPr>
        <w:t xml:space="preserve"> </w:t>
      </w:r>
    </w:p>
    <w:p w:rsidR="00976FF9" w:rsidRPr="00FD6B00" w:rsidRDefault="00D34705" w:rsidP="00976FF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sidRPr="00FD6B00">
        <w:rPr>
          <w:sz w:val="22"/>
          <w:szCs w:val="22"/>
        </w:rPr>
        <w:t>“</w:t>
      </w:r>
      <w:r w:rsidR="00976FF9" w:rsidRPr="00FD6B00">
        <w:rPr>
          <w:i/>
          <w:sz w:val="22"/>
          <w:szCs w:val="22"/>
        </w:rPr>
        <w:t>A</w:t>
      </w:r>
      <w:r w:rsidRPr="00FD6B00">
        <w:rPr>
          <w:i/>
          <w:sz w:val="22"/>
          <w:szCs w:val="22"/>
        </w:rPr>
        <w:t>tención a la realidad existente en diferentes Grados</w:t>
      </w:r>
      <w:r w:rsidR="00976FF9" w:rsidRPr="00FD6B00">
        <w:rPr>
          <w:i/>
          <w:sz w:val="22"/>
          <w:szCs w:val="22"/>
        </w:rPr>
        <w:t xml:space="preserve">: </w:t>
      </w:r>
      <w:r w:rsidRPr="00FD6B00">
        <w:rPr>
          <w:sz w:val="22"/>
          <w:szCs w:val="22"/>
        </w:rPr>
        <w:t>la mayoría del profesorado y alumnado es de sexo femenino por ejemplo en enfermería o de sexo mayoritariamente ma</w:t>
      </w:r>
      <w:r w:rsidRPr="00FD6B00">
        <w:rPr>
          <w:sz w:val="22"/>
          <w:szCs w:val="22"/>
        </w:rPr>
        <w:t>s</w:t>
      </w:r>
      <w:r w:rsidRPr="00FD6B00">
        <w:rPr>
          <w:sz w:val="22"/>
          <w:szCs w:val="22"/>
        </w:rPr>
        <w:t>culino como en ingenierías</w:t>
      </w:r>
      <w:r w:rsidR="00976FF9" w:rsidRPr="00FD6B00">
        <w:rPr>
          <w:sz w:val="22"/>
          <w:szCs w:val="22"/>
        </w:rPr>
        <w:t xml:space="preserve">; </w:t>
      </w:r>
      <w:r w:rsidRPr="00FD6B00">
        <w:rPr>
          <w:sz w:val="22"/>
          <w:szCs w:val="22"/>
        </w:rPr>
        <w:t xml:space="preserve"> por </w:t>
      </w:r>
      <w:r w:rsidR="00976FF9" w:rsidRPr="00FD6B00">
        <w:rPr>
          <w:sz w:val="22"/>
          <w:szCs w:val="22"/>
        </w:rPr>
        <w:t>ello,</w:t>
      </w:r>
      <w:r w:rsidRPr="00FD6B00">
        <w:rPr>
          <w:sz w:val="22"/>
          <w:szCs w:val="22"/>
        </w:rPr>
        <w:t xml:space="preserve"> habrá que entender que las profesiones no son neutras, y que por lo tanto se deberá tener en cuenta posibles acciones como el trabajo de las ident</w:t>
      </w:r>
      <w:r w:rsidRPr="00FD6B00">
        <w:rPr>
          <w:sz w:val="22"/>
          <w:szCs w:val="22"/>
        </w:rPr>
        <w:t>i</w:t>
      </w:r>
      <w:r w:rsidRPr="00FD6B00">
        <w:rPr>
          <w:sz w:val="22"/>
          <w:szCs w:val="22"/>
        </w:rPr>
        <w:t>dades de género (cuidados vs provisión) o el desarrollo de acciones positivas (para promover la presencia de mujeres en conocimientos tradicionalmente masculinos o de hombres en áreas profesionales tradicionalmente femeni</w:t>
      </w:r>
      <w:r w:rsidR="00976FF9" w:rsidRPr="00FD6B00">
        <w:rPr>
          <w:sz w:val="22"/>
          <w:szCs w:val="22"/>
        </w:rPr>
        <w:t xml:space="preserve">nas). </w:t>
      </w:r>
    </w:p>
    <w:p w:rsidR="00976FF9" w:rsidRPr="00FD6B00" w:rsidRDefault="00976FF9" w:rsidP="00976FF9">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sidRPr="00FD6B00">
        <w:rPr>
          <w:i/>
          <w:sz w:val="22"/>
          <w:szCs w:val="22"/>
        </w:rPr>
        <w:t>R</w:t>
      </w:r>
      <w:r w:rsidR="00D34705" w:rsidRPr="00FD6B00">
        <w:rPr>
          <w:i/>
          <w:sz w:val="22"/>
          <w:szCs w:val="22"/>
        </w:rPr>
        <w:t>evisión y actualización de los manuales y documentación</w:t>
      </w:r>
      <w:r w:rsidR="00D34705" w:rsidRPr="00FD6B00">
        <w:rPr>
          <w:sz w:val="22"/>
          <w:szCs w:val="22"/>
        </w:rPr>
        <w:t xml:space="preserve"> que se trabaja en las asign</w:t>
      </w:r>
      <w:r w:rsidR="00D34705" w:rsidRPr="00FD6B00">
        <w:rPr>
          <w:sz w:val="22"/>
          <w:szCs w:val="22"/>
        </w:rPr>
        <w:t>a</w:t>
      </w:r>
      <w:r w:rsidR="00D34705" w:rsidRPr="00FD6B00">
        <w:rPr>
          <w:sz w:val="22"/>
          <w:szCs w:val="22"/>
        </w:rPr>
        <w:t>turas puesto que la misma en algunas ocasiones están desfasadas. A lo que se suma que en ocasiones los materiales y contenidos no se aplican a la realidad social existente puesto que no tienen en cuenta los cambios sociales acaecidos en los últimos años (incorporación de las mujeres al trabajo remunerado, cambios legislativos esenciales para la consecución de la igual</w:t>
      </w:r>
      <w:r w:rsidRPr="00FD6B00">
        <w:rPr>
          <w:sz w:val="22"/>
          <w:szCs w:val="22"/>
        </w:rPr>
        <w:t xml:space="preserve">dad…). </w:t>
      </w:r>
      <w:r w:rsidR="00D34705" w:rsidRPr="00FD6B00">
        <w:rPr>
          <w:sz w:val="22"/>
          <w:szCs w:val="22"/>
        </w:rPr>
        <w:t xml:space="preserve"> </w:t>
      </w:r>
    </w:p>
    <w:p w:rsidR="00D858C5" w:rsidRPr="00FD6B00" w:rsidRDefault="00976FF9" w:rsidP="0029245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sidRPr="00FD6B00">
        <w:rPr>
          <w:i/>
          <w:sz w:val="22"/>
          <w:szCs w:val="22"/>
        </w:rPr>
        <w:t>A</w:t>
      </w:r>
      <w:r w:rsidR="00D34705" w:rsidRPr="00FD6B00">
        <w:rPr>
          <w:i/>
          <w:sz w:val="22"/>
          <w:szCs w:val="22"/>
        </w:rPr>
        <w:t>tender a la necesidad de incorporar ciertas temáticas y cuestiones sociales, dada su especial relevancia, a las diversas asignaturas de los Grados</w:t>
      </w:r>
      <w:r w:rsidR="007E7405" w:rsidRPr="00FD6B00">
        <w:rPr>
          <w:sz w:val="22"/>
          <w:szCs w:val="22"/>
        </w:rPr>
        <w:t>”</w:t>
      </w:r>
      <w:r w:rsidR="00D34705" w:rsidRPr="00FD6B00">
        <w:rPr>
          <w:sz w:val="22"/>
          <w:szCs w:val="22"/>
        </w:rPr>
        <w:t>.</w:t>
      </w:r>
    </w:p>
    <w:p w:rsidR="00A96CD7" w:rsidRPr="00D858C5" w:rsidRDefault="00D34705" w:rsidP="00000AAA">
      <w:pPr>
        <w:pStyle w:val="texto"/>
        <w:tabs>
          <w:tab w:val="clear" w:pos="2835"/>
          <w:tab w:val="clear" w:pos="3969"/>
          <w:tab w:val="clear" w:pos="5103"/>
          <w:tab w:val="clear" w:pos="6237"/>
          <w:tab w:val="clear" w:pos="7371"/>
          <w:tab w:val="left" w:pos="480"/>
          <w:tab w:val="num" w:pos="928"/>
          <w:tab w:val="num" w:pos="6597"/>
        </w:tabs>
        <w:spacing w:after="240"/>
        <w:rPr>
          <w:szCs w:val="26"/>
        </w:rPr>
      </w:pPr>
      <w:r>
        <w:rPr>
          <w:szCs w:val="26"/>
        </w:rPr>
        <w:t>También citamos que</w:t>
      </w:r>
      <w:r w:rsidR="00CA6898">
        <w:rPr>
          <w:szCs w:val="26"/>
        </w:rPr>
        <w:t xml:space="preserve"> desde el</w:t>
      </w:r>
      <w:r>
        <w:rPr>
          <w:szCs w:val="26"/>
        </w:rPr>
        <w:t xml:space="preserve"> curso 201</w:t>
      </w:r>
      <w:r w:rsidR="00B72C48">
        <w:rPr>
          <w:szCs w:val="26"/>
        </w:rPr>
        <w:t>3</w:t>
      </w:r>
      <w:r>
        <w:rPr>
          <w:szCs w:val="26"/>
        </w:rPr>
        <w:t>/201</w:t>
      </w:r>
      <w:r w:rsidR="00B72C48">
        <w:rPr>
          <w:szCs w:val="26"/>
        </w:rPr>
        <w:t>4</w:t>
      </w:r>
      <w:r>
        <w:rPr>
          <w:szCs w:val="26"/>
        </w:rPr>
        <w:t xml:space="preserve"> se está impartiendo el </w:t>
      </w:r>
      <w:r w:rsidR="001744B3">
        <w:rPr>
          <w:szCs w:val="26"/>
        </w:rPr>
        <w:t>t</w:t>
      </w:r>
      <w:r>
        <w:rPr>
          <w:szCs w:val="26"/>
        </w:rPr>
        <w:t xml:space="preserve">ítulo </w:t>
      </w:r>
      <w:r w:rsidR="001744B3">
        <w:rPr>
          <w:szCs w:val="26"/>
        </w:rPr>
        <w:t>p</w:t>
      </w:r>
      <w:r>
        <w:rPr>
          <w:szCs w:val="26"/>
        </w:rPr>
        <w:t>ropio de “Experta/o en género”.</w:t>
      </w:r>
    </w:p>
    <w:p w:rsidR="00B22B07" w:rsidRPr="00B22B07" w:rsidRDefault="00B22B07" w:rsidP="00B22B07">
      <w:pPr>
        <w:pStyle w:val="texto"/>
        <w:numPr>
          <w:ilvl w:val="0"/>
          <w:numId w:val="19"/>
        </w:numPr>
        <w:tabs>
          <w:tab w:val="clear" w:pos="2835"/>
          <w:tab w:val="clear" w:pos="3969"/>
          <w:tab w:val="clear" w:pos="5103"/>
          <w:tab w:val="clear" w:pos="6237"/>
          <w:tab w:val="clear" w:pos="7371"/>
          <w:tab w:val="left" w:pos="480"/>
          <w:tab w:val="num" w:pos="6597"/>
        </w:tabs>
        <w:rPr>
          <w:b/>
          <w:szCs w:val="26"/>
        </w:rPr>
      </w:pPr>
      <w:r w:rsidRPr="00B22B07">
        <w:rPr>
          <w:b/>
          <w:szCs w:val="26"/>
        </w:rPr>
        <w:t xml:space="preserve">III Plan Estratégico de la </w:t>
      </w:r>
      <w:r w:rsidR="0081699E" w:rsidRPr="0081699E">
        <w:rPr>
          <w:b/>
          <w:szCs w:val="26"/>
        </w:rPr>
        <w:t>Universidad</w:t>
      </w:r>
      <w:r w:rsidRPr="00B22B07">
        <w:rPr>
          <w:b/>
          <w:szCs w:val="26"/>
        </w:rPr>
        <w:t xml:space="preserve"> (2011-2014)</w:t>
      </w:r>
    </w:p>
    <w:p w:rsidR="009F2FBD" w:rsidRDefault="00B22B07" w:rsidP="009324DF">
      <w:pPr>
        <w:pStyle w:val="texto"/>
        <w:tabs>
          <w:tab w:val="clear" w:pos="2835"/>
          <w:tab w:val="clear" w:pos="3969"/>
          <w:tab w:val="clear" w:pos="5103"/>
          <w:tab w:val="clear" w:pos="6237"/>
          <w:tab w:val="clear" w:pos="7371"/>
          <w:tab w:val="left" w:pos="480"/>
          <w:tab w:val="num" w:pos="928"/>
          <w:tab w:val="num" w:pos="6597"/>
        </w:tabs>
        <w:rPr>
          <w:szCs w:val="26"/>
        </w:rPr>
      </w:pPr>
      <w:r>
        <w:rPr>
          <w:szCs w:val="26"/>
        </w:rPr>
        <w:t>E</w:t>
      </w:r>
      <w:r w:rsidR="009324DF">
        <w:rPr>
          <w:szCs w:val="26"/>
        </w:rPr>
        <w:t xml:space="preserve">n el III Plan Estratégico de la </w:t>
      </w:r>
      <w:r w:rsidR="0081699E">
        <w:rPr>
          <w:szCs w:val="26"/>
        </w:rPr>
        <w:t>Universidad</w:t>
      </w:r>
      <w:r w:rsidR="009324DF">
        <w:rPr>
          <w:szCs w:val="26"/>
        </w:rPr>
        <w:t>, se hacen las siguientes alusi</w:t>
      </w:r>
      <w:r w:rsidR="009324DF">
        <w:rPr>
          <w:szCs w:val="26"/>
        </w:rPr>
        <w:t>o</w:t>
      </w:r>
      <w:r w:rsidR="009324DF">
        <w:rPr>
          <w:szCs w:val="26"/>
        </w:rPr>
        <w:t>nes a la igualdad:</w:t>
      </w:r>
    </w:p>
    <w:p w:rsidR="009324DF" w:rsidRPr="0080324D" w:rsidRDefault="009324DF" w:rsidP="009324D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sidRPr="009324DF">
        <w:rPr>
          <w:szCs w:val="26"/>
        </w:rPr>
        <w:t xml:space="preserve">Dentro de </w:t>
      </w:r>
      <w:r w:rsidR="00DB0EC0">
        <w:rPr>
          <w:szCs w:val="26"/>
        </w:rPr>
        <w:t xml:space="preserve">sus </w:t>
      </w:r>
      <w:r w:rsidRPr="009324DF">
        <w:rPr>
          <w:szCs w:val="26"/>
        </w:rPr>
        <w:t>valores</w:t>
      </w:r>
      <w:r w:rsidR="0080324D">
        <w:rPr>
          <w:szCs w:val="26"/>
        </w:rPr>
        <w:t>:</w:t>
      </w:r>
      <w:r w:rsidRPr="009324DF">
        <w:rPr>
          <w:szCs w:val="26"/>
        </w:rPr>
        <w:t xml:space="preserve"> </w:t>
      </w:r>
      <w:r w:rsidRPr="0080324D">
        <w:rPr>
          <w:sz w:val="22"/>
          <w:szCs w:val="22"/>
        </w:rPr>
        <w:t>“</w:t>
      </w:r>
      <w:r w:rsidRPr="0080324D">
        <w:rPr>
          <w:i/>
          <w:sz w:val="22"/>
          <w:szCs w:val="22"/>
        </w:rPr>
        <w:t>Convivencia en la Diversidad</w:t>
      </w:r>
      <w:r w:rsidR="00DB0EC0" w:rsidRPr="0080324D">
        <w:rPr>
          <w:i/>
          <w:sz w:val="22"/>
          <w:szCs w:val="22"/>
        </w:rPr>
        <w:t>:</w:t>
      </w:r>
      <w:r w:rsidRPr="0080324D">
        <w:rPr>
          <w:i/>
          <w:sz w:val="22"/>
          <w:szCs w:val="22"/>
        </w:rPr>
        <w:t xml:space="preserve"> Impulsar valores como el respeto a las personas y las ideas, la tolerancia, la solidaridad, la cultura de paz, la libertad de pensamiento, el diálogo, la igualdad de género</w:t>
      </w:r>
      <w:r w:rsidRPr="0080324D">
        <w:rPr>
          <w:b/>
          <w:i/>
          <w:sz w:val="22"/>
          <w:szCs w:val="22"/>
        </w:rPr>
        <w:t xml:space="preserve"> </w:t>
      </w:r>
      <w:r w:rsidRPr="0080324D">
        <w:rPr>
          <w:i/>
          <w:sz w:val="22"/>
          <w:szCs w:val="22"/>
        </w:rPr>
        <w:t>y la integración intercultural</w:t>
      </w:r>
      <w:r w:rsidRPr="0080324D">
        <w:rPr>
          <w:sz w:val="22"/>
          <w:szCs w:val="22"/>
        </w:rPr>
        <w:t>”</w:t>
      </w:r>
      <w:r w:rsidR="0080324D">
        <w:rPr>
          <w:sz w:val="22"/>
          <w:szCs w:val="22"/>
        </w:rPr>
        <w:t>.</w:t>
      </w:r>
    </w:p>
    <w:p w:rsidR="009324DF" w:rsidRPr="009324DF" w:rsidRDefault="009324DF" w:rsidP="009324DF">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9324DF">
        <w:rPr>
          <w:szCs w:val="26"/>
        </w:rPr>
        <w:t>En el cuadro de objetivos de</w:t>
      </w:r>
      <w:r w:rsidR="00DB0EC0">
        <w:rPr>
          <w:szCs w:val="26"/>
        </w:rPr>
        <w:t>l eje de</w:t>
      </w:r>
      <w:r w:rsidRPr="009324DF">
        <w:rPr>
          <w:szCs w:val="26"/>
        </w:rPr>
        <w:t xml:space="preserve"> extensión universitaria:</w:t>
      </w:r>
    </w:p>
    <w:p w:rsidR="009324DF" w:rsidRPr="009324DF" w:rsidRDefault="00DB0EC0" w:rsidP="009324DF">
      <w:pPr>
        <w:pStyle w:val="texto"/>
        <w:tabs>
          <w:tab w:val="clear" w:pos="2835"/>
          <w:tab w:val="clear" w:pos="3969"/>
          <w:tab w:val="clear" w:pos="5103"/>
          <w:tab w:val="clear" w:pos="6237"/>
          <w:tab w:val="clear" w:pos="7371"/>
          <w:tab w:val="left" w:pos="480"/>
          <w:tab w:val="num" w:pos="720"/>
          <w:tab w:val="num" w:pos="6597"/>
        </w:tabs>
        <w:ind w:left="290" w:firstLine="0"/>
        <w:rPr>
          <w:i/>
          <w:szCs w:val="26"/>
        </w:rPr>
      </w:pPr>
      <w:r w:rsidRPr="00DB0EC0">
        <w:rPr>
          <w:szCs w:val="26"/>
        </w:rPr>
        <w:t>Objetivo estratégico 1</w:t>
      </w:r>
      <w:r>
        <w:rPr>
          <w:i/>
          <w:szCs w:val="26"/>
        </w:rPr>
        <w:t>.</w:t>
      </w:r>
      <w:r w:rsidR="009324DF">
        <w:rPr>
          <w:i/>
          <w:szCs w:val="26"/>
        </w:rPr>
        <w:t xml:space="preserve"> </w:t>
      </w:r>
      <w:r w:rsidR="009324DF" w:rsidRPr="0080324D">
        <w:rPr>
          <w:i/>
          <w:sz w:val="22"/>
          <w:szCs w:val="22"/>
        </w:rPr>
        <w:t>“Impulsar la construcción del Campus de Compromiso y de la Responsabilidad Social Universitaria”.</w:t>
      </w:r>
    </w:p>
    <w:p w:rsidR="009324DF" w:rsidRPr="009324DF" w:rsidRDefault="00DB0EC0" w:rsidP="009324DF">
      <w:pPr>
        <w:pStyle w:val="texto"/>
        <w:tabs>
          <w:tab w:val="clear" w:pos="2835"/>
          <w:tab w:val="clear" w:pos="3969"/>
          <w:tab w:val="clear" w:pos="5103"/>
          <w:tab w:val="clear" w:pos="6237"/>
          <w:tab w:val="clear" w:pos="7371"/>
          <w:tab w:val="left" w:pos="480"/>
          <w:tab w:val="num" w:pos="720"/>
          <w:tab w:val="num" w:pos="6597"/>
        </w:tabs>
        <w:ind w:left="290" w:firstLine="0"/>
        <w:rPr>
          <w:i/>
          <w:szCs w:val="26"/>
        </w:rPr>
      </w:pPr>
      <w:r w:rsidRPr="00DB0EC0">
        <w:rPr>
          <w:szCs w:val="26"/>
        </w:rPr>
        <w:t>Objetivo operativo 1.3.</w:t>
      </w:r>
      <w:r w:rsidR="009324DF">
        <w:rPr>
          <w:i/>
          <w:szCs w:val="26"/>
        </w:rPr>
        <w:t xml:space="preserve"> </w:t>
      </w:r>
      <w:r w:rsidR="009324DF" w:rsidRPr="0080324D">
        <w:rPr>
          <w:i/>
          <w:sz w:val="22"/>
          <w:szCs w:val="22"/>
        </w:rPr>
        <w:t>“Avanzar en el desarrollo de una universidad accesible, igu</w:t>
      </w:r>
      <w:r w:rsidR="009324DF" w:rsidRPr="0080324D">
        <w:rPr>
          <w:i/>
          <w:sz w:val="22"/>
          <w:szCs w:val="22"/>
        </w:rPr>
        <w:t>a</w:t>
      </w:r>
      <w:r w:rsidR="009324DF" w:rsidRPr="0080324D">
        <w:rPr>
          <w:i/>
          <w:sz w:val="22"/>
          <w:szCs w:val="22"/>
        </w:rPr>
        <w:t>litaria y solidaria”.</w:t>
      </w:r>
    </w:p>
    <w:p w:rsidR="009324DF" w:rsidRPr="0080324D" w:rsidRDefault="00DB0EC0" w:rsidP="009324DF">
      <w:pPr>
        <w:pStyle w:val="texto"/>
        <w:tabs>
          <w:tab w:val="clear" w:pos="2835"/>
          <w:tab w:val="clear" w:pos="3969"/>
          <w:tab w:val="clear" w:pos="5103"/>
          <w:tab w:val="clear" w:pos="6237"/>
          <w:tab w:val="clear" w:pos="7371"/>
          <w:tab w:val="left" w:pos="480"/>
          <w:tab w:val="num" w:pos="720"/>
          <w:tab w:val="num" w:pos="6597"/>
        </w:tabs>
        <w:ind w:left="290" w:firstLine="0"/>
        <w:rPr>
          <w:sz w:val="22"/>
          <w:szCs w:val="22"/>
        </w:rPr>
      </w:pPr>
      <w:r w:rsidRPr="00DB0EC0">
        <w:rPr>
          <w:szCs w:val="26"/>
        </w:rPr>
        <w:lastRenderedPageBreak/>
        <w:t>Acción 1.3.1.</w:t>
      </w:r>
      <w:r w:rsidR="009324DF">
        <w:rPr>
          <w:i/>
          <w:szCs w:val="26"/>
        </w:rPr>
        <w:t xml:space="preserve"> </w:t>
      </w:r>
      <w:r w:rsidR="009324DF" w:rsidRPr="0080324D">
        <w:rPr>
          <w:i/>
          <w:sz w:val="22"/>
          <w:szCs w:val="22"/>
        </w:rPr>
        <w:t>“Desarrollo y aplicación de planes anuales de Igualdad de Género”</w:t>
      </w:r>
      <w:r w:rsidR="009324DF" w:rsidRPr="0080324D">
        <w:rPr>
          <w:sz w:val="22"/>
          <w:szCs w:val="22"/>
        </w:rPr>
        <w:t>.</w:t>
      </w:r>
    </w:p>
    <w:p w:rsidR="00B22B07" w:rsidRPr="0080324D" w:rsidRDefault="00611EA9" w:rsidP="00424631">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 w:val="22"/>
          <w:szCs w:val="22"/>
        </w:rPr>
      </w:pPr>
      <w:r>
        <w:rPr>
          <w:szCs w:val="26"/>
        </w:rPr>
        <w:t>Dentro de los objetivos del Campus Iberus, el C.2.1. señala</w:t>
      </w:r>
      <w:r w:rsidR="009324DF">
        <w:rPr>
          <w:szCs w:val="26"/>
        </w:rPr>
        <w:t>:</w:t>
      </w:r>
      <w:r w:rsidR="009324DF" w:rsidRPr="0080324D">
        <w:rPr>
          <w:sz w:val="22"/>
          <w:szCs w:val="22"/>
        </w:rPr>
        <w:t xml:space="preserve"> “</w:t>
      </w:r>
      <w:r w:rsidR="009324DF" w:rsidRPr="0080324D">
        <w:rPr>
          <w:i/>
          <w:sz w:val="22"/>
          <w:szCs w:val="22"/>
        </w:rPr>
        <w:t>Desarrollo de un observatorio de igualdad de género en el Campus que incorpore la realización y segu</w:t>
      </w:r>
      <w:r w:rsidR="009324DF" w:rsidRPr="0080324D">
        <w:rPr>
          <w:i/>
          <w:sz w:val="22"/>
          <w:szCs w:val="22"/>
        </w:rPr>
        <w:t>i</w:t>
      </w:r>
      <w:r w:rsidR="009324DF" w:rsidRPr="0080324D">
        <w:rPr>
          <w:i/>
          <w:sz w:val="22"/>
          <w:szCs w:val="22"/>
        </w:rPr>
        <w:t>miento del Plan de Igualdad del Campus”</w:t>
      </w:r>
    </w:p>
    <w:p w:rsidR="009F2FBD" w:rsidRDefault="007E7405" w:rsidP="00B22B07">
      <w:pPr>
        <w:pStyle w:val="texto"/>
      </w:pPr>
      <w:r>
        <w:t>E</w:t>
      </w:r>
      <w:r w:rsidR="00B22B07">
        <w:t>l informe final sobre el citado Plan Estratégico</w:t>
      </w:r>
      <w:r>
        <w:t xml:space="preserve"> señala que las dificultades económicas han limitado la consecución de los objetivos estratégicos anteri</w:t>
      </w:r>
      <w:r>
        <w:t>o</w:t>
      </w:r>
      <w:r>
        <w:t>res.</w:t>
      </w:r>
      <w:r w:rsidR="00F77124">
        <w:t xml:space="preserve"> Así</w:t>
      </w:r>
      <w:r w:rsidR="00000AAA">
        <w:t>,</w:t>
      </w:r>
      <w:r w:rsidR="00F77124">
        <w:t xml:space="preserve"> indica:</w:t>
      </w:r>
    </w:p>
    <w:p w:rsidR="007E7405" w:rsidRDefault="00C46043" w:rsidP="00C4604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t>S</w:t>
      </w:r>
      <w:r w:rsidR="007E7405">
        <w:t>e ha creado un área de Responsabilidad Social Universitaria (RSU), pero no se ha aprobado el informe sobre RSU.</w:t>
      </w:r>
    </w:p>
    <w:p w:rsidR="00D12D8A" w:rsidRDefault="007E7405"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En materia específica de igualdad, “</w:t>
      </w:r>
      <w:r w:rsidRPr="007E7405">
        <w:rPr>
          <w:i/>
        </w:rPr>
        <w:t>las acciones vinculadas a p</w:t>
      </w:r>
      <w:r>
        <w:rPr>
          <w:i/>
        </w:rPr>
        <w:t>ro</w:t>
      </w:r>
      <w:r w:rsidRPr="007E7405">
        <w:rPr>
          <w:i/>
        </w:rPr>
        <w:t>gramas de igualdad se han quedado estancadas</w:t>
      </w:r>
      <w:r>
        <w:t>”. Así</w:t>
      </w:r>
      <w:r w:rsidR="00B530EA">
        <w:t>,</w:t>
      </w:r>
      <w:r>
        <w:t xml:space="preserve"> los programas de acción se apl</w:t>
      </w:r>
      <w:r>
        <w:t>i</w:t>
      </w:r>
      <w:r>
        <w:t>can prorrogando el aprobado en 2011, dado que no ha sido posible el</w:t>
      </w:r>
      <w:r w:rsidR="00D12D8A">
        <w:t>aborar</w:t>
      </w:r>
      <w:r>
        <w:t xml:space="preserve"> un nuevo plan con los medios disponibles</w:t>
      </w:r>
      <w:r w:rsidR="00D12D8A">
        <w:t xml:space="preserve">; no obstante se ha optado por adaptar y actualizar las acciones contempladas en dicho plan. </w:t>
      </w:r>
    </w:p>
    <w:p w:rsidR="00D12D8A" w:rsidRDefault="00D12D8A" w:rsidP="0033040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180"/>
        <w:ind w:left="0" w:firstLine="290"/>
      </w:pPr>
      <w:r>
        <w:t>En cuanto a los indicadores sobre igualdad, el citado informe final señala:</w:t>
      </w:r>
    </w:p>
    <w:p w:rsidR="007E7405" w:rsidRPr="00B07883" w:rsidRDefault="00C46043" w:rsidP="00330403">
      <w:pPr>
        <w:pStyle w:val="texto"/>
        <w:spacing w:after="180"/>
      </w:pPr>
      <w:r w:rsidRPr="00B07883">
        <w:t xml:space="preserve">a) </w:t>
      </w:r>
      <w:r w:rsidR="00D12D8A" w:rsidRPr="00B07883">
        <w:t>Número de medidas de igualdad aplicadas, una media de 14 por cada uno de</w:t>
      </w:r>
      <w:r w:rsidR="005C10A1" w:rsidRPr="00B07883">
        <w:t xml:space="preserve"> los cuatro</w:t>
      </w:r>
      <w:r w:rsidR="00D12D8A" w:rsidRPr="00B07883">
        <w:t xml:space="preserve"> años de vigencia del Plan Estratégico</w:t>
      </w:r>
      <w:r w:rsidR="005C10A1" w:rsidRPr="00B07883">
        <w:t>.</w:t>
      </w:r>
      <w:r w:rsidR="00B07883">
        <w:t xml:space="preserve"> Además de las ya citadas en párrafos anteriores, destacamos la actuación en la ludoteca, la redacción de declaraciones institucionales en fechas conmemorativas (8 de marzo y 25 de noviembre), elaboración del borrador del observatorio de igualdad del campus Iberus, </w:t>
      </w:r>
      <w:r w:rsidR="00DD6B51">
        <w:t xml:space="preserve">proyecto </w:t>
      </w:r>
      <w:r w:rsidR="0060441B">
        <w:t>“</w:t>
      </w:r>
      <w:r w:rsidR="008E3CDE" w:rsidRPr="005B0711">
        <w:rPr>
          <w:i/>
        </w:rPr>
        <w:t>gela</w:t>
      </w:r>
      <w:r w:rsidR="0060441B">
        <w:t>”</w:t>
      </w:r>
      <w:r w:rsidR="008E3CDE">
        <w:t xml:space="preserve">/aula saludable, </w:t>
      </w:r>
      <w:r w:rsidR="00B07883">
        <w:t>recopilación de datos y estadísticas, etc.</w:t>
      </w:r>
    </w:p>
    <w:p w:rsidR="009F2FBD" w:rsidRDefault="00C46043" w:rsidP="00330403">
      <w:pPr>
        <w:pStyle w:val="texto"/>
        <w:spacing w:after="180"/>
      </w:pPr>
      <w:r>
        <w:t xml:space="preserve">b) </w:t>
      </w:r>
      <w:r w:rsidR="005C10A1">
        <w:t>Número de cursos y talleres sobre igualdad, en torno a una media de seis cursos por año, con una presencia de unos 200 participantes por año.</w:t>
      </w:r>
    </w:p>
    <w:p w:rsidR="00335087" w:rsidRDefault="001D0F67" w:rsidP="00330403">
      <w:pPr>
        <w:pStyle w:val="texto"/>
        <w:tabs>
          <w:tab w:val="clear" w:pos="2835"/>
          <w:tab w:val="clear" w:pos="3969"/>
          <w:tab w:val="clear" w:pos="5103"/>
          <w:tab w:val="clear" w:pos="6237"/>
          <w:tab w:val="clear" w:pos="7371"/>
          <w:tab w:val="left" w:pos="480"/>
          <w:tab w:val="num" w:pos="928"/>
          <w:tab w:val="num" w:pos="6597"/>
        </w:tabs>
        <w:spacing w:after="240"/>
      </w:pPr>
      <w:r>
        <w:t xml:space="preserve">Como resumen final de este apartado podemos concluir que la Universidad </w:t>
      </w:r>
      <w:r>
        <w:rPr>
          <w:szCs w:val="26"/>
        </w:rPr>
        <w:t xml:space="preserve">ha incorporado a sus estatutos las previsiones legales en materia de igualdad, ha considerado </w:t>
      </w:r>
      <w:r w:rsidR="001847DE">
        <w:rPr>
          <w:szCs w:val="26"/>
        </w:rPr>
        <w:t>esta materia como</w:t>
      </w:r>
      <w:r>
        <w:rPr>
          <w:szCs w:val="26"/>
        </w:rPr>
        <w:t xml:space="preserve"> estratégica</w:t>
      </w:r>
      <w:r w:rsidR="006847FA">
        <w:rPr>
          <w:szCs w:val="26"/>
        </w:rPr>
        <w:t xml:space="preserve"> en el desarrollo de sus activid</w:t>
      </w:r>
      <w:r w:rsidR="006847FA">
        <w:rPr>
          <w:szCs w:val="26"/>
        </w:rPr>
        <w:t>a</w:t>
      </w:r>
      <w:r w:rsidR="006847FA">
        <w:rPr>
          <w:szCs w:val="26"/>
        </w:rPr>
        <w:t>des</w:t>
      </w:r>
      <w:r w:rsidR="00D23AC3">
        <w:rPr>
          <w:szCs w:val="26"/>
        </w:rPr>
        <w:t xml:space="preserve"> </w:t>
      </w:r>
      <w:r>
        <w:rPr>
          <w:szCs w:val="26"/>
        </w:rPr>
        <w:t xml:space="preserve">y </w:t>
      </w:r>
      <w:r>
        <w:t>está haciendo esfuerzos relevantes en los ámbitos docentes, administrat</w:t>
      </w:r>
      <w:r>
        <w:t>i</w:t>
      </w:r>
      <w:r>
        <w:t xml:space="preserve">vos y del alumnado. </w:t>
      </w:r>
    </w:p>
    <w:p w:rsidR="002577D1" w:rsidRPr="00D03E5F" w:rsidRDefault="002577D1" w:rsidP="002577D1">
      <w:pPr>
        <w:pStyle w:val="atitulo3"/>
      </w:pPr>
      <w:r>
        <w:t>IV.</w:t>
      </w:r>
      <w:r w:rsidR="004B0D73">
        <w:t>5</w:t>
      </w:r>
      <w:r>
        <w:t>.</w:t>
      </w:r>
      <w:r w:rsidR="00FB68DE">
        <w:t>3</w:t>
      </w:r>
      <w:r>
        <w:t xml:space="preserve">. Algunos datos sobre la presencia de mujeres y hombres en la </w:t>
      </w:r>
      <w:r w:rsidR="0081699E">
        <w:t>Universidad</w:t>
      </w:r>
    </w:p>
    <w:p w:rsidR="00357737" w:rsidRPr="007711CC" w:rsidRDefault="00357737" w:rsidP="007912E5">
      <w:pPr>
        <w:pStyle w:val="texto"/>
        <w:spacing w:after="0"/>
      </w:pPr>
      <w:r>
        <w:t>Para el global del PDI, PAS y estudiantes, la distribución en porcentaje por género en el ejercicio de 2014 se refleja en el siguiente cuadro:</w:t>
      </w:r>
    </w:p>
    <w:tbl>
      <w:tblPr>
        <w:tblpPr w:leftFromText="141" w:rightFromText="141" w:vertAnchor="text" w:horzAnchor="margin" w:tblpXSpec="center" w:tblpY="362"/>
        <w:tblW w:w="8859" w:type="dxa"/>
        <w:tblCellMar>
          <w:left w:w="70" w:type="dxa"/>
          <w:right w:w="70" w:type="dxa"/>
        </w:tblCellMar>
        <w:tblLook w:val="0000" w:firstRow="0" w:lastRow="0" w:firstColumn="0" w:lastColumn="0" w:noHBand="0" w:noVBand="0"/>
      </w:tblPr>
      <w:tblGrid>
        <w:gridCol w:w="5812"/>
        <w:gridCol w:w="1475"/>
        <w:gridCol w:w="1572"/>
      </w:tblGrid>
      <w:tr w:rsidR="00357737" w:rsidRPr="008B51AD" w:rsidTr="000A4C01">
        <w:trPr>
          <w:trHeight w:val="340"/>
        </w:trPr>
        <w:tc>
          <w:tcPr>
            <w:tcW w:w="5812" w:type="dxa"/>
            <w:tcBorders>
              <w:top w:val="single" w:sz="4" w:space="0" w:color="auto"/>
              <w:bottom w:val="single" w:sz="4" w:space="0" w:color="auto"/>
            </w:tcBorders>
            <w:shd w:val="clear" w:color="auto" w:fill="A8CBEE" w:themeFill="accent2" w:themeFillTint="66"/>
            <w:noWrap/>
            <w:vAlign w:val="center"/>
          </w:tcPr>
          <w:p w:rsidR="00357737" w:rsidRPr="008B51AD" w:rsidRDefault="00357737" w:rsidP="00900E13">
            <w:pPr>
              <w:pStyle w:val="cuadroCabe"/>
              <w:rPr>
                <w:lang w:val="es-ES" w:eastAsia="es-ES"/>
              </w:rPr>
            </w:pPr>
            <w:r>
              <w:rPr>
                <w:lang w:val="es-ES" w:eastAsia="es-ES"/>
              </w:rPr>
              <w:t>Estamento</w:t>
            </w:r>
          </w:p>
        </w:tc>
        <w:tc>
          <w:tcPr>
            <w:tcW w:w="1475" w:type="dxa"/>
            <w:tcBorders>
              <w:top w:val="single" w:sz="4" w:space="0" w:color="auto"/>
              <w:bottom w:val="single" w:sz="4" w:space="0" w:color="auto"/>
            </w:tcBorders>
            <w:shd w:val="clear" w:color="auto" w:fill="A8CBEE" w:themeFill="accent2" w:themeFillTint="66"/>
            <w:vAlign w:val="center"/>
          </w:tcPr>
          <w:p w:rsidR="00357737" w:rsidRDefault="00357737" w:rsidP="00335087">
            <w:pPr>
              <w:pStyle w:val="cuadroCabe"/>
              <w:jc w:val="right"/>
              <w:rPr>
                <w:lang w:val="es-ES" w:eastAsia="es-ES"/>
              </w:rPr>
            </w:pPr>
            <w:r>
              <w:rPr>
                <w:lang w:val="es-ES" w:eastAsia="es-ES"/>
              </w:rPr>
              <w:t>% Mujeres</w:t>
            </w:r>
          </w:p>
        </w:tc>
        <w:tc>
          <w:tcPr>
            <w:tcW w:w="1572" w:type="dxa"/>
            <w:tcBorders>
              <w:top w:val="single" w:sz="4" w:space="0" w:color="auto"/>
              <w:bottom w:val="single" w:sz="4" w:space="0" w:color="auto"/>
            </w:tcBorders>
            <w:shd w:val="clear" w:color="auto" w:fill="A8CBEE" w:themeFill="accent2" w:themeFillTint="66"/>
            <w:noWrap/>
            <w:vAlign w:val="center"/>
          </w:tcPr>
          <w:p w:rsidR="00357737" w:rsidRPr="008B51AD" w:rsidRDefault="00357737" w:rsidP="00335087">
            <w:pPr>
              <w:pStyle w:val="cuadroCabe"/>
              <w:jc w:val="right"/>
              <w:rPr>
                <w:lang w:val="es-ES" w:eastAsia="es-ES"/>
              </w:rPr>
            </w:pPr>
            <w:r>
              <w:rPr>
                <w:lang w:val="es-ES" w:eastAsia="es-ES"/>
              </w:rPr>
              <w:t>% Hombres</w:t>
            </w:r>
          </w:p>
        </w:tc>
      </w:tr>
      <w:tr w:rsidR="00357737" w:rsidRPr="00920307" w:rsidTr="00000AAA">
        <w:trPr>
          <w:trHeight w:val="284"/>
        </w:trPr>
        <w:tc>
          <w:tcPr>
            <w:tcW w:w="5812" w:type="dxa"/>
            <w:tcBorders>
              <w:top w:val="single" w:sz="2" w:space="0" w:color="auto"/>
              <w:bottom w:val="single" w:sz="2" w:space="0" w:color="auto"/>
            </w:tcBorders>
            <w:shd w:val="clear" w:color="auto" w:fill="auto"/>
            <w:noWrap/>
            <w:vAlign w:val="center"/>
          </w:tcPr>
          <w:p w:rsidR="00357737" w:rsidRPr="00335087" w:rsidRDefault="00357737" w:rsidP="00900E13">
            <w:pPr>
              <w:pStyle w:val="texto"/>
              <w:spacing w:after="0"/>
              <w:ind w:firstLine="0"/>
              <w:rPr>
                <w:rFonts w:ascii="Arial Narrow" w:hAnsi="Arial Narrow"/>
                <w:sz w:val="20"/>
                <w:szCs w:val="20"/>
              </w:rPr>
            </w:pPr>
            <w:r w:rsidRPr="00335087">
              <w:rPr>
                <w:rFonts w:ascii="Arial Narrow" w:hAnsi="Arial Narrow"/>
                <w:sz w:val="20"/>
                <w:szCs w:val="20"/>
              </w:rPr>
              <w:t>PDI</w:t>
            </w:r>
          </w:p>
        </w:tc>
        <w:tc>
          <w:tcPr>
            <w:tcW w:w="1475" w:type="dxa"/>
            <w:tcBorders>
              <w:top w:val="single" w:sz="2" w:space="0" w:color="auto"/>
              <w:bottom w:val="single" w:sz="2" w:space="0" w:color="auto"/>
            </w:tcBorders>
            <w:vAlign w:val="center"/>
          </w:tcPr>
          <w:p w:rsidR="00357737" w:rsidRPr="00335087" w:rsidRDefault="00357737" w:rsidP="00335087">
            <w:pPr>
              <w:pStyle w:val="texto"/>
              <w:spacing w:after="0"/>
              <w:ind w:firstLine="0"/>
              <w:jc w:val="right"/>
              <w:rPr>
                <w:rFonts w:ascii="Arial Narrow" w:hAnsi="Arial Narrow"/>
                <w:sz w:val="20"/>
                <w:szCs w:val="20"/>
              </w:rPr>
            </w:pPr>
            <w:r w:rsidRPr="00335087">
              <w:rPr>
                <w:rFonts w:ascii="Arial Narrow" w:hAnsi="Arial Narrow"/>
                <w:sz w:val="20"/>
                <w:szCs w:val="20"/>
              </w:rPr>
              <w:t>42</w:t>
            </w:r>
          </w:p>
        </w:tc>
        <w:tc>
          <w:tcPr>
            <w:tcW w:w="1572" w:type="dxa"/>
            <w:tcBorders>
              <w:top w:val="single" w:sz="2" w:space="0" w:color="auto"/>
              <w:bottom w:val="single" w:sz="2" w:space="0" w:color="auto"/>
            </w:tcBorders>
            <w:shd w:val="clear" w:color="auto" w:fill="auto"/>
            <w:noWrap/>
            <w:vAlign w:val="center"/>
          </w:tcPr>
          <w:p w:rsidR="00357737" w:rsidRPr="00335087" w:rsidRDefault="00357737" w:rsidP="00335087">
            <w:pPr>
              <w:pStyle w:val="texto"/>
              <w:spacing w:after="0"/>
              <w:ind w:firstLine="0"/>
              <w:jc w:val="right"/>
              <w:rPr>
                <w:rFonts w:ascii="Arial Narrow" w:hAnsi="Arial Narrow"/>
                <w:sz w:val="20"/>
                <w:szCs w:val="20"/>
              </w:rPr>
            </w:pPr>
            <w:r w:rsidRPr="00335087">
              <w:rPr>
                <w:rFonts w:ascii="Arial Narrow" w:hAnsi="Arial Narrow"/>
                <w:sz w:val="20"/>
                <w:szCs w:val="20"/>
              </w:rPr>
              <w:t>58</w:t>
            </w:r>
          </w:p>
        </w:tc>
      </w:tr>
      <w:tr w:rsidR="00357737" w:rsidRPr="00A92E53" w:rsidTr="00335087">
        <w:trPr>
          <w:trHeight w:val="284"/>
        </w:trPr>
        <w:tc>
          <w:tcPr>
            <w:tcW w:w="5812" w:type="dxa"/>
            <w:tcBorders>
              <w:top w:val="single" w:sz="2" w:space="0" w:color="auto"/>
              <w:bottom w:val="single" w:sz="2" w:space="0" w:color="auto"/>
            </w:tcBorders>
            <w:shd w:val="clear" w:color="auto" w:fill="auto"/>
            <w:noWrap/>
            <w:vAlign w:val="center"/>
          </w:tcPr>
          <w:p w:rsidR="00357737" w:rsidRPr="00335087" w:rsidRDefault="00357737" w:rsidP="00900E13">
            <w:pPr>
              <w:pStyle w:val="texto"/>
              <w:spacing w:after="0"/>
              <w:ind w:firstLine="0"/>
              <w:rPr>
                <w:rFonts w:ascii="Arial Narrow" w:hAnsi="Arial Narrow"/>
                <w:sz w:val="20"/>
                <w:szCs w:val="20"/>
              </w:rPr>
            </w:pPr>
            <w:r w:rsidRPr="00335087">
              <w:rPr>
                <w:rFonts w:ascii="Arial Narrow" w:hAnsi="Arial Narrow"/>
                <w:sz w:val="20"/>
                <w:szCs w:val="20"/>
              </w:rPr>
              <w:t>PAS</w:t>
            </w:r>
          </w:p>
        </w:tc>
        <w:tc>
          <w:tcPr>
            <w:tcW w:w="1475" w:type="dxa"/>
            <w:tcBorders>
              <w:top w:val="single" w:sz="2" w:space="0" w:color="auto"/>
              <w:bottom w:val="single" w:sz="2" w:space="0" w:color="auto"/>
            </w:tcBorders>
            <w:vAlign w:val="center"/>
          </w:tcPr>
          <w:p w:rsidR="00357737" w:rsidRPr="00335087" w:rsidRDefault="00357737" w:rsidP="00335087">
            <w:pPr>
              <w:pStyle w:val="texto"/>
              <w:spacing w:after="0"/>
              <w:ind w:firstLine="0"/>
              <w:jc w:val="right"/>
              <w:rPr>
                <w:rFonts w:ascii="Arial Narrow" w:hAnsi="Arial Narrow"/>
                <w:sz w:val="20"/>
                <w:szCs w:val="20"/>
              </w:rPr>
            </w:pPr>
            <w:r w:rsidRPr="00335087">
              <w:rPr>
                <w:rFonts w:ascii="Arial Narrow" w:hAnsi="Arial Narrow"/>
                <w:sz w:val="20"/>
                <w:szCs w:val="20"/>
              </w:rPr>
              <w:t>61</w:t>
            </w:r>
          </w:p>
        </w:tc>
        <w:tc>
          <w:tcPr>
            <w:tcW w:w="1572" w:type="dxa"/>
            <w:tcBorders>
              <w:top w:val="single" w:sz="2" w:space="0" w:color="auto"/>
              <w:bottom w:val="single" w:sz="2" w:space="0" w:color="auto"/>
            </w:tcBorders>
            <w:shd w:val="clear" w:color="auto" w:fill="auto"/>
            <w:noWrap/>
            <w:vAlign w:val="center"/>
          </w:tcPr>
          <w:p w:rsidR="00357737" w:rsidRPr="00335087" w:rsidRDefault="00357737" w:rsidP="00335087">
            <w:pPr>
              <w:pStyle w:val="texto"/>
              <w:spacing w:after="0"/>
              <w:ind w:firstLine="0"/>
              <w:jc w:val="right"/>
              <w:rPr>
                <w:rFonts w:ascii="Arial Narrow" w:hAnsi="Arial Narrow"/>
                <w:sz w:val="20"/>
                <w:szCs w:val="20"/>
              </w:rPr>
            </w:pPr>
            <w:r w:rsidRPr="00335087">
              <w:rPr>
                <w:rFonts w:ascii="Arial Narrow" w:hAnsi="Arial Narrow"/>
                <w:sz w:val="20"/>
                <w:szCs w:val="20"/>
              </w:rPr>
              <w:t>39</w:t>
            </w:r>
          </w:p>
        </w:tc>
      </w:tr>
      <w:tr w:rsidR="00357737" w:rsidRPr="00A92E53" w:rsidTr="00335087">
        <w:trPr>
          <w:trHeight w:val="284"/>
        </w:trPr>
        <w:tc>
          <w:tcPr>
            <w:tcW w:w="5812" w:type="dxa"/>
            <w:tcBorders>
              <w:top w:val="single" w:sz="2" w:space="0" w:color="auto"/>
              <w:bottom w:val="single" w:sz="2" w:space="0" w:color="auto"/>
            </w:tcBorders>
            <w:shd w:val="clear" w:color="auto" w:fill="auto"/>
            <w:noWrap/>
            <w:vAlign w:val="center"/>
          </w:tcPr>
          <w:p w:rsidR="00357737" w:rsidRPr="00335087" w:rsidRDefault="00357737" w:rsidP="00900E13">
            <w:pPr>
              <w:pStyle w:val="texto"/>
              <w:spacing w:after="0"/>
              <w:ind w:firstLine="0"/>
              <w:rPr>
                <w:rFonts w:ascii="Arial Narrow" w:hAnsi="Arial Narrow"/>
                <w:sz w:val="20"/>
                <w:szCs w:val="20"/>
              </w:rPr>
            </w:pPr>
            <w:r w:rsidRPr="00335087">
              <w:rPr>
                <w:rFonts w:ascii="Arial Narrow" w:hAnsi="Arial Narrow"/>
                <w:sz w:val="20"/>
                <w:szCs w:val="20"/>
              </w:rPr>
              <w:t>Estudiantes</w:t>
            </w:r>
          </w:p>
        </w:tc>
        <w:tc>
          <w:tcPr>
            <w:tcW w:w="1475" w:type="dxa"/>
            <w:tcBorders>
              <w:top w:val="single" w:sz="2" w:space="0" w:color="auto"/>
              <w:bottom w:val="single" w:sz="2" w:space="0" w:color="auto"/>
            </w:tcBorders>
            <w:vAlign w:val="center"/>
          </w:tcPr>
          <w:p w:rsidR="00357737" w:rsidRPr="00335087" w:rsidRDefault="00357737" w:rsidP="00335087">
            <w:pPr>
              <w:pStyle w:val="texto"/>
              <w:spacing w:after="0"/>
              <w:ind w:firstLine="0"/>
              <w:jc w:val="right"/>
              <w:rPr>
                <w:rFonts w:ascii="Arial Narrow" w:hAnsi="Arial Narrow"/>
                <w:sz w:val="20"/>
                <w:szCs w:val="20"/>
              </w:rPr>
            </w:pPr>
            <w:r w:rsidRPr="00335087">
              <w:rPr>
                <w:rFonts w:ascii="Arial Narrow" w:hAnsi="Arial Narrow"/>
                <w:sz w:val="20"/>
                <w:szCs w:val="20"/>
              </w:rPr>
              <w:t>51</w:t>
            </w:r>
          </w:p>
        </w:tc>
        <w:tc>
          <w:tcPr>
            <w:tcW w:w="1572" w:type="dxa"/>
            <w:tcBorders>
              <w:top w:val="single" w:sz="2" w:space="0" w:color="auto"/>
              <w:bottom w:val="single" w:sz="2" w:space="0" w:color="auto"/>
            </w:tcBorders>
            <w:shd w:val="clear" w:color="auto" w:fill="auto"/>
            <w:noWrap/>
            <w:vAlign w:val="center"/>
          </w:tcPr>
          <w:p w:rsidR="00357737" w:rsidRPr="00335087" w:rsidRDefault="00357737" w:rsidP="00335087">
            <w:pPr>
              <w:pStyle w:val="texto"/>
              <w:spacing w:after="0"/>
              <w:ind w:firstLine="0"/>
              <w:jc w:val="right"/>
              <w:rPr>
                <w:rFonts w:ascii="Arial Narrow" w:hAnsi="Arial Narrow"/>
                <w:sz w:val="20"/>
                <w:szCs w:val="20"/>
              </w:rPr>
            </w:pPr>
            <w:r w:rsidRPr="00335087">
              <w:rPr>
                <w:rFonts w:ascii="Arial Narrow" w:hAnsi="Arial Narrow"/>
                <w:sz w:val="20"/>
                <w:szCs w:val="20"/>
              </w:rPr>
              <w:t>49</w:t>
            </w:r>
          </w:p>
        </w:tc>
      </w:tr>
    </w:tbl>
    <w:p w:rsidR="00357737" w:rsidRDefault="00357737" w:rsidP="007912E5">
      <w:pPr>
        <w:pStyle w:val="texto"/>
        <w:spacing w:after="0"/>
      </w:pPr>
    </w:p>
    <w:p w:rsidR="00357737" w:rsidRDefault="00357737" w:rsidP="00357737">
      <w:pPr>
        <w:pStyle w:val="texto"/>
      </w:pPr>
      <w:r>
        <w:lastRenderedPageBreak/>
        <w:t>Es decir, se observa una tendencia bastante equilibrada entre ambos sexos, especialmente en alumnos. En PDI, hay un cierto sesgo a favor del género ma</w:t>
      </w:r>
      <w:r>
        <w:t>s</w:t>
      </w:r>
      <w:r>
        <w:t xml:space="preserve">culino, en tanto que en el PAS, ese sesgo es </w:t>
      </w:r>
      <w:r w:rsidR="00900E13">
        <w:t xml:space="preserve">claro </w:t>
      </w:r>
      <w:r>
        <w:t>a favor del femenino.</w:t>
      </w:r>
    </w:p>
    <w:p w:rsidR="002577D1" w:rsidRDefault="00CD6AA4" w:rsidP="00335087">
      <w:pPr>
        <w:pStyle w:val="texto"/>
        <w:spacing w:after="240"/>
      </w:pPr>
      <w:r>
        <w:t>L</w:t>
      </w:r>
      <w:r w:rsidR="002577D1">
        <w:t>os órganos de gobierno y</w:t>
      </w:r>
      <w:r w:rsidR="00F62321">
        <w:t xml:space="preserve"> de</w:t>
      </w:r>
      <w:r w:rsidR="002577D1">
        <w:t xml:space="preserve"> representación</w:t>
      </w:r>
      <w:r w:rsidR="00BE1DF8">
        <w:t xml:space="preserve"> colegiados</w:t>
      </w:r>
      <w:r w:rsidR="002577D1">
        <w:t xml:space="preserve"> </w:t>
      </w:r>
      <w:r w:rsidR="00CE62C7">
        <w:t xml:space="preserve">más representativos </w:t>
      </w:r>
      <w:r w:rsidR="002577D1">
        <w:t>presentan</w:t>
      </w:r>
      <w:r w:rsidR="008B0681">
        <w:t>,</w:t>
      </w:r>
      <w:r w:rsidR="00544559">
        <w:t xml:space="preserve"> a </w:t>
      </w:r>
      <w:r w:rsidR="00C875A8">
        <w:t>31 de diciembre de 2014</w:t>
      </w:r>
      <w:r w:rsidR="008B0681">
        <w:t>,</w:t>
      </w:r>
      <w:r w:rsidR="002577D1">
        <w:t xml:space="preserve"> la siguiente composición</w:t>
      </w:r>
      <w:r w:rsidR="00456E4F">
        <w:t xml:space="preserve"> porcentual</w:t>
      </w:r>
      <w:r w:rsidR="002577D1">
        <w:t xml:space="preserve"> e</w:t>
      </w:r>
      <w:r w:rsidR="002577D1">
        <w:t>n</w:t>
      </w:r>
      <w:r w:rsidR="002577D1">
        <w:t>tre mujeres y hombres:</w:t>
      </w:r>
    </w:p>
    <w:tbl>
      <w:tblPr>
        <w:tblW w:w="8750" w:type="dxa"/>
        <w:jc w:val="center"/>
        <w:tblInd w:w="13" w:type="dxa"/>
        <w:tblCellMar>
          <w:left w:w="70" w:type="dxa"/>
          <w:right w:w="70" w:type="dxa"/>
        </w:tblCellMar>
        <w:tblLook w:val="0000" w:firstRow="0" w:lastRow="0" w:firstColumn="0" w:lastColumn="0" w:noHBand="0" w:noVBand="0"/>
      </w:tblPr>
      <w:tblGrid>
        <w:gridCol w:w="4583"/>
        <w:gridCol w:w="1656"/>
        <w:gridCol w:w="1214"/>
        <w:gridCol w:w="1297"/>
      </w:tblGrid>
      <w:tr w:rsidR="00544559" w:rsidRPr="00D31BB1" w:rsidTr="007912E5">
        <w:trPr>
          <w:trHeight w:val="255"/>
          <w:jc w:val="center"/>
        </w:trPr>
        <w:tc>
          <w:tcPr>
            <w:tcW w:w="4583" w:type="dxa"/>
            <w:tcBorders>
              <w:top w:val="single" w:sz="4" w:space="0" w:color="auto"/>
              <w:bottom w:val="single" w:sz="4" w:space="0" w:color="auto"/>
            </w:tcBorders>
            <w:shd w:val="clear" w:color="auto" w:fill="A8CBEE" w:themeFill="accent2" w:themeFillTint="66"/>
            <w:noWrap/>
            <w:vAlign w:val="center"/>
          </w:tcPr>
          <w:p w:rsidR="00544559" w:rsidRPr="00D31BB1" w:rsidRDefault="00D31BB1" w:rsidP="00D31BB1">
            <w:pPr>
              <w:spacing w:after="0"/>
              <w:ind w:firstLine="53"/>
              <w:jc w:val="left"/>
              <w:rPr>
                <w:rFonts w:ascii="Arial" w:hAnsi="Arial" w:cs="Arial"/>
                <w:lang w:val="es-ES" w:eastAsia="es-ES"/>
              </w:rPr>
            </w:pPr>
            <w:r w:rsidRPr="00D31BB1">
              <w:rPr>
                <w:rFonts w:ascii="Arial" w:hAnsi="Arial" w:cs="Arial"/>
                <w:lang w:val="es-ES" w:eastAsia="es-ES"/>
              </w:rPr>
              <w:t>Órganos</w:t>
            </w:r>
          </w:p>
        </w:tc>
        <w:tc>
          <w:tcPr>
            <w:tcW w:w="1656" w:type="dxa"/>
            <w:tcBorders>
              <w:top w:val="single" w:sz="4" w:space="0" w:color="auto"/>
              <w:bottom w:val="single" w:sz="4" w:space="0" w:color="auto"/>
            </w:tcBorders>
            <w:shd w:val="clear" w:color="auto" w:fill="A8CBEE" w:themeFill="accent2" w:themeFillTint="66"/>
            <w:vAlign w:val="center"/>
          </w:tcPr>
          <w:p w:rsidR="00D31BB1" w:rsidRPr="00D31BB1" w:rsidRDefault="00294D00" w:rsidP="00D31BB1">
            <w:pPr>
              <w:spacing w:after="0"/>
              <w:ind w:firstLine="6"/>
              <w:jc w:val="right"/>
              <w:rPr>
                <w:rFonts w:ascii="Arial" w:hAnsi="Arial" w:cs="Arial"/>
                <w:sz w:val="18"/>
                <w:szCs w:val="18"/>
                <w:lang w:val="es-ES" w:eastAsia="es-ES"/>
              </w:rPr>
            </w:pPr>
            <w:r w:rsidRPr="00D31BB1">
              <w:rPr>
                <w:rFonts w:ascii="Arial" w:hAnsi="Arial" w:cs="Arial"/>
                <w:sz w:val="18"/>
                <w:szCs w:val="18"/>
                <w:lang w:val="es-ES" w:eastAsia="es-ES"/>
              </w:rPr>
              <w:t>Número</w:t>
            </w:r>
          </w:p>
          <w:p w:rsidR="00544559" w:rsidRPr="00D31BB1" w:rsidRDefault="008B0681" w:rsidP="00D31BB1">
            <w:pPr>
              <w:spacing w:after="0"/>
              <w:ind w:firstLine="6"/>
              <w:jc w:val="right"/>
              <w:rPr>
                <w:rFonts w:ascii="Arial" w:hAnsi="Arial" w:cs="Arial"/>
                <w:sz w:val="18"/>
                <w:szCs w:val="18"/>
                <w:lang w:val="es-ES" w:eastAsia="es-ES"/>
              </w:rPr>
            </w:pPr>
            <w:r w:rsidRPr="00D31BB1">
              <w:rPr>
                <w:rFonts w:ascii="Arial" w:hAnsi="Arial" w:cs="Arial"/>
                <w:sz w:val="18"/>
                <w:szCs w:val="18"/>
                <w:lang w:val="es-ES" w:eastAsia="es-ES"/>
              </w:rPr>
              <w:t>Representantes</w:t>
            </w:r>
          </w:p>
        </w:tc>
        <w:tc>
          <w:tcPr>
            <w:tcW w:w="1214" w:type="dxa"/>
            <w:tcBorders>
              <w:top w:val="single" w:sz="4" w:space="0" w:color="auto"/>
              <w:bottom w:val="single" w:sz="4" w:space="0" w:color="auto"/>
            </w:tcBorders>
            <w:shd w:val="clear" w:color="auto" w:fill="A8CBEE" w:themeFill="accent2" w:themeFillTint="66"/>
            <w:vAlign w:val="center"/>
          </w:tcPr>
          <w:p w:rsidR="00544559" w:rsidRPr="00D31BB1" w:rsidRDefault="00544559" w:rsidP="00D31BB1">
            <w:pPr>
              <w:spacing w:after="0"/>
              <w:jc w:val="right"/>
              <w:rPr>
                <w:rFonts w:ascii="Arial" w:hAnsi="Arial" w:cs="Arial"/>
                <w:sz w:val="18"/>
                <w:szCs w:val="18"/>
                <w:lang w:val="es-ES" w:eastAsia="es-ES"/>
              </w:rPr>
            </w:pPr>
            <w:r w:rsidRPr="00D31BB1">
              <w:rPr>
                <w:rFonts w:ascii="Arial" w:hAnsi="Arial" w:cs="Arial"/>
                <w:sz w:val="18"/>
                <w:szCs w:val="18"/>
                <w:lang w:val="es-ES" w:eastAsia="es-ES"/>
              </w:rPr>
              <w:t>% Mujeres</w:t>
            </w:r>
          </w:p>
        </w:tc>
        <w:tc>
          <w:tcPr>
            <w:tcW w:w="1297" w:type="dxa"/>
            <w:tcBorders>
              <w:top w:val="single" w:sz="4" w:space="0" w:color="auto"/>
              <w:bottom w:val="single" w:sz="4" w:space="0" w:color="auto"/>
            </w:tcBorders>
            <w:shd w:val="clear" w:color="auto" w:fill="A8CBEE" w:themeFill="accent2" w:themeFillTint="66"/>
            <w:noWrap/>
            <w:vAlign w:val="center"/>
          </w:tcPr>
          <w:p w:rsidR="00544559" w:rsidRPr="00D31BB1" w:rsidRDefault="00544559" w:rsidP="00D31BB1">
            <w:pPr>
              <w:spacing w:after="0"/>
              <w:jc w:val="right"/>
              <w:rPr>
                <w:rFonts w:ascii="Arial" w:hAnsi="Arial" w:cs="Arial"/>
                <w:sz w:val="18"/>
                <w:szCs w:val="18"/>
                <w:lang w:val="es-ES" w:eastAsia="es-ES"/>
              </w:rPr>
            </w:pPr>
            <w:r w:rsidRPr="00D31BB1">
              <w:rPr>
                <w:rFonts w:ascii="Arial" w:hAnsi="Arial" w:cs="Arial"/>
                <w:sz w:val="18"/>
                <w:szCs w:val="18"/>
                <w:lang w:val="es-ES" w:eastAsia="es-ES"/>
              </w:rPr>
              <w:t>% Hombres</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sidRPr="00000AAA">
              <w:rPr>
                <w:rFonts w:ascii="Arial Narrow" w:hAnsi="Arial Narrow"/>
                <w:sz w:val="20"/>
                <w:szCs w:val="20"/>
              </w:rPr>
              <w:t>Claustro universitario</w:t>
            </w:r>
          </w:p>
        </w:tc>
        <w:tc>
          <w:tcPr>
            <w:tcW w:w="1656"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123</w:t>
            </w: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42</w:t>
            </w: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58</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sidRPr="00000AAA">
              <w:rPr>
                <w:rFonts w:ascii="Arial Narrow" w:hAnsi="Arial Narrow"/>
                <w:sz w:val="20"/>
                <w:szCs w:val="20"/>
              </w:rPr>
              <w:t>Consejo de Gobierno</w:t>
            </w:r>
          </w:p>
        </w:tc>
        <w:tc>
          <w:tcPr>
            <w:tcW w:w="1656"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18</w:t>
            </w: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33</w:t>
            </w: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67</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sidRPr="00000AAA">
              <w:rPr>
                <w:rFonts w:ascii="Arial Narrow" w:hAnsi="Arial Narrow"/>
                <w:sz w:val="20"/>
                <w:szCs w:val="20"/>
              </w:rPr>
              <w:t>Consejo Social</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30</w:t>
            </w: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27</w:t>
            </w: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r w:rsidRPr="00000AAA">
              <w:rPr>
                <w:rFonts w:ascii="Arial Narrow" w:hAnsi="Arial Narrow"/>
                <w:sz w:val="20"/>
                <w:szCs w:val="20"/>
              </w:rPr>
              <w:t>73</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spacing w:after="0"/>
              <w:ind w:firstLine="0"/>
              <w:rPr>
                <w:rFonts w:ascii="Arial Narrow" w:hAnsi="Arial Narrow"/>
                <w:sz w:val="20"/>
                <w:szCs w:val="20"/>
              </w:rPr>
            </w:pPr>
            <w:r w:rsidRPr="00000AAA">
              <w:rPr>
                <w:rFonts w:ascii="Arial Narrow" w:hAnsi="Arial Narrow"/>
                <w:sz w:val="20"/>
                <w:szCs w:val="20"/>
              </w:rPr>
              <w:t>Juntas de Centro</w:t>
            </w:r>
          </w:p>
        </w:tc>
        <w:tc>
          <w:tcPr>
            <w:tcW w:w="1656"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p>
        </w:tc>
        <w:tc>
          <w:tcPr>
            <w:tcW w:w="1214" w:type="dxa"/>
            <w:tcBorders>
              <w:top w:val="single" w:sz="2" w:space="0" w:color="auto"/>
              <w:bottom w:val="single" w:sz="2" w:space="0" w:color="auto"/>
            </w:tcBorders>
            <w:vAlign w:val="center"/>
          </w:tcPr>
          <w:p w:rsidR="00544559" w:rsidRPr="00000AAA" w:rsidRDefault="00544559" w:rsidP="00D31BB1">
            <w:pPr>
              <w:pStyle w:val="texto"/>
              <w:spacing w:after="0"/>
              <w:ind w:firstLine="0"/>
              <w:jc w:val="right"/>
              <w:rPr>
                <w:rFonts w:ascii="Arial Narrow" w:hAnsi="Arial Narrow"/>
                <w:sz w:val="20"/>
                <w:szCs w:val="20"/>
              </w:rPr>
            </w:pPr>
          </w:p>
        </w:tc>
        <w:tc>
          <w:tcPr>
            <w:tcW w:w="1297" w:type="dxa"/>
            <w:tcBorders>
              <w:top w:val="single" w:sz="2" w:space="0" w:color="auto"/>
              <w:bottom w:val="single" w:sz="2" w:space="0" w:color="auto"/>
            </w:tcBorders>
            <w:shd w:val="clear" w:color="auto" w:fill="auto"/>
            <w:noWrap/>
            <w:vAlign w:val="center"/>
          </w:tcPr>
          <w:p w:rsidR="00544559" w:rsidRPr="00000AAA" w:rsidRDefault="00544559" w:rsidP="00D31BB1">
            <w:pPr>
              <w:pStyle w:val="texto"/>
              <w:spacing w:after="0"/>
              <w:ind w:firstLine="0"/>
              <w:jc w:val="right"/>
              <w:rPr>
                <w:rFonts w:ascii="Arial Narrow" w:hAnsi="Arial Narrow"/>
                <w:sz w:val="20"/>
                <w:szCs w:val="20"/>
              </w:rPr>
            </w:pP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sidRPr="00000AAA">
              <w:rPr>
                <w:rFonts w:ascii="Arial Narrow" w:hAnsi="Arial Narrow"/>
                <w:sz w:val="20"/>
                <w:szCs w:val="20"/>
              </w:rPr>
              <w:t>CCEE y Empresariales</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18</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28</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72</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sidRPr="00000AAA">
              <w:rPr>
                <w:rFonts w:ascii="Arial Narrow" w:hAnsi="Arial Narrow"/>
                <w:sz w:val="20"/>
                <w:szCs w:val="20"/>
              </w:rPr>
              <w:t>Ciencias Humanas y Sociales</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19</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53</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47</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sidRPr="00000AAA">
              <w:rPr>
                <w:rFonts w:ascii="Arial Narrow" w:hAnsi="Arial Narrow"/>
                <w:sz w:val="20"/>
                <w:szCs w:val="20"/>
              </w:rPr>
              <w:t>Ciencias Jurídicas</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19</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47</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53</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sidRPr="00000AAA">
              <w:rPr>
                <w:rFonts w:ascii="Arial Narrow" w:hAnsi="Arial Narrow"/>
                <w:sz w:val="20"/>
                <w:szCs w:val="20"/>
              </w:rPr>
              <w:t>Ingenieros Agrónomos</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20</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60</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40</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sidRPr="00000AAA">
              <w:rPr>
                <w:rFonts w:ascii="Arial Narrow" w:hAnsi="Arial Narrow"/>
                <w:sz w:val="20"/>
                <w:szCs w:val="20"/>
              </w:rPr>
              <w:t>Ingenieros Industriales y de Telecomunicación</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22</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18</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82</w:t>
            </w:r>
          </w:p>
        </w:tc>
      </w:tr>
      <w:tr w:rsidR="005445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544559" w:rsidRPr="00000AAA" w:rsidRDefault="00544559" w:rsidP="004B4AC6">
            <w:pPr>
              <w:pStyle w:val="texto"/>
              <w:numPr>
                <w:ilvl w:val="0"/>
                <w:numId w:val="11"/>
              </w:numPr>
              <w:spacing w:after="0"/>
              <w:rPr>
                <w:rFonts w:ascii="Arial Narrow" w:hAnsi="Arial Narrow"/>
                <w:sz w:val="20"/>
                <w:szCs w:val="20"/>
              </w:rPr>
            </w:pPr>
            <w:r w:rsidRPr="00000AAA">
              <w:rPr>
                <w:rFonts w:ascii="Arial Narrow" w:hAnsi="Arial Narrow"/>
                <w:sz w:val="20"/>
                <w:szCs w:val="20"/>
              </w:rPr>
              <w:t>Ciencias de la Salud</w:t>
            </w:r>
          </w:p>
        </w:tc>
        <w:tc>
          <w:tcPr>
            <w:tcW w:w="1656"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19</w:t>
            </w:r>
          </w:p>
        </w:tc>
        <w:tc>
          <w:tcPr>
            <w:tcW w:w="1214" w:type="dxa"/>
            <w:tcBorders>
              <w:top w:val="single" w:sz="2" w:space="0" w:color="auto"/>
              <w:bottom w:val="single" w:sz="2" w:space="0" w:color="auto"/>
            </w:tcBorders>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63</w:t>
            </w:r>
          </w:p>
        </w:tc>
        <w:tc>
          <w:tcPr>
            <w:tcW w:w="1297" w:type="dxa"/>
            <w:tcBorders>
              <w:top w:val="single" w:sz="2" w:space="0" w:color="auto"/>
              <w:bottom w:val="single" w:sz="2" w:space="0" w:color="auto"/>
            </w:tcBorders>
            <w:shd w:val="clear" w:color="auto" w:fill="auto"/>
            <w:noWrap/>
            <w:vAlign w:val="center"/>
          </w:tcPr>
          <w:p w:rsidR="00544559" w:rsidRPr="00000AAA" w:rsidRDefault="005F3B14" w:rsidP="00D31BB1">
            <w:pPr>
              <w:pStyle w:val="texto"/>
              <w:spacing w:after="0"/>
              <w:ind w:firstLine="0"/>
              <w:jc w:val="right"/>
              <w:rPr>
                <w:rFonts w:ascii="Arial Narrow" w:hAnsi="Arial Narrow"/>
                <w:sz w:val="20"/>
                <w:szCs w:val="20"/>
              </w:rPr>
            </w:pPr>
            <w:r w:rsidRPr="00000AAA">
              <w:rPr>
                <w:rFonts w:ascii="Arial Narrow" w:hAnsi="Arial Narrow"/>
                <w:sz w:val="20"/>
                <w:szCs w:val="20"/>
              </w:rPr>
              <w:t>37</w:t>
            </w:r>
          </w:p>
        </w:tc>
      </w:tr>
      <w:tr w:rsidR="00452859" w:rsidRPr="00000AAA" w:rsidTr="007912E5">
        <w:trPr>
          <w:trHeight w:val="255"/>
          <w:jc w:val="center"/>
        </w:trPr>
        <w:tc>
          <w:tcPr>
            <w:tcW w:w="4583" w:type="dxa"/>
            <w:tcBorders>
              <w:top w:val="single" w:sz="2" w:space="0" w:color="auto"/>
              <w:bottom w:val="single" w:sz="2" w:space="0" w:color="auto"/>
            </w:tcBorders>
            <w:shd w:val="clear" w:color="auto" w:fill="auto"/>
            <w:noWrap/>
            <w:vAlign w:val="center"/>
          </w:tcPr>
          <w:p w:rsidR="00452859" w:rsidRPr="00000AAA" w:rsidRDefault="00A11370" w:rsidP="00452859">
            <w:pPr>
              <w:pStyle w:val="texto"/>
              <w:spacing w:after="0"/>
              <w:ind w:firstLine="0"/>
              <w:rPr>
                <w:rFonts w:ascii="Arial Narrow" w:hAnsi="Arial Narrow"/>
                <w:sz w:val="20"/>
                <w:szCs w:val="20"/>
              </w:rPr>
            </w:pPr>
            <w:r w:rsidRPr="00000AAA">
              <w:rPr>
                <w:rFonts w:ascii="Arial Narrow" w:hAnsi="Arial Narrow"/>
                <w:sz w:val="20"/>
                <w:szCs w:val="20"/>
              </w:rPr>
              <w:t xml:space="preserve">Total </w:t>
            </w:r>
            <w:r w:rsidR="003B3F53" w:rsidRPr="00000AAA">
              <w:rPr>
                <w:rFonts w:ascii="Arial Narrow" w:hAnsi="Arial Narrow"/>
                <w:sz w:val="20"/>
                <w:szCs w:val="20"/>
              </w:rPr>
              <w:t xml:space="preserve">Consejos de </w:t>
            </w:r>
            <w:r w:rsidR="00452859" w:rsidRPr="00000AAA">
              <w:rPr>
                <w:rFonts w:ascii="Arial Narrow" w:hAnsi="Arial Narrow"/>
                <w:sz w:val="20"/>
                <w:szCs w:val="20"/>
              </w:rPr>
              <w:t>Departamentos</w:t>
            </w:r>
          </w:p>
        </w:tc>
        <w:tc>
          <w:tcPr>
            <w:tcW w:w="1656" w:type="dxa"/>
            <w:tcBorders>
              <w:top w:val="single" w:sz="2" w:space="0" w:color="auto"/>
              <w:bottom w:val="single" w:sz="2" w:space="0" w:color="auto"/>
            </w:tcBorders>
            <w:vAlign w:val="center"/>
          </w:tcPr>
          <w:p w:rsidR="00452859" w:rsidRPr="00000AAA" w:rsidRDefault="00452859" w:rsidP="00D31BB1">
            <w:pPr>
              <w:pStyle w:val="texto"/>
              <w:spacing w:after="0"/>
              <w:ind w:firstLine="0"/>
              <w:jc w:val="right"/>
              <w:rPr>
                <w:rFonts w:ascii="Arial Narrow" w:hAnsi="Arial Narrow"/>
                <w:sz w:val="20"/>
                <w:szCs w:val="20"/>
              </w:rPr>
            </w:pPr>
            <w:r w:rsidRPr="00000AAA">
              <w:rPr>
                <w:rFonts w:ascii="Arial Narrow" w:hAnsi="Arial Narrow"/>
                <w:sz w:val="20"/>
                <w:szCs w:val="20"/>
              </w:rPr>
              <w:t>657</w:t>
            </w:r>
          </w:p>
        </w:tc>
        <w:tc>
          <w:tcPr>
            <w:tcW w:w="1214" w:type="dxa"/>
            <w:tcBorders>
              <w:top w:val="single" w:sz="2" w:space="0" w:color="auto"/>
              <w:bottom w:val="single" w:sz="2" w:space="0" w:color="auto"/>
            </w:tcBorders>
            <w:vAlign w:val="center"/>
          </w:tcPr>
          <w:p w:rsidR="00452859" w:rsidRPr="00000AAA" w:rsidRDefault="00452859" w:rsidP="00D31BB1">
            <w:pPr>
              <w:pStyle w:val="texto"/>
              <w:spacing w:after="0"/>
              <w:ind w:firstLine="0"/>
              <w:jc w:val="right"/>
              <w:rPr>
                <w:rFonts w:ascii="Arial Narrow" w:hAnsi="Arial Narrow"/>
                <w:sz w:val="20"/>
                <w:szCs w:val="20"/>
              </w:rPr>
            </w:pPr>
            <w:r w:rsidRPr="00000AAA">
              <w:rPr>
                <w:rFonts w:ascii="Arial Narrow" w:hAnsi="Arial Narrow"/>
                <w:sz w:val="20"/>
                <w:szCs w:val="20"/>
              </w:rPr>
              <w:t>41</w:t>
            </w:r>
          </w:p>
        </w:tc>
        <w:tc>
          <w:tcPr>
            <w:tcW w:w="1297" w:type="dxa"/>
            <w:tcBorders>
              <w:top w:val="single" w:sz="2" w:space="0" w:color="auto"/>
              <w:bottom w:val="single" w:sz="2" w:space="0" w:color="auto"/>
            </w:tcBorders>
            <w:shd w:val="clear" w:color="auto" w:fill="auto"/>
            <w:noWrap/>
            <w:vAlign w:val="center"/>
          </w:tcPr>
          <w:p w:rsidR="00452859" w:rsidRPr="00000AAA" w:rsidRDefault="00452859" w:rsidP="00D31BB1">
            <w:pPr>
              <w:pStyle w:val="texto"/>
              <w:spacing w:after="0"/>
              <w:ind w:firstLine="0"/>
              <w:jc w:val="right"/>
              <w:rPr>
                <w:rFonts w:ascii="Arial Narrow" w:hAnsi="Arial Narrow"/>
                <w:sz w:val="20"/>
                <w:szCs w:val="20"/>
              </w:rPr>
            </w:pPr>
            <w:r w:rsidRPr="00000AAA">
              <w:rPr>
                <w:rFonts w:ascii="Arial Narrow" w:hAnsi="Arial Narrow"/>
                <w:sz w:val="20"/>
                <w:szCs w:val="20"/>
              </w:rPr>
              <w:t>59</w:t>
            </w:r>
          </w:p>
        </w:tc>
      </w:tr>
    </w:tbl>
    <w:p w:rsidR="00246600" w:rsidRDefault="00246600" w:rsidP="00000AAA">
      <w:pPr>
        <w:pStyle w:val="texto"/>
        <w:spacing w:after="0"/>
        <w:ind w:firstLine="0"/>
      </w:pPr>
    </w:p>
    <w:p w:rsidR="00C20BA7" w:rsidRDefault="00C20BA7" w:rsidP="004B4AC6">
      <w:pPr>
        <w:pStyle w:val="texto"/>
      </w:pPr>
      <w:r w:rsidRPr="00C20BA7">
        <w:t xml:space="preserve">Con los resultados anteriores </w:t>
      </w:r>
      <w:r w:rsidR="004B4AC6">
        <w:t>podemos concluir que</w:t>
      </w:r>
      <w:r w:rsidR="00CD6AA4">
        <w:t>,</w:t>
      </w:r>
      <w:r w:rsidR="004B4AC6">
        <w:t xml:space="preserve"> en los órganos gener</w:t>
      </w:r>
      <w:r w:rsidR="004B4AC6">
        <w:t>a</w:t>
      </w:r>
      <w:r w:rsidR="004B4AC6">
        <w:t>les colegiados</w:t>
      </w:r>
      <w:r w:rsidR="005016AE">
        <w:t>, solo en el claustro</w:t>
      </w:r>
      <w:r w:rsidR="00CD6AA4">
        <w:t xml:space="preserve"> universitario</w:t>
      </w:r>
      <w:r w:rsidR="005016AE">
        <w:t xml:space="preserve"> se observa una</w:t>
      </w:r>
      <w:r w:rsidRPr="00C20BA7">
        <w:t xml:space="preserve"> presencia o composición equilibrada </w:t>
      </w:r>
      <w:r w:rsidR="00CD6AA4">
        <w:t>en torno al intervalo que señala la normativa de igua</w:t>
      </w:r>
      <w:r w:rsidR="00CD6AA4">
        <w:t>l</w:t>
      </w:r>
      <w:r w:rsidR="00CD6AA4">
        <w:t xml:space="preserve">dad –es decir, </w:t>
      </w:r>
      <w:r w:rsidRPr="00C20BA7">
        <w:t>la presencia de cada sexo no supere el 60 por ciento ni sea inf</w:t>
      </w:r>
      <w:r w:rsidRPr="00C20BA7">
        <w:t>e</w:t>
      </w:r>
      <w:r w:rsidRPr="00C20BA7">
        <w:t>rior al 40 por ciento</w:t>
      </w:r>
      <w:r w:rsidR="00000AAA">
        <w:t>–</w:t>
      </w:r>
      <w:r w:rsidR="00CD6AA4">
        <w:t xml:space="preserve">; en los otros dos órganos, la presencia masculina supera </w:t>
      </w:r>
      <w:r w:rsidR="005F3B14">
        <w:t xml:space="preserve">claramente el límite del </w:t>
      </w:r>
      <w:r w:rsidR="00CD6AA4">
        <w:t>60 por ciento.</w:t>
      </w:r>
    </w:p>
    <w:p w:rsidR="005F3B14" w:rsidRDefault="005F3B14" w:rsidP="00CD6AA4">
      <w:pPr>
        <w:pStyle w:val="texto"/>
      </w:pPr>
      <w:r>
        <w:t xml:space="preserve">En Juntas de </w:t>
      </w:r>
      <w:r w:rsidR="00A11370">
        <w:t>C</w:t>
      </w:r>
      <w:r>
        <w:t>entro, tres de ell</w:t>
      </w:r>
      <w:r w:rsidR="00FC75E3">
        <w:t>a</w:t>
      </w:r>
      <w:r>
        <w:t xml:space="preserve">s superan ese intervalo: </w:t>
      </w:r>
      <w:r w:rsidR="00B530EA">
        <w:t xml:space="preserve">existe </w:t>
      </w:r>
      <w:r w:rsidR="00F91006">
        <w:t>mayor</w:t>
      </w:r>
      <w:r>
        <w:t xml:space="preserve"> prese</w:t>
      </w:r>
      <w:r>
        <w:t>n</w:t>
      </w:r>
      <w:r>
        <w:t xml:space="preserve">cia masculina en Ingenieros Industriales y Económicas y femenina en Ciencias de la Salud. </w:t>
      </w:r>
    </w:p>
    <w:p w:rsidR="00452859" w:rsidRDefault="00452859" w:rsidP="00CD6AA4">
      <w:pPr>
        <w:pStyle w:val="texto"/>
      </w:pPr>
      <w:r>
        <w:t>Para el conjunto de</w:t>
      </w:r>
      <w:r w:rsidR="003B3F53">
        <w:t xml:space="preserve"> consejos de departamento</w:t>
      </w:r>
      <w:r>
        <w:t>, la presencia está equilibrada. No obstante, si los consideramos individualmente, se obs</w:t>
      </w:r>
      <w:r w:rsidR="00242651">
        <w:t>erva</w:t>
      </w:r>
      <w:r w:rsidR="00EE5A91">
        <w:t>n</w:t>
      </w:r>
      <w:r w:rsidR="00242651">
        <w:t xml:space="preserve"> desequilibrios en 13 </w:t>
      </w:r>
      <w:r>
        <w:t xml:space="preserve">departamentos: </w:t>
      </w:r>
      <w:r w:rsidR="00EE5A91">
        <w:t>e</w:t>
      </w:r>
      <w:r>
        <w:t>n 10, mayor peso masculino y</w:t>
      </w:r>
      <w:r w:rsidR="00FC75E3">
        <w:t>,</w:t>
      </w:r>
      <w:r>
        <w:t xml:space="preserve"> en tres, femenino.</w:t>
      </w:r>
    </w:p>
    <w:p w:rsidR="00434925" w:rsidRPr="00434925" w:rsidRDefault="00434925" w:rsidP="00434925">
      <w:pPr>
        <w:pStyle w:val="texto"/>
        <w:spacing w:after="0"/>
      </w:pPr>
      <w:r w:rsidRPr="00434925">
        <w:t>Informe que se emite a propuesta del auditor Ignacio Cabeza Del Salvador, responsable de la realización de este trabajo, una vez cumplimentados los tr</w:t>
      </w:r>
      <w:r w:rsidRPr="00434925">
        <w:t>á</w:t>
      </w:r>
      <w:r w:rsidRPr="00434925">
        <w:t>mites previstos por la normativa vigente.</w:t>
      </w:r>
    </w:p>
    <w:p w:rsidR="007912E5" w:rsidRDefault="007912E5" w:rsidP="007912E5">
      <w:pPr>
        <w:pStyle w:val="texto"/>
        <w:tabs>
          <w:tab w:val="clear" w:pos="2835"/>
          <w:tab w:val="clear" w:pos="3969"/>
          <w:tab w:val="clear" w:pos="5103"/>
          <w:tab w:val="clear" w:pos="6237"/>
          <w:tab w:val="clear" w:pos="7371"/>
        </w:tabs>
        <w:spacing w:after="0"/>
        <w:jc w:val="center"/>
        <w:rPr>
          <w:szCs w:val="26"/>
        </w:rPr>
      </w:pPr>
    </w:p>
    <w:p w:rsidR="00B138D3" w:rsidRPr="000368F1" w:rsidRDefault="00743516" w:rsidP="007912E5">
      <w:pPr>
        <w:pStyle w:val="texto"/>
        <w:tabs>
          <w:tab w:val="clear" w:pos="2835"/>
          <w:tab w:val="clear" w:pos="3969"/>
          <w:tab w:val="clear" w:pos="5103"/>
          <w:tab w:val="clear" w:pos="6237"/>
          <w:tab w:val="clear" w:pos="7371"/>
        </w:tabs>
        <w:spacing w:after="0"/>
        <w:jc w:val="center"/>
        <w:rPr>
          <w:szCs w:val="26"/>
        </w:rPr>
      </w:pPr>
      <w:r>
        <w:rPr>
          <w:szCs w:val="26"/>
        </w:rPr>
        <w:t>Pamplona,</w:t>
      </w:r>
      <w:r w:rsidR="00000AAA">
        <w:rPr>
          <w:szCs w:val="26"/>
        </w:rPr>
        <w:t xml:space="preserve"> </w:t>
      </w:r>
      <w:r w:rsidR="00886CB4">
        <w:rPr>
          <w:szCs w:val="26"/>
        </w:rPr>
        <w:t>3</w:t>
      </w:r>
      <w:r>
        <w:rPr>
          <w:szCs w:val="26"/>
        </w:rPr>
        <w:t xml:space="preserve"> </w:t>
      </w:r>
      <w:r w:rsidR="000368F1" w:rsidRPr="000368F1">
        <w:rPr>
          <w:szCs w:val="26"/>
        </w:rPr>
        <w:t xml:space="preserve">de </w:t>
      </w:r>
      <w:r w:rsidR="00886CB4">
        <w:rPr>
          <w:szCs w:val="26"/>
        </w:rPr>
        <w:t>marzo</w:t>
      </w:r>
      <w:r w:rsidR="000368F1" w:rsidRPr="000368F1">
        <w:rPr>
          <w:szCs w:val="26"/>
        </w:rPr>
        <w:t xml:space="preserve"> de 2016</w:t>
      </w:r>
    </w:p>
    <w:p w:rsidR="00925413" w:rsidRDefault="00434925" w:rsidP="007912E5">
      <w:pPr>
        <w:pStyle w:val="texto"/>
        <w:tabs>
          <w:tab w:val="clear" w:pos="2835"/>
          <w:tab w:val="clear" w:pos="3969"/>
          <w:tab w:val="clear" w:pos="5103"/>
          <w:tab w:val="clear" w:pos="6237"/>
          <w:tab w:val="clear" w:pos="7371"/>
        </w:tabs>
        <w:spacing w:after="0"/>
        <w:jc w:val="center"/>
        <w:rPr>
          <w:szCs w:val="26"/>
        </w:rPr>
      </w:pPr>
      <w:r>
        <w:rPr>
          <w:szCs w:val="26"/>
        </w:rPr>
        <w:t>El presidente,</w:t>
      </w:r>
      <w:r w:rsidR="00CA29BA">
        <w:rPr>
          <w:szCs w:val="26"/>
        </w:rPr>
        <w:t xml:space="preserve"> </w:t>
      </w:r>
      <w:r>
        <w:rPr>
          <w:szCs w:val="26"/>
        </w:rPr>
        <w:t>Helio Robleda Cabezas</w:t>
      </w:r>
      <w:r w:rsidR="00925413">
        <w:rPr>
          <w:szCs w:val="26"/>
        </w:rPr>
        <w:br w:type="page"/>
      </w:r>
    </w:p>
    <w:p w:rsidR="00886CB4" w:rsidRDefault="00886CB4" w:rsidP="00CB4D02">
      <w:pPr>
        <w:pStyle w:val="atitulo1"/>
      </w:pPr>
      <w:bookmarkStart w:id="35" w:name="_Toc443895237"/>
    </w:p>
    <w:p w:rsidR="00886CB4" w:rsidRDefault="00886CB4" w:rsidP="00CB4D02">
      <w:pPr>
        <w:pStyle w:val="atitulo1"/>
      </w:pPr>
    </w:p>
    <w:p w:rsidR="008E24D2" w:rsidRPr="00DE433C" w:rsidRDefault="00756C17" w:rsidP="00CB4D02">
      <w:pPr>
        <w:pStyle w:val="atitulo1"/>
      </w:pPr>
      <w:r w:rsidRPr="00903C87">
        <w:t>Anexo</w:t>
      </w:r>
      <w:r w:rsidR="001C2DF7" w:rsidRPr="00903C87">
        <w:t xml:space="preserve">. </w:t>
      </w:r>
      <w:r w:rsidR="000C64F5">
        <w:t>Memoria de la Universidad Pública de Navarra 2014</w:t>
      </w:r>
      <w:bookmarkEnd w:id="35"/>
    </w:p>
    <w:sectPr w:rsidR="008E24D2" w:rsidRPr="00DE433C" w:rsidSect="00FC46CF">
      <w:footerReference w:type="default" r:id="rId15"/>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422" w:rsidRDefault="00413422">
      <w:r>
        <w:separator/>
      </w:r>
    </w:p>
    <w:p w:rsidR="00413422" w:rsidRDefault="00413422"/>
    <w:p w:rsidR="00413422" w:rsidRDefault="00413422"/>
    <w:p w:rsidR="00413422" w:rsidRDefault="00413422"/>
  </w:endnote>
  <w:endnote w:type="continuationSeparator" w:id="0">
    <w:p w:rsidR="00413422" w:rsidRDefault="00413422">
      <w:r>
        <w:continuationSeparator/>
      </w:r>
    </w:p>
    <w:p w:rsidR="00413422" w:rsidRDefault="00413422"/>
    <w:p w:rsidR="00413422" w:rsidRDefault="00413422"/>
    <w:p w:rsidR="00413422" w:rsidRDefault="00413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3422" w:rsidRDefault="0041342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Pr="00F03814" w:rsidRDefault="0041342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C747C3C" wp14:editId="7BCEFEA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13422" w:rsidRPr="00F74E38" w:rsidRDefault="00413422"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004B7AA0" wp14:editId="6AABFEC6">
          <wp:simplePos x="0" y="0"/>
          <wp:positionH relativeFrom="column">
            <wp:posOffset>1905</wp:posOffset>
          </wp:positionH>
          <wp:positionV relativeFrom="paragraph">
            <wp:posOffset>-236220</wp:posOffset>
          </wp:positionV>
          <wp:extent cx="219075" cy="371475"/>
          <wp:effectExtent l="0" t="0" r="9525" b="9525"/>
          <wp:wrapSquare wrapText="bothSides"/>
          <wp:docPr id="40" name="Imagen 4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A4EB8">
      <w:rPr>
        <w:rStyle w:val="Nmerodepgina"/>
        <w:noProof/>
        <w:szCs w:val="24"/>
      </w:rPr>
      <w:t>57</w:t>
    </w:r>
    <w:r w:rsidRPr="001D4F09">
      <w:rPr>
        <w:rStyle w:val="Nmerodepgina"/>
        <w:szCs w:val="24"/>
      </w:rPr>
      <w:fldChar w:fldCharType="end"/>
    </w:r>
    <w:r w:rsidRPr="001D4F09">
      <w:rPr>
        <w:rStyle w:val="Nmerodepgina"/>
        <w:szCs w:val="24"/>
      </w:rPr>
      <w:t xml:space="preserve"> </w:t>
    </w:r>
    <w:r>
      <w:rPr>
        <w:rStyle w:val="Nmerodepgina"/>
        <w:szCs w:val="24"/>
      </w:rPr>
      <w:t>-</w:t>
    </w:r>
  </w:p>
  <w:p w:rsidR="00413422" w:rsidRDefault="00413422"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p>
  <w:p w:rsidR="00413422" w:rsidRDefault="00413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422" w:rsidRDefault="00413422" w:rsidP="001F2A05">
      <w:pPr>
        <w:ind w:firstLine="0"/>
      </w:pPr>
      <w:r>
        <w:separator/>
      </w:r>
    </w:p>
  </w:footnote>
  <w:footnote w:type="continuationSeparator" w:id="0">
    <w:p w:rsidR="00413422" w:rsidRDefault="00413422" w:rsidP="00A5319B">
      <w:pPr>
        <w:ind w:firstLine="0"/>
      </w:pPr>
      <w:r>
        <w:continuationSeparator/>
      </w:r>
    </w:p>
  </w:footnote>
  <w:footnote w:id="1">
    <w:p w:rsidR="00413422" w:rsidRDefault="00413422" w:rsidP="00BC4F7A">
      <w:pPr>
        <w:pStyle w:val="Textonotapie"/>
        <w:spacing w:after="0"/>
        <w:ind w:firstLine="0"/>
      </w:pPr>
      <w:r>
        <w:rPr>
          <w:rStyle w:val="Refdenotaalpie"/>
        </w:rPr>
        <w:footnoteRef/>
      </w:r>
      <w:r>
        <w:t xml:space="preserve"> El documento completo de dicha memoria puede verse en el Portal de Transparencia de la página web de la Universidad (www.unavarra.es)</w:t>
      </w:r>
    </w:p>
  </w:footnote>
  <w:footnote w:id="2">
    <w:p w:rsidR="00413422" w:rsidRDefault="00413422" w:rsidP="00BC4F7A">
      <w:pPr>
        <w:pStyle w:val="Textonotapie"/>
        <w:spacing w:after="40"/>
        <w:ind w:firstLine="0"/>
      </w:pPr>
      <w:r>
        <w:rPr>
          <w:rStyle w:val="Refdenotaalpie"/>
        </w:rPr>
        <w:footnoteRef/>
      </w:r>
      <w:r>
        <w:t xml:space="preserve"> Las normas de auditoría señalan que se podrá introducir un párrafo sobre otros asuntos que no se presentan en los estados financieros al objeto de que los destinatarios y usuarios entiendan correctamente el informe.</w:t>
      </w:r>
    </w:p>
  </w:footnote>
  <w:footnote w:id="3">
    <w:p w:rsidR="00413422" w:rsidRDefault="00413422" w:rsidP="00BC4F7A">
      <w:pPr>
        <w:pStyle w:val="Textonotapie"/>
        <w:spacing w:after="40"/>
        <w:ind w:firstLine="0"/>
      </w:pPr>
      <w:r>
        <w:rPr>
          <w:rStyle w:val="Refdenotaalpie"/>
        </w:rPr>
        <w:footnoteRef/>
      </w:r>
      <w:r>
        <w:t xml:space="preserve"> Informe publicado en noviembre de 2015 y que puede verse en la página web de la Cámara de Comptos (www.camaradecomptos.navarra.es).</w:t>
      </w:r>
    </w:p>
  </w:footnote>
  <w:footnote w:id="4">
    <w:p w:rsidR="00413422" w:rsidRDefault="00413422" w:rsidP="00BC4F7A">
      <w:pPr>
        <w:pStyle w:val="Textonotapie"/>
        <w:spacing w:after="40"/>
        <w:ind w:firstLine="0"/>
      </w:pPr>
      <w:r>
        <w:rPr>
          <w:rStyle w:val="Refdenotaalpie"/>
        </w:rPr>
        <w:footnoteRef/>
      </w:r>
      <w:r>
        <w:t xml:space="preserve"> A falta del informe definitivo que sobre este cumplimiento emitirá el Ministerio de Hacienda y Administr</w:t>
      </w:r>
      <w:r>
        <w:t>a</w:t>
      </w:r>
      <w:r>
        <w:t>ciones Públicas.</w:t>
      </w:r>
    </w:p>
  </w:footnote>
  <w:footnote w:id="5">
    <w:p w:rsidR="00413422" w:rsidRDefault="00413422" w:rsidP="00A47BD5">
      <w:pPr>
        <w:pStyle w:val="Textonotapie"/>
        <w:spacing w:after="0"/>
        <w:ind w:firstLine="0"/>
      </w:pPr>
      <w:r>
        <w:rPr>
          <w:rStyle w:val="Refdenotaalpie"/>
        </w:rPr>
        <w:footnoteRef/>
      </w:r>
      <w:r>
        <w:t xml:space="preserve"> En el apartado 4.9 de la Memoria de la Universidad se presenta un análisis de la evolución de los pres</w:t>
      </w:r>
      <w:r>
        <w:t>u</w:t>
      </w:r>
      <w:r>
        <w:t>puestos y de su liquidación para el periodo de 2009 a 2014. Los importes de este análisis están expresados en euros corrientes.</w:t>
      </w:r>
    </w:p>
  </w:footnote>
  <w:footnote w:id="6">
    <w:p w:rsidR="00413422" w:rsidRDefault="00413422" w:rsidP="008D4279">
      <w:pPr>
        <w:pStyle w:val="Textonotapie"/>
        <w:spacing w:after="0"/>
        <w:ind w:firstLine="0"/>
      </w:pPr>
      <w:r>
        <w:rPr>
          <w:rStyle w:val="Refdenotaalpie"/>
        </w:rPr>
        <w:footnoteRef/>
      </w:r>
      <w:r>
        <w:t xml:space="preserve"> Informe que puede verse en el Portal de la Transparencia de la página web de la Universidad.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Pr="0059650E" w:rsidRDefault="00413422" w:rsidP="00422598">
    <w:pPr>
      <w:pStyle w:val="Encabezado"/>
      <w:pBdr>
        <w:bottom w:val="single" w:sz="4" w:space="1" w:color="auto"/>
      </w:pBdr>
      <w:spacing w:after="40"/>
      <w:ind w:firstLine="0"/>
      <w:jc w:val="left"/>
      <w:rPr>
        <w:lang w:val="es-ES"/>
      </w:rPr>
    </w:pPr>
    <w:r>
      <w:rPr>
        <w:b/>
        <w:noProof/>
        <w:lang w:val="es-ES" w:eastAsia="es-ES"/>
      </w:rPr>
      <w:drawing>
        <wp:inline distT="0" distB="0" distL="0" distR="0" wp14:anchorId="35275378" wp14:editId="40BA041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informe de fiscalización sobre la Universidad Pública de navarra,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422" w:rsidRDefault="00413422" w:rsidP="006A2D41">
    <w:pPr>
      <w:pStyle w:val="Encabezado"/>
      <w:ind w:firstLine="0"/>
      <w:jc w:val="left"/>
    </w:pPr>
    <w:r>
      <w:rPr>
        <w:noProof/>
        <w:lang w:val="es-ES" w:eastAsia="es-ES"/>
      </w:rPr>
      <w:drawing>
        <wp:inline distT="0" distB="0" distL="0" distR="0" wp14:anchorId="4F0D6733" wp14:editId="503CF17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2">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22">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4"/>
  </w:num>
  <w:num w:numId="3">
    <w:abstractNumId w:val="1"/>
  </w:num>
  <w:num w:numId="4">
    <w:abstractNumId w:val="14"/>
  </w:num>
  <w:num w:numId="5">
    <w:abstractNumId w:val="25"/>
  </w:num>
  <w:num w:numId="6">
    <w:abstractNumId w:val="2"/>
  </w:num>
  <w:num w:numId="7">
    <w:abstractNumId w:val="5"/>
  </w:num>
  <w:num w:numId="8">
    <w:abstractNumId w:val="22"/>
  </w:num>
  <w:num w:numId="9">
    <w:abstractNumId w:val="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7"/>
  </w:num>
  <w:num w:numId="13">
    <w:abstractNumId w:val="12"/>
  </w:num>
  <w:num w:numId="14">
    <w:abstractNumId w:val="10"/>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7"/>
  </w:num>
  <w:num w:numId="19">
    <w:abstractNumId w:val="9"/>
  </w:num>
  <w:num w:numId="20">
    <w:abstractNumId w:val="19"/>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16"/>
  </w:num>
  <w:num w:numId="26">
    <w:abstractNumId w:val="0"/>
  </w:num>
  <w:num w:numId="27">
    <w:abstractNumId w:val="8"/>
  </w:num>
  <w:num w:numId="28">
    <w:abstractNumId w:val="20"/>
  </w:num>
  <w:num w:numId="2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19D8"/>
    <w:rsid w:val="00002221"/>
    <w:rsid w:val="00002640"/>
    <w:rsid w:val="00004162"/>
    <w:rsid w:val="00004203"/>
    <w:rsid w:val="00004531"/>
    <w:rsid w:val="00004E87"/>
    <w:rsid w:val="00005082"/>
    <w:rsid w:val="00005604"/>
    <w:rsid w:val="00005A48"/>
    <w:rsid w:val="00005E98"/>
    <w:rsid w:val="00006736"/>
    <w:rsid w:val="00006A97"/>
    <w:rsid w:val="00006F99"/>
    <w:rsid w:val="00010F4B"/>
    <w:rsid w:val="00011172"/>
    <w:rsid w:val="0001123B"/>
    <w:rsid w:val="00011662"/>
    <w:rsid w:val="00011CCB"/>
    <w:rsid w:val="0001223E"/>
    <w:rsid w:val="00012A7F"/>
    <w:rsid w:val="00012EC4"/>
    <w:rsid w:val="000132E9"/>
    <w:rsid w:val="00013553"/>
    <w:rsid w:val="000148C4"/>
    <w:rsid w:val="00014941"/>
    <w:rsid w:val="00015835"/>
    <w:rsid w:val="00016A0F"/>
    <w:rsid w:val="00016CE7"/>
    <w:rsid w:val="0001781F"/>
    <w:rsid w:val="00017A3A"/>
    <w:rsid w:val="00017A48"/>
    <w:rsid w:val="00017BF7"/>
    <w:rsid w:val="00020941"/>
    <w:rsid w:val="00020CD1"/>
    <w:rsid w:val="000212A1"/>
    <w:rsid w:val="000212A5"/>
    <w:rsid w:val="00021BF6"/>
    <w:rsid w:val="00022611"/>
    <w:rsid w:val="00023062"/>
    <w:rsid w:val="00023EED"/>
    <w:rsid w:val="00023F3E"/>
    <w:rsid w:val="00024922"/>
    <w:rsid w:val="00024D15"/>
    <w:rsid w:val="0002530F"/>
    <w:rsid w:val="000253A5"/>
    <w:rsid w:val="00025E9B"/>
    <w:rsid w:val="00026242"/>
    <w:rsid w:val="00026720"/>
    <w:rsid w:val="00027034"/>
    <w:rsid w:val="000301DB"/>
    <w:rsid w:val="000305E6"/>
    <w:rsid w:val="00030EB6"/>
    <w:rsid w:val="00031839"/>
    <w:rsid w:val="00032B64"/>
    <w:rsid w:val="00032D0F"/>
    <w:rsid w:val="0003340A"/>
    <w:rsid w:val="00033A91"/>
    <w:rsid w:val="00033BB1"/>
    <w:rsid w:val="00034301"/>
    <w:rsid w:val="00034399"/>
    <w:rsid w:val="000349F5"/>
    <w:rsid w:val="00035A3C"/>
    <w:rsid w:val="00036215"/>
    <w:rsid w:val="00036341"/>
    <w:rsid w:val="000368F1"/>
    <w:rsid w:val="00036C0F"/>
    <w:rsid w:val="00036E42"/>
    <w:rsid w:val="00036F10"/>
    <w:rsid w:val="00037F6A"/>
    <w:rsid w:val="000401DA"/>
    <w:rsid w:val="00040911"/>
    <w:rsid w:val="00041F12"/>
    <w:rsid w:val="00042314"/>
    <w:rsid w:val="0004256B"/>
    <w:rsid w:val="00042714"/>
    <w:rsid w:val="0004305C"/>
    <w:rsid w:val="0004373B"/>
    <w:rsid w:val="00043A0C"/>
    <w:rsid w:val="00043C21"/>
    <w:rsid w:val="000448FA"/>
    <w:rsid w:val="00044F0F"/>
    <w:rsid w:val="00044F35"/>
    <w:rsid w:val="00046464"/>
    <w:rsid w:val="000464A4"/>
    <w:rsid w:val="000468C3"/>
    <w:rsid w:val="00047167"/>
    <w:rsid w:val="00047297"/>
    <w:rsid w:val="000478F4"/>
    <w:rsid w:val="000504A6"/>
    <w:rsid w:val="00050D8C"/>
    <w:rsid w:val="000528F8"/>
    <w:rsid w:val="000531FF"/>
    <w:rsid w:val="00053575"/>
    <w:rsid w:val="00053783"/>
    <w:rsid w:val="00053A42"/>
    <w:rsid w:val="00053AA1"/>
    <w:rsid w:val="00054E9A"/>
    <w:rsid w:val="0005517D"/>
    <w:rsid w:val="000553F7"/>
    <w:rsid w:val="00055968"/>
    <w:rsid w:val="0005601A"/>
    <w:rsid w:val="000561FF"/>
    <w:rsid w:val="00056408"/>
    <w:rsid w:val="00057461"/>
    <w:rsid w:val="00057914"/>
    <w:rsid w:val="000605A2"/>
    <w:rsid w:val="0006133D"/>
    <w:rsid w:val="0006193A"/>
    <w:rsid w:val="00061AA9"/>
    <w:rsid w:val="00062575"/>
    <w:rsid w:val="00063585"/>
    <w:rsid w:val="00063A9B"/>
    <w:rsid w:val="00064240"/>
    <w:rsid w:val="00064667"/>
    <w:rsid w:val="000649A0"/>
    <w:rsid w:val="00066838"/>
    <w:rsid w:val="000668B0"/>
    <w:rsid w:val="00066A20"/>
    <w:rsid w:val="00066FA6"/>
    <w:rsid w:val="000676C4"/>
    <w:rsid w:val="00067C61"/>
    <w:rsid w:val="000702E1"/>
    <w:rsid w:val="000702E9"/>
    <w:rsid w:val="00071558"/>
    <w:rsid w:val="0007168C"/>
    <w:rsid w:val="00071CD0"/>
    <w:rsid w:val="00071F6B"/>
    <w:rsid w:val="000728EB"/>
    <w:rsid w:val="0007293A"/>
    <w:rsid w:val="00072B53"/>
    <w:rsid w:val="00073840"/>
    <w:rsid w:val="00073DA0"/>
    <w:rsid w:val="00073EAF"/>
    <w:rsid w:val="00074C75"/>
    <w:rsid w:val="00074ECC"/>
    <w:rsid w:val="00075692"/>
    <w:rsid w:val="0007622A"/>
    <w:rsid w:val="00076450"/>
    <w:rsid w:val="00076947"/>
    <w:rsid w:val="00077297"/>
    <w:rsid w:val="00077848"/>
    <w:rsid w:val="00077853"/>
    <w:rsid w:val="00080099"/>
    <w:rsid w:val="000811B8"/>
    <w:rsid w:val="00082080"/>
    <w:rsid w:val="0008248E"/>
    <w:rsid w:val="000828E5"/>
    <w:rsid w:val="00082A28"/>
    <w:rsid w:val="000831B6"/>
    <w:rsid w:val="00083928"/>
    <w:rsid w:val="00083ADC"/>
    <w:rsid w:val="00084177"/>
    <w:rsid w:val="0008442F"/>
    <w:rsid w:val="00085937"/>
    <w:rsid w:val="000862A3"/>
    <w:rsid w:val="00086F19"/>
    <w:rsid w:val="00087624"/>
    <w:rsid w:val="00087B8D"/>
    <w:rsid w:val="00087E89"/>
    <w:rsid w:val="0009040B"/>
    <w:rsid w:val="00090905"/>
    <w:rsid w:val="00090988"/>
    <w:rsid w:val="00090E15"/>
    <w:rsid w:val="00092434"/>
    <w:rsid w:val="00092DF2"/>
    <w:rsid w:val="00093D67"/>
    <w:rsid w:val="00093E60"/>
    <w:rsid w:val="000940D7"/>
    <w:rsid w:val="0009411D"/>
    <w:rsid w:val="00094A47"/>
    <w:rsid w:val="00095932"/>
    <w:rsid w:val="00095941"/>
    <w:rsid w:val="00095BE9"/>
    <w:rsid w:val="00096E69"/>
    <w:rsid w:val="000A01FA"/>
    <w:rsid w:val="000A08FC"/>
    <w:rsid w:val="000A09EF"/>
    <w:rsid w:val="000A0AC8"/>
    <w:rsid w:val="000A0FCD"/>
    <w:rsid w:val="000A12A7"/>
    <w:rsid w:val="000A1792"/>
    <w:rsid w:val="000A18B7"/>
    <w:rsid w:val="000A2061"/>
    <w:rsid w:val="000A225D"/>
    <w:rsid w:val="000A26BE"/>
    <w:rsid w:val="000A27A2"/>
    <w:rsid w:val="000A29D0"/>
    <w:rsid w:val="000A2C1E"/>
    <w:rsid w:val="000A34D8"/>
    <w:rsid w:val="000A35C1"/>
    <w:rsid w:val="000A4219"/>
    <w:rsid w:val="000A42F6"/>
    <w:rsid w:val="000A4697"/>
    <w:rsid w:val="000A46F3"/>
    <w:rsid w:val="000A4A9C"/>
    <w:rsid w:val="000A4C01"/>
    <w:rsid w:val="000A4FCC"/>
    <w:rsid w:val="000A5222"/>
    <w:rsid w:val="000A525A"/>
    <w:rsid w:val="000A5AD2"/>
    <w:rsid w:val="000A5B88"/>
    <w:rsid w:val="000A6C4D"/>
    <w:rsid w:val="000A734A"/>
    <w:rsid w:val="000B0434"/>
    <w:rsid w:val="000B0B1E"/>
    <w:rsid w:val="000B0D4C"/>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9B9"/>
    <w:rsid w:val="000B620A"/>
    <w:rsid w:val="000B6896"/>
    <w:rsid w:val="000B6F64"/>
    <w:rsid w:val="000B7D3A"/>
    <w:rsid w:val="000C0704"/>
    <w:rsid w:val="000C17DD"/>
    <w:rsid w:val="000C19FC"/>
    <w:rsid w:val="000C2411"/>
    <w:rsid w:val="000C2B07"/>
    <w:rsid w:val="000C30E9"/>
    <w:rsid w:val="000C3451"/>
    <w:rsid w:val="000C3495"/>
    <w:rsid w:val="000C3678"/>
    <w:rsid w:val="000C398A"/>
    <w:rsid w:val="000C39CC"/>
    <w:rsid w:val="000C429F"/>
    <w:rsid w:val="000C4AB2"/>
    <w:rsid w:val="000C55C3"/>
    <w:rsid w:val="000C6073"/>
    <w:rsid w:val="000C6499"/>
    <w:rsid w:val="000C64D6"/>
    <w:rsid w:val="000C64F5"/>
    <w:rsid w:val="000C7225"/>
    <w:rsid w:val="000C7566"/>
    <w:rsid w:val="000C7C8D"/>
    <w:rsid w:val="000D07B1"/>
    <w:rsid w:val="000D0A95"/>
    <w:rsid w:val="000D0D34"/>
    <w:rsid w:val="000D0E71"/>
    <w:rsid w:val="000D0F6C"/>
    <w:rsid w:val="000D188E"/>
    <w:rsid w:val="000D1F16"/>
    <w:rsid w:val="000D2601"/>
    <w:rsid w:val="000D29E9"/>
    <w:rsid w:val="000D2A9F"/>
    <w:rsid w:val="000D3BAB"/>
    <w:rsid w:val="000D48B4"/>
    <w:rsid w:val="000D4D73"/>
    <w:rsid w:val="000D5178"/>
    <w:rsid w:val="000D5335"/>
    <w:rsid w:val="000D67E8"/>
    <w:rsid w:val="000D707C"/>
    <w:rsid w:val="000D70E5"/>
    <w:rsid w:val="000E0F69"/>
    <w:rsid w:val="000E1981"/>
    <w:rsid w:val="000E2297"/>
    <w:rsid w:val="000E283B"/>
    <w:rsid w:val="000E287F"/>
    <w:rsid w:val="000E2E81"/>
    <w:rsid w:val="000E472F"/>
    <w:rsid w:val="000E4927"/>
    <w:rsid w:val="000E495B"/>
    <w:rsid w:val="000E4E1D"/>
    <w:rsid w:val="000E4F75"/>
    <w:rsid w:val="000E5894"/>
    <w:rsid w:val="000E600D"/>
    <w:rsid w:val="000E6102"/>
    <w:rsid w:val="000E64FF"/>
    <w:rsid w:val="000E6630"/>
    <w:rsid w:val="000E79F9"/>
    <w:rsid w:val="000E7B86"/>
    <w:rsid w:val="000E7EE8"/>
    <w:rsid w:val="000F000D"/>
    <w:rsid w:val="000F0DD0"/>
    <w:rsid w:val="000F0E7E"/>
    <w:rsid w:val="000F1931"/>
    <w:rsid w:val="000F2A2A"/>
    <w:rsid w:val="000F2B17"/>
    <w:rsid w:val="000F2B66"/>
    <w:rsid w:val="000F3371"/>
    <w:rsid w:val="000F3452"/>
    <w:rsid w:val="000F3478"/>
    <w:rsid w:val="000F3D83"/>
    <w:rsid w:val="000F465E"/>
    <w:rsid w:val="000F5424"/>
    <w:rsid w:val="000F58DA"/>
    <w:rsid w:val="000F5C5C"/>
    <w:rsid w:val="000F5EFF"/>
    <w:rsid w:val="000F6922"/>
    <w:rsid w:val="000F6BF1"/>
    <w:rsid w:val="000F7088"/>
    <w:rsid w:val="000F73EA"/>
    <w:rsid w:val="00100119"/>
    <w:rsid w:val="0010013F"/>
    <w:rsid w:val="00100A4A"/>
    <w:rsid w:val="00100E07"/>
    <w:rsid w:val="00100F12"/>
    <w:rsid w:val="00101B81"/>
    <w:rsid w:val="00101E1C"/>
    <w:rsid w:val="00102392"/>
    <w:rsid w:val="00102F39"/>
    <w:rsid w:val="00103489"/>
    <w:rsid w:val="00103589"/>
    <w:rsid w:val="0010370B"/>
    <w:rsid w:val="001045C9"/>
    <w:rsid w:val="001058CE"/>
    <w:rsid w:val="00105CF0"/>
    <w:rsid w:val="00105D2E"/>
    <w:rsid w:val="00105DA1"/>
    <w:rsid w:val="00106B98"/>
    <w:rsid w:val="00107585"/>
    <w:rsid w:val="001075C1"/>
    <w:rsid w:val="00107863"/>
    <w:rsid w:val="00107B90"/>
    <w:rsid w:val="00107CC1"/>
    <w:rsid w:val="00107CC7"/>
    <w:rsid w:val="00110483"/>
    <w:rsid w:val="00110545"/>
    <w:rsid w:val="001111E9"/>
    <w:rsid w:val="0011163B"/>
    <w:rsid w:val="00111A92"/>
    <w:rsid w:val="00111D80"/>
    <w:rsid w:val="00112AAA"/>
    <w:rsid w:val="00112BEB"/>
    <w:rsid w:val="001131A9"/>
    <w:rsid w:val="00113466"/>
    <w:rsid w:val="00113A5C"/>
    <w:rsid w:val="00113FC9"/>
    <w:rsid w:val="00114412"/>
    <w:rsid w:val="001145C3"/>
    <w:rsid w:val="00114978"/>
    <w:rsid w:val="00115624"/>
    <w:rsid w:val="001158AB"/>
    <w:rsid w:val="00116150"/>
    <w:rsid w:val="001161D2"/>
    <w:rsid w:val="00117573"/>
    <w:rsid w:val="001176AA"/>
    <w:rsid w:val="0011788E"/>
    <w:rsid w:val="00117E2F"/>
    <w:rsid w:val="001207A4"/>
    <w:rsid w:val="00120A8B"/>
    <w:rsid w:val="00120C02"/>
    <w:rsid w:val="00120C91"/>
    <w:rsid w:val="00120CBD"/>
    <w:rsid w:val="00120D31"/>
    <w:rsid w:val="001212CD"/>
    <w:rsid w:val="001215DC"/>
    <w:rsid w:val="00121E13"/>
    <w:rsid w:val="00123574"/>
    <w:rsid w:val="001237FE"/>
    <w:rsid w:val="00123FC5"/>
    <w:rsid w:val="00124B38"/>
    <w:rsid w:val="00124E7F"/>
    <w:rsid w:val="00125013"/>
    <w:rsid w:val="00125497"/>
    <w:rsid w:val="001255CD"/>
    <w:rsid w:val="00126284"/>
    <w:rsid w:val="001267D2"/>
    <w:rsid w:val="00126818"/>
    <w:rsid w:val="00126E34"/>
    <w:rsid w:val="00127FFD"/>
    <w:rsid w:val="0013026C"/>
    <w:rsid w:val="001304F7"/>
    <w:rsid w:val="0013092A"/>
    <w:rsid w:val="00130F3E"/>
    <w:rsid w:val="0013107B"/>
    <w:rsid w:val="001310C0"/>
    <w:rsid w:val="00131899"/>
    <w:rsid w:val="00131DF1"/>
    <w:rsid w:val="00132C38"/>
    <w:rsid w:val="00132DC3"/>
    <w:rsid w:val="00133984"/>
    <w:rsid w:val="00133A1E"/>
    <w:rsid w:val="00133BB9"/>
    <w:rsid w:val="00134033"/>
    <w:rsid w:val="001359C4"/>
    <w:rsid w:val="00135DF2"/>
    <w:rsid w:val="001365C4"/>
    <w:rsid w:val="00136C3B"/>
    <w:rsid w:val="001370C3"/>
    <w:rsid w:val="0013728E"/>
    <w:rsid w:val="00137870"/>
    <w:rsid w:val="001405F7"/>
    <w:rsid w:val="00140739"/>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73A"/>
    <w:rsid w:val="00146881"/>
    <w:rsid w:val="0014728F"/>
    <w:rsid w:val="00150983"/>
    <w:rsid w:val="00150B10"/>
    <w:rsid w:val="00150D33"/>
    <w:rsid w:val="00151243"/>
    <w:rsid w:val="001521A2"/>
    <w:rsid w:val="00152358"/>
    <w:rsid w:val="00153382"/>
    <w:rsid w:val="00153539"/>
    <w:rsid w:val="00153678"/>
    <w:rsid w:val="00153708"/>
    <w:rsid w:val="001537AF"/>
    <w:rsid w:val="0015461F"/>
    <w:rsid w:val="00154A81"/>
    <w:rsid w:val="0015558D"/>
    <w:rsid w:val="001556A3"/>
    <w:rsid w:val="00155BFF"/>
    <w:rsid w:val="00157A5B"/>
    <w:rsid w:val="00157CF0"/>
    <w:rsid w:val="001600BF"/>
    <w:rsid w:val="00160327"/>
    <w:rsid w:val="00160AEA"/>
    <w:rsid w:val="00160F66"/>
    <w:rsid w:val="00161184"/>
    <w:rsid w:val="00161B4F"/>
    <w:rsid w:val="001622C0"/>
    <w:rsid w:val="001633AF"/>
    <w:rsid w:val="00164155"/>
    <w:rsid w:val="001648C8"/>
    <w:rsid w:val="00164B0F"/>
    <w:rsid w:val="00165FD7"/>
    <w:rsid w:val="001668AB"/>
    <w:rsid w:val="00166A6C"/>
    <w:rsid w:val="00167A64"/>
    <w:rsid w:val="001708D2"/>
    <w:rsid w:val="00171448"/>
    <w:rsid w:val="00171A4E"/>
    <w:rsid w:val="001729F2"/>
    <w:rsid w:val="00172E5B"/>
    <w:rsid w:val="001732F3"/>
    <w:rsid w:val="00173EDD"/>
    <w:rsid w:val="0017402B"/>
    <w:rsid w:val="001744B3"/>
    <w:rsid w:val="0017459B"/>
    <w:rsid w:val="00174606"/>
    <w:rsid w:val="00174909"/>
    <w:rsid w:val="00174933"/>
    <w:rsid w:val="00175E9A"/>
    <w:rsid w:val="001761C3"/>
    <w:rsid w:val="0017645F"/>
    <w:rsid w:val="00177EC9"/>
    <w:rsid w:val="0018077E"/>
    <w:rsid w:val="00180D21"/>
    <w:rsid w:val="0018107F"/>
    <w:rsid w:val="0018128E"/>
    <w:rsid w:val="00181AB5"/>
    <w:rsid w:val="00181D37"/>
    <w:rsid w:val="00181DA3"/>
    <w:rsid w:val="00182DB2"/>
    <w:rsid w:val="00183412"/>
    <w:rsid w:val="001835B7"/>
    <w:rsid w:val="001838DC"/>
    <w:rsid w:val="001841D5"/>
    <w:rsid w:val="0018426B"/>
    <w:rsid w:val="0018440D"/>
    <w:rsid w:val="001847DE"/>
    <w:rsid w:val="00184F43"/>
    <w:rsid w:val="00185192"/>
    <w:rsid w:val="00185A37"/>
    <w:rsid w:val="00186777"/>
    <w:rsid w:val="001868A4"/>
    <w:rsid w:val="00187E05"/>
    <w:rsid w:val="00190007"/>
    <w:rsid w:val="001908B4"/>
    <w:rsid w:val="001915D6"/>
    <w:rsid w:val="00191B74"/>
    <w:rsid w:val="001923A8"/>
    <w:rsid w:val="00192BFC"/>
    <w:rsid w:val="0019331F"/>
    <w:rsid w:val="001933A0"/>
    <w:rsid w:val="00193479"/>
    <w:rsid w:val="00193748"/>
    <w:rsid w:val="001937E5"/>
    <w:rsid w:val="00194309"/>
    <w:rsid w:val="00194E66"/>
    <w:rsid w:val="00195084"/>
    <w:rsid w:val="001952B5"/>
    <w:rsid w:val="001964B5"/>
    <w:rsid w:val="0019660E"/>
    <w:rsid w:val="00196953"/>
    <w:rsid w:val="00196F5E"/>
    <w:rsid w:val="00197172"/>
    <w:rsid w:val="00197CF6"/>
    <w:rsid w:val="001A0E67"/>
    <w:rsid w:val="001A1799"/>
    <w:rsid w:val="001A197F"/>
    <w:rsid w:val="001A37B3"/>
    <w:rsid w:val="001A426D"/>
    <w:rsid w:val="001A428F"/>
    <w:rsid w:val="001A45C2"/>
    <w:rsid w:val="001A4B1E"/>
    <w:rsid w:val="001A517A"/>
    <w:rsid w:val="001A52F1"/>
    <w:rsid w:val="001A5FF0"/>
    <w:rsid w:val="001A6D61"/>
    <w:rsid w:val="001A74B1"/>
    <w:rsid w:val="001A756A"/>
    <w:rsid w:val="001B0451"/>
    <w:rsid w:val="001B0597"/>
    <w:rsid w:val="001B06A2"/>
    <w:rsid w:val="001B0A10"/>
    <w:rsid w:val="001B0DFE"/>
    <w:rsid w:val="001B13ED"/>
    <w:rsid w:val="001B2055"/>
    <w:rsid w:val="001B3046"/>
    <w:rsid w:val="001B30BC"/>
    <w:rsid w:val="001B3685"/>
    <w:rsid w:val="001B39E2"/>
    <w:rsid w:val="001B39F8"/>
    <w:rsid w:val="001B3BE5"/>
    <w:rsid w:val="001B4C48"/>
    <w:rsid w:val="001B5078"/>
    <w:rsid w:val="001B5B58"/>
    <w:rsid w:val="001B6A84"/>
    <w:rsid w:val="001B7DFF"/>
    <w:rsid w:val="001C102A"/>
    <w:rsid w:val="001C1062"/>
    <w:rsid w:val="001C16A2"/>
    <w:rsid w:val="001C1B78"/>
    <w:rsid w:val="001C24DD"/>
    <w:rsid w:val="001C2B26"/>
    <w:rsid w:val="001C2C55"/>
    <w:rsid w:val="001C2DF7"/>
    <w:rsid w:val="001C3096"/>
    <w:rsid w:val="001C3129"/>
    <w:rsid w:val="001C3A32"/>
    <w:rsid w:val="001C3C5A"/>
    <w:rsid w:val="001C4B7F"/>
    <w:rsid w:val="001C628B"/>
    <w:rsid w:val="001C6484"/>
    <w:rsid w:val="001C72D5"/>
    <w:rsid w:val="001C79DC"/>
    <w:rsid w:val="001D02F9"/>
    <w:rsid w:val="001D068E"/>
    <w:rsid w:val="001D0B9B"/>
    <w:rsid w:val="001D0F67"/>
    <w:rsid w:val="001D1165"/>
    <w:rsid w:val="001D11FE"/>
    <w:rsid w:val="001D3D28"/>
    <w:rsid w:val="001D4BF2"/>
    <w:rsid w:val="001D4F09"/>
    <w:rsid w:val="001D5C1B"/>
    <w:rsid w:val="001D6968"/>
    <w:rsid w:val="001E06D8"/>
    <w:rsid w:val="001E0E24"/>
    <w:rsid w:val="001E0F99"/>
    <w:rsid w:val="001E108E"/>
    <w:rsid w:val="001E115A"/>
    <w:rsid w:val="001E1411"/>
    <w:rsid w:val="001E17CB"/>
    <w:rsid w:val="001E18FB"/>
    <w:rsid w:val="001E1D08"/>
    <w:rsid w:val="001E1D5C"/>
    <w:rsid w:val="001E2A02"/>
    <w:rsid w:val="001E3D82"/>
    <w:rsid w:val="001E4B93"/>
    <w:rsid w:val="001E4F02"/>
    <w:rsid w:val="001E5D69"/>
    <w:rsid w:val="001E6108"/>
    <w:rsid w:val="001E6F0C"/>
    <w:rsid w:val="001E7189"/>
    <w:rsid w:val="001E77FC"/>
    <w:rsid w:val="001E7AE7"/>
    <w:rsid w:val="001E7C86"/>
    <w:rsid w:val="001F0092"/>
    <w:rsid w:val="001F022D"/>
    <w:rsid w:val="001F02EF"/>
    <w:rsid w:val="001F0C73"/>
    <w:rsid w:val="001F0D85"/>
    <w:rsid w:val="001F118D"/>
    <w:rsid w:val="001F1482"/>
    <w:rsid w:val="001F1B25"/>
    <w:rsid w:val="001F1E22"/>
    <w:rsid w:val="001F20D7"/>
    <w:rsid w:val="001F2418"/>
    <w:rsid w:val="001F26C6"/>
    <w:rsid w:val="001F2A05"/>
    <w:rsid w:val="001F3165"/>
    <w:rsid w:val="001F323F"/>
    <w:rsid w:val="001F3851"/>
    <w:rsid w:val="001F3B76"/>
    <w:rsid w:val="001F4548"/>
    <w:rsid w:val="001F4865"/>
    <w:rsid w:val="001F52CA"/>
    <w:rsid w:val="001F55DC"/>
    <w:rsid w:val="001F6503"/>
    <w:rsid w:val="001F6AA3"/>
    <w:rsid w:val="001F7056"/>
    <w:rsid w:val="001F709B"/>
    <w:rsid w:val="001F7744"/>
    <w:rsid w:val="001F7D17"/>
    <w:rsid w:val="002001CE"/>
    <w:rsid w:val="00201178"/>
    <w:rsid w:val="002014EB"/>
    <w:rsid w:val="00201729"/>
    <w:rsid w:val="0020222C"/>
    <w:rsid w:val="00202A0B"/>
    <w:rsid w:val="00202B1A"/>
    <w:rsid w:val="002030F4"/>
    <w:rsid w:val="0020383A"/>
    <w:rsid w:val="002041EE"/>
    <w:rsid w:val="00204979"/>
    <w:rsid w:val="00204DEB"/>
    <w:rsid w:val="00205AC9"/>
    <w:rsid w:val="00206D3B"/>
    <w:rsid w:val="0020716D"/>
    <w:rsid w:val="00207942"/>
    <w:rsid w:val="002079CB"/>
    <w:rsid w:val="00207D58"/>
    <w:rsid w:val="00211452"/>
    <w:rsid w:val="002118CC"/>
    <w:rsid w:val="00211905"/>
    <w:rsid w:val="00211C61"/>
    <w:rsid w:val="00211D69"/>
    <w:rsid w:val="002129DF"/>
    <w:rsid w:val="00212B59"/>
    <w:rsid w:val="00212E0E"/>
    <w:rsid w:val="002138B1"/>
    <w:rsid w:val="00213C27"/>
    <w:rsid w:val="00213FE7"/>
    <w:rsid w:val="0021409C"/>
    <w:rsid w:val="00214F6C"/>
    <w:rsid w:val="0021545A"/>
    <w:rsid w:val="002154BD"/>
    <w:rsid w:val="00215553"/>
    <w:rsid w:val="0021572B"/>
    <w:rsid w:val="0021587E"/>
    <w:rsid w:val="00216C70"/>
    <w:rsid w:val="0021726F"/>
    <w:rsid w:val="002176E2"/>
    <w:rsid w:val="002179DB"/>
    <w:rsid w:val="00217C03"/>
    <w:rsid w:val="00220F9D"/>
    <w:rsid w:val="00221630"/>
    <w:rsid w:val="002217E1"/>
    <w:rsid w:val="00221A4F"/>
    <w:rsid w:val="00221CCA"/>
    <w:rsid w:val="00222AE6"/>
    <w:rsid w:val="00224A7E"/>
    <w:rsid w:val="00225058"/>
    <w:rsid w:val="00225B2C"/>
    <w:rsid w:val="002263B7"/>
    <w:rsid w:val="00226540"/>
    <w:rsid w:val="00226C3E"/>
    <w:rsid w:val="002270BD"/>
    <w:rsid w:val="002273FB"/>
    <w:rsid w:val="00227A1D"/>
    <w:rsid w:val="00227E48"/>
    <w:rsid w:val="00230577"/>
    <w:rsid w:val="002305E0"/>
    <w:rsid w:val="00230A7F"/>
    <w:rsid w:val="00231437"/>
    <w:rsid w:val="002317FE"/>
    <w:rsid w:val="0023209D"/>
    <w:rsid w:val="00232338"/>
    <w:rsid w:val="002333F8"/>
    <w:rsid w:val="0023383B"/>
    <w:rsid w:val="002338F8"/>
    <w:rsid w:val="00233D79"/>
    <w:rsid w:val="0023439D"/>
    <w:rsid w:val="00234D86"/>
    <w:rsid w:val="00235152"/>
    <w:rsid w:val="002352AC"/>
    <w:rsid w:val="002355BC"/>
    <w:rsid w:val="00236ADF"/>
    <w:rsid w:val="0023744B"/>
    <w:rsid w:val="0023751E"/>
    <w:rsid w:val="00237657"/>
    <w:rsid w:val="0024059F"/>
    <w:rsid w:val="0024068F"/>
    <w:rsid w:val="002406E1"/>
    <w:rsid w:val="00242177"/>
    <w:rsid w:val="00242257"/>
    <w:rsid w:val="00242651"/>
    <w:rsid w:val="00242981"/>
    <w:rsid w:val="00242985"/>
    <w:rsid w:val="00242BA7"/>
    <w:rsid w:val="0024375D"/>
    <w:rsid w:val="0024377D"/>
    <w:rsid w:val="002437B5"/>
    <w:rsid w:val="002437BD"/>
    <w:rsid w:val="002448C1"/>
    <w:rsid w:val="00244BB0"/>
    <w:rsid w:val="00244EF1"/>
    <w:rsid w:val="002453C8"/>
    <w:rsid w:val="002458C5"/>
    <w:rsid w:val="00246173"/>
    <w:rsid w:val="002461EC"/>
    <w:rsid w:val="0024658E"/>
    <w:rsid w:val="00246600"/>
    <w:rsid w:val="00246F21"/>
    <w:rsid w:val="002473F8"/>
    <w:rsid w:val="00247777"/>
    <w:rsid w:val="002502E8"/>
    <w:rsid w:val="00250C74"/>
    <w:rsid w:val="00250E5B"/>
    <w:rsid w:val="00251C95"/>
    <w:rsid w:val="002529B1"/>
    <w:rsid w:val="00252B24"/>
    <w:rsid w:val="0025369E"/>
    <w:rsid w:val="0025381A"/>
    <w:rsid w:val="00253E78"/>
    <w:rsid w:val="00254123"/>
    <w:rsid w:val="00254522"/>
    <w:rsid w:val="00254ACE"/>
    <w:rsid w:val="00254E1C"/>
    <w:rsid w:val="00255305"/>
    <w:rsid w:val="002561A0"/>
    <w:rsid w:val="0025620F"/>
    <w:rsid w:val="002563C9"/>
    <w:rsid w:val="00256690"/>
    <w:rsid w:val="00256A0F"/>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E74"/>
    <w:rsid w:val="00266201"/>
    <w:rsid w:val="00266312"/>
    <w:rsid w:val="002667F5"/>
    <w:rsid w:val="0026682B"/>
    <w:rsid w:val="00266EA5"/>
    <w:rsid w:val="00267229"/>
    <w:rsid w:val="002705B0"/>
    <w:rsid w:val="002717A6"/>
    <w:rsid w:val="00271B05"/>
    <w:rsid w:val="00272015"/>
    <w:rsid w:val="00272540"/>
    <w:rsid w:val="00272621"/>
    <w:rsid w:val="00272C5B"/>
    <w:rsid w:val="00272DD8"/>
    <w:rsid w:val="00273B97"/>
    <w:rsid w:val="00273C10"/>
    <w:rsid w:val="002741D4"/>
    <w:rsid w:val="002747C7"/>
    <w:rsid w:val="00274B4C"/>
    <w:rsid w:val="0027559A"/>
    <w:rsid w:val="00276264"/>
    <w:rsid w:val="002771FD"/>
    <w:rsid w:val="00277A3C"/>
    <w:rsid w:val="00280EF7"/>
    <w:rsid w:val="00281ABD"/>
    <w:rsid w:val="00281DCA"/>
    <w:rsid w:val="00283B5C"/>
    <w:rsid w:val="0028444E"/>
    <w:rsid w:val="002846A5"/>
    <w:rsid w:val="00284993"/>
    <w:rsid w:val="00284A2C"/>
    <w:rsid w:val="00284C02"/>
    <w:rsid w:val="00284DA7"/>
    <w:rsid w:val="00284F9A"/>
    <w:rsid w:val="00285041"/>
    <w:rsid w:val="0028543E"/>
    <w:rsid w:val="00285655"/>
    <w:rsid w:val="00285678"/>
    <w:rsid w:val="002857BD"/>
    <w:rsid w:val="0028594B"/>
    <w:rsid w:val="00285D4F"/>
    <w:rsid w:val="002861F3"/>
    <w:rsid w:val="0028725F"/>
    <w:rsid w:val="00287D7E"/>
    <w:rsid w:val="00287EF9"/>
    <w:rsid w:val="0029006F"/>
    <w:rsid w:val="00290593"/>
    <w:rsid w:val="002908F2"/>
    <w:rsid w:val="00290902"/>
    <w:rsid w:val="00290B83"/>
    <w:rsid w:val="002914C9"/>
    <w:rsid w:val="00292455"/>
    <w:rsid w:val="002924F3"/>
    <w:rsid w:val="00292D96"/>
    <w:rsid w:val="00293378"/>
    <w:rsid w:val="0029475E"/>
    <w:rsid w:val="00294D00"/>
    <w:rsid w:val="002960D0"/>
    <w:rsid w:val="0029660C"/>
    <w:rsid w:val="002969C8"/>
    <w:rsid w:val="00296E2B"/>
    <w:rsid w:val="00297637"/>
    <w:rsid w:val="00297B04"/>
    <w:rsid w:val="002A002A"/>
    <w:rsid w:val="002A0352"/>
    <w:rsid w:val="002A056C"/>
    <w:rsid w:val="002A17A8"/>
    <w:rsid w:val="002A1A5B"/>
    <w:rsid w:val="002A20CF"/>
    <w:rsid w:val="002A24A1"/>
    <w:rsid w:val="002A25E0"/>
    <w:rsid w:val="002A2EFA"/>
    <w:rsid w:val="002A33FE"/>
    <w:rsid w:val="002A3BB1"/>
    <w:rsid w:val="002A413B"/>
    <w:rsid w:val="002A462C"/>
    <w:rsid w:val="002A4676"/>
    <w:rsid w:val="002A537D"/>
    <w:rsid w:val="002A5A43"/>
    <w:rsid w:val="002A66A5"/>
    <w:rsid w:val="002A6EBB"/>
    <w:rsid w:val="002A76F7"/>
    <w:rsid w:val="002A7D99"/>
    <w:rsid w:val="002B0A1D"/>
    <w:rsid w:val="002B1002"/>
    <w:rsid w:val="002B12E4"/>
    <w:rsid w:val="002B13ED"/>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F68"/>
    <w:rsid w:val="002B6745"/>
    <w:rsid w:val="002B72D7"/>
    <w:rsid w:val="002B74A8"/>
    <w:rsid w:val="002C0414"/>
    <w:rsid w:val="002C0E9C"/>
    <w:rsid w:val="002C1485"/>
    <w:rsid w:val="002C16B7"/>
    <w:rsid w:val="002C1BE4"/>
    <w:rsid w:val="002C1DB2"/>
    <w:rsid w:val="002C44AB"/>
    <w:rsid w:val="002C48AE"/>
    <w:rsid w:val="002C4A57"/>
    <w:rsid w:val="002C4ED9"/>
    <w:rsid w:val="002C581F"/>
    <w:rsid w:val="002C60B7"/>
    <w:rsid w:val="002C6370"/>
    <w:rsid w:val="002C69DD"/>
    <w:rsid w:val="002C6D2A"/>
    <w:rsid w:val="002C7026"/>
    <w:rsid w:val="002C71CD"/>
    <w:rsid w:val="002C7494"/>
    <w:rsid w:val="002C789A"/>
    <w:rsid w:val="002C7BC0"/>
    <w:rsid w:val="002C7E08"/>
    <w:rsid w:val="002D0099"/>
    <w:rsid w:val="002D089F"/>
    <w:rsid w:val="002D1B2A"/>
    <w:rsid w:val="002D210E"/>
    <w:rsid w:val="002D2313"/>
    <w:rsid w:val="002D240B"/>
    <w:rsid w:val="002D387D"/>
    <w:rsid w:val="002D388B"/>
    <w:rsid w:val="002D3B2F"/>
    <w:rsid w:val="002D3E0C"/>
    <w:rsid w:val="002D4169"/>
    <w:rsid w:val="002D4269"/>
    <w:rsid w:val="002D443A"/>
    <w:rsid w:val="002D48DB"/>
    <w:rsid w:val="002D4BA7"/>
    <w:rsid w:val="002D5057"/>
    <w:rsid w:val="002D5635"/>
    <w:rsid w:val="002D65E8"/>
    <w:rsid w:val="002D6D12"/>
    <w:rsid w:val="002D7D32"/>
    <w:rsid w:val="002E02E5"/>
    <w:rsid w:val="002E0478"/>
    <w:rsid w:val="002E0791"/>
    <w:rsid w:val="002E0EA0"/>
    <w:rsid w:val="002E155D"/>
    <w:rsid w:val="002E1AF0"/>
    <w:rsid w:val="002E1B92"/>
    <w:rsid w:val="002E22CF"/>
    <w:rsid w:val="002E27C3"/>
    <w:rsid w:val="002E3038"/>
    <w:rsid w:val="002E399F"/>
    <w:rsid w:val="002E3FA8"/>
    <w:rsid w:val="002E4C02"/>
    <w:rsid w:val="002E5089"/>
    <w:rsid w:val="002E510A"/>
    <w:rsid w:val="002E5286"/>
    <w:rsid w:val="002E62E9"/>
    <w:rsid w:val="002E6E76"/>
    <w:rsid w:val="002E75BE"/>
    <w:rsid w:val="002E7B81"/>
    <w:rsid w:val="002F0875"/>
    <w:rsid w:val="002F08A5"/>
    <w:rsid w:val="002F09FB"/>
    <w:rsid w:val="002F0D85"/>
    <w:rsid w:val="002F0DD8"/>
    <w:rsid w:val="002F0FE3"/>
    <w:rsid w:val="002F122E"/>
    <w:rsid w:val="002F1240"/>
    <w:rsid w:val="002F1AF0"/>
    <w:rsid w:val="002F1E01"/>
    <w:rsid w:val="002F2530"/>
    <w:rsid w:val="002F272A"/>
    <w:rsid w:val="002F30DF"/>
    <w:rsid w:val="002F3225"/>
    <w:rsid w:val="002F3DB6"/>
    <w:rsid w:val="002F5038"/>
    <w:rsid w:val="002F53B4"/>
    <w:rsid w:val="002F6F8D"/>
    <w:rsid w:val="002F74D8"/>
    <w:rsid w:val="002F76D6"/>
    <w:rsid w:val="002F7A38"/>
    <w:rsid w:val="003006DF"/>
    <w:rsid w:val="00300A33"/>
    <w:rsid w:val="003010A2"/>
    <w:rsid w:val="003010A5"/>
    <w:rsid w:val="00301E9A"/>
    <w:rsid w:val="003026C5"/>
    <w:rsid w:val="00302A1C"/>
    <w:rsid w:val="00302CAA"/>
    <w:rsid w:val="00303506"/>
    <w:rsid w:val="00304017"/>
    <w:rsid w:val="00304861"/>
    <w:rsid w:val="00306EF0"/>
    <w:rsid w:val="00307057"/>
    <w:rsid w:val="0031045A"/>
    <w:rsid w:val="00312819"/>
    <w:rsid w:val="00312E9C"/>
    <w:rsid w:val="00313875"/>
    <w:rsid w:val="0031394C"/>
    <w:rsid w:val="00313F4D"/>
    <w:rsid w:val="00314378"/>
    <w:rsid w:val="0031486F"/>
    <w:rsid w:val="00314A0E"/>
    <w:rsid w:val="00314A3E"/>
    <w:rsid w:val="00314AEB"/>
    <w:rsid w:val="0031546E"/>
    <w:rsid w:val="003161F2"/>
    <w:rsid w:val="00316389"/>
    <w:rsid w:val="00316EA7"/>
    <w:rsid w:val="0031743A"/>
    <w:rsid w:val="0031787A"/>
    <w:rsid w:val="003203BF"/>
    <w:rsid w:val="00321369"/>
    <w:rsid w:val="00321FBE"/>
    <w:rsid w:val="003222BE"/>
    <w:rsid w:val="00322DE9"/>
    <w:rsid w:val="00322E81"/>
    <w:rsid w:val="003235F5"/>
    <w:rsid w:val="003236D7"/>
    <w:rsid w:val="00323899"/>
    <w:rsid w:val="0032415E"/>
    <w:rsid w:val="00324C16"/>
    <w:rsid w:val="003252ED"/>
    <w:rsid w:val="00325502"/>
    <w:rsid w:val="00326099"/>
    <w:rsid w:val="00326CAE"/>
    <w:rsid w:val="0032742E"/>
    <w:rsid w:val="00327C96"/>
    <w:rsid w:val="00330028"/>
    <w:rsid w:val="00330403"/>
    <w:rsid w:val="00330787"/>
    <w:rsid w:val="0033080E"/>
    <w:rsid w:val="003309D6"/>
    <w:rsid w:val="00330E56"/>
    <w:rsid w:val="00331017"/>
    <w:rsid w:val="00331819"/>
    <w:rsid w:val="00331AF7"/>
    <w:rsid w:val="00331E90"/>
    <w:rsid w:val="003324F4"/>
    <w:rsid w:val="00332DC1"/>
    <w:rsid w:val="00333046"/>
    <w:rsid w:val="0033419F"/>
    <w:rsid w:val="003341E2"/>
    <w:rsid w:val="00335087"/>
    <w:rsid w:val="003353C5"/>
    <w:rsid w:val="00335763"/>
    <w:rsid w:val="00335D3F"/>
    <w:rsid w:val="00336641"/>
    <w:rsid w:val="003370A3"/>
    <w:rsid w:val="00337493"/>
    <w:rsid w:val="003375AA"/>
    <w:rsid w:val="003376EB"/>
    <w:rsid w:val="00337CF7"/>
    <w:rsid w:val="003403B8"/>
    <w:rsid w:val="00340D11"/>
    <w:rsid w:val="00340EA7"/>
    <w:rsid w:val="00341F45"/>
    <w:rsid w:val="0034226A"/>
    <w:rsid w:val="003422E5"/>
    <w:rsid w:val="0034285F"/>
    <w:rsid w:val="00342B31"/>
    <w:rsid w:val="00344091"/>
    <w:rsid w:val="00344102"/>
    <w:rsid w:val="003441EF"/>
    <w:rsid w:val="00344444"/>
    <w:rsid w:val="003445A2"/>
    <w:rsid w:val="0034495F"/>
    <w:rsid w:val="00345219"/>
    <w:rsid w:val="00345A9E"/>
    <w:rsid w:val="00346135"/>
    <w:rsid w:val="003464A4"/>
    <w:rsid w:val="00346745"/>
    <w:rsid w:val="003478D0"/>
    <w:rsid w:val="0034795E"/>
    <w:rsid w:val="00347B38"/>
    <w:rsid w:val="0035007A"/>
    <w:rsid w:val="003503C0"/>
    <w:rsid w:val="00350708"/>
    <w:rsid w:val="00350BCA"/>
    <w:rsid w:val="00351684"/>
    <w:rsid w:val="003519C0"/>
    <w:rsid w:val="00351CB5"/>
    <w:rsid w:val="00351E8F"/>
    <w:rsid w:val="003525B3"/>
    <w:rsid w:val="003526B2"/>
    <w:rsid w:val="00352A62"/>
    <w:rsid w:val="00352EF4"/>
    <w:rsid w:val="0035324C"/>
    <w:rsid w:val="00353655"/>
    <w:rsid w:val="003538CE"/>
    <w:rsid w:val="00353B85"/>
    <w:rsid w:val="00353C00"/>
    <w:rsid w:val="00353C01"/>
    <w:rsid w:val="003543FA"/>
    <w:rsid w:val="00354458"/>
    <w:rsid w:val="00354B28"/>
    <w:rsid w:val="00355001"/>
    <w:rsid w:val="0035512A"/>
    <w:rsid w:val="0035588B"/>
    <w:rsid w:val="00356D0D"/>
    <w:rsid w:val="00357326"/>
    <w:rsid w:val="00357735"/>
    <w:rsid w:val="00357737"/>
    <w:rsid w:val="00357AF8"/>
    <w:rsid w:val="00360750"/>
    <w:rsid w:val="00360CBA"/>
    <w:rsid w:val="00360F45"/>
    <w:rsid w:val="00361751"/>
    <w:rsid w:val="003618AF"/>
    <w:rsid w:val="00361937"/>
    <w:rsid w:val="00361B11"/>
    <w:rsid w:val="00361D0B"/>
    <w:rsid w:val="00361D89"/>
    <w:rsid w:val="00361F78"/>
    <w:rsid w:val="00361F9E"/>
    <w:rsid w:val="0036275A"/>
    <w:rsid w:val="003627C0"/>
    <w:rsid w:val="0036287C"/>
    <w:rsid w:val="00363653"/>
    <w:rsid w:val="003636BE"/>
    <w:rsid w:val="00363874"/>
    <w:rsid w:val="00363929"/>
    <w:rsid w:val="00363ECA"/>
    <w:rsid w:val="003647B0"/>
    <w:rsid w:val="0036509D"/>
    <w:rsid w:val="00365C57"/>
    <w:rsid w:val="003665CC"/>
    <w:rsid w:val="0036661A"/>
    <w:rsid w:val="003672FF"/>
    <w:rsid w:val="00367848"/>
    <w:rsid w:val="0036790D"/>
    <w:rsid w:val="0037102A"/>
    <w:rsid w:val="00371383"/>
    <w:rsid w:val="003713EF"/>
    <w:rsid w:val="00371635"/>
    <w:rsid w:val="00371DF5"/>
    <w:rsid w:val="00372241"/>
    <w:rsid w:val="0037228C"/>
    <w:rsid w:val="003737A7"/>
    <w:rsid w:val="003738FD"/>
    <w:rsid w:val="00373BB0"/>
    <w:rsid w:val="00373CB5"/>
    <w:rsid w:val="00374287"/>
    <w:rsid w:val="00374DE0"/>
    <w:rsid w:val="00374E35"/>
    <w:rsid w:val="00375153"/>
    <w:rsid w:val="00375BD4"/>
    <w:rsid w:val="00375DC0"/>
    <w:rsid w:val="00376451"/>
    <w:rsid w:val="00376CDC"/>
    <w:rsid w:val="00377128"/>
    <w:rsid w:val="003775E8"/>
    <w:rsid w:val="00377C66"/>
    <w:rsid w:val="00380F70"/>
    <w:rsid w:val="003810BE"/>
    <w:rsid w:val="0038122A"/>
    <w:rsid w:val="003812CC"/>
    <w:rsid w:val="003826B5"/>
    <w:rsid w:val="003837C8"/>
    <w:rsid w:val="00384FC0"/>
    <w:rsid w:val="00385A94"/>
    <w:rsid w:val="003861C7"/>
    <w:rsid w:val="00386F6C"/>
    <w:rsid w:val="00387621"/>
    <w:rsid w:val="00387675"/>
    <w:rsid w:val="00387709"/>
    <w:rsid w:val="00387719"/>
    <w:rsid w:val="00387794"/>
    <w:rsid w:val="003878E7"/>
    <w:rsid w:val="00387904"/>
    <w:rsid w:val="00390147"/>
    <w:rsid w:val="003905B5"/>
    <w:rsid w:val="0039090A"/>
    <w:rsid w:val="00390B06"/>
    <w:rsid w:val="003912CC"/>
    <w:rsid w:val="00391DA7"/>
    <w:rsid w:val="003937DB"/>
    <w:rsid w:val="00393A2A"/>
    <w:rsid w:val="003940F4"/>
    <w:rsid w:val="003947DC"/>
    <w:rsid w:val="00394B06"/>
    <w:rsid w:val="0039610F"/>
    <w:rsid w:val="00396989"/>
    <w:rsid w:val="00396B9F"/>
    <w:rsid w:val="00397162"/>
    <w:rsid w:val="003A060B"/>
    <w:rsid w:val="003A1A84"/>
    <w:rsid w:val="003A2934"/>
    <w:rsid w:val="003A2B8D"/>
    <w:rsid w:val="003A303A"/>
    <w:rsid w:val="003A335E"/>
    <w:rsid w:val="003A3DD2"/>
    <w:rsid w:val="003A445E"/>
    <w:rsid w:val="003A44DE"/>
    <w:rsid w:val="003A4DD8"/>
    <w:rsid w:val="003A515E"/>
    <w:rsid w:val="003A57B3"/>
    <w:rsid w:val="003A5FFE"/>
    <w:rsid w:val="003A63F5"/>
    <w:rsid w:val="003A6B3C"/>
    <w:rsid w:val="003A732C"/>
    <w:rsid w:val="003A761F"/>
    <w:rsid w:val="003A7A21"/>
    <w:rsid w:val="003B0779"/>
    <w:rsid w:val="003B0791"/>
    <w:rsid w:val="003B10E2"/>
    <w:rsid w:val="003B1120"/>
    <w:rsid w:val="003B1514"/>
    <w:rsid w:val="003B1A82"/>
    <w:rsid w:val="003B253D"/>
    <w:rsid w:val="003B2AF5"/>
    <w:rsid w:val="003B2BC6"/>
    <w:rsid w:val="003B312F"/>
    <w:rsid w:val="003B3573"/>
    <w:rsid w:val="003B35A5"/>
    <w:rsid w:val="003B3699"/>
    <w:rsid w:val="003B3E45"/>
    <w:rsid w:val="003B3F53"/>
    <w:rsid w:val="003B40C4"/>
    <w:rsid w:val="003B4183"/>
    <w:rsid w:val="003B4931"/>
    <w:rsid w:val="003B4C93"/>
    <w:rsid w:val="003B57BB"/>
    <w:rsid w:val="003B5813"/>
    <w:rsid w:val="003B6564"/>
    <w:rsid w:val="003B66CB"/>
    <w:rsid w:val="003B7081"/>
    <w:rsid w:val="003B7B30"/>
    <w:rsid w:val="003B7B65"/>
    <w:rsid w:val="003B7CE7"/>
    <w:rsid w:val="003C03EA"/>
    <w:rsid w:val="003C0689"/>
    <w:rsid w:val="003C196B"/>
    <w:rsid w:val="003C1986"/>
    <w:rsid w:val="003C1BF9"/>
    <w:rsid w:val="003C1CB3"/>
    <w:rsid w:val="003C2B44"/>
    <w:rsid w:val="003C315E"/>
    <w:rsid w:val="003C32F6"/>
    <w:rsid w:val="003C3B73"/>
    <w:rsid w:val="003C3FAC"/>
    <w:rsid w:val="003C42AA"/>
    <w:rsid w:val="003C447D"/>
    <w:rsid w:val="003C4D81"/>
    <w:rsid w:val="003C4E9C"/>
    <w:rsid w:val="003C52B8"/>
    <w:rsid w:val="003C55B2"/>
    <w:rsid w:val="003C58A4"/>
    <w:rsid w:val="003C5916"/>
    <w:rsid w:val="003C5E11"/>
    <w:rsid w:val="003C5F92"/>
    <w:rsid w:val="003C614A"/>
    <w:rsid w:val="003C6E1D"/>
    <w:rsid w:val="003C7784"/>
    <w:rsid w:val="003C7B82"/>
    <w:rsid w:val="003C7D5C"/>
    <w:rsid w:val="003D058C"/>
    <w:rsid w:val="003D1006"/>
    <w:rsid w:val="003D1771"/>
    <w:rsid w:val="003D1F78"/>
    <w:rsid w:val="003D2634"/>
    <w:rsid w:val="003D2A3C"/>
    <w:rsid w:val="003D343A"/>
    <w:rsid w:val="003D403A"/>
    <w:rsid w:val="003D439D"/>
    <w:rsid w:val="003D45B2"/>
    <w:rsid w:val="003D4A18"/>
    <w:rsid w:val="003D5A2E"/>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BCC"/>
    <w:rsid w:val="003E3D2D"/>
    <w:rsid w:val="003E417E"/>
    <w:rsid w:val="003E4639"/>
    <w:rsid w:val="003E4AA5"/>
    <w:rsid w:val="003E4C43"/>
    <w:rsid w:val="003E4F46"/>
    <w:rsid w:val="003E53DC"/>
    <w:rsid w:val="003E54C5"/>
    <w:rsid w:val="003E5562"/>
    <w:rsid w:val="003E624D"/>
    <w:rsid w:val="003E631C"/>
    <w:rsid w:val="003E6566"/>
    <w:rsid w:val="003E6B3A"/>
    <w:rsid w:val="003E7748"/>
    <w:rsid w:val="003E7B6F"/>
    <w:rsid w:val="003E7E48"/>
    <w:rsid w:val="003F07AC"/>
    <w:rsid w:val="003F172F"/>
    <w:rsid w:val="003F1CCD"/>
    <w:rsid w:val="003F1CEC"/>
    <w:rsid w:val="003F2693"/>
    <w:rsid w:val="003F2C11"/>
    <w:rsid w:val="003F3963"/>
    <w:rsid w:val="003F4080"/>
    <w:rsid w:val="003F43BF"/>
    <w:rsid w:val="003F4EC2"/>
    <w:rsid w:val="003F606D"/>
    <w:rsid w:val="003F6B64"/>
    <w:rsid w:val="003F6BE4"/>
    <w:rsid w:val="003F6BF5"/>
    <w:rsid w:val="003F765F"/>
    <w:rsid w:val="00400030"/>
    <w:rsid w:val="00400738"/>
    <w:rsid w:val="00400773"/>
    <w:rsid w:val="00400C4F"/>
    <w:rsid w:val="00400E0B"/>
    <w:rsid w:val="00400F2E"/>
    <w:rsid w:val="004016D5"/>
    <w:rsid w:val="004017F3"/>
    <w:rsid w:val="00401DAF"/>
    <w:rsid w:val="00403365"/>
    <w:rsid w:val="0040399F"/>
    <w:rsid w:val="00403CF8"/>
    <w:rsid w:val="00403E3F"/>
    <w:rsid w:val="004040E3"/>
    <w:rsid w:val="00405DCB"/>
    <w:rsid w:val="00406777"/>
    <w:rsid w:val="00407459"/>
    <w:rsid w:val="00407746"/>
    <w:rsid w:val="004079A9"/>
    <w:rsid w:val="00410523"/>
    <w:rsid w:val="004109E2"/>
    <w:rsid w:val="00410F93"/>
    <w:rsid w:val="004120D4"/>
    <w:rsid w:val="004123EA"/>
    <w:rsid w:val="004124E1"/>
    <w:rsid w:val="00412720"/>
    <w:rsid w:val="004133E4"/>
    <w:rsid w:val="00413422"/>
    <w:rsid w:val="0041441D"/>
    <w:rsid w:val="00414782"/>
    <w:rsid w:val="00414907"/>
    <w:rsid w:val="00414D01"/>
    <w:rsid w:val="00414E8C"/>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D69"/>
    <w:rsid w:val="0042324B"/>
    <w:rsid w:val="004234E8"/>
    <w:rsid w:val="0042359C"/>
    <w:rsid w:val="00423D92"/>
    <w:rsid w:val="00424631"/>
    <w:rsid w:val="00425025"/>
    <w:rsid w:val="00425100"/>
    <w:rsid w:val="004251AD"/>
    <w:rsid w:val="004259B1"/>
    <w:rsid w:val="00425A1F"/>
    <w:rsid w:val="00425CF6"/>
    <w:rsid w:val="00425EB1"/>
    <w:rsid w:val="00426805"/>
    <w:rsid w:val="00426A5C"/>
    <w:rsid w:val="0042739B"/>
    <w:rsid w:val="004275DE"/>
    <w:rsid w:val="00427FED"/>
    <w:rsid w:val="00430150"/>
    <w:rsid w:val="004302F9"/>
    <w:rsid w:val="00430669"/>
    <w:rsid w:val="0043091F"/>
    <w:rsid w:val="00430E84"/>
    <w:rsid w:val="00431190"/>
    <w:rsid w:val="004315AD"/>
    <w:rsid w:val="0043229B"/>
    <w:rsid w:val="00432531"/>
    <w:rsid w:val="004325F2"/>
    <w:rsid w:val="00432E52"/>
    <w:rsid w:val="00432EAF"/>
    <w:rsid w:val="00432F23"/>
    <w:rsid w:val="004342B2"/>
    <w:rsid w:val="004348E3"/>
    <w:rsid w:val="00434925"/>
    <w:rsid w:val="0043523B"/>
    <w:rsid w:val="00435287"/>
    <w:rsid w:val="004354B4"/>
    <w:rsid w:val="004365ED"/>
    <w:rsid w:val="00436E43"/>
    <w:rsid w:val="00436EDB"/>
    <w:rsid w:val="00436F5D"/>
    <w:rsid w:val="00437777"/>
    <w:rsid w:val="00437A81"/>
    <w:rsid w:val="004400D7"/>
    <w:rsid w:val="00440761"/>
    <w:rsid w:val="00440A22"/>
    <w:rsid w:val="00440B08"/>
    <w:rsid w:val="00441093"/>
    <w:rsid w:val="00441518"/>
    <w:rsid w:val="004416AE"/>
    <w:rsid w:val="004428FA"/>
    <w:rsid w:val="00443FC2"/>
    <w:rsid w:val="00444E1C"/>
    <w:rsid w:val="004455FA"/>
    <w:rsid w:val="004468AA"/>
    <w:rsid w:val="00446ACF"/>
    <w:rsid w:val="0044752F"/>
    <w:rsid w:val="00447AA4"/>
    <w:rsid w:val="00447EA0"/>
    <w:rsid w:val="0045114E"/>
    <w:rsid w:val="0045212B"/>
    <w:rsid w:val="0045218A"/>
    <w:rsid w:val="004523DA"/>
    <w:rsid w:val="00452859"/>
    <w:rsid w:val="00452B44"/>
    <w:rsid w:val="00452BA8"/>
    <w:rsid w:val="004530DA"/>
    <w:rsid w:val="00453282"/>
    <w:rsid w:val="004533E6"/>
    <w:rsid w:val="00453487"/>
    <w:rsid w:val="0045406E"/>
    <w:rsid w:val="004546EB"/>
    <w:rsid w:val="00454874"/>
    <w:rsid w:val="004551A4"/>
    <w:rsid w:val="00455464"/>
    <w:rsid w:val="0045550E"/>
    <w:rsid w:val="00455A06"/>
    <w:rsid w:val="00455B1C"/>
    <w:rsid w:val="00455C56"/>
    <w:rsid w:val="00455DA4"/>
    <w:rsid w:val="00456456"/>
    <w:rsid w:val="00456D57"/>
    <w:rsid w:val="00456E4F"/>
    <w:rsid w:val="00457A55"/>
    <w:rsid w:val="00457B64"/>
    <w:rsid w:val="00457B86"/>
    <w:rsid w:val="00460AE0"/>
    <w:rsid w:val="00460DCA"/>
    <w:rsid w:val="0046190B"/>
    <w:rsid w:val="00461A5F"/>
    <w:rsid w:val="00461E28"/>
    <w:rsid w:val="00462367"/>
    <w:rsid w:val="004638ED"/>
    <w:rsid w:val="0046490C"/>
    <w:rsid w:val="0046566E"/>
    <w:rsid w:val="00466E5A"/>
    <w:rsid w:val="00467B02"/>
    <w:rsid w:val="00470287"/>
    <w:rsid w:val="00470288"/>
    <w:rsid w:val="004702FA"/>
    <w:rsid w:val="004704BF"/>
    <w:rsid w:val="00470733"/>
    <w:rsid w:val="0047113C"/>
    <w:rsid w:val="0047193C"/>
    <w:rsid w:val="00471EB5"/>
    <w:rsid w:val="00473880"/>
    <w:rsid w:val="004739B1"/>
    <w:rsid w:val="00473AF9"/>
    <w:rsid w:val="0047420E"/>
    <w:rsid w:val="004744DF"/>
    <w:rsid w:val="0047493B"/>
    <w:rsid w:val="00474F71"/>
    <w:rsid w:val="00475478"/>
    <w:rsid w:val="004757B4"/>
    <w:rsid w:val="00475880"/>
    <w:rsid w:val="00476642"/>
    <w:rsid w:val="004772AA"/>
    <w:rsid w:val="0047774A"/>
    <w:rsid w:val="00477C53"/>
    <w:rsid w:val="00477E4C"/>
    <w:rsid w:val="00480EC4"/>
    <w:rsid w:val="0048127A"/>
    <w:rsid w:val="004818E3"/>
    <w:rsid w:val="00481E0C"/>
    <w:rsid w:val="00482CFA"/>
    <w:rsid w:val="00482E73"/>
    <w:rsid w:val="00483575"/>
    <w:rsid w:val="004847DD"/>
    <w:rsid w:val="004850F5"/>
    <w:rsid w:val="00485380"/>
    <w:rsid w:val="0048595A"/>
    <w:rsid w:val="00485A86"/>
    <w:rsid w:val="00485CD2"/>
    <w:rsid w:val="00485FD9"/>
    <w:rsid w:val="00486A22"/>
    <w:rsid w:val="004878EA"/>
    <w:rsid w:val="00490322"/>
    <w:rsid w:val="0049033C"/>
    <w:rsid w:val="004907BE"/>
    <w:rsid w:val="004908D0"/>
    <w:rsid w:val="004912D4"/>
    <w:rsid w:val="00492461"/>
    <w:rsid w:val="004928C1"/>
    <w:rsid w:val="00493762"/>
    <w:rsid w:val="00493D87"/>
    <w:rsid w:val="00493E6A"/>
    <w:rsid w:val="0049418F"/>
    <w:rsid w:val="00494381"/>
    <w:rsid w:val="004950CC"/>
    <w:rsid w:val="004950D4"/>
    <w:rsid w:val="004962C4"/>
    <w:rsid w:val="00496F1B"/>
    <w:rsid w:val="004971A9"/>
    <w:rsid w:val="0049799C"/>
    <w:rsid w:val="004A0506"/>
    <w:rsid w:val="004A0599"/>
    <w:rsid w:val="004A0B4D"/>
    <w:rsid w:val="004A0E00"/>
    <w:rsid w:val="004A13EB"/>
    <w:rsid w:val="004A14F0"/>
    <w:rsid w:val="004A22BB"/>
    <w:rsid w:val="004A2342"/>
    <w:rsid w:val="004A251B"/>
    <w:rsid w:val="004A2B88"/>
    <w:rsid w:val="004A2F62"/>
    <w:rsid w:val="004A33F3"/>
    <w:rsid w:val="004A39B8"/>
    <w:rsid w:val="004A3B4E"/>
    <w:rsid w:val="004A3FC6"/>
    <w:rsid w:val="004A4AE5"/>
    <w:rsid w:val="004A549E"/>
    <w:rsid w:val="004A5D7F"/>
    <w:rsid w:val="004A694F"/>
    <w:rsid w:val="004A69DD"/>
    <w:rsid w:val="004A6FE5"/>
    <w:rsid w:val="004A7328"/>
    <w:rsid w:val="004A7541"/>
    <w:rsid w:val="004A7647"/>
    <w:rsid w:val="004B05AD"/>
    <w:rsid w:val="004B0900"/>
    <w:rsid w:val="004B0D73"/>
    <w:rsid w:val="004B1BD3"/>
    <w:rsid w:val="004B1DB8"/>
    <w:rsid w:val="004B24B7"/>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FB6"/>
    <w:rsid w:val="004C012F"/>
    <w:rsid w:val="004C0AC9"/>
    <w:rsid w:val="004C0BF7"/>
    <w:rsid w:val="004C0DE9"/>
    <w:rsid w:val="004C11CA"/>
    <w:rsid w:val="004C17F0"/>
    <w:rsid w:val="004C1FE2"/>
    <w:rsid w:val="004C3851"/>
    <w:rsid w:val="004C3AFF"/>
    <w:rsid w:val="004C4182"/>
    <w:rsid w:val="004C4D2E"/>
    <w:rsid w:val="004C5006"/>
    <w:rsid w:val="004C54B2"/>
    <w:rsid w:val="004C571D"/>
    <w:rsid w:val="004C6745"/>
    <w:rsid w:val="004C68D5"/>
    <w:rsid w:val="004C72A5"/>
    <w:rsid w:val="004C7675"/>
    <w:rsid w:val="004D004E"/>
    <w:rsid w:val="004D0B92"/>
    <w:rsid w:val="004D0FAC"/>
    <w:rsid w:val="004D12B6"/>
    <w:rsid w:val="004D1831"/>
    <w:rsid w:val="004D1A7F"/>
    <w:rsid w:val="004D2C51"/>
    <w:rsid w:val="004D34FC"/>
    <w:rsid w:val="004D35A2"/>
    <w:rsid w:val="004D39C3"/>
    <w:rsid w:val="004D473F"/>
    <w:rsid w:val="004D4921"/>
    <w:rsid w:val="004D4A02"/>
    <w:rsid w:val="004D5E20"/>
    <w:rsid w:val="004D5FD1"/>
    <w:rsid w:val="004D6035"/>
    <w:rsid w:val="004D6443"/>
    <w:rsid w:val="004D6689"/>
    <w:rsid w:val="004D674C"/>
    <w:rsid w:val="004D6933"/>
    <w:rsid w:val="004D6972"/>
    <w:rsid w:val="004D6BA0"/>
    <w:rsid w:val="004E04E7"/>
    <w:rsid w:val="004E124B"/>
    <w:rsid w:val="004E22A7"/>
    <w:rsid w:val="004E25D3"/>
    <w:rsid w:val="004E38E3"/>
    <w:rsid w:val="004E3B0B"/>
    <w:rsid w:val="004E52C3"/>
    <w:rsid w:val="004E5565"/>
    <w:rsid w:val="004E67D1"/>
    <w:rsid w:val="004E75F6"/>
    <w:rsid w:val="004F0008"/>
    <w:rsid w:val="004F0032"/>
    <w:rsid w:val="004F0B9A"/>
    <w:rsid w:val="004F1627"/>
    <w:rsid w:val="004F26FB"/>
    <w:rsid w:val="004F29BF"/>
    <w:rsid w:val="004F2E22"/>
    <w:rsid w:val="004F45ED"/>
    <w:rsid w:val="004F5247"/>
    <w:rsid w:val="004F5B85"/>
    <w:rsid w:val="004F6544"/>
    <w:rsid w:val="004F665B"/>
    <w:rsid w:val="004F6F16"/>
    <w:rsid w:val="004F75EF"/>
    <w:rsid w:val="004F7756"/>
    <w:rsid w:val="004F7C93"/>
    <w:rsid w:val="00500258"/>
    <w:rsid w:val="00500C25"/>
    <w:rsid w:val="00500D3E"/>
    <w:rsid w:val="005016AE"/>
    <w:rsid w:val="00501F38"/>
    <w:rsid w:val="00502091"/>
    <w:rsid w:val="00502796"/>
    <w:rsid w:val="00503215"/>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7232"/>
    <w:rsid w:val="00507563"/>
    <w:rsid w:val="005104A6"/>
    <w:rsid w:val="005107AE"/>
    <w:rsid w:val="005109A7"/>
    <w:rsid w:val="00510DCC"/>
    <w:rsid w:val="0051114F"/>
    <w:rsid w:val="0051140E"/>
    <w:rsid w:val="0051171F"/>
    <w:rsid w:val="00511D5B"/>
    <w:rsid w:val="00511D94"/>
    <w:rsid w:val="00512856"/>
    <w:rsid w:val="00512C56"/>
    <w:rsid w:val="00512D2E"/>
    <w:rsid w:val="00513162"/>
    <w:rsid w:val="00513B14"/>
    <w:rsid w:val="00513C54"/>
    <w:rsid w:val="0051430C"/>
    <w:rsid w:val="005147A2"/>
    <w:rsid w:val="005153F6"/>
    <w:rsid w:val="005157DB"/>
    <w:rsid w:val="00515A06"/>
    <w:rsid w:val="00516101"/>
    <w:rsid w:val="00516B03"/>
    <w:rsid w:val="005171A1"/>
    <w:rsid w:val="0051736D"/>
    <w:rsid w:val="0052035F"/>
    <w:rsid w:val="00520B3D"/>
    <w:rsid w:val="00520D4E"/>
    <w:rsid w:val="005212FE"/>
    <w:rsid w:val="00521555"/>
    <w:rsid w:val="00521853"/>
    <w:rsid w:val="00521960"/>
    <w:rsid w:val="00522C4A"/>
    <w:rsid w:val="00523691"/>
    <w:rsid w:val="00523F1D"/>
    <w:rsid w:val="005247B3"/>
    <w:rsid w:val="00524C82"/>
    <w:rsid w:val="00525809"/>
    <w:rsid w:val="005267F6"/>
    <w:rsid w:val="00526B08"/>
    <w:rsid w:val="00526DF3"/>
    <w:rsid w:val="00526E8A"/>
    <w:rsid w:val="0052716B"/>
    <w:rsid w:val="00527BDA"/>
    <w:rsid w:val="005314C6"/>
    <w:rsid w:val="00531715"/>
    <w:rsid w:val="005319F3"/>
    <w:rsid w:val="0053220A"/>
    <w:rsid w:val="00532C9E"/>
    <w:rsid w:val="00534072"/>
    <w:rsid w:val="005343CA"/>
    <w:rsid w:val="0053502C"/>
    <w:rsid w:val="00535130"/>
    <w:rsid w:val="005354A6"/>
    <w:rsid w:val="00536006"/>
    <w:rsid w:val="0053606A"/>
    <w:rsid w:val="00536094"/>
    <w:rsid w:val="00536756"/>
    <w:rsid w:val="00537302"/>
    <w:rsid w:val="0053738C"/>
    <w:rsid w:val="005416F8"/>
    <w:rsid w:val="00541928"/>
    <w:rsid w:val="00542B93"/>
    <w:rsid w:val="00542D3C"/>
    <w:rsid w:val="00543952"/>
    <w:rsid w:val="005441BD"/>
    <w:rsid w:val="00544559"/>
    <w:rsid w:val="005445A7"/>
    <w:rsid w:val="00545D3E"/>
    <w:rsid w:val="005466D8"/>
    <w:rsid w:val="0054780C"/>
    <w:rsid w:val="00547848"/>
    <w:rsid w:val="00550386"/>
    <w:rsid w:val="005505A6"/>
    <w:rsid w:val="005508CB"/>
    <w:rsid w:val="00550BC7"/>
    <w:rsid w:val="00551473"/>
    <w:rsid w:val="00551B33"/>
    <w:rsid w:val="00551F13"/>
    <w:rsid w:val="00551FFD"/>
    <w:rsid w:val="0055261D"/>
    <w:rsid w:val="00552C42"/>
    <w:rsid w:val="0055345C"/>
    <w:rsid w:val="00553F16"/>
    <w:rsid w:val="005543D1"/>
    <w:rsid w:val="0055473D"/>
    <w:rsid w:val="005549A3"/>
    <w:rsid w:val="00554DB2"/>
    <w:rsid w:val="00554DEF"/>
    <w:rsid w:val="00555509"/>
    <w:rsid w:val="00555940"/>
    <w:rsid w:val="00555B02"/>
    <w:rsid w:val="00557083"/>
    <w:rsid w:val="00557A22"/>
    <w:rsid w:val="00557A74"/>
    <w:rsid w:val="00560102"/>
    <w:rsid w:val="00560605"/>
    <w:rsid w:val="00560876"/>
    <w:rsid w:val="00560953"/>
    <w:rsid w:val="00560F74"/>
    <w:rsid w:val="00561066"/>
    <w:rsid w:val="00561476"/>
    <w:rsid w:val="00561912"/>
    <w:rsid w:val="00561C5B"/>
    <w:rsid w:val="005621C9"/>
    <w:rsid w:val="005639E3"/>
    <w:rsid w:val="00563D61"/>
    <w:rsid w:val="005644D4"/>
    <w:rsid w:val="00564F2D"/>
    <w:rsid w:val="005650B9"/>
    <w:rsid w:val="005653E1"/>
    <w:rsid w:val="0056594C"/>
    <w:rsid w:val="005661FF"/>
    <w:rsid w:val="00566357"/>
    <w:rsid w:val="005664A2"/>
    <w:rsid w:val="00566CDA"/>
    <w:rsid w:val="0056727E"/>
    <w:rsid w:val="00567468"/>
    <w:rsid w:val="00567490"/>
    <w:rsid w:val="00567BA6"/>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DBE"/>
    <w:rsid w:val="0057405B"/>
    <w:rsid w:val="005749CE"/>
    <w:rsid w:val="00574A3D"/>
    <w:rsid w:val="00574A77"/>
    <w:rsid w:val="00574B79"/>
    <w:rsid w:val="00574D12"/>
    <w:rsid w:val="00576345"/>
    <w:rsid w:val="005763F6"/>
    <w:rsid w:val="00576545"/>
    <w:rsid w:val="005766B7"/>
    <w:rsid w:val="005768A2"/>
    <w:rsid w:val="00577A7F"/>
    <w:rsid w:val="005800B4"/>
    <w:rsid w:val="0058070B"/>
    <w:rsid w:val="00581068"/>
    <w:rsid w:val="005818D3"/>
    <w:rsid w:val="00581E91"/>
    <w:rsid w:val="00581F55"/>
    <w:rsid w:val="005820DA"/>
    <w:rsid w:val="0058296F"/>
    <w:rsid w:val="005829E5"/>
    <w:rsid w:val="00582A73"/>
    <w:rsid w:val="00582B04"/>
    <w:rsid w:val="00583104"/>
    <w:rsid w:val="00583D35"/>
    <w:rsid w:val="00584013"/>
    <w:rsid w:val="005846EA"/>
    <w:rsid w:val="00584A8A"/>
    <w:rsid w:val="00584E9D"/>
    <w:rsid w:val="00584E9F"/>
    <w:rsid w:val="005852E0"/>
    <w:rsid w:val="005856AB"/>
    <w:rsid w:val="00585BD7"/>
    <w:rsid w:val="005860E6"/>
    <w:rsid w:val="00586197"/>
    <w:rsid w:val="00586A16"/>
    <w:rsid w:val="00586CD1"/>
    <w:rsid w:val="0058715A"/>
    <w:rsid w:val="00587AC6"/>
    <w:rsid w:val="005905D7"/>
    <w:rsid w:val="005908A8"/>
    <w:rsid w:val="0059113E"/>
    <w:rsid w:val="005915BF"/>
    <w:rsid w:val="00591841"/>
    <w:rsid w:val="0059348F"/>
    <w:rsid w:val="00593ABE"/>
    <w:rsid w:val="00593DCC"/>
    <w:rsid w:val="005942EE"/>
    <w:rsid w:val="00594D2B"/>
    <w:rsid w:val="00595E80"/>
    <w:rsid w:val="005963E0"/>
    <w:rsid w:val="0059650E"/>
    <w:rsid w:val="005966CB"/>
    <w:rsid w:val="00596953"/>
    <w:rsid w:val="00596ABB"/>
    <w:rsid w:val="0059719E"/>
    <w:rsid w:val="005978EC"/>
    <w:rsid w:val="00597A0B"/>
    <w:rsid w:val="00597F7B"/>
    <w:rsid w:val="005A01ED"/>
    <w:rsid w:val="005A1D37"/>
    <w:rsid w:val="005A1E20"/>
    <w:rsid w:val="005A247A"/>
    <w:rsid w:val="005A3474"/>
    <w:rsid w:val="005A3575"/>
    <w:rsid w:val="005A3F18"/>
    <w:rsid w:val="005A4C85"/>
    <w:rsid w:val="005A4F40"/>
    <w:rsid w:val="005A581C"/>
    <w:rsid w:val="005A5CFB"/>
    <w:rsid w:val="005A5D7D"/>
    <w:rsid w:val="005A5FBA"/>
    <w:rsid w:val="005A6030"/>
    <w:rsid w:val="005A66C3"/>
    <w:rsid w:val="005A6930"/>
    <w:rsid w:val="005A6970"/>
    <w:rsid w:val="005B008A"/>
    <w:rsid w:val="005B04B8"/>
    <w:rsid w:val="005B0711"/>
    <w:rsid w:val="005B1530"/>
    <w:rsid w:val="005B29CF"/>
    <w:rsid w:val="005B340D"/>
    <w:rsid w:val="005B4014"/>
    <w:rsid w:val="005B4182"/>
    <w:rsid w:val="005B4218"/>
    <w:rsid w:val="005B46EA"/>
    <w:rsid w:val="005B4F60"/>
    <w:rsid w:val="005B53B1"/>
    <w:rsid w:val="005B57AD"/>
    <w:rsid w:val="005B69EE"/>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D45"/>
    <w:rsid w:val="005C42E7"/>
    <w:rsid w:val="005C50AC"/>
    <w:rsid w:val="005C5279"/>
    <w:rsid w:val="005C540E"/>
    <w:rsid w:val="005C54EE"/>
    <w:rsid w:val="005C5534"/>
    <w:rsid w:val="005C5D66"/>
    <w:rsid w:val="005C6406"/>
    <w:rsid w:val="005C6F22"/>
    <w:rsid w:val="005D0E6A"/>
    <w:rsid w:val="005D2737"/>
    <w:rsid w:val="005D2DFA"/>
    <w:rsid w:val="005D3D24"/>
    <w:rsid w:val="005D42C4"/>
    <w:rsid w:val="005D4B8A"/>
    <w:rsid w:val="005D5893"/>
    <w:rsid w:val="005D5CA8"/>
    <w:rsid w:val="005D5DBB"/>
    <w:rsid w:val="005D5F03"/>
    <w:rsid w:val="005D6292"/>
    <w:rsid w:val="005D685E"/>
    <w:rsid w:val="005D69D1"/>
    <w:rsid w:val="005D6CDF"/>
    <w:rsid w:val="005D73DA"/>
    <w:rsid w:val="005D756A"/>
    <w:rsid w:val="005D75A2"/>
    <w:rsid w:val="005E1ECC"/>
    <w:rsid w:val="005E210D"/>
    <w:rsid w:val="005E268B"/>
    <w:rsid w:val="005E3415"/>
    <w:rsid w:val="005E359F"/>
    <w:rsid w:val="005E3B85"/>
    <w:rsid w:val="005E3F65"/>
    <w:rsid w:val="005E4625"/>
    <w:rsid w:val="005E4833"/>
    <w:rsid w:val="005E4A46"/>
    <w:rsid w:val="005E50E5"/>
    <w:rsid w:val="005E5696"/>
    <w:rsid w:val="005E5FA1"/>
    <w:rsid w:val="005E604F"/>
    <w:rsid w:val="005E6C46"/>
    <w:rsid w:val="005E72C5"/>
    <w:rsid w:val="005F0B79"/>
    <w:rsid w:val="005F0BEA"/>
    <w:rsid w:val="005F1029"/>
    <w:rsid w:val="005F2288"/>
    <w:rsid w:val="005F2425"/>
    <w:rsid w:val="005F38E3"/>
    <w:rsid w:val="005F3AF4"/>
    <w:rsid w:val="005F3B14"/>
    <w:rsid w:val="005F4093"/>
    <w:rsid w:val="005F42B0"/>
    <w:rsid w:val="005F4340"/>
    <w:rsid w:val="005F44E9"/>
    <w:rsid w:val="005F465D"/>
    <w:rsid w:val="005F4BD8"/>
    <w:rsid w:val="005F57D4"/>
    <w:rsid w:val="005F588A"/>
    <w:rsid w:val="005F5EC7"/>
    <w:rsid w:val="005F689F"/>
    <w:rsid w:val="005F6E05"/>
    <w:rsid w:val="005F6F47"/>
    <w:rsid w:val="005F6F57"/>
    <w:rsid w:val="005F7207"/>
    <w:rsid w:val="005F77CD"/>
    <w:rsid w:val="005F7FCF"/>
    <w:rsid w:val="00600704"/>
    <w:rsid w:val="00601E67"/>
    <w:rsid w:val="006021E4"/>
    <w:rsid w:val="00602852"/>
    <w:rsid w:val="00603E7D"/>
    <w:rsid w:val="0060441B"/>
    <w:rsid w:val="00604551"/>
    <w:rsid w:val="006048DA"/>
    <w:rsid w:val="00604AA1"/>
    <w:rsid w:val="00604BDA"/>
    <w:rsid w:val="00604E0E"/>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5B6"/>
    <w:rsid w:val="00614808"/>
    <w:rsid w:val="00614847"/>
    <w:rsid w:val="006151BD"/>
    <w:rsid w:val="00616107"/>
    <w:rsid w:val="00616543"/>
    <w:rsid w:val="00616674"/>
    <w:rsid w:val="00616888"/>
    <w:rsid w:val="006176BE"/>
    <w:rsid w:val="006206DD"/>
    <w:rsid w:val="006208EB"/>
    <w:rsid w:val="006212CB"/>
    <w:rsid w:val="00621AFC"/>
    <w:rsid w:val="00621F90"/>
    <w:rsid w:val="006224A7"/>
    <w:rsid w:val="00622579"/>
    <w:rsid w:val="00622906"/>
    <w:rsid w:val="00622A58"/>
    <w:rsid w:val="006231B5"/>
    <w:rsid w:val="0062358E"/>
    <w:rsid w:val="00624EF3"/>
    <w:rsid w:val="00624FCE"/>
    <w:rsid w:val="00625C9E"/>
    <w:rsid w:val="00625FB8"/>
    <w:rsid w:val="00626387"/>
    <w:rsid w:val="00626A1C"/>
    <w:rsid w:val="00626EF0"/>
    <w:rsid w:val="00627202"/>
    <w:rsid w:val="006272A9"/>
    <w:rsid w:val="006276DF"/>
    <w:rsid w:val="006279F9"/>
    <w:rsid w:val="006315FC"/>
    <w:rsid w:val="00631651"/>
    <w:rsid w:val="00631A7D"/>
    <w:rsid w:val="00631AD1"/>
    <w:rsid w:val="00631AFF"/>
    <w:rsid w:val="00631DEF"/>
    <w:rsid w:val="00632833"/>
    <w:rsid w:val="00632B3A"/>
    <w:rsid w:val="00632FA3"/>
    <w:rsid w:val="006330E5"/>
    <w:rsid w:val="0063336B"/>
    <w:rsid w:val="00633401"/>
    <w:rsid w:val="00633D2F"/>
    <w:rsid w:val="0063539D"/>
    <w:rsid w:val="00635D48"/>
    <w:rsid w:val="00635E7C"/>
    <w:rsid w:val="00635ED5"/>
    <w:rsid w:val="00635F9D"/>
    <w:rsid w:val="00636068"/>
    <w:rsid w:val="00636734"/>
    <w:rsid w:val="006369EE"/>
    <w:rsid w:val="00636DAD"/>
    <w:rsid w:val="006375E2"/>
    <w:rsid w:val="006376AE"/>
    <w:rsid w:val="006376E1"/>
    <w:rsid w:val="00637EA9"/>
    <w:rsid w:val="00637ED1"/>
    <w:rsid w:val="00640D8F"/>
    <w:rsid w:val="006420DA"/>
    <w:rsid w:val="006425A2"/>
    <w:rsid w:val="00642E55"/>
    <w:rsid w:val="00642F84"/>
    <w:rsid w:val="006431B3"/>
    <w:rsid w:val="00643411"/>
    <w:rsid w:val="00643B3C"/>
    <w:rsid w:val="00643E90"/>
    <w:rsid w:val="00644D22"/>
    <w:rsid w:val="00644EC5"/>
    <w:rsid w:val="0064504E"/>
    <w:rsid w:val="006455AC"/>
    <w:rsid w:val="00645B37"/>
    <w:rsid w:val="0064700E"/>
    <w:rsid w:val="006470BA"/>
    <w:rsid w:val="00647F59"/>
    <w:rsid w:val="00650677"/>
    <w:rsid w:val="00650F41"/>
    <w:rsid w:val="00651554"/>
    <w:rsid w:val="0065167D"/>
    <w:rsid w:val="00651800"/>
    <w:rsid w:val="00652A2A"/>
    <w:rsid w:val="006535AB"/>
    <w:rsid w:val="006537D2"/>
    <w:rsid w:val="00653916"/>
    <w:rsid w:val="00653AB2"/>
    <w:rsid w:val="00654B00"/>
    <w:rsid w:val="00654B62"/>
    <w:rsid w:val="006554BE"/>
    <w:rsid w:val="00655785"/>
    <w:rsid w:val="006560A7"/>
    <w:rsid w:val="006560B9"/>
    <w:rsid w:val="00656DA6"/>
    <w:rsid w:val="0065704C"/>
    <w:rsid w:val="006574D4"/>
    <w:rsid w:val="00657513"/>
    <w:rsid w:val="00657660"/>
    <w:rsid w:val="00657BDD"/>
    <w:rsid w:val="0066012B"/>
    <w:rsid w:val="0066038E"/>
    <w:rsid w:val="00660858"/>
    <w:rsid w:val="006609E6"/>
    <w:rsid w:val="00660E51"/>
    <w:rsid w:val="00660F67"/>
    <w:rsid w:val="00661001"/>
    <w:rsid w:val="006616A1"/>
    <w:rsid w:val="00663B71"/>
    <w:rsid w:val="00663D56"/>
    <w:rsid w:val="00665244"/>
    <w:rsid w:val="00665449"/>
    <w:rsid w:val="00665B8E"/>
    <w:rsid w:val="00665D56"/>
    <w:rsid w:val="00666D69"/>
    <w:rsid w:val="00666F76"/>
    <w:rsid w:val="006672FC"/>
    <w:rsid w:val="006678EC"/>
    <w:rsid w:val="00667BDF"/>
    <w:rsid w:val="00667D3D"/>
    <w:rsid w:val="0067223F"/>
    <w:rsid w:val="00672432"/>
    <w:rsid w:val="00672D15"/>
    <w:rsid w:val="00672DDC"/>
    <w:rsid w:val="00673600"/>
    <w:rsid w:val="006736A9"/>
    <w:rsid w:val="00673BC7"/>
    <w:rsid w:val="006743EE"/>
    <w:rsid w:val="00674975"/>
    <w:rsid w:val="00674E07"/>
    <w:rsid w:val="00674E46"/>
    <w:rsid w:val="00675C7A"/>
    <w:rsid w:val="00675D39"/>
    <w:rsid w:val="006764BF"/>
    <w:rsid w:val="006766C5"/>
    <w:rsid w:val="006766EC"/>
    <w:rsid w:val="00676743"/>
    <w:rsid w:val="00677F3C"/>
    <w:rsid w:val="006801FA"/>
    <w:rsid w:val="00680576"/>
    <w:rsid w:val="006813C0"/>
    <w:rsid w:val="00681727"/>
    <w:rsid w:val="00681D67"/>
    <w:rsid w:val="00682C98"/>
    <w:rsid w:val="00683A12"/>
    <w:rsid w:val="006847FA"/>
    <w:rsid w:val="0068560B"/>
    <w:rsid w:val="0068562B"/>
    <w:rsid w:val="006856C3"/>
    <w:rsid w:val="006856E7"/>
    <w:rsid w:val="00687236"/>
    <w:rsid w:val="0068740F"/>
    <w:rsid w:val="00691574"/>
    <w:rsid w:val="00691E12"/>
    <w:rsid w:val="00692A67"/>
    <w:rsid w:val="00692DFC"/>
    <w:rsid w:val="00693129"/>
    <w:rsid w:val="00694003"/>
    <w:rsid w:val="0069464C"/>
    <w:rsid w:val="00694FCD"/>
    <w:rsid w:val="006968C0"/>
    <w:rsid w:val="00697911"/>
    <w:rsid w:val="006979F4"/>
    <w:rsid w:val="00697F96"/>
    <w:rsid w:val="006A0C50"/>
    <w:rsid w:val="006A0DA0"/>
    <w:rsid w:val="006A0DC5"/>
    <w:rsid w:val="006A0DED"/>
    <w:rsid w:val="006A1277"/>
    <w:rsid w:val="006A2227"/>
    <w:rsid w:val="006A230A"/>
    <w:rsid w:val="006A2602"/>
    <w:rsid w:val="006A2D41"/>
    <w:rsid w:val="006A2D52"/>
    <w:rsid w:val="006A314F"/>
    <w:rsid w:val="006A3D16"/>
    <w:rsid w:val="006A4EE1"/>
    <w:rsid w:val="006A6424"/>
    <w:rsid w:val="006A67D3"/>
    <w:rsid w:val="006A67E1"/>
    <w:rsid w:val="006A6FB3"/>
    <w:rsid w:val="006A77A2"/>
    <w:rsid w:val="006B019B"/>
    <w:rsid w:val="006B0FDB"/>
    <w:rsid w:val="006B1754"/>
    <w:rsid w:val="006B1A80"/>
    <w:rsid w:val="006B2C09"/>
    <w:rsid w:val="006B394C"/>
    <w:rsid w:val="006B51AD"/>
    <w:rsid w:val="006B5211"/>
    <w:rsid w:val="006B5BE9"/>
    <w:rsid w:val="006B5F67"/>
    <w:rsid w:val="006B6685"/>
    <w:rsid w:val="006B69E5"/>
    <w:rsid w:val="006B6EF9"/>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F5"/>
    <w:rsid w:val="006C36FB"/>
    <w:rsid w:val="006C3795"/>
    <w:rsid w:val="006C42CB"/>
    <w:rsid w:val="006C467D"/>
    <w:rsid w:val="006C4AA0"/>
    <w:rsid w:val="006C4FBF"/>
    <w:rsid w:val="006C51EF"/>
    <w:rsid w:val="006C57CB"/>
    <w:rsid w:val="006C63E3"/>
    <w:rsid w:val="006C679F"/>
    <w:rsid w:val="006C67B0"/>
    <w:rsid w:val="006C6892"/>
    <w:rsid w:val="006C7D62"/>
    <w:rsid w:val="006C7DA9"/>
    <w:rsid w:val="006C7E9D"/>
    <w:rsid w:val="006D02DA"/>
    <w:rsid w:val="006D06C1"/>
    <w:rsid w:val="006D0A5D"/>
    <w:rsid w:val="006D0B23"/>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7959"/>
    <w:rsid w:val="006E0D08"/>
    <w:rsid w:val="006E14A3"/>
    <w:rsid w:val="006E14C2"/>
    <w:rsid w:val="006E1987"/>
    <w:rsid w:val="006E1EB1"/>
    <w:rsid w:val="006E23B2"/>
    <w:rsid w:val="006E2879"/>
    <w:rsid w:val="006E2D99"/>
    <w:rsid w:val="006E3BCF"/>
    <w:rsid w:val="006E401D"/>
    <w:rsid w:val="006E41BF"/>
    <w:rsid w:val="006E4FBA"/>
    <w:rsid w:val="006E5207"/>
    <w:rsid w:val="006E687D"/>
    <w:rsid w:val="006E6B72"/>
    <w:rsid w:val="006E736A"/>
    <w:rsid w:val="006E7D16"/>
    <w:rsid w:val="006F1331"/>
    <w:rsid w:val="006F15F4"/>
    <w:rsid w:val="006F19F3"/>
    <w:rsid w:val="006F19FB"/>
    <w:rsid w:val="006F2637"/>
    <w:rsid w:val="006F29E5"/>
    <w:rsid w:val="006F2B1B"/>
    <w:rsid w:val="006F3096"/>
    <w:rsid w:val="006F350B"/>
    <w:rsid w:val="006F3680"/>
    <w:rsid w:val="006F3796"/>
    <w:rsid w:val="006F4DC1"/>
    <w:rsid w:val="006F520A"/>
    <w:rsid w:val="006F54B2"/>
    <w:rsid w:val="006F5C70"/>
    <w:rsid w:val="006F5FB8"/>
    <w:rsid w:val="006F6378"/>
    <w:rsid w:val="006F6909"/>
    <w:rsid w:val="006F6A20"/>
    <w:rsid w:val="006F6AF1"/>
    <w:rsid w:val="006F727D"/>
    <w:rsid w:val="006F771C"/>
    <w:rsid w:val="0070027D"/>
    <w:rsid w:val="00700875"/>
    <w:rsid w:val="00700908"/>
    <w:rsid w:val="007017A0"/>
    <w:rsid w:val="00701AA3"/>
    <w:rsid w:val="007024EC"/>
    <w:rsid w:val="00702A8B"/>
    <w:rsid w:val="00703010"/>
    <w:rsid w:val="007035D0"/>
    <w:rsid w:val="00703D5B"/>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969"/>
    <w:rsid w:val="007122A4"/>
    <w:rsid w:val="00712B4B"/>
    <w:rsid w:val="00712C40"/>
    <w:rsid w:val="00713352"/>
    <w:rsid w:val="00713978"/>
    <w:rsid w:val="00713B2F"/>
    <w:rsid w:val="007146DF"/>
    <w:rsid w:val="007149C5"/>
    <w:rsid w:val="0071501B"/>
    <w:rsid w:val="00715E32"/>
    <w:rsid w:val="007162D1"/>
    <w:rsid w:val="00716463"/>
    <w:rsid w:val="00716A3E"/>
    <w:rsid w:val="00716C1F"/>
    <w:rsid w:val="0071706E"/>
    <w:rsid w:val="00720326"/>
    <w:rsid w:val="007211BD"/>
    <w:rsid w:val="00721203"/>
    <w:rsid w:val="00723618"/>
    <w:rsid w:val="00723776"/>
    <w:rsid w:val="0072408E"/>
    <w:rsid w:val="007243BB"/>
    <w:rsid w:val="00724DCF"/>
    <w:rsid w:val="00725502"/>
    <w:rsid w:val="00725767"/>
    <w:rsid w:val="00726E50"/>
    <w:rsid w:val="00727292"/>
    <w:rsid w:val="00727BF7"/>
    <w:rsid w:val="00727C25"/>
    <w:rsid w:val="00730541"/>
    <w:rsid w:val="007307D7"/>
    <w:rsid w:val="0073082C"/>
    <w:rsid w:val="00730DF3"/>
    <w:rsid w:val="007313F5"/>
    <w:rsid w:val="00731832"/>
    <w:rsid w:val="00731B55"/>
    <w:rsid w:val="00732302"/>
    <w:rsid w:val="00733566"/>
    <w:rsid w:val="0073407C"/>
    <w:rsid w:val="00734203"/>
    <w:rsid w:val="00735293"/>
    <w:rsid w:val="007355C9"/>
    <w:rsid w:val="007356AD"/>
    <w:rsid w:val="00735E1C"/>
    <w:rsid w:val="00736DBD"/>
    <w:rsid w:val="00740950"/>
    <w:rsid w:val="007409C2"/>
    <w:rsid w:val="00740C3D"/>
    <w:rsid w:val="00740CCF"/>
    <w:rsid w:val="00741378"/>
    <w:rsid w:val="00742560"/>
    <w:rsid w:val="00742F6A"/>
    <w:rsid w:val="00743516"/>
    <w:rsid w:val="007435A0"/>
    <w:rsid w:val="007446E8"/>
    <w:rsid w:val="007451AD"/>
    <w:rsid w:val="00746C83"/>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A64"/>
    <w:rsid w:val="00760503"/>
    <w:rsid w:val="00760C21"/>
    <w:rsid w:val="0076183C"/>
    <w:rsid w:val="00761AAC"/>
    <w:rsid w:val="00761C9B"/>
    <w:rsid w:val="00762030"/>
    <w:rsid w:val="0076219E"/>
    <w:rsid w:val="00762200"/>
    <w:rsid w:val="007626A3"/>
    <w:rsid w:val="00762702"/>
    <w:rsid w:val="007628A5"/>
    <w:rsid w:val="00762A29"/>
    <w:rsid w:val="00762D4C"/>
    <w:rsid w:val="00762FCD"/>
    <w:rsid w:val="0076327D"/>
    <w:rsid w:val="007636DE"/>
    <w:rsid w:val="00764122"/>
    <w:rsid w:val="007644B4"/>
    <w:rsid w:val="0076467F"/>
    <w:rsid w:val="00764B5C"/>
    <w:rsid w:val="00764C00"/>
    <w:rsid w:val="00764C0B"/>
    <w:rsid w:val="00765122"/>
    <w:rsid w:val="00765214"/>
    <w:rsid w:val="00765586"/>
    <w:rsid w:val="007657D4"/>
    <w:rsid w:val="0076590F"/>
    <w:rsid w:val="007661FF"/>
    <w:rsid w:val="00766527"/>
    <w:rsid w:val="00766864"/>
    <w:rsid w:val="0076743C"/>
    <w:rsid w:val="00767745"/>
    <w:rsid w:val="00767D1B"/>
    <w:rsid w:val="007702F4"/>
    <w:rsid w:val="00770436"/>
    <w:rsid w:val="007707FC"/>
    <w:rsid w:val="00770BE3"/>
    <w:rsid w:val="00770E54"/>
    <w:rsid w:val="007711CC"/>
    <w:rsid w:val="0077136F"/>
    <w:rsid w:val="0077176E"/>
    <w:rsid w:val="0077177A"/>
    <w:rsid w:val="00771C4E"/>
    <w:rsid w:val="00771C84"/>
    <w:rsid w:val="00771CCE"/>
    <w:rsid w:val="007728A8"/>
    <w:rsid w:val="00772923"/>
    <w:rsid w:val="00772957"/>
    <w:rsid w:val="00772BA2"/>
    <w:rsid w:val="00772F23"/>
    <w:rsid w:val="007733D2"/>
    <w:rsid w:val="00773A37"/>
    <w:rsid w:val="0077455C"/>
    <w:rsid w:val="007746DD"/>
    <w:rsid w:val="00775013"/>
    <w:rsid w:val="00775365"/>
    <w:rsid w:val="007757DB"/>
    <w:rsid w:val="00776129"/>
    <w:rsid w:val="0077661F"/>
    <w:rsid w:val="00776AF5"/>
    <w:rsid w:val="00777A27"/>
    <w:rsid w:val="00777CEB"/>
    <w:rsid w:val="00781A15"/>
    <w:rsid w:val="0078206C"/>
    <w:rsid w:val="00782816"/>
    <w:rsid w:val="007833DF"/>
    <w:rsid w:val="007837BD"/>
    <w:rsid w:val="0078441D"/>
    <w:rsid w:val="007845AA"/>
    <w:rsid w:val="007848DE"/>
    <w:rsid w:val="0078490C"/>
    <w:rsid w:val="0078497C"/>
    <w:rsid w:val="00784D21"/>
    <w:rsid w:val="00784ECF"/>
    <w:rsid w:val="007851BF"/>
    <w:rsid w:val="00785A76"/>
    <w:rsid w:val="00786204"/>
    <w:rsid w:val="007867B5"/>
    <w:rsid w:val="00786B4D"/>
    <w:rsid w:val="00786B5E"/>
    <w:rsid w:val="00786F05"/>
    <w:rsid w:val="00787334"/>
    <w:rsid w:val="007876E1"/>
    <w:rsid w:val="00787852"/>
    <w:rsid w:val="0079029F"/>
    <w:rsid w:val="007904D7"/>
    <w:rsid w:val="00790AA2"/>
    <w:rsid w:val="0079105B"/>
    <w:rsid w:val="007912E5"/>
    <w:rsid w:val="007915BC"/>
    <w:rsid w:val="007917EE"/>
    <w:rsid w:val="00793324"/>
    <w:rsid w:val="00793455"/>
    <w:rsid w:val="007935D9"/>
    <w:rsid w:val="007940C9"/>
    <w:rsid w:val="0079475D"/>
    <w:rsid w:val="00794AA5"/>
    <w:rsid w:val="00794F43"/>
    <w:rsid w:val="00795947"/>
    <w:rsid w:val="00795E63"/>
    <w:rsid w:val="007967AF"/>
    <w:rsid w:val="007967FA"/>
    <w:rsid w:val="00797054"/>
    <w:rsid w:val="0079712F"/>
    <w:rsid w:val="00797E7A"/>
    <w:rsid w:val="007A0206"/>
    <w:rsid w:val="007A091A"/>
    <w:rsid w:val="007A0EA6"/>
    <w:rsid w:val="007A10AB"/>
    <w:rsid w:val="007A14BC"/>
    <w:rsid w:val="007A19B0"/>
    <w:rsid w:val="007A2D9E"/>
    <w:rsid w:val="007A3174"/>
    <w:rsid w:val="007A41AC"/>
    <w:rsid w:val="007A4B0D"/>
    <w:rsid w:val="007A4D76"/>
    <w:rsid w:val="007A4DF9"/>
    <w:rsid w:val="007A5B84"/>
    <w:rsid w:val="007A6594"/>
    <w:rsid w:val="007A6BFF"/>
    <w:rsid w:val="007A7095"/>
    <w:rsid w:val="007A738D"/>
    <w:rsid w:val="007A7A8F"/>
    <w:rsid w:val="007B0381"/>
    <w:rsid w:val="007B0ACE"/>
    <w:rsid w:val="007B0F3D"/>
    <w:rsid w:val="007B148D"/>
    <w:rsid w:val="007B1751"/>
    <w:rsid w:val="007B18C8"/>
    <w:rsid w:val="007B1A33"/>
    <w:rsid w:val="007B1D4F"/>
    <w:rsid w:val="007B1EBB"/>
    <w:rsid w:val="007B22A6"/>
    <w:rsid w:val="007B2552"/>
    <w:rsid w:val="007B28DE"/>
    <w:rsid w:val="007B3712"/>
    <w:rsid w:val="007B4231"/>
    <w:rsid w:val="007B43D6"/>
    <w:rsid w:val="007B58AF"/>
    <w:rsid w:val="007B634E"/>
    <w:rsid w:val="007B6ADE"/>
    <w:rsid w:val="007B71C2"/>
    <w:rsid w:val="007B739D"/>
    <w:rsid w:val="007B7A5F"/>
    <w:rsid w:val="007C007D"/>
    <w:rsid w:val="007C241C"/>
    <w:rsid w:val="007C273E"/>
    <w:rsid w:val="007C29C7"/>
    <w:rsid w:val="007C2BD2"/>
    <w:rsid w:val="007C2EEB"/>
    <w:rsid w:val="007C3016"/>
    <w:rsid w:val="007C35A3"/>
    <w:rsid w:val="007C36BE"/>
    <w:rsid w:val="007C373D"/>
    <w:rsid w:val="007C4E4F"/>
    <w:rsid w:val="007C5EFA"/>
    <w:rsid w:val="007C62E1"/>
    <w:rsid w:val="007C63B1"/>
    <w:rsid w:val="007D0145"/>
    <w:rsid w:val="007D03A2"/>
    <w:rsid w:val="007D242A"/>
    <w:rsid w:val="007D38C8"/>
    <w:rsid w:val="007D3BDB"/>
    <w:rsid w:val="007D4770"/>
    <w:rsid w:val="007D4B49"/>
    <w:rsid w:val="007D4B51"/>
    <w:rsid w:val="007D4B5F"/>
    <w:rsid w:val="007D4F4B"/>
    <w:rsid w:val="007D526A"/>
    <w:rsid w:val="007D53ED"/>
    <w:rsid w:val="007D6001"/>
    <w:rsid w:val="007D6561"/>
    <w:rsid w:val="007D66D6"/>
    <w:rsid w:val="007D66DA"/>
    <w:rsid w:val="007D68BD"/>
    <w:rsid w:val="007D6E1B"/>
    <w:rsid w:val="007D7049"/>
    <w:rsid w:val="007D7CE8"/>
    <w:rsid w:val="007D7F94"/>
    <w:rsid w:val="007E03B1"/>
    <w:rsid w:val="007E05CE"/>
    <w:rsid w:val="007E0D98"/>
    <w:rsid w:val="007E0E48"/>
    <w:rsid w:val="007E115C"/>
    <w:rsid w:val="007E12CB"/>
    <w:rsid w:val="007E1476"/>
    <w:rsid w:val="007E176F"/>
    <w:rsid w:val="007E1B76"/>
    <w:rsid w:val="007E1C1E"/>
    <w:rsid w:val="007E219A"/>
    <w:rsid w:val="007E280D"/>
    <w:rsid w:val="007E29C8"/>
    <w:rsid w:val="007E2B4A"/>
    <w:rsid w:val="007E31B6"/>
    <w:rsid w:val="007E37BF"/>
    <w:rsid w:val="007E3941"/>
    <w:rsid w:val="007E3E8A"/>
    <w:rsid w:val="007E49FD"/>
    <w:rsid w:val="007E4DF5"/>
    <w:rsid w:val="007E50FC"/>
    <w:rsid w:val="007E52B1"/>
    <w:rsid w:val="007E5437"/>
    <w:rsid w:val="007E551F"/>
    <w:rsid w:val="007E56ED"/>
    <w:rsid w:val="007E5897"/>
    <w:rsid w:val="007E6400"/>
    <w:rsid w:val="007E6593"/>
    <w:rsid w:val="007E6C27"/>
    <w:rsid w:val="007E6C89"/>
    <w:rsid w:val="007E6E09"/>
    <w:rsid w:val="007E7405"/>
    <w:rsid w:val="007E753B"/>
    <w:rsid w:val="007F08DB"/>
    <w:rsid w:val="007F08ED"/>
    <w:rsid w:val="007F0A9A"/>
    <w:rsid w:val="007F0F43"/>
    <w:rsid w:val="007F1101"/>
    <w:rsid w:val="007F1978"/>
    <w:rsid w:val="007F2175"/>
    <w:rsid w:val="007F2555"/>
    <w:rsid w:val="007F2568"/>
    <w:rsid w:val="007F2AA4"/>
    <w:rsid w:val="007F2CB1"/>
    <w:rsid w:val="007F2DB2"/>
    <w:rsid w:val="007F2F9B"/>
    <w:rsid w:val="007F3D67"/>
    <w:rsid w:val="007F4171"/>
    <w:rsid w:val="007F4286"/>
    <w:rsid w:val="007F4A8D"/>
    <w:rsid w:val="007F533D"/>
    <w:rsid w:val="007F559A"/>
    <w:rsid w:val="007F65F8"/>
    <w:rsid w:val="007F6EDB"/>
    <w:rsid w:val="007F70AC"/>
    <w:rsid w:val="007F78C7"/>
    <w:rsid w:val="007F7B3D"/>
    <w:rsid w:val="007F7B5E"/>
    <w:rsid w:val="007F7DBF"/>
    <w:rsid w:val="00800109"/>
    <w:rsid w:val="00800416"/>
    <w:rsid w:val="008006BA"/>
    <w:rsid w:val="00800953"/>
    <w:rsid w:val="00801CE3"/>
    <w:rsid w:val="00802143"/>
    <w:rsid w:val="00802C20"/>
    <w:rsid w:val="00802DCC"/>
    <w:rsid w:val="0080324D"/>
    <w:rsid w:val="008036EC"/>
    <w:rsid w:val="00803A23"/>
    <w:rsid w:val="00803D20"/>
    <w:rsid w:val="00804844"/>
    <w:rsid w:val="0080604B"/>
    <w:rsid w:val="00806AAC"/>
    <w:rsid w:val="00806DAC"/>
    <w:rsid w:val="00807816"/>
    <w:rsid w:val="00807C00"/>
    <w:rsid w:val="00807F96"/>
    <w:rsid w:val="00810032"/>
    <w:rsid w:val="00810912"/>
    <w:rsid w:val="00810C5E"/>
    <w:rsid w:val="00810C84"/>
    <w:rsid w:val="008112A0"/>
    <w:rsid w:val="008113C7"/>
    <w:rsid w:val="00811791"/>
    <w:rsid w:val="00811A99"/>
    <w:rsid w:val="008129B0"/>
    <w:rsid w:val="00814563"/>
    <w:rsid w:val="00814977"/>
    <w:rsid w:val="00814E39"/>
    <w:rsid w:val="0081533C"/>
    <w:rsid w:val="0081696D"/>
    <w:rsid w:val="0081699E"/>
    <w:rsid w:val="00816E01"/>
    <w:rsid w:val="008173D0"/>
    <w:rsid w:val="00817E6E"/>
    <w:rsid w:val="00820241"/>
    <w:rsid w:val="008204CD"/>
    <w:rsid w:val="008209F4"/>
    <w:rsid w:val="00820B26"/>
    <w:rsid w:val="00820E3F"/>
    <w:rsid w:val="0082100A"/>
    <w:rsid w:val="0082143B"/>
    <w:rsid w:val="0082159A"/>
    <w:rsid w:val="00821957"/>
    <w:rsid w:val="00822107"/>
    <w:rsid w:val="0082269E"/>
    <w:rsid w:val="00822F28"/>
    <w:rsid w:val="00823235"/>
    <w:rsid w:val="00823AD4"/>
    <w:rsid w:val="008249F1"/>
    <w:rsid w:val="00824AF2"/>
    <w:rsid w:val="0082506B"/>
    <w:rsid w:val="00825902"/>
    <w:rsid w:val="00825B8D"/>
    <w:rsid w:val="00826158"/>
    <w:rsid w:val="0082654B"/>
    <w:rsid w:val="00826686"/>
    <w:rsid w:val="00827C60"/>
    <w:rsid w:val="00827DB2"/>
    <w:rsid w:val="00827DED"/>
    <w:rsid w:val="00827F74"/>
    <w:rsid w:val="00830B6D"/>
    <w:rsid w:val="00832530"/>
    <w:rsid w:val="008325B4"/>
    <w:rsid w:val="0083277B"/>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F6C"/>
    <w:rsid w:val="00843E4C"/>
    <w:rsid w:val="00844111"/>
    <w:rsid w:val="008441A7"/>
    <w:rsid w:val="008448DC"/>
    <w:rsid w:val="008449A9"/>
    <w:rsid w:val="00844E51"/>
    <w:rsid w:val="00844F74"/>
    <w:rsid w:val="00845725"/>
    <w:rsid w:val="00845E64"/>
    <w:rsid w:val="00846112"/>
    <w:rsid w:val="00846339"/>
    <w:rsid w:val="00846382"/>
    <w:rsid w:val="008463F0"/>
    <w:rsid w:val="008506EC"/>
    <w:rsid w:val="00850908"/>
    <w:rsid w:val="00850F57"/>
    <w:rsid w:val="00850FE8"/>
    <w:rsid w:val="0085190E"/>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D98"/>
    <w:rsid w:val="00857358"/>
    <w:rsid w:val="008600C7"/>
    <w:rsid w:val="0086030E"/>
    <w:rsid w:val="00860C5C"/>
    <w:rsid w:val="008611D8"/>
    <w:rsid w:val="0086150E"/>
    <w:rsid w:val="008617D0"/>
    <w:rsid w:val="008619AD"/>
    <w:rsid w:val="00861A38"/>
    <w:rsid w:val="00861A60"/>
    <w:rsid w:val="00861D4E"/>
    <w:rsid w:val="00861F2A"/>
    <w:rsid w:val="00862357"/>
    <w:rsid w:val="008623CD"/>
    <w:rsid w:val="008626AC"/>
    <w:rsid w:val="00862D02"/>
    <w:rsid w:val="008637B9"/>
    <w:rsid w:val="00863EB4"/>
    <w:rsid w:val="00864194"/>
    <w:rsid w:val="00864212"/>
    <w:rsid w:val="0086427B"/>
    <w:rsid w:val="00864802"/>
    <w:rsid w:val="00864B5D"/>
    <w:rsid w:val="00864B9C"/>
    <w:rsid w:val="008656F3"/>
    <w:rsid w:val="0086592D"/>
    <w:rsid w:val="00865F5A"/>
    <w:rsid w:val="00866278"/>
    <w:rsid w:val="00866924"/>
    <w:rsid w:val="00866B39"/>
    <w:rsid w:val="00866BDB"/>
    <w:rsid w:val="00867368"/>
    <w:rsid w:val="0086762E"/>
    <w:rsid w:val="00867E60"/>
    <w:rsid w:val="008700BE"/>
    <w:rsid w:val="008702A6"/>
    <w:rsid w:val="00870399"/>
    <w:rsid w:val="008705BD"/>
    <w:rsid w:val="00870FA1"/>
    <w:rsid w:val="008711EC"/>
    <w:rsid w:val="008718FE"/>
    <w:rsid w:val="00872946"/>
    <w:rsid w:val="00873B7F"/>
    <w:rsid w:val="00873BA5"/>
    <w:rsid w:val="00874349"/>
    <w:rsid w:val="00874601"/>
    <w:rsid w:val="00874A3E"/>
    <w:rsid w:val="00875108"/>
    <w:rsid w:val="00875333"/>
    <w:rsid w:val="00875AA0"/>
    <w:rsid w:val="00875DC8"/>
    <w:rsid w:val="00876421"/>
    <w:rsid w:val="00876DC6"/>
    <w:rsid w:val="008771CE"/>
    <w:rsid w:val="0087768B"/>
    <w:rsid w:val="00877F3E"/>
    <w:rsid w:val="0088040D"/>
    <w:rsid w:val="00880904"/>
    <w:rsid w:val="00880FB6"/>
    <w:rsid w:val="008811F1"/>
    <w:rsid w:val="00881876"/>
    <w:rsid w:val="00881DA8"/>
    <w:rsid w:val="00881E01"/>
    <w:rsid w:val="008828F8"/>
    <w:rsid w:val="0088296F"/>
    <w:rsid w:val="00882BEB"/>
    <w:rsid w:val="008834B4"/>
    <w:rsid w:val="008835EE"/>
    <w:rsid w:val="0088362F"/>
    <w:rsid w:val="008837C5"/>
    <w:rsid w:val="00883928"/>
    <w:rsid w:val="00883DDE"/>
    <w:rsid w:val="00883F46"/>
    <w:rsid w:val="00884D0B"/>
    <w:rsid w:val="00884E03"/>
    <w:rsid w:val="00885890"/>
    <w:rsid w:val="00885D0A"/>
    <w:rsid w:val="00886CB4"/>
    <w:rsid w:val="00886CB6"/>
    <w:rsid w:val="008900BC"/>
    <w:rsid w:val="008902EF"/>
    <w:rsid w:val="008903A0"/>
    <w:rsid w:val="00890C5D"/>
    <w:rsid w:val="00891470"/>
    <w:rsid w:val="008914B9"/>
    <w:rsid w:val="00891D73"/>
    <w:rsid w:val="00892054"/>
    <w:rsid w:val="0089211A"/>
    <w:rsid w:val="00892395"/>
    <w:rsid w:val="00892A44"/>
    <w:rsid w:val="008931DD"/>
    <w:rsid w:val="0089352B"/>
    <w:rsid w:val="0089372A"/>
    <w:rsid w:val="008944C4"/>
    <w:rsid w:val="00894636"/>
    <w:rsid w:val="00894DED"/>
    <w:rsid w:val="008955AC"/>
    <w:rsid w:val="00895BB3"/>
    <w:rsid w:val="00896FE4"/>
    <w:rsid w:val="008974B8"/>
    <w:rsid w:val="0089780F"/>
    <w:rsid w:val="00897AEC"/>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61C1"/>
    <w:rsid w:val="008A6963"/>
    <w:rsid w:val="008A6AE7"/>
    <w:rsid w:val="008A734A"/>
    <w:rsid w:val="008A745C"/>
    <w:rsid w:val="008A77A7"/>
    <w:rsid w:val="008B0681"/>
    <w:rsid w:val="008B0D7D"/>
    <w:rsid w:val="008B0FFD"/>
    <w:rsid w:val="008B1A4D"/>
    <w:rsid w:val="008B2B4F"/>
    <w:rsid w:val="008B2C0F"/>
    <w:rsid w:val="008B344A"/>
    <w:rsid w:val="008B3EE8"/>
    <w:rsid w:val="008B3F34"/>
    <w:rsid w:val="008B4059"/>
    <w:rsid w:val="008B44B2"/>
    <w:rsid w:val="008B4CFD"/>
    <w:rsid w:val="008B6504"/>
    <w:rsid w:val="008B672C"/>
    <w:rsid w:val="008B6B9E"/>
    <w:rsid w:val="008B6D00"/>
    <w:rsid w:val="008B79CA"/>
    <w:rsid w:val="008C01E0"/>
    <w:rsid w:val="008C0794"/>
    <w:rsid w:val="008C0B4F"/>
    <w:rsid w:val="008C10D0"/>
    <w:rsid w:val="008C1530"/>
    <w:rsid w:val="008C1648"/>
    <w:rsid w:val="008C1925"/>
    <w:rsid w:val="008C1973"/>
    <w:rsid w:val="008C1C78"/>
    <w:rsid w:val="008C1E80"/>
    <w:rsid w:val="008C1FC9"/>
    <w:rsid w:val="008C2704"/>
    <w:rsid w:val="008C27C2"/>
    <w:rsid w:val="008C2E26"/>
    <w:rsid w:val="008C2E8D"/>
    <w:rsid w:val="008C401B"/>
    <w:rsid w:val="008C434D"/>
    <w:rsid w:val="008C52BE"/>
    <w:rsid w:val="008C56B9"/>
    <w:rsid w:val="008C5C35"/>
    <w:rsid w:val="008C5D16"/>
    <w:rsid w:val="008C6592"/>
    <w:rsid w:val="008C65F4"/>
    <w:rsid w:val="008C68EA"/>
    <w:rsid w:val="008C756E"/>
    <w:rsid w:val="008C789D"/>
    <w:rsid w:val="008D05E0"/>
    <w:rsid w:val="008D07DC"/>
    <w:rsid w:val="008D1662"/>
    <w:rsid w:val="008D1DB7"/>
    <w:rsid w:val="008D1EB9"/>
    <w:rsid w:val="008D2600"/>
    <w:rsid w:val="008D2764"/>
    <w:rsid w:val="008D2841"/>
    <w:rsid w:val="008D33B9"/>
    <w:rsid w:val="008D3B9B"/>
    <w:rsid w:val="008D3CB7"/>
    <w:rsid w:val="008D4279"/>
    <w:rsid w:val="008D514F"/>
    <w:rsid w:val="008D6209"/>
    <w:rsid w:val="008D624B"/>
    <w:rsid w:val="008D6BE2"/>
    <w:rsid w:val="008D70BC"/>
    <w:rsid w:val="008D721C"/>
    <w:rsid w:val="008D77F5"/>
    <w:rsid w:val="008D7E55"/>
    <w:rsid w:val="008E0394"/>
    <w:rsid w:val="008E061C"/>
    <w:rsid w:val="008E0AC0"/>
    <w:rsid w:val="008E0D4B"/>
    <w:rsid w:val="008E0F71"/>
    <w:rsid w:val="008E18DF"/>
    <w:rsid w:val="008E2004"/>
    <w:rsid w:val="008E221A"/>
    <w:rsid w:val="008E24D2"/>
    <w:rsid w:val="008E2773"/>
    <w:rsid w:val="008E28D8"/>
    <w:rsid w:val="008E2B31"/>
    <w:rsid w:val="008E3634"/>
    <w:rsid w:val="008E36B7"/>
    <w:rsid w:val="008E3CDE"/>
    <w:rsid w:val="008E3FFE"/>
    <w:rsid w:val="008E459E"/>
    <w:rsid w:val="008E4809"/>
    <w:rsid w:val="008E4D40"/>
    <w:rsid w:val="008E5218"/>
    <w:rsid w:val="008E5287"/>
    <w:rsid w:val="008E5817"/>
    <w:rsid w:val="008E5F8A"/>
    <w:rsid w:val="008E60BE"/>
    <w:rsid w:val="008E63C9"/>
    <w:rsid w:val="008E647E"/>
    <w:rsid w:val="008E6510"/>
    <w:rsid w:val="008E667A"/>
    <w:rsid w:val="008E692A"/>
    <w:rsid w:val="008E6B74"/>
    <w:rsid w:val="008E6C3E"/>
    <w:rsid w:val="008E70F4"/>
    <w:rsid w:val="008E7D7B"/>
    <w:rsid w:val="008F0FAF"/>
    <w:rsid w:val="008F147F"/>
    <w:rsid w:val="008F1E1A"/>
    <w:rsid w:val="008F23C8"/>
    <w:rsid w:val="008F365E"/>
    <w:rsid w:val="008F3B5E"/>
    <w:rsid w:val="008F3F8F"/>
    <w:rsid w:val="008F4621"/>
    <w:rsid w:val="008F46CD"/>
    <w:rsid w:val="008F489A"/>
    <w:rsid w:val="008F5289"/>
    <w:rsid w:val="008F6480"/>
    <w:rsid w:val="008F6B9D"/>
    <w:rsid w:val="008F7740"/>
    <w:rsid w:val="008F78E2"/>
    <w:rsid w:val="0090046D"/>
    <w:rsid w:val="00900BAC"/>
    <w:rsid w:val="00900CA2"/>
    <w:rsid w:val="00900E13"/>
    <w:rsid w:val="00900E48"/>
    <w:rsid w:val="0090143A"/>
    <w:rsid w:val="00901824"/>
    <w:rsid w:val="00901AB2"/>
    <w:rsid w:val="00903653"/>
    <w:rsid w:val="00903C87"/>
    <w:rsid w:val="00903CD7"/>
    <w:rsid w:val="0090420A"/>
    <w:rsid w:val="009047F5"/>
    <w:rsid w:val="00904CED"/>
    <w:rsid w:val="0090508C"/>
    <w:rsid w:val="00907147"/>
    <w:rsid w:val="00907217"/>
    <w:rsid w:val="009075BE"/>
    <w:rsid w:val="0090776D"/>
    <w:rsid w:val="00907BD3"/>
    <w:rsid w:val="00907E47"/>
    <w:rsid w:val="00910047"/>
    <w:rsid w:val="009100B5"/>
    <w:rsid w:val="00910A52"/>
    <w:rsid w:val="00911479"/>
    <w:rsid w:val="009117FB"/>
    <w:rsid w:val="0091217A"/>
    <w:rsid w:val="009129C6"/>
    <w:rsid w:val="00912EB5"/>
    <w:rsid w:val="0091310A"/>
    <w:rsid w:val="00913B0B"/>
    <w:rsid w:val="0091484D"/>
    <w:rsid w:val="00914D67"/>
    <w:rsid w:val="00914D9E"/>
    <w:rsid w:val="00914F44"/>
    <w:rsid w:val="00915718"/>
    <w:rsid w:val="00915E20"/>
    <w:rsid w:val="00915F9C"/>
    <w:rsid w:val="0091601D"/>
    <w:rsid w:val="009166EA"/>
    <w:rsid w:val="00917073"/>
    <w:rsid w:val="00917478"/>
    <w:rsid w:val="0092038D"/>
    <w:rsid w:val="009205C3"/>
    <w:rsid w:val="00920FD7"/>
    <w:rsid w:val="009217EC"/>
    <w:rsid w:val="00921C41"/>
    <w:rsid w:val="00921E96"/>
    <w:rsid w:val="00923682"/>
    <w:rsid w:val="00923C81"/>
    <w:rsid w:val="00923E44"/>
    <w:rsid w:val="0092435C"/>
    <w:rsid w:val="00924412"/>
    <w:rsid w:val="009249C6"/>
    <w:rsid w:val="009251B5"/>
    <w:rsid w:val="00925413"/>
    <w:rsid w:val="0092575D"/>
    <w:rsid w:val="0092583A"/>
    <w:rsid w:val="00925E71"/>
    <w:rsid w:val="00925F9A"/>
    <w:rsid w:val="00927C70"/>
    <w:rsid w:val="00930745"/>
    <w:rsid w:val="0093100A"/>
    <w:rsid w:val="009310B9"/>
    <w:rsid w:val="009311DC"/>
    <w:rsid w:val="00931840"/>
    <w:rsid w:val="00931991"/>
    <w:rsid w:val="00931CB1"/>
    <w:rsid w:val="00932131"/>
    <w:rsid w:val="009324DF"/>
    <w:rsid w:val="00932F9F"/>
    <w:rsid w:val="0093329F"/>
    <w:rsid w:val="009333E2"/>
    <w:rsid w:val="009337A2"/>
    <w:rsid w:val="009337C1"/>
    <w:rsid w:val="00934505"/>
    <w:rsid w:val="0093461F"/>
    <w:rsid w:val="0093482A"/>
    <w:rsid w:val="00936C3C"/>
    <w:rsid w:val="00936EE8"/>
    <w:rsid w:val="00936FEF"/>
    <w:rsid w:val="00937043"/>
    <w:rsid w:val="0093767A"/>
    <w:rsid w:val="0094095F"/>
    <w:rsid w:val="00940A2B"/>
    <w:rsid w:val="00940C40"/>
    <w:rsid w:val="0094391C"/>
    <w:rsid w:val="00943A54"/>
    <w:rsid w:val="00943B65"/>
    <w:rsid w:val="00943E42"/>
    <w:rsid w:val="00943F97"/>
    <w:rsid w:val="009440D2"/>
    <w:rsid w:val="009445D3"/>
    <w:rsid w:val="00944E43"/>
    <w:rsid w:val="00945154"/>
    <w:rsid w:val="0094542A"/>
    <w:rsid w:val="00945729"/>
    <w:rsid w:val="009458E8"/>
    <w:rsid w:val="00945A8F"/>
    <w:rsid w:val="00945D1D"/>
    <w:rsid w:val="00946083"/>
    <w:rsid w:val="009472F5"/>
    <w:rsid w:val="00947C70"/>
    <w:rsid w:val="00947E9D"/>
    <w:rsid w:val="0095142E"/>
    <w:rsid w:val="00951926"/>
    <w:rsid w:val="00951CD7"/>
    <w:rsid w:val="00952206"/>
    <w:rsid w:val="00952550"/>
    <w:rsid w:val="00952BC2"/>
    <w:rsid w:val="009531D8"/>
    <w:rsid w:val="00953500"/>
    <w:rsid w:val="009535CC"/>
    <w:rsid w:val="00953C45"/>
    <w:rsid w:val="00954243"/>
    <w:rsid w:val="0095459A"/>
    <w:rsid w:val="009549E1"/>
    <w:rsid w:val="00955166"/>
    <w:rsid w:val="0095599E"/>
    <w:rsid w:val="00955A8A"/>
    <w:rsid w:val="009568BA"/>
    <w:rsid w:val="00956F98"/>
    <w:rsid w:val="00956F9F"/>
    <w:rsid w:val="00957E24"/>
    <w:rsid w:val="00961E49"/>
    <w:rsid w:val="0096290F"/>
    <w:rsid w:val="00962B92"/>
    <w:rsid w:val="00963132"/>
    <w:rsid w:val="00963DD2"/>
    <w:rsid w:val="0096400D"/>
    <w:rsid w:val="00964021"/>
    <w:rsid w:val="00964078"/>
    <w:rsid w:val="00964487"/>
    <w:rsid w:val="009645BC"/>
    <w:rsid w:val="0096490F"/>
    <w:rsid w:val="009653AC"/>
    <w:rsid w:val="00965F5F"/>
    <w:rsid w:val="009663C8"/>
    <w:rsid w:val="00966600"/>
    <w:rsid w:val="009671B2"/>
    <w:rsid w:val="009671D9"/>
    <w:rsid w:val="00967276"/>
    <w:rsid w:val="00967A5F"/>
    <w:rsid w:val="00967B5B"/>
    <w:rsid w:val="00967CD7"/>
    <w:rsid w:val="00967D1D"/>
    <w:rsid w:val="00970359"/>
    <w:rsid w:val="00970543"/>
    <w:rsid w:val="009706AA"/>
    <w:rsid w:val="009707CE"/>
    <w:rsid w:val="009710BE"/>
    <w:rsid w:val="00971352"/>
    <w:rsid w:val="0097148C"/>
    <w:rsid w:val="00971831"/>
    <w:rsid w:val="00971EBB"/>
    <w:rsid w:val="009726D1"/>
    <w:rsid w:val="0097292D"/>
    <w:rsid w:val="00972A8B"/>
    <w:rsid w:val="0097312B"/>
    <w:rsid w:val="00974DD3"/>
    <w:rsid w:val="00975AE8"/>
    <w:rsid w:val="00975C92"/>
    <w:rsid w:val="00975E5B"/>
    <w:rsid w:val="00975F51"/>
    <w:rsid w:val="00976679"/>
    <w:rsid w:val="00976CD6"/>
    <w:rsid w:val="00976D48"/>
    <w:rsid w:val="00976F22"/>
    <w:rsid w:val="00976FF9"/>
    <w:rsid w:val="009779B1"/>
    <w:rsid w:val="009779F8"/>
    <w:rsid w:val="00977C8F"/>
    <w:rsid w:val="00977F94"/>
    <w:rsid w:val="00977FAE"/>
    <w:rsid w:val="00980A1F"/>
    <w:rsid w:val="00981131"/>
    <w:rsid w:val="0098115E"/>
    <w:rsid w:val="009815DE"/>
    <w:rsid w:val="00982A83"/>
    <w:rsid w:val="00982BD1"/>
    <w:rsid w:val="009832C8"/>
    <w:rsid w:val="00983326"/>
    <w:rsid w:val="009836F9"/>
    <w:rsid w:val="009853B5"/>
    <w:rsid w:val="009863E9"/>
    <w:rsid w:val="0098757B"/>
    <w:rsid w:val="00987D41"/>
    <w:rsid w:val="00987E95"/>
    <w:rsid w:val="0099050D"/>
    <w:rsid w:val="009905C4"/>
    <w:rsid w:val="009918FE"/>
    <w:rsid w:val="00991A04"/>
    <w:rsid w:val="00991EEC"/>
    <w:rsid w:val="00991F31"/>
    <w:rsid w:val="00992E20"/>
    <w:rsid w:val="009935DF"/>
    <w:rsid w:val="009936FC"/>
    <w:rsid w:val="00993925"/>
    <w:rsid w:val="00993977"/>
    <w:rsid w:val="00993A00"/>
    <w:rsid w:val="009969B5"/>
    <w:rsid w:val="00996D2E"/>
    <w:rsid w:val="00997BDB"/>
    <w:rsid w:val="009A05D1"/>
    <w:rsid w:val="009A0628"/>
    <w:rsid w:val="009A09A7"/>
    <w:rsid w:val="009A0C37"/>
    <w:rsid w:val="009A1386"/>
    <w:rsid w:val="009A1FD3"/>
    <w:rsid w:val="009A28AC"/>
    <w:rsid w:val="009A2B14"/>
    <w:rsid w:val="009A319A"/>
    <w:rsid w:val="009A37D9"/>
    <w:rsid w:val="009A3A5B"/>
    <w:rsid w:val="009A3F2A"/>
    <w:rsid w:val="009A467D"/>
    <w:rsid w:val="009A48E0"/>
    <w:rsid w:val="009A4EB8"/>
    <w:rsid w:val="009A56D0"/>
    <w:rsid w:val="009A6F60"/>
    <w:rsid w:val="009A72D4"/>
    <w:rsid w:val="009A73D8"/>
    <w:rsid w:val="009A7FCB"/>
    <w:rsid w:val="009B1707"/>
    <w:rsid w:val="009B1BFA"/>
    <w:rsid w:val="009B1C62"/>
    <w:rsid w:val="009B2794"/>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6291"/>
    <w:rsid w:val="009B659F"/>
    <w:rsid w:val="009B6B8B"/>
    <w:rsid w:val="009B706A"/>
    <w:rsid w:val="009B7404"/>
    <w:rsid w:val="009B786F"/>
    <w:rsid w:val="009C076C"/>
    <w:rsid w:val="009C14A1"/>
    <w:rsid w:val="009C14F7"/>
    <w:rsid w:val="009C3B19"/>
    <w:rsid w:val="009C413A"/>
    <w:rsid w:val="009C4460"/>
    <w:rsid w:val="009C4671"/>
    <w:rsid w:val="009C4706"/>
    <w:rsid w:val="009C472B"/>
    <w:rsid w:val="009C5345"/>
    <w:rsid w:val="009C554D"/>
    <w:rsid w:val="009C5613"/>
    <w:rsid w:val="009D0462"/>
    <w:rsid w:val="009D05C1"/>
    <w:rsid w:val="009D2C16"/>
    <w:rsid w:val="009D36F1"/>
    <w:rsid w:val="009D3BEF"/>
    <w:rsid w:val="009D3D6B"/>
    <w:rsid w:val="009D42D3"/>
    <w:rsid w:val="009D4F56"/>
    <w:rsid w:val="009D5239"/>
    <w:rsid w:val="009D5528"/>
    <w:rsid w:val="009D575F"/>
    <w:rsid w:val="009D59BB"/>
    <w:rsid w:val="009D641E"/>
    <w:rsid w:val="009D7192"/>
    <w:rsid w:val="009D7223"/>
    <w:rsid w:val="009D7EE8"/>
    <w:rsid w:val="009D7F6F"/>
    <w:rsid w:val="009E0E38"/>
    <w:rsid w:val="009E1A35"/>
    <w:rsid w:val="009E1DB4"/>
    <w:rsid w:val="009E2B94"/>
    <w:rsid w:val="009E2D23"/>
    <w:rsid w:val="009E33D4"/>
    <w:rsid w:val="009E3EDF"/>
    <w:rsid w:val="009E4D49"/>
    <w:rsid w:val="009E5096"/>
    <w:rsid w:val="009E688D"/>
    <w:rsid w:val="009E6B67"/>
    <w:rsid w:val="009E6ECF"/>
    <w:rsid w:val="009E6EEF"/>
    <w:rsid w:val="009E6FD1"/>
    <w:rsid w:val="009E7199"/>
    <w:rsid w:val="009E7969"/>
    <w:rsid w:val="009E7C3A"/>
    <w:rsid w:val="009F01BE"/>
    <w:rsid w:val="009F09AA"/>
    <w:rsid w:val="009F1BAE"/>
    <w:rsid w:val="009F1C49"/>
    <w:rsid w:val="009F2AC6"/>
    <w:rsid w:val="009F2BDB"/>
    <w:rsid w:val="009F2C16"/>
    <w:rsid w:val="009F2C1B"/>
    <w:rsid w:val="009F2DF6"/>
    <w:rsid w:val="009F2F78"/>
    <w:rsid w:val="009F2FBD"/>
    <w:rsid w:val="009F3029"/>
    <w:rsid w:val="009F3206"/>
    <w:rsid w:val="009F335C"/>
    <w:rsid w:val="009F5039"/>
    <w:rsid w:val="009F615D"/>
    <w:rsid w:val="009F6F4B"/>
    <w:rsid w:val="009F708C"/>
    <w:rsid w:val="009F7639"/>
    <w:rsid w:val="009F7987"/>
    <w:rsid w:val="00A002B5"/>
    <w:rsid w:val="00A00FBE"/>
    <w:rsid w:val="00A01F4A"/>
    <w:rsid w:val="00A0260C"/>
    <w:rsid w:val="00A0286B"/>
    <w:rsid w:val="00A02AFE"/>
    <w:rsid w:val="00A02EFB"/>
    <w:rsid w:val="00A041B5"/>
    <w:rsid w:val="00A042E4"/>
    <w:rsid w:val="00A04E5D"/>
    <w:rsid w:val="00A04F8C"/>
    <w:rsid w:val="00A05158"/>
    <w:rsid w:val="00A05E3D"/>
    <w:rsid w:val="00A067E8"/>
    <w:rsid w:val="00A07D50"/>
    <w:rsid w:val="00A102AD"/>
    <w:rsid w:val="00A103F3"/>
    <w:rsid w:val="00A103F7"/>
    <w:rsid w:val="00A10873"/>
    <w:rsid w:val="00A11370"/>
    <w:rsid w:val="00A11733"/>
    <w:rsid w:val="00A11A30"/>
    <w:rsid w:val="00A11D81"/>
    <w:rsid w:val="00A123ED"/>
    <w:rsid w:val="00A12DFB"/>
    <w:rsid w:val="00A13AD2"/>
    <w:rsid w:val="00A13BF5"/>
    <w:rsid w:val="00A1428B"/>
    <w:rsid w:val="00A1474E"/>
    <w:rsid w:val="00A14837"/>
    <w:rsid w:val="00A14857"/>
    <w:rsid w:val="00A148C1"/>
    <w:rsid w:val="00A15ADD"/>
    <w:rsid w:val="00A1671F"/>
    <w:rsid w:val="00A16BA6"/>
    <w:rsid w:val="00A16F61"/>
    <w:rsid w:val="00A17E9D"/>
    <w:rsid w:val="00A20815"/>
    <w:rsid w:val="00A20BA8"/>
    <w:rsid w:val="00A2159A"/>
    <w:rsid w:val="00A216F5"/>
    <w:rsid w:val="00A21C98"/>
    <w:rsid w:val="00A21EF7"/>
    <w:rsid w:val="00A2212D"/>
    <w:rsid w:val="00A225E3"/>
    <w:rsid w:val="00A229F8"/>
    <w:rsid w:val="00A23A26"/>
    <w:rsid w:val="00A23A7A"/>
    <w:rsid w:val="00A23FA4"/>
    <w:rsid w:val="00A24A8F"/>
    <w:rsid w:val="00A2568A"/>
    <w:rsid w:val="00A25708"/>
    <w:rsid w:val="00A25BF0"/>
    <w:rsid w:val="00A25C83"/>
    <w:rsid w:val="00A262AA"/>
    <w:rsid w:val="00A26BFA"/>
    <w:rsid w:val="00A26EEA"/>
    <w:rsid w:val="00A277E6"/>
    <w:rsid w:val="00A278E7"/>
    <w:rsid w:val="00A2796B"/>
    <w:rsid w:val="00A300D6"/>
    <w:rsid w:val="00A3026E"/>
    <w:rsid w:val="00A30B1F"/>
    <w:rsid w:val="00A314CE"/>
    <w:rsid w:val="00A31554"/>
    <w:rsid w:val="00A3183D"/>
    <w:rsid w:val="00A31F0B"/>
    <w:rsid w:val="00A32042"/>
    <w:rsid w:val="00A32052"/>
    <w:rsid w:val="00A321B4"/>
    <w:rsid w:val="00A3296A"/>
    <w:rsid w:val="00A331A6"/>
    <w:rsid w:val="00A331B3"/>
    <w:rsid w:val="00A33691"/>
    <w:rsid w:val="00A336AE"/>
    <w:rsid w:val="00A33D3A"/>
    <w:rsid w:val="00A33E01"/>
    <w:rsid w:val="00A34136"/>
    <w:rsid w:val="00A368E8"/>
    <w:rsid w:val="00A36C34"/>
    <w:rsid w:val="00A371C0"/>
    <w:rsid w:val="00A3756D"/>
    <w:rsid w:val="00A376A3"/>
    <w:rsid w:val="00A403A5"/>
    <w:rsid w:val="00A40884"/>
    <w:rsid w:val="00A40AD0"/>
    <w:rsid w:val="00A40AFA"/>
    <w:rsid w:val="00A40E3B"/>
    <w:rsid w:val="00A424B3"/>
    <w:rsid w:val="00A42BEA"/>
    <w:rsid w:val="00A43093"/>
    <w:rsid w:val="00A43786"/>
    <w:rsid w:val="00A43F29"/>
    <w:rsid w:val="00A43F34"/>
    <w:rsid w:val="00A452DC"/>
    <w:rsid w:val="00A4576A"/>
    <w:rsid w:val="00A45AD0"/>
    <w:rsid w:val="00A45EE9"/>
    <w:rsid w:val="00A4667A"/>
    <w:rsid w:val="00A46711"/>
    <w:rsid w:val="00A46FE8"/>
    <w:rsid w:val="00A47564"/>
    <w:rsid w:val="00A47A81"/>
    <w:rsid w:val="00A47BD5"/>
    <w:rsid w:val="00A5010D"/>
    <w:rsid w:val="00A5013C"/>
    <w:rsid w:val="00A5090E"/>
    <w:rsid w:val="00A50F16"/>
    <w:rsid w:val="00A522C1"/>
    <w:rsid w:val="00A5279E"/>
    <w:rsid w:val="00A5283F"/>
    <w:rsid w:val="00A52A66"/>
    <w:rsid w:val="00A5319B"/>
    <w:rsid w:val="00A53774"/>
    <w:rsid w:val="00A53C14"/>
    <w:rsid w:val="00A541C2"/>
    <w:rsid w:val="00A54817"/>
    <w:rsid w:val="00A5526E"/>
    <w:rsid w:val="00A56188"/>
    <w:rsid w:val="00A564C4"/>
    <w:rsid w:val="00A57689"/>
    <w:rsid w:val="00A5768A"/>
    <w:rsid w:val="00A57C4B"/>
    <w:rsid w:val="00A57D48"/>
    <w:rsid w:val="00A61058"/>
    <w:rsid w:val="00A61362"/>
    <w:rsid w:val="00A61410"/>
    <w:rsid w:val="00A6198A"/>
    <w:rsid w:val="00A62AA8"/>
    <w:rsid w:val="00A62AC3"/>
    <w:rsid w:val="00A62D7C"/>
    <w:rsid w:val="00A63CF7"/>
    <w:rsid w:val="00A63E26"/>
    <w:rsid w:val="00A645AA"/>
    <w:rsid w:val="00A646BF"/>
    <w:rsid w:val="00A64A75"/>
    <w:rsid w:val="00A65108"/>
    <w:rsid w:val="00A65760"/>
    <w:rsid w:val="00A65D86"/>
    <w:rsid w:val="00A66140"/>
    <w:rsid w:val="00A661CE"/>
    <w:rsid w:val="00A665E6"/>
    <w:rsid w:val="00A668D0"/>
    <w:rsid w:val="00A66B1B"/>
    <w:rsid w:val="00A66C40"/>
    <w:rsid w:val="00A67FAF"/>
    <w:rsid w:val="00A7037E"/>
    <w:rsid w:val="00A705AD"/>
    <w:rsid w:val="00A7067F"/>
    <w:rsid w:val="00A70767"/>
    <w:rsid w:val="00A707A7"/>
    <w:rsid w:val="00A70D31"/>
    <w:rsid w:val="00A71790"/>
    <w:rsid w:val="00A718FD"/>
    <w:rsid w:val="00A719D9"/>
    <w:rsid w:val="00A72341"/>
    <w:rsid w:val="00A72486"/>
    <w:rsid w:val="00A728D3"/>
    <w:rsid w:val="00A73A83"/>
    <w:rsid w:val="00A73BFB"/>
    <w:rsid w:val="00A74F10"/>
    <w:rsid w:val="00A75373"/>
    <w:rsid w:val="00A75447"/>
    <w:rsid w:val="00A77102"/>
    <w:rsid w:val="00A7712B"/>
    <w:rsid w:val="00A7754F"/>
    <w:rsid w:val="00A776ED"/>
    <w:rsid w:val="00A778AA"/>
    <w:rsid w:val="00A779C0"/>
    <w:rsid w:val="00A77EA2"/>
    <w:rsid w:val="00A80E50"/>
    <w:rsid w:val="00A81279"/>
    <w:rsid w:val="00A813B1"/>
    <w:rsid w:val="00A82123"/>
    <w:rsid w:val="00A82800"/>
    <w:rsid w:val="00A83663"/>
    <w:rsid w:val="00A83741"/>
    <w:rsid w:val="00A83B0F"/>
    <w:rsid w:val="00A84216"/>
    <w:rsid w:val="00A844E8"/>
    <w:rsid w:val="00A859EC"/>
    <w:rsid w:val="00A8660A"/>
    <w:rsid w:val="00A87974"/>
    <w:rsid w:val="00A87B61"/>
    <w:rsid w:val="00A90BFA"/>
    <w:rsid w:val="00A90C89"/>
    <w:rsid w:val="00A91433"/>
    <w:rsid w:val="00A9260A"/>
    <w:rsid w:val="00A92BF3"/>
    <w:rsid w:val="00A92E53"/>
    <w:rsid w:val="00A93830"/>
    <w:rsid w:val="00A9385F"/>
    <w:rsid w:val="00A938CB"/>
    <w:rsid w:val="00A93C3E"/>
    <w:rsid w:val="00A943C8"/>
    <w:rsid w:val="00A94AB3"/>
    <w:rsid w:val="00A94FFA"/>
    <w:rsid w:val="00A950A4"/>
    <w:rsid w:val="00A9520D"/>
    <w:rsid w:val="00A95D26"/>
    <w:rsid w:val="00A96012"/>
    <w:rsid w:val="00A96479"/>
    <w:rsid w:val="00A96588"/>
    <w:rsid w:val="00A96635"/>
    <w:rsid w:val="00A96CD7"/>
    <w:rsid w:val="00A96F9E"/>
    <w:rsid w:val="00A97026"/>
    <w:rsid w:val="00A9747D"/>
    <w:rsid w:val="00AA00A6"/>
    <w:rsid w:val="00AA02E4"/>
    <w:rsid w:val="00AA0DD0"/>
    <w:rsid w:val="00AA0FD3"/>
    <w:rsid w:val="00AA1830"/>
    <w:rsid w:val="00AA1AB1"/>
    <w:rsid w:val="00AA24EF"/>
    <w:rsid w:val="00AA2AD2"/>
    <w:rsid w:val="00AA2B6B"/>
    <w:rsid w:val="00AA2D3D"/>
    <w:rsid w:val="00AA3DCD"/>
    <w:rsid w:val="00AA41E1"/>
    <w:rsid w:val="00AA476E"/>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B0111"/>
    <w:rsid w:val="00AB09D6"/>
    <w:rsid w:val="00AB0B6B"/>
    <w:rsid w:val="00AB0F69"/>
    <w:rsid w:val="00AB2340"/>
    <w:rsid w:val="00AB280E"/>
    <w:rsid w:val="00AB2C3E"/>
    <w:rsid w:val="00AB31A3"/>
    <w:rsid w:val="00AB3CFC"/>
    <w:rsid w:val="00AB3EE2"/>
    <w:rsid w:val="00AB4851"/>
    <w:rsid w:val="00AB4F95"/>
    <w:rsid w:val="00AB5D36"/>
    <w:rsid w:val="00AB5E23"/>
    <w:rsid w:val="00AB5F1C"/>
    <w:rsid w:val="00AB5FE4"/>
    <w:rsid w:val="00AB6007"/>
    <w:rsid w:val="00AB659D"/>
    <w:rsid w:val="00AB6713"/>
    <w:rsid w:val="00AB6998"/>
    <w:rsid w:val="00AB6BA2"/>
    <w:rsid w:val="00AB6DBE"/>
    <w:rsid w:val="00AB6F76"/>
    <w:rsid w:val="00AB738A"/>
    <w:rsid w:val="00AB7869"/>
    <w:rsid w:val="00AC026E"/>
    <w:rsid w:val="00AC0392"/>
    <w:rsid w:val="00AC0AFF"/>
    <w:rsid w:val="00AC140C"/>
    <w:rsid w:val="00AC140E"/>
    <w:rsid w:val="00AC1567"/>
    <w:rsid w:val="00AC19AD"/>
    <w:rsid w:val="00AC229F"/>
    <w:rsid w:val="00AC252A"/>
    <w:rsid w:val="00AC25C5"/>
    <w:rsid w:val="00AC32AB"/>
    <w:rsid w:val="00AC3FC0"/>
    <w:rsid w:val="00AC426C"/>
    <w:rsid w:val="00AC43CC"/>
    <w:rsid w:val="00AC4B85"/>
    <w:rsid w:val="00AC53A9"/>
    <w:rsid w:val="00AC5417"/>
    <w:rsid w:val="00AC60CA"/>
    <w:rsid w:val="00AC6D51"/>
    <w:rsid w:val="00AC7A58"/>
    <w:rsid w:val="00AC7B00"/>
    <w:rsid w:val="00AC7E86"/>
    <w:rsid w:val="00AC7F0A"/>
    <w:rsid w:val="00AD0FB6"/>
    <w:rsid w:val="00AD2016"/>
    <w:rsid w:val="00AD2569"/>
    <w:rsid w:val="00AD3070"/>
    <w:rsid w:val="00AD3627"/>
    <w:rsid w:val="00AD3774"/>
    <w:rsid w:val="00AD4A0A"/>
    <w:rsid w:val="00AD4C32"/>
    <w:rsid w:val="00AD4E7C"/>
    <w:rsid w:val="00AD592D"/>
    <w:rsid w:val="00AD718F"/>
    <w:rsid w:val="00AD7671"/>
    <w:rsid w:val="00AD7D1E"/>
    <w:rsid w:val="00AD7DA7"/>
    <w:rsid w:val="00AE05E6"/>
    <w:rsid w:val="00AE1109"/>
    <w:rsid w:val="00AE14A2"/>
    <w:rsid w:val="00AE1F28"/>
    <w:rsid w:val="00AE1F75"/>
    <w:rsid w:val="00AE232C"/>
    <w:rsid w:val="00AE23C9"/>
    <w:rsid w:val="00AE2997"/>
    <w:rsid w:val="00AE2A21"/>
    <w:rsid w:val="00AE2D0C"/>
    <w:rsid w:val="00AE365B"/>
    <w:rsid w:val="00AE3939"/>
    <w:rsid w:val="00AE4119"/>
    <w:rsid w:val="00AE424D"/>
    <w:rsid w:val="00AE53E8"/>
    <w:rsid w:val="00AE5CF6"/>
    <w:rsid w:val="00AE5E09"/>
    <w:rsid w:val="00AE6FE4"/>
    <w:rsid w:val="00AE781F"/>
    <w:rsid w:val="00AE7916"/>
    <w:rsid w:val="00AE7941"/>
    <w:rsid w:val="00AF13A6"/>
    <w:rsid w:val="00AF13F9"/>
    <w:rsid w:val="00AF1D2D"/>
    <w:rsid w:val="00AF1D5C"/>
    <w:rsid w:val="00AF2059"/>
    <w:rsid w:val="00AF2186"/>
    <w:rsid w:val="00AF2F5F"/>
    <w:rsid w:val="00AF316C"/>
    <w:rsid w:val="00AF342D"/>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7C8"/>
    <w:rsid w:val="00B008AA"/>
    <w:rsid w:val="00B00A4D"/>
    <w:rsid w:val="00B00AAF"/>
    <w:rsid w:val="00B01442"/>
    <w:rsid w:val="00B015AA"/>
    <w:rsid w:val="00B02B4D"/>
    <w:rsid w:val="00B02E2D"/>
    <w:rsid w:val="00B03533"/>
    <w:rsid w:val="00B047B2"/>
    <w:rsid w:val="00B04C3B"/>
    <w:rsid w:val="00B04CB5"/>
    <w:rsid w:val="00B057A6"/>
    <w:rsid w:val="00B05F2D"/>
    <w:rsid w:val="00B0610A"/>
    <w:rsid w:val="00B06602"/>
    <w:rsid w:val="00B07883"/>
    <w:rsid w:val="00B1036E"/>
    <w:rsid w:val="00B10413"/>
    <w:rsid w:val="00B108BF"/>
    <w:rsid w:val="00B10A8F"/>
    <w:rsid w:val="00B10B6D"/>
    <w:rsid w:val="00B11042"/>
    <w:rsid w:val="00B11834"/>
    <w:rsid w:val="00B1224D"/>
    <w:rsid w:val="00B122CA"/>
    <w:rsid w:val="00B126AC"/>
    <w:rsid w:val="00B136E9"/>
    <w:rsid w:val="00B138D3"/>
    <w:rsid w:val="00B14410"/>
    <w:rsid w:val="00B14778"/>
    <w:rsid w:val="00B14C1B"/>
    <w:rsid w:val="00B15E61"/>
    <w:rsid w:val="00B1628B"/>
    <w:rsid w:val="00B16478"/>
    <w:rsid w:val="00B169E9"/>
    <w:rsid w:val="00B16A66"/>
    <w:rsid w:val="00B16ACC"/>
    <w:rsid w:val="00B17D1B"/>
    <w:rsid w:val="00B205C2"/>
    <w:rsid w:val="00B20F1F"/>
    <w:rsid w:val="00B22B07"/>
    <w:rsid w:val="00B22EF8"/>
    <w:rsid w:val="00B24245"/>
    <w:rsid w:val="00B2484B"/>
    <w:rsid w:val="00B2485C"/>
    <w:rsid w:val="00B24954"/>
    <w:rsid w:val="00B24F15"/>
    <w:rsid w:val="00B24F35"/>
    <w:rsid w:val="00B25C01"/>
    <w:rsid w:val="00B26207"/>
    <w:rsid w:val="00B270E4"/>
    <w:rsid w:val="00B27CED"/>
    <w:rsid w:val="00B27D46"/>
    <w:rsid w:val="00B27F20"/>
    <w:rsid w:val="00B3024D"/>
    <w:rsid w:val="00B30CAE"/>
    <w:rsid w:val="00B30D7B"/>
    <w:rsid w:val="00B31BA6"/>
    <w:rsid w:val="00B321F6"/>
    <w:rsid w:val="00B32219"/>
    <w:rsid w:val="00B32C88"/>
    <w:rsid w:val="00B32EE1"/>
    <w:rsid w:val="00B33080"/>
    <w:rsid w:val="00B33F2E"/>
    <w:rsid w:val="00B34249"/>
    <w:rsid w:val="00B34747"/>
    <w:rsid w:val="00B347DB"/>
    <w:rsid w:val="00B35996"/>
    <w:rsid w:val="00B35D07"/>
    <w:rsid w:val="00B35D2B"/>
    <w:rsid w:val="00B36369"/>
    <w:rsid w:val="00B36F77"/>
    <w:rsid w:val="00B3714B"/>
    <w:rsid w:val="00B37D93"/>
    <w:rsid w:val="00B37FAD"/>
    <w:rsid w:val="00B409AE"/>
    <w:rsid w:val="00B42246"/>
    <w:rsid w:val="00B4256D"/>
    <w:rsid w:val="00B42AB7"/>
    <w:rsid w:val="00B42CBA"/>
    <w:rsid w:val="00B42E49"/>
    <w:rsid w:val="00B438D2"/>
    <w:rsid w:val="00B444D7"/>
    <w:rsid w:val="00B44D0B"/>
    <w:rsid w:val="00B4557C"/>
    <w:rsid w:val="00B45BB6"/>
    <w:rsid w:val="00B4716E"/>
    <w:rsid w:val="00B471A5"/>
    <w:rsid w:val="00B50903"/>
    <w:rsid w:val="00B5099F"/>
    <w:rsid w:val="00B50A30"/>
    <w:rsid w:val="00B50C75"/>
    <w:rsid w:val="00B51241"/>
    <w:rsid w:val="00B513E2"/>
    <w:rsid w:val="00B51AF0"/>
    <w:rsid w:val="00B51C71"/>
    <w:rsid w:val="00B522C8"/>
    <w:rsid w:val="00B52998"/>
    <w:rsid w:val="00B530EA"/>
    <w:rsid w:val="00B5314E"/>
    <w:rsid w:val="00B53666"/>
    <w:rsid w:val="00B55B0E"/>
    <w:rsid w:val="00B574B6"/>
    <w:rsid w:val="00B60104"/>
    <w:rsid w:val="00B60A2D"/>
    <w:rsid w:val="00B60BDA"/>
    <w:rsid w:val="00B60ECE"/>
    <w:rsid w:val="00B61D9F"/>
    <w:rsid w:val="00B6233F"/>
    <w:rsid w:val="00B62F8C"/>
    <w:rsid w:val="00B62FFE"/>
    <w:rsid w:val="00B642AB"/>
    <w:rsid w:val="00B65013"/>
    <w:rsid w:val="00B650FE"/>
    <w:rsid w:val="00B6525C"/>
    <w:rsid w:val="00B65643"/>
    <w:rsid w:val="00B671D3"/>
    <w:rsid w:val="00B7012C"/>
    <w:rsid w:val="00B708B9"/>
    <w:rsid w:val="00B70998"/>
    <w:rsid w:val="00B709A6"/>
    <w:rsid w:val="00B7123A"/>
    <w:rsid w:val="00B71346"/>
    <w:rsid w:val="00B71EDD"/>
    <w:rsid w:val="00B71EFD"/>
    <w:rsid w:val="00B72540"/>
    <w:rsid w:val="00B72AC4"/>
    <w:rsid w:val="00B72B94"/>
    <w:rsid w:val="00B72C48"/>
    <w:rsid w:val="00B7435C"/>
    <w:rsid w:val="00B74477"/>
    <w:rsid w:val="00B748C1"/>
    <w:rsid w:val="00B74C1A"/>
    <w:rsid w:val="00B75493"/>
    <w:rsid w:val="00B75EA2"/>
    <w:rsid w:val="00B76F38"/>
    <w:rsid w:val="00B7753D"/>
    <w:rsid w:val="00B77D0E"/>
    <w:rsid w:val="00B8002A"/>
    <w:rsid w:val="00B803EA"/>
    <w:rsid w:val="00B8085D"/>
    <w:rsid w:val="00B80B24"/>
    <w:rsid w:val="00B80DF8"/>
    <w:rsid w:val="00B81668"/>
    <w:rsid w:val="00B81EFF"/>
    <w:rsid w:val="00B8228E"/>
    <w:rsid w:val="00B825BF"/>
    <w:rsid w:val="00B82623"/>
    <w:rsid w:val="00B83198"/>
    <w:rsid w:val="00B831BA"/>
    <w:rsid w:val="00B836BB"/>
    <w:rsid w:val="00B83B87"/>
    <w:rsid w:val="00B83BDB"/>
    <w:rsid w:val="00B83C2D"/>
    <w:rsid w:val="00B83F8C"/>
    <w:rsid w:val="00B84033"/>
    <w:rsid w:val="00B84122"/>
    <w:rsid w:val="00B85E73"/>
    <w:rsid w:val="00B862B0"/>
    <w:rsid w:val="00B86379"/>
    <w:rsid w:val="00B864FB"/>
    <w:rsid w:val="00B86939"/>
    <w:rsid w:val="00B86CD0"/>
    <w:rsid w:val="00B87198"/>
    <w:rsid w:val="00B87784"/>
    <w:rsid w:val="00B90EBD"/>
    <w:rsid w:val="00B92043"/>
    <w:rsid w:val="00B9220C"/>
    <w:rsid w:val="00B92F80"/>
    <w:rsid w:val="00B932C1"/>
    <w:rsid w:val="00B93314"/>
    <w:rsid w:val="00B93D79"/>
    <w:rsid w:val="00B93EF6"/>
    <w:rsid w:val="00B9441D"/>
    <w:rsid w:val="00B96105"/>
    <w:rsid w:val="00B96187"/>
    <w:rsid w:val="00B97B23"/>
    <w:rsid w:val="00B97F71"/>
    <w:rsid w:val="00BA0547"/>
    <w:rsid w:val="00BA09C2"/>
    <w:rsid w:val="00BA0A92"/>
    <w:rsid w:val="00BA10BA"/>
    <w:rsid w:val="00BA1908"/>
    <w:rsid w:val="00BA2946"/>
    <w:rsid w:val="00BA2B7C"/>
    <w:rsid w:val="00BA3B07"/>
    <w:rsid w:val="00BA3DFA"/>
    <w:rsid w:val="00BA44B0"/>
    <w:rsid w:val="00BA4775"/>
    <w:rsid w:val="00BA4A20"/>
    <w:rsid w:val="00BA5600"/>
    <w:rsid w:val="00BA5CFF"/>
    <w:rsid w:val="00BA5F17"/>
    <w:rsid w:val="00BA6968"/>
    <w:rsid w:val="00BA7867"/>
    <w:rsid w:val="00BA79C8"/>
    <w:rsid w:val="00BA7D36"/>
    <w:rsid w:val="00BB07B4"/>
    <w:rsid w:val="00BB1089"/>
    <w:rsid w:val="00BB127D"/>
    <w:rsid w:val="00BB142A"/>
    <w:rsid w:val="00BB2334"/>
    <w:rsid w:val="00BB29A4"/>
    <w:rsid w:val="00BB2A78"/>
    <w:rsid w:val="00BB2E12"/>
    <w:rsid w:val="00BB2E23"/>
    <w:rsid w:val="00BB2F69"/>
    <w:rsid w:val="00BB30CF"/>
    <w:rsid w:val="00BB34B9"/>
    <w:rsid w:val="00BB35C2"/>
    <w:rsid w:val="00BB383B"/>
    <w:rsid w:val="00BB3989"/>
    <w:rsid w:val="00BB42AB"/>
    <w:rsid w:val="00BB476E"/>
    <w:rsid w:val="00BB4841"/>
    <w:rsid w:val="00BB548B"/>
    <w:rsid w:val="00BB553B"/>
    <w:rsid w:val="00BB5606"/>
    <w:rsid w:val="00BB5607"/>
    <w:rsid w:val="00BB57AC"/>
    <w:rsid w:val="00BB5CDF"/>
    <w:rsid w:val="00BB5D9C"/>
    <w:rsid w:val="00BB6120"/>
    <w:rsid w:val="00BB7180"/>
    <w:rsid w:val="00BB71AB"/>
    <w:rsid w:val="00BB79EE"/>
    <w:rsid w:val="00BB7FD6"/>
    <w:rsid w:val="00BC0913"/>
    <w:rsid w:val="00BC0B83"/>
    <w:rsid w:val="00BC0C0C"/>
    <w:rsid w:val="00BC12B7"/>
    <w:rsid w:val="00BC20EB"/>
    <w:rsid w:val="00BC28D7"/>
    <w:rsid w:val="00BC376C"/>
    <w:rsid w:val="00BC3849"/>
    <w:rsid w:val="00BC3DF0"/>
    <w:rsid w:val="00BC4EA5"/>
    <w:rsid w:val="00BC4F7A"/>
    <w:rsid w:val="00BC55C3"/>
    <w:rsid w:val="00BC5711"/>
    <w:rsid w:val="00BC5EBC"/>
    <w:rsid w:val="00BC6321"/>
    <w:rsid w:val="00BC7817"/>
    <w:rsid w:val="00BD09B2"/>
    <w:rsid w:val="00BD0D79"/>
    <w:rsid w:val="00BD13EA"/>
    <w:rsid w:val="00BD19C5"/>
    <w:rsid w:val="00BD2676"/>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725D"/>
    <w:rsid w:val="00BD7474"/>
    <w:rsid w:val="00BE0190"/>
    <w:rsid w:val="00BE08DC"/>
    <w:rsid w:val="00BE0C60"/>
    <w:rsid w:val="00BE0D80"/>
    <w:rsid w:val="00BE1484"/>
    <w:rsid w:val="00BE19F0"/>
    <w:rsid w:val="00BE1A77"/>
    <w:rsid w:val="00BE1DF8"/>
    <w:rsid w:val="00BE2911"/>
    <w:rsid w:val="00BE2C0B"/>
    <w:rsid w:val="00BE2DD1"/>
    <w:rsid w:val="00BE39E2"/>
    <w:rsid w:val="00BE4742"/>
    <w:rsid w:val="00BE66DA"/>
    <w:rsid w:val="00BE6772"/>
    <w:rsid w:val="00BE6F61"/>
    <w:rsid w:val="00BE7383"/>
    <w:rsid w:val="00BE754D"/>
    <w:rsid w:val="00BE7574"/>
    <w:rsid w:val="00BE76A9"/>
    <w:rsid w:val="00BE78D6"/>
    <w:rsid w:val="00BF0945"/>
    <w:rsid w:val="00BF124B"/>
    <w:rsid w:val="00BF1DB9"/>
    <w:rsid w:val="00BF2273"/>
    <w:rsid w:val="00BF3207"/>
    <w:rsid w:val="00BF3213"/>
    <w:rsid w:val="00BF555B"/>
    <w:rsid w:val="00BF5ABB"/>
    <w:rsid w:val="00BF6D10"/>
    <w:rsid w:val="00BF6E79"/>
    <w:rsid w:val="00BF742C"/>
    <w:rsid w:val="00BF751B"/>
    <w:rsid w:val="00BF7592"/>
    <w:rsid w:val="00C00113"/>
    <w:rsid w:val="00C002BB"/>
    <w:rsid w:val="00C002FE"/>
    <w:rsid w:val="00C0174D"/>
    <w:rsid w:val="00C019E1"/>
    <w:rsid w:val="00C0222F"/>
    <w:rsid w:val="00C022C3"/>
    <w:rsid w:val="00C02592"/>
    <w:rsid w:val="00C02F5E"/>
    <w:rsid w:val="00C03C4F"/>
    <w:rsid w:val="00C03F6C"/>
    <w:rsid w:val="00C04F1B"/>
    <w:rsid w:val="00C05472"/>
    <w:rsid w:val="00C0606E"/>
    <w:rsid w:val="00C06275"/>
    <w:rsid w:val="00C0737F"/>
    <w:rsid w:val="00C074E6"/>
    <w:rsid w:val="00C07564"/>
    <w:rsid w:val="00C105B5"/>
    <w:rsid w:val="00C1091D"/>
    <w:rsid w:val="00C10BDA"/>
    <w:rsid w:val="00C12108"/>
    <w:rsid w:val="00C121D9"/>
    <w:rsid w:val="00C1292D"/>
    <w:rsid w:val="00C12AFC"/>
    <w:rsid w:val="00C12E14"/>
    <w:rsid w:val="00C12E70"/>
    <w:rsid w:val="00C1336F"/>
    <w:rsid w:val="00C13453"/>
    <w:rsid w:val="00C13CBB"/>
    <w:rsid w:val="00C13F24"/>
    <w:rsid w:val="00C1468F"/>
    <w:rsid w:val="00C154C0"/>
    <w:rsid w:val="00C159DF"/>
    <w:rsid w:val="00C15BDB"/>
    <w:rsid w:val="00C15C0D"/>
    <w:rsid w:val="00C161F0"/>
    <w:rsid w:val="00C16225"/>
    <w:rsid w:val="00C173CD"/>
    <w:rsid w:val="00C20471"/>
    <w:rsid w:val="00C20BA7"/>
    <w:rsid w:val="00C20F03"/>
    <w:rsid w:val="00C21DB7"/>
    <w:rsid w:val="00C220F9"/>
    <w:rsid w:val="00C2223B"/>
    <w:rsid w:val="00C22597"/>
    <w:rsid w:val="00C22B74"/>
    <w:rsid w:val="00C237E7"/>
    <w:rsid w:val="00C23A05"/>
    <w:rsid w:val="00C23C30"/>
    <w:rsid w:val="00C2428E"/>
    <w:rsid w:val="00C2541C"/>
    <w:rsid w:val="00C25D63"/>
    <w:rsid w:val="00C261B6"/>
    <w:rsid w:val="00C26676"/>
    <w:rsid w:val="00C26862"/>
    <w:rsid w:val="00C26C97"/>
    <w:rsid w:val="00C271EB"/>
    <w:rsid w:val="00C2757D"/>
    <w:rsid w:val="00C2787E"/>
    <w:rsid w:val="00C27BF9"/>
    <w:rsid w:val="00C30458"/>
    <w:rsid w:val="00C309D0"/>
    <w:rsid w:val="00C31DA6"/>
    <w:rsid w:val="00C325E6"/>
    <w:rsid w:val="00C3285F"/>
    <w:rsid w:val="00C32AE9"/>
    <w:rsid w:val="00C3306F"/>
    <w:rsid w:val="00C33260"/>
    <w:rsid w:val="00C33612"/>
    <w:rsid w:val="00C34064"/>
    <w:rsid w:val="00C3546B"/>
    <w:rsid w:val="00C36803"/>
    <w:rsid w:val="00C36BC5"/>
    <w:rsid w:val="00C37964"/>
    <w:rsid w:val="00C40385"/>
    <w:rsid w:val="00C40D0B"/>
    <w:rsid w:val="00C410A7"/>
    <w:rsid w:val="00C414B6"/>
    <w:rsid w:val="00C41750"/>
    <w:rsid w:val="00C42E31"/>
    <w:rsid w:val="00C43DB0"/>
    <w:rsid w:val="00C43EAF"/>
    <w:rsid w:val="00C44416"/>
    <w:rsid w:val="00C44543"/>
    <w:rsid w:val="00C446C5"/>
    <w:rsid w:val="00C4598F"/>
    <w:rsid w:val="00C459C4"/>
    <w:rsid w:val="00C45D0B"/>
    <w:rsid w:val="00C46043"/>
    <w:rsid w:val="00C46549"/>
    <w:rsid w:val="00C46A92"/>
    <w:rsid w:val="00C50360"/>
    <w:rsid w:val="00C51070"/>
    <w:rsid w:val="00C5125D"/>
    <w:rsid w:val="00C51347"/>
    <w:rsid w:val="00C51AD5"/>
    <w:rsid w:val="00C52403"/>
    <w:rsid w:val="00C524A4"/>
    <w:rsid w:val="00C528B2"/>
    <w:rsid w:val="00C52A1A"/>
    <w:rsid w:val="00C531BE"/>
    <w:rsid w:val="00C533D9"/>
    <w:rsid w:val="00C5446A"/>
    <w:rsid w:val="00C54E12"/>
    <w:rsid w:val="00C552ED"/>
    <w:rsid w:val="00C553F6"/>
    <w:rsid w:val="00C55468"/>
    <w:rsid w:val="00C557DA"/>
    <w:rsid w:val="00C55A6D"/>
    <w:rsid w:val="00C573B2"/>
    <w:rsid w:val="00C60394"/>
    <w:rsid w:val="00C60532"/>
    <w:rsid w:val="00C60C53"/>
    <w:rsid w:val="00C60E5E"/>
    <w:rsid w:val="00C613C5"/>
    <w:rsid w:val="00C618F4"/>
    <w:rsid w:val="00C622C3"/>
    <w:rsid w:val="00C624FB"/>
    <w:rsid w:val="00C62A99"/>
    <w:rsid w:val="00C6370F"/>
    <w:rsid w:val="00C63BD5"/>
    <w:rsid w:val="00C6586C"/>
    <w:rsid w:val="00C65986"/>
    <w:rsid w:val="00C65ABF"/>
    <w:rsid w:val="00C66EAB"/>
    <w:rsid w:val="00C6776F"/>
    <w:rsid w:val="00C67AF3"/>
    <w:rsid w:val="00C70101"/>
    <w:rsid w:val="00C707D6"/>
    <w:rsid w:val="00C708ED"/>
    <w:rsid w:val="00C70BFF"/>
    <w:rsid w:val="00C70C21"/>
    <w:rsid w:val="00C74906"/>
    <w:rsid w:val="00C74B06"/>
    <w:rsid w:val="00C75B20"/>
    <w:rsid w:val="00C75B9A"/>
    <w:rsid w:val="00C7771E"/>
    <w:rsid w:val="00C80248"/>
    <w:rsid w:val="00C81042"/>
    <w:rsid w:val="00C814C9"/>
    <w:rsid w:val="00C81B40"/>
    <w:rsid w:val="00C81D8F"/>
    <w:rsid w:val="00C81D95"/>
    <w:rsid w:val="00C81EA9"/>
    <w:rsid w:val="00C81FEA"/>
    <w:rsid w:val="00C82637"/>
    <w:rsid w:val="00C82E05"/>
    <w:rsid w:val="00C83969"/>
    <w:rsid w:val="00C8396A"/>
    <w:rsid w:val="00C839F6"/>
    <w:rsid w:val="00C84E20"/>
    <w:rsid w:val="00C85234"/>
    <w:rsid w:val="00C85F9C"/>
    <w:rsid w:val="00C86154"/>
    <w:rsid w:val="00C866E5"/>
    <w:rsid w:val="00C86C7D"/>
    <w:rsid w:val="00C86C95"/>
    <w:rsid w:val="00C875A8"/>
    <w:rsid w:val="00C8791D"/>
    <w:rsid w:val="00C90C09"/>
    <w:rsid w:val="00C910EF"/>
    <w:rsid w:val="00C9253E"/>
    <w:rsid w:val="00C9287B"/>
    <w:rsid w:val="00C937D2"/>
    <w:rsid w:val="00C93915"/>
    <w:rsid w:val="00C949BF"/>
    <w:rsid w:val="00C95A0E"/>
    <w:rsid w:val="00C9624F"/>
    <w:rsid w:val="00C96628"/>
    <w:rsid w:val="00C9665D"/>
    <w:rsid w:val="00C96BD5"/>
    <w:rsid w:val="00C97209"/>
    <w:rsid w:val="00CA05EB"/>
    <w:rsid w:val="00CA0C88"/>
    <w:rsid w:val="00CA29BA"/>
    <w:rsid w:val="00CA3515"/>
    <w:rsid w:val="00CA3535"/>
    <w:rsid w:val="00CA3746"/>
    <w:rsid w:val="00CA3755"/>
    <w:rsid w:val="00CA3770"/>
    <w:rsid w:val="00CA3A05"/>
    <w:rsid w:val="00CA3CBF"/>
    <w:rsid w:val="00CA4C2F"/>
    <w:rsid w:val="00CA5894"/>
    <w:rsid w:val="00CA62BE"/>
    <w:rsid w:val="00CA6898"/>
    <w:rsid w:val="00CA746B"/>
    <w:rsid w:val="00CA75D4"/>
    <w:rsid w:val="00CA76D9"/>
    <w:rsid w:val="00CA7D61"/>
    <w:rsid w:val="00CB04E2"/>
    <w:rsid w:val="00CB05A0"/>
    <w:rsid w:val="00CB08B2"/>
    <w:rsid w:val="00CB108D"/>
    <w:rsid w:val="00CB11BF"/>
    <w:rsid w:val="00CB14E9"/>
    <w:rsid w:val="00CB1B6A"/>
    <w:rsid w:val="00CB1D83"/>
    <w:rsid w:val="00CB2947"/>
    <w:rsid w:val="00CB29C2"/>
    <w:rsid w:val="00CB4202"/>
    <w:rsid w:val="00CB4B2C"/>
    <w:rsid w:val="00CB4D02"/>
    <w:rsid w:val="00CB4F70"/>
    <w:rsid w:val="00CB573A"/>
    <w:rsid w:val="00CB60D4"/>
    <w:rsid w:val="00CB63DA"/>
    <w:rsid w:val="00CB68D9"/>
    <w:rsid w:val="00CB6D90"/>
    <w:rsid w:val="00CB6ECC"/>
    <w:rsid w:val="00CB70CD"/>
    <w:rsid w:val="00CB71CB"/>
    <w:rsid w:val="00CB72C3"/>
    <w:rsid w:val="00CB78B7"/>
    <w:rsid w:val="00CC0122"/>
    <w:rsid w:val="00CC05C8"/>
    <w:rsid w:val="00CC062F"/>
    <w:rsid w:val="00CC0D27"/>
    <w:rsid w:val="00CC11BE"/>
    <w:rsid w:val="00CC125C"/>
    <w:rsid w:val="00CC29EB"/>
    <w:rsid w:val="00CC45E4"/>
    <w:rsid w:val="00CC4620"/>
    <w:rsid w:val="00CC46E0"/>
    <w:rsid w:val="00CC53C3"/>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11A5"/>
    <w:rsid w:val="00CD196B"/>
    <w:rsid w:val="00CD27C5"/>
    <w:rsid w:val="00CD293A"/>
    <w:rsid w:val="00CD37E9"/>
    <w:rsid w:val="00CD3834"/>
    <w:rsid w:val="00CD39F7"/>
    <w:rsid w:val="00CD48E6"/>
    <w:rsid w:val="00CD4F1C"/>
    <w:rsid w:val="00CD4F79"/>
    <w:rsid w:val="00CD525A"/>
    <w:rsid w:val="00CD59B3"/>
    <w:rsid w:val="00CD5ACD"/>
    <w:rsid w:val="00CD5AE5"/>
    <w:rsid w:val="00CD6577"/>
    <w:rsid w:val="00CD663A"/>
    <w:rsid w:val="00CD6AA4"/>
    <w:rsid w:val="00CD78D2"/>
    <w:rsid w:val="00CD7C03"/>
    <w:rsid w:val="00CE0766"/>
    <w:rsid w:val="00CE0CD3"/>
    <w:rsid w:val="00CE14C6"/>
    <w:rsid w:val="00CE18F3"/>
    <w:rsid w:val="00CE1AF5"/>
    <w:rsid w:val="00CE1F1E"/>
    <w:rsid w:val="00CE28BE"/>
    <w:rsid w:val="00CE313E"/>
    <w:rsid w:val="00CE343B"/>
    <w:rsid w:val="00CE350B"/>
    <w:rsid w:val="00CE35D1"/>
    <w:rsid w:val="00CE4169"/>
    <w:rsid w:val="00CE427F"/>
    <w:rsid w:val="00CE5256"/>
    <w:rsid w:val="00CE57A2"/>
    <w:rsid w:val="00CE5C02"/>
    <w:rsid w:val="00CE5D21"/>
    <w:rsid w:val="00CE5D72"/>
    <w:rsid w:val="00CE5DC3"/>
    <w:rsid w:val="00CE62C7"/>
    <w:rsid w:val="00CE6334"/>
    <w:rsid w:val="00CE6B40"/>
    <w:rsid w:val="00CE6EBD"/>
    <w:rsid w:val="00CE7894"/>
    <w:rsid w:val="00CF001D"/>
    <w:rsid w:val="00CF06A1"/>
    <w:rsid w:val="00CF1467"/>
    <w:rsid w:val="00CF18E9"/>
    <w:rsid w:val="00CF24F7"/>
    <w:rsid w:val="00CF2645"/>
    <w:rsid w:val="00CF3412"/>
    <w:rsid w:val="00CF34EE"/>
    <w:rsid w:val="00CF3532"/>
    <w:rsid w:val="00CF47E6"/>
    <w:rsid w:val="00CF48D6"/>
    <w:rsid w:val="00CF4D85"/>
    <w:rsid w:val="00CF5551"/>
    <w:rsid w:val="00CF57C9"/>
    <w:rsid w:val="00CF57D6"/>
    <w:rsid w:val="00CF5C3F"/>
    <w:rsid w:val="00CF6110"/>
    <w:rsid w:val="00CF6356"/>
    <w:rsid w:val="00CF6C1B"/>
    <w:rsid w:val="00CF75AB"/>
    <w:rsid w:val="00CF7E8B"/>
    <w:rsid w:val="00D0004E"/>
    <w:rsid w:val="00D019D5"/>
    <w:rsid w:val="00D02182"/>
    <w:rsid w:val="00D02224"/>
    <w:rsid w:val="00D02FEC"/>
    <w:rsid w:val="00D03C6B"/>
    <w:rsid w:val="00D03D62"/>
    <w:rsid w:val="00D03E5F"/>
    <w:rsid w:val="00D040FE"/>
    <w:rsid w:val="00D0412E"/>
    <w:rsid w:val="00D043C3"/>
    <w:rsid w:val="00D047DE"/>
    <w:rsid w:val="00D04962"/>
    <w:rsid w:val="00D04ED4"/>
    <w:rsid w:val="00D05B28"/>
    <w:rsid w:val="00D05FA0"/>
    <w:rsid w:val="00D06377"/>
    <w:rsid w:val="00D063D0"/>
    <w:rsid w:val="00D068CB"/>
    <w:rsid w:val="00D06EC1"/>
    <w:rsid w:val="00D0728A"/>
    <w:rsid w:val="00D07E57"/>
    <w:rsid w:val="00D1012B"/>
    <w:rsid w:val="00D1029C"/>
    <w:rsid w:val="00D1115E"/>
    <w:rsid w:val="00D114A0"/>
    <w:rsid w:val="00D118D5"/>
    <w:rsid w:val="00D12D8A"/>
    <w:rsid w:val="00D12DF6"/>
    <w:rsid w:val="00D1322A"/>
    <w:rsid w:val="00D13999"/>
    <w:rsid w:val="00D139F5"/>
    <w:rsid w:val="00D13A70"/>
    <w:rsid w:val="00D14E89"/>
    <w:rsid w:val="00D1544D"/>
    <w:rsid w:val="00D159BF"/>
    <w:rsid w:val="00D162E2"/>
    <w:rsid w:val="00D1668F"/>
    <w:rsid w:val="00D167D0"/>
    <w:rsid w:val="00D168BF"/>
    <w:rsid w:val="00D168FD"/>
    <w:rsid w:val="00D16F64"/>
    <w:rsid w:val="00D17052"/>
    <w:rsid w:val="00D174BE"/>
    <w:rsid w:val="00D20268"/>
    <w:rsid w:val="00D207F2"/>
    <w:rsid w:val="00D20CEE"/>
    <w:rsid w:val="00D212EB"/>
    <w:rsid w:val="00D21F17"/>
    <w:rsid w:val="00D22F05"/>
    <w:rsid w:val="00D230A7"/>
    <w:rsid w:val="00D233DE"/>
    <w:rsid w:val="00D23AC3"/>
    <w:rsid w:val="00D23D4C"/>
    <w:rsid w:val="00D23F8E"/>
    <w:rsid w:val="00D2472C"/>
    <w:rsid w:val="00D24DF9"/>
    <w:rsid w:val="00D25590"/>
    <w:rsid w:val="00D2685A"/>
    <w:rsid w:val="00D2756A"/>
    <w:rsid w:val="00D279BA"/>
    <w:rsid w:val="00D27EEC"/>
    <w:rsid w:val="00D30D7A"/>
    <w:rsid w:val="00D310EC"/>
    <w:rsid w:val="00D311EA"/>
    <w:rsid w:val="00D31835"/>
    <w:rsid w:val="00D31ACE"/>
    <w:rsid w:val="00D31BB1"/>
    <w:rsid w:val="00D31E91"/>
    <w:rsid w:val="00D320D0"/>
    <w:rsid w:val="00D3217D"/>
    <w:rsid w:val="00D325E1"/>
    <w:rsid w:val="00D32BD3"/>
    <w:rsid w:val="00D334D0"/>
    <w:rsid w:val="00D33BB0"/>
    <w:rsid w:val="00D34303"/>
    <w:rsid w:val="00D34413"/>
    <w:rsid w:val="00D345D3"/>
    <w:rsid w:val="00D34705"/>
    <w:rsid w:val="00D34E7B"/>
    <w:rsid w:val="00D36754"/>
    <w:rsid w:val="00D3779A"/>
    <w:rsid w:val="00D37997"/>
    <w:rsid w:val="00D40026"/>
    <w:rsid w:val="00D402C4"/>
    <w:rsid w:val="00D404B5"/>
    <w:rsid w:val="00D40CD2"/>
    <w:rsid w:val="00D4206C"/>
    <w:rsid w:val="00D422C4"/>
    <w:rsid w:val="00D423C6"/>
    <w:rsid w:val="00D42C56"/>
    <w:rsid w:val="00D43417"/>
    <w:rsid w:val="00D43F74"/>
    <w:rsid w:val="00D43FDC"/>
    <w:rsid w:val="00D447CB"/>
    <w:rsid w:val="00D449BA"/>
    <w:rsid w:val="00D4545C"/>
    <w:rsid w:val="00D4636F"/>
    <w:rsid w:val="00D46D2B"/>
    <w:rsid w:val="00D475F4"/>
    <w:rsid w:val="00D479A0"/>
    <w:rsid w:val="00D47A3B"/>
    <w:rsid w:val="00D47D16"/>
    <w:rsid w:val="00D47E6C"/>
    <w:rsid w:val="00D502F0"/>
    <w:rsid w:val="00D5039B"/>
    <w:rsid w:val="00D505F4"/>
    <w:rsid w:val="00D50FF7"/>
    <w:rsid w:val="00D511C9"/>
    <w:rsid w:val="00D518B9"/>
    <w:rsid w:val="00D51CE1"/>
    <w:rsid w:val="00D52408"/>
    <w:rsid w:val="00D53E9B"/>
    <w:rsid w:val="00D546B7"/>
    <w:rsid w:val="00D5470D"/>
    <w:rsid w:val="00D55250"/>
    <w:rsid w:val="00D55369"/>
    <w:rsid w:val="00D5579E"/>
    <w:rsid w:val="00D557F5"/>
    <w:rsid w:val="00D55D76"/>
    <w:rsid w:val="00D562F2"/>
    <w:rsid w:val="00D56F5A"/>
    <w:rsid w:val="00D56FE3"/>
    <w:rsid w:val="00D57120"/>
    <w:rsid w:val="00D576A0"/>
    <w:rsid w:val="00D5797C"/>
    <w:rsid w:val="00D57D9E"/>
    <w:rsid w:val="00D60A2A"/>
    <w:rsid w:val="00D60CAA"/>
    <w:rsid w:val="00D61858"/>
    <w:rsid w:val="00D61B59"/>
    <w:rsid w:val="00D61B8D"/>
    <w:rsid w:val="00D61B93"/>
    <w:rsid w:val="00D622C8"/>
    <w:rsid w:val="00D62D31"/>
    <w:rsid w:val="00D64721"/>
    <w:rsid w:val="00D6580F"/>
    <w:rsid w:val="00D65D87"/>
    <w:rsid w:val="00D66A15"/>
    <w:rsid w:val="00D67B9E"/>
    <w:rsid w:val="00D67E4A"/>
    <w:rsid w:val="00D702A6"/>
    <w:rsid w:val="00D71D0B"/>
    <w:rsid w:val="00D732AA"/>
    <w:rsid w:val="00D73C01"/>
    <w:rsid w:val="00D74164"/>
    <w:rsid w:val="00D74181"/>
    <w:rsid w:val="00D74357"/>
    <w:rsid w:val="00D74F06"/>
    <w:rsid w:val="00D7517E"/>
    <w:rsid w:val="00D759AC"/>
    <w:rsid w:val="00D75A2B"/>
    <w:rsid w:val="00D763FD"/>
    <w:rsid w:val="00D7670F"/>
    <w:rsid w:val="00D76DB6"/>
    <w:rsid w:val="00D76F89"/>
    <w:rsid w:val="00D80C31"/>
    <w:rsid w:val="00D80DD2"/>
    <w:rsid w:val="00D81A7A"/>
    <w:rsid w:val="00D82DA0"/>
    <w:rsid w:val="00D83672"/>
    <w:rsid w:val="00D8383C"/>
    <w:rsid w:val="00D84461"/>
    <w:rsid w:val="00D84738"/>
    <w:rsid w:val="00D84E00"/>
    <w:rsid w:val="00D856E8"/>
    <w:rsid w:val="00D858C5"/>
    <w:rsid w:val="00D860A6"/>
    <w:rsid w:val="00D862FF"/>
    <w:rsid w:val="00D8670D"/>
    <w:rsid w:val="00D86888"/>
    <w:rsid w:val="00D86FEE"/>
    <w:rsid w:val="00D87B36"/>
    <w:rsid w:val="00D9045F"/>
    <w:rsid w:val="00D90AD1"/>
    <w:rsid w:val="00D90CE4"/>
    <w:rsid w:val="00D912C0"/>
    <w:rsid w:val="00D91365"/>
    <w:rsid w:val="00D915F6"/>
    <w:rsid w:val="00D917F2"/>
    <w:rsid w:val="00D91E92"/>
    <w:rsid w:val="00D91FD9"/>
    <w:rsid w:val="00D92622"/>
    <w:rsid w:val="00D92896"/>
    <w:rsid w:val="00D93792"/>
    <w:rsid w:val="00D941F7"/>
    <w:rsid w:val="00D942B8"/>
    <w:rsid w:val="00D9512D"/>
    <w:rsid w:val="00D9583E"/>
    <w:rsid w:val="00D96D3D"/>
    <w:rsid w:val="00D9702F"/>
    <w:rsid w:val="00D97409"/>
    <w:rsid w:val="00D9769A"/>
    <w:rsid w:val="00D97D97"/>
    <w:rsid w:val="00D97EC6"/>
    <w:rsid w:val="00DA047F"/>
    <w:rsid w:val="00DA069D"/>
    <w:rsid w:val="00DA07A5"/>
    <w:rsid w:val="00DA0E88"/>
    <w:rsid w:val="00DA1384"/>
    <w:rsid w:val="00DA13CF"/>
    <w:rsid w:val="00DA1565"/>
    <w:rsid w:val="00DA1E08"/>
    <w:rsid w:val="00DA20AB"/>
    <w:rsid w:val="00DA2210"/>
    <w:rsid w:val="00DA23E0"/>
    <w:rsid w:val="00DA2510"/>
    <w:rsid w:val="00DA2D5D"/>
    <w:rsid w:val="00DA2EC6"/>
    <w:rsid w:val="00DA352B"/>
    <w:rsid w:val="00DA45B8"/>
    <w:rsid w:val="00DA4B81"/>
    <w:rsid w:val="00DA4DDF"/>
    <w:rsid w:val="00DA6081"/>
    <w:rsid w:val="00DA66ED"/>
    <w:rsid w:val="00DA712E"/>
    <w:rsid w:val="00DB0804"/>
    <w:rsid w:val="00DB0891"/>
    <w:rsid w:val="00DB0EC0"/>
    <w:rsid w:val="00DB18D6"/>
    <w:rsid w:val="00DB1B11"/>
    <w:rsid w:val="00DB1C2E"/>
    <w:rsid w:val="00DB1D21"/>
    <w:rsid w:val="00DB2041"/>
    <w:rsid w:val="00DB23D6"/>
    <w:rsid w:val="00DB2FC4"/>
    <w:rsid w:val="00DB3A88"/>
    <w:rsid w:val="00DB3BD4"/>
    <w:rsid w:val="00DB4020"/>
    <w:rsid w:val="00DB48E2"/>
    <w:rsid w:val="00DB5026"/>
    <w:rsid w:val="00DB52BF"/>
    <w:rsid w:val="00DB5BED"/>
    <w:rsid w:val="00DB5D08"/>
    <w:rsid w:val="00DB5ED6"/>
    <w:rsid w:val="00DB6381"/>
    <w:rsid w:val="00DB68DF"/>
    <w:rsid w:val="00DB6ED6"/>
    <w:rsid w:val="00DB6F39"/>
    <w:rsid w:val="00DB7F5A"/>
    <w:rsid w:val="00DC1C0B"/>
    <w:rsid w:val="00DC1D98"/>
    <w:rsid w:val="00DC2AAC"/>
    <w:rsid w:val="00DC2C35"/>
    <w:rsid w:val="00DC366B"/>
    <w:rsid w:val="00DC382A"/>
    <w:rsid w:val="00DC4955"/>
    <w:rsid w:val="00DC4FF3"/>
    <w:rsid w:val="00DC54F0"/>
    <w:rsid w:val="00DC64D5"/>
    <w:rsid w:val="00DC776B"/>
    <w:rsid w:val="00DD0512"/>
    <w:rsid w:val="00DD2C87"/>
    <w:rsid w:val="00DD2F2E"/>
    <w:rsid w:val="00DD2F99"/>
    <w:rsid w:val="00DD337C"/>
    <w:rsid w:val="00DD37F2"/>
    <w:rsid w:val="00DD48BA"/>
    <w:rsid w:val="00DD54E7"/>
    <w:rsid w:val="00DD5947"/>
    <w:rsid w:val="00DD6B51"/>
    <w:rsid w:val="00DD6CE5"/>
    <w:rsid w:val="00DD6D5A"/>
    <w:rsid w:val="00DD73FA"/>
    <w:rsid w:val="00DE0018"/>
    <w:rsid w:val="00DE09ED"/>
    <w:rsid w:val="00DE0ABB"/>
    <w:rsid w:val="00DE0DF8"/>
    <w:rsid w:val="00DE1012"/>
    <w:rsid w:val="00DE14CC"/>
    <w:rsid w:val="00DE1828"/>
    <w:rsid w:val="00DE1923"/>
    <w:rsid w:val="00DE1AFD"/>
    <w:rsid w:val="00DE1D08"/>
    <w:rsid w:val="00DE1D56"/>
    <w:rsid w:val="00DE22B5"/>
    <w:rsid w:val="00DE235E"/>
    <w:rsid w:val="00DE29A2"/>
    <w:rsid w:val="00DE2B33"/>
    <w:rsid w:val="00DE2C80"/>
    <w:rsid w:val="00DE360C"/>
    <w:rsid w:val="00DE4131"/>
    <w:rsid w:val="00DE433C"/>
    <w:rsid w:val="00DE434C"/>
    <w:rsid w:val="00DE4532"/>
    <w:rsid w:val="00DE506E"/>
    <w:rsid w:val="00DE5AA1"/>
    <w:rsid w:val="00DE5CC7"/>
    <w:rsid w:val="00DE638B"/>
    <w:rsid w:val="00DE65C9"/>
    <w:rsid w:val="00DE6919"/>
    <w:rsid w:val="00DE72EE"/>
    <w:rsid w:val="00DE7481"/>
    <w:rsid w:val="00DE75BE"/>
    <w:rsid w:val="00DF050C"/>
    <w:rsid w:val="00DF07D2"/>
    <w:rsid w:val="00DF0AA0"/>
    <w:rsid w:val="00DF0B03"/>
    <w:rsid w:val="00DF26B7"/>
    <w:rsid w:val="00DF2BC4"/>
    <w:rsid w:val="00DF2C7F"/>
    <w:rsid w:val="00DF37E5"/>
    <w:rsid w:val="00DF3895"/>
    <w:rsid w:val="00DF4208"/>
    <w:rsid w:val="00DF51AE"/>
    <w:rsid w:val="00DF6C06"/>
    <w:rsid w:val="00DF7555"/>
    <w:rsid w:val="00DF7603"/>
    <w:rsid w:val="00DF77A5"/>
    <w:rsid w:val="00E0048E"/>
    <w:rsid w:val="00E004B8"/>
    <w:rsid w:val="00E01AF7"/>
    <w:rsid w:val="00E0265F"/>
    <w:rsid w:val="00E034FE"/>
    <w:rsid w:val="00E03709"/>
    <w:rsid w:val="00E0397B"/>
    <w:rsid w:val="00E03C4D"/>
    <w:rsid w:val="00E041E5"/>
    <w:rsid w:val="00E04287"/>
    <w:rsid w:val="00E04812"/>
    <w:rsid w:val="00E04888"/>
    <w:rsid w:val="00E04DEF"/>
    <w:rsid w:val="00E0525D"/>
    <w:rsid w:val="00E05F1B"/>
    <w:rsid w:val="00E06383"/>
    <w:rsid w:val="00E0639F"/>
    <w:rsid w:val="00E06D0B"/>
    <w:rsid w:val="00E07530"/>
    <w:rsid w:val="00E0763B"/>
    <w:rsid w:val="00E0796A"/>
    <w:rsid w:val="00E07CAC"/>
    <w:rsid w:val="00E10302"/>
    <w:rsid w:val="00E107D9"/>
    <w:rsid w:val="00E10F33"/>
    <w:rsid w:val="00E118E6"/>
    <w:rsid w:val="00E1258A"/>
    <w:rsid w:val="00E129AB"/>
    <w:rsid w:val="00E12E6D"/>
    <w:rsid w:val="00E130CE"/>
    <w:rsid w:val="00E133A7"/>
    <w:rsid w:val="00E13A49"/>
    <w:rsid w:val="00E13D25"/>
    <w:rsid w:val="00E15096"/>
    <w:rsid w:val="00E1651D"/>
    <w:rsid w:val="00E16C0E"/>
    <w:rsid w:val="00E17EC5"/>
    <w:rsid w:val="00E2009D"/>
    <w:rsid w:val="00E20155"/>
    <w:rsid w:val="00E208B6"/>
    <w:rsid w:val="00E209FB"/>
    <w:rsid w:val="00E2124E"/>
    <w:rsid w:val="00E21AD1"/>
    <w:rsid w:val="00E21B7B"/>
    <w:rsid w:val="00E21F2D"/>
    <w:rsid w:val="00E23147"/>
    <w:rsid w:val="00E23FD8"/>
    <w:rsid w:val="00E241BE"/>
    <w:rsid w:val="00E2471F"/>
    <w:rsid w:val="00E262E0"/>
    <w:rsid w:val="00E26545"/>
    <w:rsid w:val="00E26A41"/>
    <w:rsid w:val="00E26BFD"/>
    <w:rsid w:val="00E26C55"/>
    <w:rsid w:val="00E26E5C"/>
    <w:rsid w:val="00E27E90"/>
    <w:rsid w:val="00E301F2"/>
    <w:rsid w:val="00E30D8A"/>
    <w:rsid w:val="00E32077"/>
    <w:rsid w:val="00E326BF"/>
    <w:rsid w:val="00E328A7"/>
    <w:rsid w:val="00E32A4F"/>
    <w:rsid w:val="00E32CB9"/>
    <w:rsid w:val="00E32CF3"/>
    <w:rsid w:val="00E32E5A"/>
    <w:rsid w:val="00E3307F"/>
    <w:rsid w:val="00E332B4"/>
    <w:rsid w:val="00E33601"/>
    <w:rsid w:val="00E336C8"/>
    <w:rsid w:val="00E336EA"/>
    <w:rsid w:val="00E33C83"/>
    <w:rsid w:val="00E33D02"/>
    <w:rsid w:val="00E34970"/>
    <w:rsid w:val="00E34F2C"/>
    <w:rsid w:val="00E34FAD"/>
    <w:rsid w:val="00E35D2F"/>
    <w:rsid w:val="00E35D79"/>
    <w:rsid w:val="00E36496"/>
    <w:rsid w:val="00E3724A"/>
    <w:rsid w:val="00E3743D"/>
    <w:rsid w:val="00E37ED0"/>
    <w:rsid w:val="00E40316"/>
    <w:rsid w:val="00E42F7E"/>
    <w:rsid w:val="00E434AD"/>
    <w:rsid w:val="00E43707"/>
    <w:rsid w:val="00E43D07"/>
    <w:rsid w:val="00E44202"/>
    <w:rsid w:val="00E44235"/>
    <w:rsid w:val="00E443C2"/>
    <w:rsid w:val="00E44E46"/>
    <w:rsid w:val="00E45DB9"/>
    <w:rsid w:val="00E45FB3"/>
    <w:rsid w:val="00E4641E"/>
    <w:rsid w:val="00E469DA"/>
    <w:rsid w:val="00E475DC"/>
    <w:rsid w:val="00E47747"/>
    <w:rsid w:val="00E47D19"/>
    <w:rsid w:val="00E501FE"/>
    <w:rsid w:val="00E50BC7"/>
    <w:rsid w:val="00E50F86"/>
    <w:rsid w:val="00E519AE"/>
    <w:rsid w:val="00E51CCC"/>
    <w:rsid w:val="00E523CE"/>
    <w:rsid w:val="00E527AD"/>
    <w:rsid w:val="00E52D27"/>
    <w:rsid w:val="00E53100"/>
    <w:rsid w:val="00E532BD"/>
    <w:rsid w:val="00E5365F"/>
    <w:rsid w:val="00E53B63"/>
    <w:rsid w:val="00E53B84"/>
    <w:rsid w:val="00E5521A"/>
    <w:rsid w:val="00E55C5B"/>
    <w:rsid w:val="00E560DE"/>
    <w:rsid w:val="00E56149"/>
    <w:rsid w:val="00E561B7"/>
    <w:rsid w:val="00E5629D"/>
    <w:rsid w:val="00E57AF7"/>
    <w:rsid w:val="00E57B2F"/>
    <w:rsid w:val="00E57F60"/>
    <w:rsid w:val="00E602FF"/>
    <w:rsid w:val="00E6085A"/>
    <w:rsid w:val="00E610E8"/>
    <w:rsid w:val="00E6135A"/>
    <w:rsid w:val="00E6155D"/>
    <w:rsid w:val="00E6166A"/>
    <w:rsid w:val="00E61A8C"/>
    <w:rsid w:val="00E6241B"/>
    <w:rsid w:val="00E63554"/>
    <w:rsid w:val="00E6419A"/>
    <w:rsid w:val="00E641BA"/>
    <w:rsid w:val="00E645DC"/>
    <w:rsid w:val="00E64628"/>
    <w:rsid w:val="00E64FCC"/>
    <w:rsid w:val="00E64FD7"/>
    <w:rsid w:val="00E65196"/>
    <w:rsid w:val="00E65F7E"/>
    <w:rsid w:val="00E66085"/>
    <w:rsid w:val="00E6637C"/>
    <w:rsid w:val="00E67173"/>
    <w:rsid w:val="00E67492"/>
    <w:rsid w:val="00E67B57"/>
    <w:rsid w:val="00E703B6"/>
    <w:rsid w:val="00E70AA1"/>
    <w:rsid w:val="00E7190F"/>
    <w:rsid w:val="00E71F15"/>
    <w:rsid w:val="00E72200"/>
    <w:rsid w:val="00E7247F"/>
    <w:rsid w:val="00E72B1B"/>
    <w:rsid w:val="00E72BD5"/>
    <w:rsid w:val="00E72C0C"/>
    <w:rsid w:val="00E72DD5"/>
    <w:rsid w:val="00E72ECD"/>
    <w:rsid w:val="00E731DC"/>
    <w:rsid w:val="00E73207"/>
    <w:rsid w:val="00E735F8"/>
    <w:rsid w:val="00E73E22"/>
    <w:rsid w:val="00E74D26"/>
    <w:rsid w:val="00E75198"/>
    <w:rsid w:val="00E75C9B"/>
    <w:rsid w:val="00E75D47"/>
    <w:rsid w:val="00E75E00"/>
    <w:rsid w:val="00E75E4D"/>
    <w:rsid w:val="00E763BF"/>
    <w:rsid w:val="00E766F5"/>
    <w:rsid w:val="00E76932"/>
    <w:rsid w:val="00E77A28"/>
    <w:rsid w:val="00E77F0E"/>
    <w:rsid w:val="00E808A3"/>
    <w:rsid w:val="00E80EDF"/>
    <w:rsid w:val="00E80FC3"/>
    <w:rsid w:val="00E8145D"/>
    <w:rsid w:val="00E82948"/>
    <w:rsid w:val="00E82B28"/>
    <w:rsid w:val="00E82F9C"/>
    <w:rsid w:val="00E83928"/>
    <w:rsid w:val="00E848FB"/>
    <w:rsid w:val="00E84A0E"/>
    <w:rsid w:val="00E85255"/>
    <w:rsid w:val="00E85AC3"/>
    <w:rsid w:val="00E87333"/>
    <w:rsid w:val="00E87A46"/>
    <w:rsid w:val="00E87FB0"/>
    <w:rsid w:val="00E9013A"/>
    <w:rsid w:val="00E90218"/>
    <w:rsid w:val="00E913BB"/>
    <w:rsid w:val="00E92708"/>
    <w:rsid w:val="00E931A9"/>
    <w:rsid w:val="00E948E3"/>
    <w:rsid w:val="00E94C21"/>
    <w:rsid w:val="00E94FAD"/>
    <w:rsid w:val="00E95A35"/>
    <w:rsid w:val="00E95A94"/>
    <w:rsid w:val="00E95F2E"/>
    <w:rsid w:val="00E96213"/>
    <w:rsid w:val="00E96388"/>
    <w:rsid w:val="00E96A23"/>
    <w:rsid w:val="00E97177"/>
    <w:rsid w:val="00EA0137"/>
    <w:rsid w:val="00EA0235"/>
    <w:rsid w:val="00EA06A5"/>
    <w:rsid w:val="00EA0834"/>
    <w:rsid w:val="00EA08E7"/>
    <w:rsid w:val="00EA109C"/>
    <w:rsid w:val="00EA1508"/>
    <w:rsid w:val="00EA1541"/>
    <w:rsid w:val="00EA1A5D"/>
    <w:rsid w:val="00EA29F4"/>
    <w:rsid w:val="00EA2B78"/>
    <w:rsid w:val="00EA2C8D"/>
    <w:rsid w:val="00EA3189"/>
    <w:rsid w:val="00EA32E4"/>
    <w:rsid w:val="00EA32EA"/>
    <w:rsid w:val="00EA3630"/>
    <w:rsid w:val="00EA3C0D"/>
    <w:rsid w:val="00EA4618"/>
    <w:rsid w:val="00EA484F"/>
    <w:rsid w:val="00EA4E37"/>
    <w:rsid w:val="00EA59DF"/>
    <w:rsid w:val="00EA6859"/>
    <w:rsid w:val="00EA6C3B"/>
    <w:rsid w:val="00EA7B73"/>
    <w:rsid w:val="00EA7E36"/>
    <w:rsid w:val="00EB0335"/>
    <w:rsid w:val="00EB0898"/>
    <w:rsid w:val="00EB0AC1"/>
    <w:rsid w:val="00EB0CF4"/>
    <w:rsid w:val="00EB119E"/>
    <w:rsid w:val="00EB1957"/>
    <w:rsid w:val="00EB19B7"/>
    <w:rsid w:val="00EB22CA"/>
    <w:rsid w:val="00EB24A7"/>
    <w:rsid w:val="00EB2591"/>
    <w:rsid w:val="00EB2C4C"/>
    <w:rsid w:val="00EB36F5"/>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4183"/>
    <w:rsid w:val="00EC4EA2"/>
    <w:rsid w:val="00EC53AA"/>
    <w:rsid w:val="00EC575F"/>
    <w:rsid w:val="00EC5950"/>
    <w:rsid w:val="00EC61A4"/>
    <w:rsid w:val="00EC6468"/>
    <w:rsid w:val="00EC6708"/>
    <w:rsid w:val="00EC74BE"/>
    <w:rsid w:val="00EC7A32"/>
    <w:rsid w:val="00ED02B3"/>
    <w:rsid w:val="00ED0361"/>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4CE"/>
    <w:rsid w:val="00EE5654"/>
    <w:rsid w:val="00EE5A91"/>
    <w:rsid w:val="00EE66C0"/>
    <w:rsid w:val="00EE688E"/>
    <w:rsid w:val="00EE6A6D"/>
    <w:rsid w:val="00EE6AA2"/>
    <w:rsid w:val="00EF034B"/>
    <w:rsid w:val="00EF03E2"/>
    <w:rsid w:val="00EF0B24"/>
    <w:rsid w:val="00EF0B67"/>
    <w:rsid w:val="00EF141D"/>
    <w:rsid w:val="00EF171E"/>
    <w:rsid w:val="00EF1ADE"/>
    <w:rsid w:val="00EF1B85"/>
    <w:rsid w:val="00EF270E"/>
    <w:rsid w:val="00EF359F"/>
    <w:rsid w:val="00EF371A"/>
    <w:rsid w:val="00EF37D0"/>
    <w:rsid w:val="00EF3A19"/>
    <w:rsid w:val="00EF43CE"/>
    <w:rsid w:val="00EF4C92"/>
    <w:rsid w:val="00EF4E55"/>
    <w:rsid w:val="00EF58DD"/>
    <w:rsid w:val="00EF5931"/>
    <w:rsid w:val="00EF7069"/>
    <w:rsid w:val="00EF77AF"/>
    <w:rsid w:val="00EF7F8B"/>
    <w:rsid w:val="00F0002B"/>
    <w:rsid w:val="00F00120"/>
    <w:rsid w:val="00F01146"/>
    <w:rsid w:val="00F0153C"/>
    <w:rsid w:val="00F01C81"/>
    <w:rsid w:val="00F02115"/>
    <w:rsid w:val="00F02541"/>
    <w:rsid w:val="00F025FC"/>
    <w:rsid w:val="00F02CBA"/>
    <w:rsid w:val="00F0300F"/>
    <w:rsid w:val="00F032E6"/>
    <w:rsid w:val="00F03814"/>
    <w:rsid w:val="00F03BBA"/>
    <w:rsid w:val="00F03C69"/>
    <w:rsid w:val="00F03D11"/>
    <w:rsid w:val="00F04489"/>
    <w:rsid w:val="00F04B5E"/>
    <w:rsid w:val="00F05E71"/>
    <w:rsid w:val="00F063A5"/>
    <w:rsid w:val="00F07A09"/>
    <w:rsid w:val="00F11178"/>
    <w:rsid w:val="00F11EC1"/>
    <w:rsid w:val="00F12DD6"/>
    <w:rsid w:val="00F12E4F"/>
    <w:rsid w:val="00F1390C"/>
    <w:rsid w:val="00F13E69"/>
    <w:rsid w:val="00F14D98"/>
    <w:rsid w:val="00F14F2E"/>
    <w:rsid w:val="00F159C1"/>
    <w:rsid w:val="00F15C7D"/>
    <w:rsid w:val="00F16662"/>
    <w:rsid w:val="00F16899"/>
    <w:rsid w:val="00F16A12"/>
    <w:rsid w:val="00F16E95"/>
    <w:rsid w:val="00F17464"/>
    <w:rsid w:val="00F175A3"/>
    <w:rsid w:val="00F17A9E"/>
    <w:rsid w:val="00F17FC9"/>
    <w:rsid w:val="00F20C5E"/>
    <w:rsid w:val="00F2104A"/>
    <w:rsid w:val="00F21187"/>
    <w:rsid w:val="00F21341"/>
    <w:rsid w:val="00F216FD"/>
    <w:rsid w:val="00F22722"/>
    <w:rsid w:val="00F22A54"/>
    <w:rsid w:val="00F22A7B"/>
    <w:rsid w:val="00F23A49"/>
    <w:rsid w:val="00F25739"/>
    <w:rsid w:val="00F257EF"/>
    <w:rsid w:val="00F25868"/>
    <w:rsid w:val="00F26B34"/>
    <w:rsid w:val="00F2722A"/>
    <w:rsid w:val="00F27A40"/>
    <w:rsid w:val="00F30575"/>
    <w:rsid w:val="00F30A22"/>
    <w:rsid w:val="00F30C5B"/>
    <w:rsid w:val="00F31CC2"/>
    <w:rsid w:val="00F31FB7"/>
    <w:rsid w:val="00F32318"/>
    <w:rsid w:val="00F32BED"/>
    <w:rsid w:val="00F342DE"/>
    <w:rsid w:val="00F352D2"/>
    <w:rsid w:val="00F356BE"/>
    <w:rsid w:val="00F35F50"/>
    <w:rsid w:val="00F365C6"/>
    <w:rsid w:val="00F36A1D"/>
    <w:rsid w:val="00F36ACD"/>
    <w:rsid w:val="00F36C80"/>
    <w:rsid w:val="00F37291"/>
    <w:rsid w:val="00F37567"/>
    <w:rsid w:val="00F378FE"/>
    <w:rsid w:val="00F37EBC"/>
    <w:rsid w:val="00F40245"/>
    <w:rsid w:val="00F4036D"/>
    <w:rsid w:val="00F405AE"/>
    <w:rsid w:val="00F40888"/>
    <w:rsid w:val="00F40B0F"/>
    <w:rsid w:val="00F40EA3"/>
    <w:rsid w:val="00F41122"/>
    <w:rsid w:val="00F41969"/>
    <w:rsid w:val="00F425EA"/>
    <w:rsid w:val="00F42B7B"/>
    <w:rsid w:val="00F43FE0"/>
    <w:rsid w:val="00F44079"/>
    <w:rsid w:val="00F44278"/>
    <w:rsid w:val="00F445A3"/>
    <w:rsid w:val="00F44A8C"/>
    <w:rsid w:val="00F44D06"/>
    <w:rsid w:val="00F44EF7"/>
    <w:rsid w:val="00F456A7"/>
    <w:rsid w:val="00F4773E"/>
    <w:rsid w:val="00F51324"/>
    <w:rsid w:val="00F515E8"/>
    <w:rsid w:val="00F517E1"/>
    <w:rsid w:val="00F51B65"/>
    <w:rsid w:val="00F51DE6"/>
    <w:rsid w:val="00F51E25"/>
    <w:rsid w:val="00F52AAB"/>
    <w:rsid w:val="00F52DC6"/>
    <w:rsid w:val="00F52EB6"/>
    <w:rsid w:val="00F52F49"/>
    <w:rsid w:val="00F53B46"/>
    <w:rsid w:val="00F551A4"/>
    <w:rsid w:val="00F55260"/>
    <w:rsid w:val="00F55592"/>
    <w:rsid w:val="00F557BA"/>
    <w:rsid w:val="00F5619F"/>
    <w:rsid w:val="00F562D0"/>
    <w:rsid w:val="00F56356"/>
    <w:rsid w:val="00F56481"/>
    <w:rsid w:val="00F60021"/>
    <w:rsid w:val="00F60E62"/>
    <w:rsid w:val="00F61686"/>
    <w:rsid w:val="00F62321"/>
    <w:rsid w:val="00F6251D"/>
    <w:rsid w:val="00F6316B"/>
    <w:rsid w:val="00F633F3"/>
    <w:rsid w:val="00F63403"/>
    <w:rsid w:val="00F63FED"/>
    <w:rsid w:val="00F64381"/>
    <w:rsid w:val="00F646FB"/>
    <w:rsid w:val="00F64A9F"/>
    <w:rsid w:val="00F65376"/>
    <w:rsid w:val="00F657A1"/>
    <w:rsid w:val="00F657D2"/>
    <w:rsid w:val="00F65AE0"/>
    <w:rsid w:val="00F66971"/>
    <w:rsid w:val="00F67D8F"/>
    <w:rsid w:val="00F70018"/>
    <w:rsid w:val="00F7085C"/>
    <w:rsid w:val="00F71151"/>
    <w:rsid w:val="00F7119A"/>
    <w:rsid w:val="00F71243"/>
    <w:rsid w:val="00F72DA5"/>
    <w:rsid w:val="00F74554"/>
    <w:rsid w:val="00F74561"/>
    <w:rsid w:val="00F74A3D"/>
    <w:rsid w:val="00F74E38"/>
    <w:rsid w:val="00F7520F"/>
    <w:rsid w:val="00F761B8"/>
    <w:rsid w:val="00F7623E"/>
    <w:rsid w:val="00F764F1"/>
    <w:rsid w:val="00F76BBD"/>
    <w:rsid w:val="00F76D6F"/>
    <w:rsid w:val="00F77124"/>
    <w:rsid w:val="00F778B0"/>
    <w:rsid w:val="00F7792E"/>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86"/>
    <w:rsid w:val="00F84229"/>
    <w:rsid w:val="00F848A4"/>
    <w:rsid w:val="00F84B03"/>
    <w:rsid w:val="00F84DBD"/>
    <w:rsid w:val="00F85144"/>
    <w:rsid w:val="00F8544A"/>
    <w:rsid w:val="00F8570D"/>
    <w:rsid w:val="00F857DB"/>
    <w:rsid w:val="00F85FB8"/>
    <w:rsid w:val="00F8619C"/>
    <w:rsid w:val="00F86DF6"/>
    <w:rsid w:val="00F87551"/>
    <w:rsid w:val="00F87E97"/>
    <w:rsid w:val="00F904E2"/>
    <w:rsid w:val="00F907B7"/>
    <w:rsid w:val="00F90B8D"/>
    <w:rsid w:val="00F90D80"/>
    <w:rsid w:val="00F90D84"/>
    <w:rsid w:val="00F91006"/>
    <w:rsid w:val="00F916B9"/>
    <w:rsid w:val="00F919A7"/>
    <w:rsid w:val="00F91B02"/>
    <w:rsid w:val="00F923AF"/>
    <w:rsid w:val="00F92EC1"/>
    <w:rsid w:val="00F932F6"/>
    <w:rsid w:val="00F934B6"/>
    <w:rsid w:val="00F93691"/>
    <w:rsid w:val="00F938CE"/>
    <w:rsid w:val="00F946F5"/>
    <w:rsid w:val="00F94BCB"/>
    <w:rsid w:val="00F94C47"/>
    <w:rsid w:val="00F95710"/>
    <w:rsid w:val="00F9595A"/>
    <w:rsid w:val="00F9659B"/>
    <w:rsid w:val="00F968E7"/>
    <w:rsid w:val="00F96AA9"/>
    <w:rsid w:val="00F96C4B"/>
    <w:rsid w:val="00F96D0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1F99"/>
    <w:rsid w:val="00FB257D"/>
    <w:rsid w:val="00FB3364"/>
    <w:rsid w:val="00FB3C36"/>
    <w:rsid w:val="00FB423D"/>
    <w:rsid w:val="00FB4280"/>
    <w:rsid w:val="00FB455E"/>
    <w:rsid w:val="00FB4B60"/>
    <w:rsid w:val="00FB5214"/>
    <w:rsid w:val="00FB57F8"/>
    <w:rsid w:val="00FB580D"/>
    <w:rsid w:val="00FB5B7F"/>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CF"/>
    <w:rsid w:val="00FC5027"/>
    <w:rsid w:val="00FC50C7"/>
    <w:rsid w:val="00FC511D"/>
    <w:rsid w:val="00FC6034"/>
    <w:rsid w:val="00FC68BC"/>
    <w:rsid w:val="00FC7366"/>
    <w:rsid w:val="00FC74ED"/>
    <w:rsid w:val="00FC75E3"/>
    <w:rsid w:val="00FD035C"/>
    <w:rsid w:val="00FD07EF"/>
    <w:rsid w:val="00FD097A"/>
    <w:rsid w:val="00FD0E3D"/>
    <w:rsid w:val="00FD11D4"/>
    <w:rsid w:val="00FD1DD0"/>
    <w:rsid w:val="00FD217B"/>
    <w:rsid w:val="00FD225D"/>
    <w:rsid w:val="00FD2384"/>
    <w:rsid w:val="00FD29D4"/>
    <w:rsid w:val="00FD2E6C"/>
    <w:rsid w:val="00FD42AA"/>
    <w:rsid w:val="00FD4C24"/>
    <w:rsid w:val="00FD4C88"/>
    <w:rsid w:val="00FD4F32"/>
    <w:rsid w:val="00FD59ED"/>
    <w:rsid w:val="00FD66C6"/>
    <w:rsid w:val="00FD6B00"/>
    <w:rsid w:val="00FD7C9B"/>
    <w:rsid w:val="00FD7D34"/>
    <w:rsid w:val="00FD7E19"/>
    <w:rsid w:val="00FD7F27"/>
    <w:rsid w:val="00FE035B"/>
    <w:rsid w:val="00FE0F68"/>
    <w:rsid w:val="00FE125C"/>
    <w:rsid w:val="00FE1F3B"/>
    <w:rsid w:val="00FE2BEA"/>
    <w:rsid w:val="00FE3482"/>
    <w:rsid w:val="00FE3549"/>
    <w:rsid w:val="00FE452E"/>
    <w:rsid w:val="00FE4827"/>
    <w:rsid w:val="00FE4963"/>
    <w:rsid w:val="00FE4FA3"/>
    <w:rsid w:val="00FE58C7"/>
    <w:rsid w:val="00FE5C7B"/>
    <w:rsid w:val="00FE6060"/>
    <w:rsid w:val="00FE650C"/>
    <w:rsid w:val="00FE7B6C"/>
    <w:rsid w:val="00FF03C0"/>
    <w:rsid w:val="00FF2806"/>
    <w:rsid w:val="00FF2AED"/>
    <w:rsid w:val="00FF2D9A"/>
    <w:rsid w:val="00FF3663"/>
    <w:rsid w:val="00FF3B7A"/>
    <w:rsid w:val="00FF4275"/>
    <w:rsid w:val="00FF4A4C"/>
    <w:rsid w:val="00FF4C15"/>
    <w:rsid w:val="00FF4F2F"/>
    <w:rsid w:val="00FF5BFB"/>
    <w:rsid w:val="00FF5E54"/>
    <w:rsid w:val="00FF69EA"/>
    <w:rsid w:val="00FF70F1"/>
    <w:rsid w:val="00FF754D"/>
    <w:rsid w:val="00FF761C"/>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410811761">
          <w:marLeft w:val="0"/>
          <w:marRight w:val="0"/>
          <w:marTop w:val="0"/>
          <w:marBottom w:val="0"/>
          <w:divBdr>
            <w:top w:val="none" w:sz="0" w:space="0" w:color="auto"/>
            <w:left w:val="none" w:sz="0" w:space="0" w:color="auto"/>
            <w:bottom w:val="none" w:sz="0" w:space="0" w:color="auto"/>
            <w:right w:val="none" w:sz="0" w:space="0" w:color="auto"/>
          </w:divBdr>
        </w:div>
        <w:div w:id="1373844823">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196726\APPDATA\LOCAL\TEMP\TM_TEMP\TM_2\G.1.2%20-%20UPNA%202014%20-%2010-08-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Dependencia</a:t>
            </a:r>
            <a:r>
              <a:rPr lang="en-US" sz="1200" baseline="0"/>
              <a:t> transferencias corrientes</a:t>
            </a:r>
          </a:p>
        </c:rich>
      </c:tx>
      <c:overlay val="0"/>
    </c:title>
    <c:autoTitleDeleted val="0"/>
    <c:plotArea>
      <c:layout/>
      <c:lineChart>
        <c:grouping val="standard"/>
        <c:varyColors val="0"/>
        <c:ser>
          <c:idx val="5"/>
          <c:order val="0"/>
          <c:tx>
            <c:strRef>
              <c:f>'comparativa histórica cap 4'!$B$8</c:f>
              <c:strCache>
                <c:ptCount val="1"/>
                <c:pt idx="0">
                  <c:v>% capítulo 4 s) total</c:v>
                </c:pt>
              </c:strCache>
            </c:strRef>
          </c:tx>
          <c:spPr>
            <a:ln w="44450" cmpd="sng">
              <a:solidFill>
                <a:schemeClr val="tx1"/>
              </a:solidFill>
            </a:ln>
          </c:spPr>
          <c:marker>
            <c:symbol val="none"/>
          </c:marker>
          <c:dLbls>
            <c:dLbl>
              <c:idx val="2"/>
              <c:layout>
                <c:manualLayout>
                  <c:x val="-3.7483266398929051E-2"/>
                  <c:y val="-6.3116390413390608E-2"/>
                </c:manualLayout>
              </c:layout>
              <c:showLegendKey val="0"/>
              <c:showVal val="1"/>
              <c:showCatName val="0"/>
              <c:showSerName val="0"/>
              <c:showPercent val="0"/>
              <c:showBubbleSize val="0"/>
            </c:dLbl>
            <c:dLbl>
              <c:idx val="3"/>
              <c:layout>
                <c:manualLayout>
                  <c:x val="0"/>
                  <c:y val="-3.5502969607532256E-2"/>
                </c:manualLayout>
              </c:layout>
              <c:showLegendKey val="0"/>
              <c:showVal val="1"/>
              <c:showCatName val="0"/>
              <c:showSerName val="0"/>
              <c:showPercent val="0"/>
              <c:showBubbleSize val="0"/>
            </c:dLbl>
            <c:dLbl>
              <c:idx val="4"/>
              <c:layout>
                <c:manualLayout>
                  <c:x val="-9.1030789825970654E-2"/>
                  <c:y val="4.733729281004295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'comparativa histórica cap 4'!$C$4:$H$4</c:f>
              <c:numCache>
                <c:formatCode>General</c:formatCode>
                <c:ptCount val="6"/>
                <c:pt idx="0">
                  <c:v>2009</c:v>
                </c:pt>
                <c:pt idx="1">
                  <c:v>2010</c:v>
                </c:pt>
                <c:pt idx="2">
                  <c:v>2011</c:v>
                </c:pt>
                <c:pt idx="3">
                  <c:v>2012</c:v>
                </c:pt>
                <c:pt idx="4">
                  <c:v>2013</c:v>
                </c:pt>
                <c:pt idx="5">
                  <c:v>2014</c:v>
                </c:pt>
              </c:numCache>
            </c:numRef>
          </c:cat>
          <c:val>
            <c:numRef>
              <c:f>'comparativa histórica cap 4'!$C$8:$H$8</c:f>
              <c:numCache>
                <c:formatCode>0.00%</c:formatCode>
                <c:ptCount val="6"/>
                <c:pt idx="0">
                  <c:v>0.78190000000000004</c:v>
                </c:pt>
                <c:pt idx="1">
                  <c:v>0.82550000000000001</c:v>
                </c:pt>
                <c:pt idx="2">
                  <c:v>0.80640000000000001</c:v>
                </c:pt>
                <c:pt idx="3">
                  <c:v>0.81069999999999998</c:v>
                </c:pt>
                <c:pt idx="4">
                  <c:v>0.79910000000000003</c:v>
                </c:pt>
                <c:pt idx="5">
                  <c:v>0.78539999999999999</c:v>
                </c:pt>
              </c:numCache>
            </c:numRef>
          </c:val>
          <c:smooth val="0"/>
        </c:ser>
        <c:dLbls>
          <c:showLegendKey val="0"/>
          <c:showVal val="0"/>
          <c:showCatName val="0"/>
          <c:showSerName val="0"/>
          <c:showPercent val="0"/>
          <c:showBubbleSize val="0"/>
        </c:dLbls>
        <c:marker val="1"/>
        <c:smooth val="0"/>
        <c:axId val="87497216"/>
        <c:axId val="40438592"/>
      </c:lineChart>
      <c:catAx>
        <c:axId val="87497216"/>
        <c:scaling>
          <c:orientation val="minMax"/>
        </c:scaling>
        <c:delete val="0"/>
        <c:axPos val="b"/>
        <c:numFmt formatCode="General" sourceLinked="1"/>
        <c:majorTickMark val="out"/>
        <c:minorTickMark val="none"/>
        <c:tickLblPos val="nextTo"/>
        <c:crossAx val="40438592"/>
        <c:crosses val="autoZero"/>
        <c:auto val="1"/>
        <c:lblAlgn val="ctr"/>
        <c:lblOffset val="100"/>
        <c:noMultiLvlLbl val="0"/>
      </c:catAx>
      <c:valAx>
        <c:axId val="40438592"/>
        <c:scaling>
          <c:orientation val="minMax"/>
        </c:scaling>
        <c:delete val="0"/>
        <c:axPos val="l"/>
        <c:majorGridlines/>
        <c:numFmt formatCode="0%" sourceLinked="0"/>
        <c:majorTickMark val="out"/>
        <c:minorTickMark val="none"/>
        <c:tickLblPos val="nextTo"/>
        <c:crossAx val="87497216"/>
        <c:crosses val="autoZero"/>
        <c:crossBetween val="between"/>
      </c:valAx>
    </c:plotArea>
    <c:legend>
      <c:legendPos val="b"/>
      <c:overlay val="0"/>
      <c:txPr>
        <a:bodyPr/>
        <a:lstStyle/>
        <a:p>
          <a:pPr>
            <a:defRPr i="1"/>
          </a:pPr>
          <a:endParaRPr lang="es-E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FEF8-63DE-4B93-89CD-D8EF36DD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18658</Words>
  <Characters>103511</Characters>
  <Application>Microsoft Office Word</Application>
  <DocSecurity>0</DocSecurity>
  <Lines>862</Lines>
  <Paragraphs>243</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121926</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3</cp:revision>
  <cp:lastPrinted>2016-03-02T13:19:00Z</cp:lastPrinted>
  <dcterms:created xsi:type="dcterms:W3CDTF">2016-03-04T08:27:00Z</dcterms:created>
  <dcterms:modified xsi:type="dcterms:W3CDTF">2016-04-04T11:40:00Z</dcterms:modified>
</cp:coreProperties>
</file>