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ED" w:rsidRDefault="005A4315" w:rsidP="00B67C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Normal"/>
          <w:rFonts w:ascii="Arial" w:hAnsi="Arial"/>
          <w:sz w:val="22"/>
        </w:rPr>
        <w:t>Unión</w:t>
      </w:r>
      <w:proofErr w:type="spellEnd"/>
      <w:r>
        <w:rPr>
          <w:rStyle w:val="Normal"/>
          <w:rFonts w:ascii="Arial" w:hAnsi="Arial"/>
          <w:sz w:val="22"/>
        </w:rPr>
        <w:t xml:space="preserve"> del </w:t>
      </w:r>
      <w:proofErr w:type="spellStart"/>
      <w:r>
        <w:rPr>
          <w:rStyle w:val="Normal"/>
          <w:rFonts w:ascii="Arial" w:hAnsi="Arial"/>
          <w:sz w:val="22"/>
        </w:rPr>
        <w:t>Pueblo</w:t>
      </w:r>
      <w:proofErr w:type="spellEnd"/>
      <w:r>
        <w:rPr>
          <w:rStyle w:val="Normal"/>
          <w:rFonts w:ascii="Arial" w:hAnsi="Arial"/>
          <w:sz w:val="22"/>
        </w:rPr>
        <w:t xml:space="preserve"> Navarro parlamentu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 xml:space="preserve">taldeari atxikitako foru parlamentari Mónica Doménech Linde andreak galdera bat egin du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9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16</w:t>
      </w:r>
      <w:r>
        <w:rPr>
          <w:rStyle w:val="Normal"/>
          <w:rFonts w:ascii="Arial" w:hAnsi="Arial"/>
          <w:sz w:val="22"/>
        </w:rPr>
        <w:t>/</w:t>
      </w:r>
      <w:r>
        <w:rPr>
          <w:rStyle w:val="Normal"/>
          <w:rFonts w:ascii="Arial" w:hAnsi="Arial"/>
          <w:sz w:val="22"/>
        </w:rPr>
        <w:t>PES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00208</w:t>
      </w:r>
      <w:r>
        <w:rPr>
          <w:rStyle w:val="Normal"/>
          <w:rFonts w:ascii="Arial" w:hAnsi="Arial"/>
          <w:sz w:val="22"/>
        </w:rPr>
        <w:t>)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etxez etxeko laguntza zerbitzuari buruz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Hona Nafarroako Gobernuko Eskubide Sozialetako lehendakariordea</w:t>
      </w:r>
      <w:r>
        <w:rPr>
          <w:rStyle w:val="Normal"/>
          <w:rFonts w:ascii="Arial" w:hAnsi="Arial"/>
          <w:sz w:val="22"/>
        </w:rPr>
        <w:t>ren erantzuna</w:t>
      </w:r>
      <w:r>
        <w:rPr>
          <w:rStyle w:val="Normal"/>
          <w:rFonts w:ascii="Arial" w:hAnsi="Arial"/>
          <w:sz w:val="22"/>
        </w:rPr>
        <w:t>:</w: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2016</w:t>
      </w:r>
      <w:r>
        <w:rPr>
          <w:rStyle w:val="Normal"/>
          <w:rFonts w:ascii="Arial" w:hAnsi="Arial"/>
          <w:sz w:val="22"/>
        </w:rPr>
        <w:t xml:space="preserve">ko maiatzaren </w:t>
      </w:r>
      <w:r>
        <w:rPr>
          <w:rStyle w:val="Normal"/>
          <w:rFonts w:ascii="Arial" w:hAnsi="Arial"/>
          <w:sz w:val="22"/>
        </w:rPr>
        <w:t>5</w:t>
      </w:r>
      <w:r>
        <w:rPr>
          <w:rStyle w:val="Normal"/>
          <w:rFonts w:ascii="Arial" w:hAnsi="Arial"/>
          <w:sz w:val="22"/>
        </w:rPr>
        <w:t>eko idazkiaren bidez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aipatutako parlamentariak informazioa eskatu zuen </w:t>
      </w:r>
      <w:r>
        <w:rPr>
          <w:rStyle w:val="Normal"/>
          <w:rFonts w:ascii="Arial" w:hAnsi="Arial"/>
          <w:i/>
          <w:sz w:val="22"/>
        </w:rPr>
        <w:t xml:space="preserve">“Etxez Etxeko Laguntza Zerbitzuaren </w:t>
      </w:r>
      <w:r>
        <w:rPr>
          <w:rStyle w:val="Normal"/>
          <w:rFonts w:ascii="Arial" w:hAnsi="Arial"/>
          <w:i/>
          <w:sz w:val="22"/>
        </w:rPr>
        <w:t>2015</w:t>
      </w:r>
      <w:r>
        <w:rPr>
          <w:rStyle w:val="Normal"/>
          <w:rFonts w:ascii="Arial" w:hAnsi="Arial"/>
          <w:i/>
          <w:sz w:val="22"/>
        </w:rPr>
        <w:t xml:space="preserve">eko oroitidazkiari buruz eta </w:t>
      </w:r>
      <w:r>
        <w:rPr>
          <w:rStyle w:val="Normal"/>
          <w:rFonts w:ascii="Arial" w:hAnsi="Arial"/>
          <w:i/>
          <w:sz w:val="22"/>
        </w:rPr>
        <w:t>2016</w:t>
      </w:r>
      <w:r>
        <w:rPr>
          <w:rStyle w:val="Normal"/>
          <w:rFonts w:ascii="Arial" w:hAnsi="Arial"/>
          <w:i/>
          <w:sz w:val="22"/>
        </w:rPr>
        <w:t>ko hilabeteetako datuak eskura ote dituzten jakiteko”</w:t>
      </w:r>
      <w:r>
        <w:rPr>
          <w:rStyle w:val="Normal"/>
          <w:rFonts w:ascii="Arial" w:hAnsi="Arial"/>
          <w:i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Zehazki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honako galder</w:t>
      </w:r>
      <w:r>
        <w:rPr>
          <w:rStyle w:val="Normal"/>
          <w:rFonts w:ascii="Arial" w:hAnsi="Arial"/>
          <w:sz w:val="22"/>
        </w:rPr>
        <w:t>a hauei erantzutea nahi du</w:t>
      </w:r>
      <w:r>
        <w:rPr>
          <w:rStyle w:val="Normal"/>
          <w:rFonts w:ascii="Arial" w:hAnsi="Arial"/>
          <w:sz w:val="22"/>
        </w:rPr>
        <w:t>:</w:t>
      </w:r>
    </w:p>
    <w:p w:rsidR="003B31F7" w:rsidRPr="003B31F7" w:rsidRDefault="005A4315" w:rsidP="003B31F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Lehena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 xml:space="preserve">Zein izan zen </w:t>
      </w:r>
      <w:r>
        <w:rPr>
          <w:rStyle w:val="Normal"/>
          <w:rFonts w:ascii="Arial" w:hAnsi="Arial"/>
          <w:b/>
          <w:sz w:val="22"/>
        </w:rPr>
        <w:t>2015</w:t>
      </w:r>
      <w:r>
        <w:rPr>
          <w:rStyle w:val="Normal"/>
          <w:rFonts w:ascii="Arial" w:hAnsi="Arial"/>
          <w:b/>
          <w:sz w:val="22"/>
        </w:rPr>
        <w:t>ean udaletako Etxez Etxeko Laguntza Zerbitzuen aldetik arreta jaso zuen biztanleria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eta horren banaketa geografikoa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barrutika</w:t>
      </w:r>
      <w:r>
        <w:rPr>
          <w:rStyle w:val="Normal"/>
          <w:rFonts w:ascii="Arial" w:hAnsi="Arial"/>
          <w:b/>
          <w:sz w:val="22"/>
        </w:rPr>
        <w:t>?</w:t>
      </w:r>
    </w:p>
    <w:p w:rsidR="003B31F7" w:rsidRPr="003B31F7" w:rsidRDefault="005A4315" w:rsidP="003B31F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Bigarrena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Arreta jaso duen biztanleriaren bilakaera</w:t>
      </w:r>
      <w:r>
        <w:rPr>
          <w:rStyle w:val="Normal"/>
          <w:rFonts w:ascii="Arial" w:hAnsi="Arial"/>
          <w:b/>
          <w:sz w:val="22"/>
        </w:rPr>
        <w:t>.</w:t>
      </w:r>
    </w:p>
    <w:p w:rsidR="003B31F7" w:rsidRPr="003B31F7" w:rsidRDefault="005A4315" w:rsidP="003B31F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Hirugarrena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Itxaro</w:t>
      </w:r>
      <w:r>
        <w:rPr>
          <w:rStyle w:val="Normal"/>
          <w:rFonts w:ascii="Arial" w:hAnsi="Arial"/>
          <w:b/>
          <w:sz w:val="22"/>
        </w:rPr>
        <w:t>n</w:t>
      </w:r>
      <w:r>
        <w:rPr>
          <w:rStyle w:val="Normal"/>
          <w:rFonts w:ascii="Arial" w:hAnsi="Arial"/>
          <w:b/>
          <w:sz w:val="22"/>
        </w:rPr>
        <w:t>-</w:t>
      </w:r>
      <w:r>
        <w:rPr>
          <w:rStyle w:val="Normal"/>
          <w:rFonts w:ascii="Arial" w:hAnsi="Arial"/>
          <w:b/>
          <w:sz w:val="22"/>
        </w:rPr>
        <w:t>zerrenda eta banaketa geografikoa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barrutika</w:t>
      </w:r>
      <w:r>
        <w:rPr>
          <w:rStyle w:val="Normal"/>
          <w:rFonts w:ascii="Arial" w:hAnsi="Arial"/>
          <w:b/>
          <w:sz w:val="22"/>
        </w:rPr>
        <w:t>.</w:t>
      </w:r>
    </w:p>
    <w:p w:rsidR="003B31F7" w:rsidRPr="003B31F7" w:rsidRDefault="005A4315" w:rsidP="003B31F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Laugarrena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erabiltzaileen ezaugarriak</w:t>
      </w:r>
      <w:r>
        <w:rPr>
          <w:rStyle w:val="Normal"/>
          <w:rFonts w:ascii="Arial" w:hAnsi="Arial"/>
          <w:b/>
          <w:sz w:val="22"/>
        </w:rPr>
        <w:t xml:space="preserve">. </w:t>
      </w:r>
      <w:r>
        <w:rPr>
          <w:rStyle w:val="Normal"/>
          <w:rFonts w:ascii="Arial" w:hAnsi="Arial"/>
          <w:b/>
          <w:sz w:val="22"/>
        </w:rPr>
        <w:t>Arreta jaso dutenen banaketa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sexuaren eta adinaren arabera</w:t>
      </w:r>
      <w:r>
        <w:rPr>
          <w:rStyle w:val="Normal"/>
          <w:rFonts w:ascii="Arial" w:hAnsi="Arial"/>
          <w:b/>
          <w:sz w:val="22"/>
        </w:rPr>
        <w:t>.</w:t>
      </w:r>
    </w:p>
    <w:p w:rsidR="00DB08ED" w:rsidRDefault="005A4315" w:rsidP="003B31F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Bosgarrena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ELZen aldetik arreta jaso dutenen menpekotasun egoera</w:t>
      </w:r>
      <w:r>
        <w:rPr>
          <w:rStyle w:val="Normal"/>
          <w:rFonts w:ascii="Arial" w:hAnsi="Arial"/>
          <w:b/>
          <w:sz w:val="22"/>
        </w:rPr>
        <w:t>.</w: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Esan beharra dago dokumentu honetan emat</w:t>
      </w:r>
      <w:r>
        <w:rPr>
          <w:rStyle w:val="Normal"/>
          <w:rFonts w:ascii="Arial" w:hAnsi="Arial"/>
          <w:sz w:val="22"/>
        </w:rPr>
        <w:t>en diren datuak oinarrizko gizarte zerbitzuek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Eskubide Sozialetako Departamentuaren eta oinarrizko gizarte zerbitzuen titularrak diren toki entitateen artean ezarritako finantzaketa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hitzartutako finantzaketa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hitzarmena justifikatze aldera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aurkeztutako or</w:t>
      </w:r>
      <w:r>
        <w:rPr>
          <w:rStyle w:val="Normal"/>
          <w:rFonts w:ascii="Arial" w:hAnsi="Arial"/>
          <w:sz w:val="22"/>
        </w:rPr>
        <w:t>oitidazki teknikoetatik lortu direla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Hitzarmen horien eta Toki entitateen eta Eskubide Sozialetako Departamentuaren artean egindako finantzaketa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hitzarmenaren arabera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bai eta maiatzaren </w:t>
      </w:r>
      <w:r>
        <w:rPr>
          <w:rStyle w:val="Normal"/>
          <w:rFonts w:ascii="Arial" w:hAnsi="Arial"/>
          <w:sz w:val="22"/>
        </w:rPr>
        <w:t>22</w:t>
      </w:r>
      <w:r>
        <w:rPr>
          <w:rStyle w:val="Normal"/>
          <w:rFonts w:ascii="Arial" w:hAnsi="Arial"/>
          <w:sz w:val="22"/>
        </w:rPr>
        <w:t xml:space="preserve">ko </w:t>
      </w:r>
      <w:r>
        <w:rPr>
          <w:rStyle w:val="Normal"/>
          <w:rFonts w:ascii="Arial" w:hAnsi="Arial"/>
          <w:sz w:val="22"/>
        </w:rPr>
        <w:t>32</w:t>
      </w:r>
      <w:r>
        <w:rPr>
          <w:rStyle w:val="Normal"/>
          <w:rFonts w:ascii="Arial" w:hAnsi="Arial"/>
          <w:sz w:val="22"/>
        </w:rPr>
        <w:t>/</w:t>
      </w:r>
      <w:r>
        <w:rPr>
          <w:rStyle w:val="Normal"/>
          <w:rFonts w:ascii="Arial" w:hAnsi="Arial"/>
          <w:sz w:val="22"/>
        </w:rPr>
        <w:t xml:space="preserve">2013 </w:t>
      </w:r>
      <w:r>
        <w:rPr>
          <w:rStyle w:val="Normal"/>
          <w:rFonts w:ascii="Arial" w:hAnsi="Arial"/>
          <w:sz w:val="22"/>
        </w:rPr>
        <w:t>Foru Dekretuaren arabera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toki entitateek txosten tekni</w:t>
      </w:r>
      <w:r>
        <w:rPr>
          <w:rStyle w:val="Normal"/>
          <w:rFonts w:ascii="Arial" w:hAnsi="Arial"/>
          <w:sz w:val="22"/>
        </w:rPr>
        <w:t>ko eta ekonomikoak aurrekontua bete beharreko ekitaldiaren hurrengo ekitaldiko urtarrilean edo otsailean aurkeztu beharko dituzte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Horri erantzuteko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aldez aurretiko bi gai aipatu behar dira</w:t>
      </w:r>
      <w:r>
        <w:rPr>
          <w:rStyle w:val="Normal"/>
          <w:rFonts w:ascii="Arial" w:hAnsi="Arial"/>
          <w:sz w:val="22"/>
        </w:rPr>
        <w:t>: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Lehena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Dokumentu horretan emandako datuetan aldeak egon daitezk</w:t>
      </w:r>
      <w:r>
        <w:rPr>
          <w:rStyle w:val="Normal"/>
          <w:rFonts w:ascii="Arial" w:hAnsi="Arial"/>
          <w:sz w:val="22"/>
        </w:rPr>
        <w:t xml:space="preserve">e Nafarroako </w:t>
      </w:r>
      <w:r>
        <w:rPr>
          <w:rStyle w:val="Normal"/>
          <w:rFonts w:ascii="Arial" w:hAnsi="Arial"/>
          <w:sz w:val="22"/>
        </w:rPr>
        <w:t>2015</w:t>
      </w:r>
      <w:r>
        <w:rPr>
          <w:rStyle w:val="Normal"/>
          <w:rFonts w:ascii="Arial" w:hAnsi="Arial"/>
          <w:sz w:val="22"/>
        </w:rPr>
        <w:t>eko oinarrizko gizarte zerbitzuetan esku hartzeko amaierako oroitidazkiarekin konparatuta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zeren eta azken horiek oinarrizko osasun laguntzaren eta gizarteratzeren zerbitzuari aurkeztutako oroitidazkiak baloratzeko prozesuan baitaude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Biga</w:t>
      </w:r>
      <w:r>
        <w:rPr>
          <w:rStyle w:val="Normal"/>
          <w:rFonts w:ascii="Arial" w:hAnsi="Arial"/>
          <w:sz w:val="22"/>
        </w:rPr>
        <w:t>rrena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 xml:space="preserve">Ezin da </w:t>
      </w:r>
      <w:r>
        <w:rPr>
          <w:rStyle w:val="Normal"/>
          <w:rFonts w:ascii="Arial" w:hAnsi="Arial"/>
          <w:sz w:val="22"/>
        </w:rPr>
        <w:t>2016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urteari buruzko daturik eman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zeren eta datu horiek ez baitira lortzen gizarte zerbitzuetako erabiltzaileen informazio sistematik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SIUSS</w:t>
      </w:r>
      <w:r>
        <w:rPr>
          <w:rStyle w:val="Normal"/>
          <w:rFonts w:ascii="Arial" w:hAnsi="Arial"/>
          <w:sz w:val="22"/>
        </w:rPr>
        <w:t>)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eta oinarrizko gizarte zerbitzuen finantzaketari buruzko araudiari jarraituz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entitateek </w:t>
      </w:r>
      <w:r>
        <w:rPr>
          <w:rStyle w:val="Normal"/>
          <w:rFonts w:ascii="Arial" w:hAnsi="Arial"/>
          <w:sz w:val="22"/>
        </w:rPr>
        <w:t>2016</w:t>
      </w:r>
      <w:r>
        <w:rPr>
          <w:rStyle w:val="Normal"/>
          <w:rFonts w:ascii="Arial" w:hAnsi="Arial"/>
          <w:sz w:val="22"/>
        </w:rPr>
        <w:t xml:space="preserve">ko </w:t>
      </w:r>
      <w:r>
        <w:rPr>
          <w:rStyle w:val="Normal"/>
          <w:rFonts w:ascii="Arial" w:hAnsi="Arial"/>
          <w:sz w:val="22"/>
        </w:rPr>
        <w:t xml:space="preserve">ekitaldiko justifikazioa </w:t>
      </w:r>
      <w:r>
        <w:rPr>
          <w:rStyle w:val="Normal"/>
          <w:rFonts w:ascii="Arial" w:hAnsi="Arial"/>
          <w:sz w:val="22"/>
        </w:rPr>
        <w:t>2017</w:t>
      </w:r>
      <w:r>
        <w:rPr>
          <w:rStyle w:val="Normal"/>
          <w:rFonts w:ascii="Arial" w:hAnsi="Arial"/>
          <w:sz w:val="22"/>
        </w:rPr>
        <w:t>ko urtarrilean eta otsailean aurkeztu beharko bailukete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Horri erreparatuta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galderei erantzunen diegu</w:t>
      </w:r>
      <w:r>
        <w:rPr>
          <w:rStyle w:val="Normal"/>
          <w:rFonts w:ascii="Arial" w:hAnsi="Arial"/>
          <w:sz w:val="22"/>
        </w:rPr>
        <w:t>:</w: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Lehena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 xml:space="preserve">Zein izan zen </w:t>
      </w:r>
      <w:r>
        <w:rPr>
          <w:rStyle w:val="Normal"/>
          <w:rFonts w:ascii="Arial" w:hAnsi="Arial"/>
          <w:b/>
          <w:sz w:val="22"/>
        </w:rPr>
        <w:t>2015</w:t>
      </w:r>
      <w:r>
        <w:rPr>
          <w:rStyle w:val="Normal"/>
          <w:rFonts w:ascii="Arial" w:hAnsi="Arial"/>
          <w:b/>
          <w:sz w:val="22"/>
        </w:rPr>
        <w:t>ean udaletako Etxez Etxeko Laguntza Zerbitzuen aldetik arreta jaso zuen biztanleria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eta horren b</w:t>
      </w:r>
      <w:r>
        <w:rPr>
          <w:rStyle w:val="Normal"/>
          <w:rFonts w:ascii="Arial" w:hAnsi="Arial"/>
          <w:b/>
          <w:sz w:val="22"/>
        </w:rPr>
        <w:t>anaketa geografikoa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barrutika</w:t>
      </w:r>
      <w:r>
        <w:rPr>
          <w:rStyle w:val="Normal"/>
          <w:rFonts w:ascii="Arial" w:hAnsi="Arial"/>
          <w:b/>
          <w:sz w:val="22"/>
        </w:rPr>
        <w:t>?</w: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lastRenderedPageBreak/>
        <w:t>2015</w:t>
      </w:r>
      <w:r>
        <w:rPr>
          <w:rStyle w:val="Normal"/>
          <w:rFonts w:ascii="Arial" w:hAnsi="Arial"/>
          <w:sz w:val="22"/>
        </w:rPr>
        <w:t>ean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oinarrizko gizarte zerbitzuek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udaletako etxez etzeko laguntza zerbitzuen bitartez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4</w:t>
      </w:r>
      <w:r>
        <w:rPr>
          <w:rStyle w:val="Normal"/>
          <w:rFonts w:ascii="Arial" w:hAnsi="Arial"/>
          <w:sz w:val="22"/>
        </w:rPr>
        <w:t>.</w:t>
      </w:r>
      <w:r>
        <w:rPr>
          <w:rStyle w:val="Normal"/>
          <w:rFonts w:ascii="Arial" w:hAnsi="Arial"/>
          <w:sz w:val="22"/>
        </w:rPr>
        <w:t xml:space="preserve">298 </w:t>
      </w:r>
      <w:r>
        <w:rPr>
          <w:rStyle w:val="Normal"/>
          <w:rFonts w:ascii="Arial" w:hAnsi="Arial"/>
          <w:sz w:val="22"/>
        </w:rPr>
        <w:t>pertsona artatu zituzten</w:t>
      </w:r>
      <w:r>
        <w:rPr>
          <w:rStyle w:val="Normal"/>
          <w:rFonts w:ascii="Arial" w:hAnsi="Arial"/>
          <w:sz w:val="22"/>
        </w:rPr>
        <w:t xml:space="preserve">. </w: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Udaletako etxez etxeko laguntza zerbitzuek erkidegoko guztizko biztanleriaren ehuneko </w:t>
      </w:r>
      <w:r>
        <w:rPr>
          <w:rStyle w:val="Normal"/>
          <w:rFonts w:ascii="Arial" w:hAnsi="Arial"/>
          <w:sz w:val="22"/>
        </w:rPr>
        <w:t>0</w:t>
      </w:r>
      <w:r>
        <w:rPr>
          <w:rStyle w:val="Normal"/>
          <w:rFonts w:ascii="Arial" w:hAnsi="Arial"/>
          <w:sz w:val="22"/>
        </w:rPr>
        <w:t>,</w:t>
      </w:r>
      <w:r>
        <w:rPr>
          <w:rStyle w:val="Normal"/>
          <w:rFonts w:ascii="Arial" w:hAnsi="Arial"/>
          <w:sz w:val="22"/>
        </w:rPr>
        <w:t xml:space="preserve">67 </w:t>
      </w:r>
      <w:r>
        <w:rPr>
          <w:rStyle w:val="Normal"/>
          <w:rFonts w:ascii="Arial" w:hAnsi="Arial"/>
          <w:sz w:val="22"/>
        </w:rPr>
        <w:t xml:space="preserve">artatu </w:t>
      </w:r>
      <w:r>
        <w:rPr>
          <w:rStyle w:val="Normal"/>
          <w:rFonts w:ascii="Arial" w:hAnsi="Arial"/>
          <w:sz w:val="22"/>
        </w:rPr>
        <w:t>zuten</w:t>
      </w:r>
      <w:r>
        <w:rPr>
          <w:rStyle w:val="Normal"/>
          <w:rFonts w:ascii="Arial" w:hAnsi="Arial"/>
          <w:sz w:val="22"/>
        </w:rPr>
        <w:t xml:space="preserve">. </w:t>
      </w:r>
    </w:p>
    <w:p w:rsidR="00DB08ED" w:rsidRDefault="005A4315" w:rsidP="003B31F7">
      <w:pPr>
        <w:spacing w:line="360" w:lineRule="auto"/>
        <w:jc w:val="both"/>
        <w:rPr>
          <w:rStyle w:val="Normal"/>
          <w:rFonts w:ascii="Arial" w:hAnsi="Arial"/>
          <w:sz w:val="22"/>
        </w:rPr>
      </w:pPr>
      <w:r>
        <w:rPr>
          <w:rStyle w:val="Normal"/>
          <w:rFonts w:ascii="Arial" w:hAnsi="Arial"/>
          <w:sz w:val="22"/>
        </w:rPr>
        <w:t>Estaldura handiena duten oinarrizko eskualdeak Izaba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Auritz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Los Arcos eta Viana dira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eta bat datoz jarduketa bereziko eskualdeak izan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5</w:t>
      </w:r>
      <w:r>
        <w:rPr>
          <w:rStyle w:val="Normal"/>
          <w:rFonts w:ascii="Arial" w:hAnsi="Arial"/>
          <w:sz w:val="22"/>
        </w:rPr>
        <w:t>.</w:t>
      </w:r>
      <w:r>
        <w:rPr>
          <w:rStyle w:val="Normal"/>
          <w:rFonts w:ascii="Arial" w:hAnsi="Arial"/>
          <w:sz w:val="22"/>
        </w:rPr>
        <w:t xml:space="preserve">000 </w:t>
      </w:r>
      <w:r>
        <w:rPr>
          <w:rStyle w:val="Normal"/>
          <w:rFonts w:ascii="Arial" w:hAnsi="Arial"/>
          <w:sz w:val="22"/>
        </w:rPr>
        <w:t>biztanle baino gutxiagokoak</w:t>
      </w:r>
      <w:r>
        <w:rPr>
          <w:rStyle w:val="Normal"/>
          <w:rFonts w:ascii="Arial" w:hAnsi="Arial"/>
          <w:sz w:val="22"/>
        </w:rPr>
        <w:t xml:space="preserve">) </w:t>
      </w:r>
      <w:r>
        <w:rPr>
          <w:rStyle w:val="Normal"/>
          <w:rFonts w:ascii="Arial" w:hAnsi="Arial"/>
          <w:sz w:val="22"/>
        </w:rPr>
        <w:t xml:space="preserve">eta </w:t>
      </w:r>
      <w:r>
        <w:rPr>
          <w:rStyle w:val="Normal"/>
          <w:rFonts w:ascii="Arial" w:hAnsi="Arial"/>
          <w:sz w:val="22"/>
        </w:rPr>
        <w:t xml:space="preserve">65 </w:t>
      </w:r>
      <w:r>
        <w:rPr>
          <w:rStyle w:val="Normal"/>
          <w:rFonts w:ascii="Arial" w:hAnsi="Arial"/>
          <w:sz w:val="22"/>
        </w:rPr>
        <w:t>urtetik gorako biztanleen adierazle handiak dituztenekin</w:t>
      </w:r>
      <w:r>
        <w:rPr>
          <w:rStyle w:val="Normal"/>
          <w:rFonts w:ascii="Arial" w:hAnsi="Arial"/>
          <w:sz w:val="22"/>
        </w:rPr>
        <w:t xml:space="preserve">. </w:t>
      </w:r>
    </w:p>
    <w:p w:rsidR="00B6036D" w:rsidRDefault="00B6036D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1F7" w:rsidRPr="00B141F3" w:rsidRDefault="005A4315" w:rsidP="00B141F3">
      <w:pPr>
        <w:spacing w:line="360" w:lineRule="auto"/>
        <w:jc w:val="center"/>
        <w:rPr>
          <w:rFonts w:ascii="Arial" w:hAnsi="Arial" w:cs="Arial"/>
          <w:sz w:val="20"/>
          <w:szCs w:val="22"/>
        </w:rPr>
      </w:pPr>
      <w:r>
        <w:rPr>
          <w:rStyle w:val="Normal"/>
          <w:rFonts w:ascii="Arial" w:hAnsi="Arial"/>
          <w:sz w:val="20"/>
        </w:rPr>
        <w:t>Oinarriz</w:t>
      </w:r>
      <w:r>
        <w:rPr>
          <w:rStyle w:val="Normal"/>
          <w:rFonts w:ascii="Arial" w:hAnsi="Arial"/>
          <w:sz w:val="20"/>
        </w:rPr>
        <w:t>ko gizarte zerbitzuak artatutako biztanleak</w:t>
      </w:r>
      <w:r>
        <w:rPr>
          <w:rStyle w:val="Normal"/>
          <w:rFonts w:ascii="Arial" w:hAnsi="Arial"/>
          <w:sz w:val="20"/>
        </w:rPr>
        <w:t xml:space="preserve">, </w:t>
      </w:r>
      <w:r>
        <w:rPr>
          <w:rStyle w:val="Normal"/>
          <w:rFonts w:ascii="Arial" w:hAnsi="Arial"/>
          <w:sz w:val="20"/>
        </w:rPr>
        <w:t>eta oinarrizko eskualdeko biztanleen guztizkoan egiten duten ehunekoa</w:t>
      </w:r>
    </w:p>
    <w:tbl>
      <w:tblPr>
        <w:tblW w:w="5000" w:type="pct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1744"/>
        <w:gridCol w:w="1924"/>
        <w:gridCol w:w="1922"/>
      </w:tblGrid>
      <w:tr w:rsidR="003B31F7" w:rsidRPr="003B31F7" w:rsidTr="003B31F7">
        <w:trPr>
          <w:trHeight w:val="57"/>
          <w:tblHeader/>
        </w:trPr>
        <w:tc>
          <w:tcPr>
            <w:tcW w:w="1766" w:type="pct"/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Oinarrizko Gizarte Zerbitzua</w:t>
            </w:r>
          </w:p>
        </w:tc>
        <w:tc>
          <w:tcPr>
            <w:tcW w:w="1009" w:type="pct"/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Biztanleria</w:t>
            </w:r>
          </w:p>
        </w:tc>
        <w:tc>
          <w:tcPr>
            <w:tcW w:w="1113" w:type="pct"/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Arreta jaso duten pertsonak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b/>
                <w:sz w:val="18"/>
              </w:rPr>
              <w:t>guztira</w:t>
            </w:r>
          </w:p>
        </w:tc>
        <w:tc>
          <w:tcPr>
            <w:tcW w:w="1113" w:type="pct"/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Eskualdeko biztanleriaren gaineko ehunekoa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Allo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539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</w:t>
            </w:r>
            <w:r>
              <w:rPr>
                <w:rStyle w:val="Normal"/>
                <w:rFonts w:ascii="Arial" w:hAnsi="Arial"/>
                <w:sz w:val="18"/>
              </w:rPr>
              <w:t>5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Altsasu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9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747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49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Antzin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466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77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Agoitz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522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86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Aranguren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092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19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Style w:val="Normal"/>
                <w:rFonts w:ascii="Arial" w:hAnsi="Arial"/>
                <w:sz w:val="18"/>
              </w:rPr>
              <w:t>Artaxoa</w:t>
            </w:r>
            <w:proofErr w:type="spellEnd"/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522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60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Auritz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460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40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Aiegi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026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43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Barañain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444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23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Berriozar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050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99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35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Buñuel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361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54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B</w:t>
            </w:r>
            <w:r>
              <w:rPr>
                <w:rStyle w:val="Normal"/>
                <w:rFonts w:ascii="Arial" w:hAnsi="Arial"/>
                <w:sz w:val="18"/>
              </w:rPr>
              <w:t>urlata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162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31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Zarrakaztelu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871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51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Cascante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875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38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DB08E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Style w:val="Normal"/>
                <w:rFonts w:ascii="Arial" w:hAnsi="Arial"/>
                <w:sz w:val="18"/>
              </w:rPr>
              <w:t>Cintruénigo</w:t>
            </w:r>
            <w:proofErr w:type="spellEnd"/>
            <w:r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10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023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%</w:t>
            </w:r>
            <w:r>
              <w:rPr>
                <w:rStyle w:val="Normal"/>
                <w:rFonts w:ascii="Arial" w:hAnsi="Arial"/>
                <w:sz w:val="18"/>
              </w:rPr>
              <w:t> 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85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Zizur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17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747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32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Corella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256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120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98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Doneztebe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460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Eguesibarra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17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450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14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Elizondo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656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39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Lizarra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663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37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Etxarri Aranatz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660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35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Uharte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975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36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Irurtzun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186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Izaba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534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Leitza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071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23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Lesaka</w:t>
            </w:r>
            <w:r>
              <w:rPr>
                <w:rStyle w:val="Normal"/>
                <w:rFonts w:ascii="Arial" w:hAnsi="Arial"/>
                <w:sz w:val="18"/>
              </w:rPr>
              <w:t>-</w:t>
            </w:r>
            <w:r>
              <w:rPr>
                <w:rStyle w:val="Normal"/>
                <w:rFonts w:ascii="Arial" w:hAnsi="Arial"/>
                <w:sz w:val="18"/>
              </w:rPr>
              <w:t>Bortziriak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702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69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Lodosa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489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167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45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Los Arcos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500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04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DB08E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Noain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15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042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</w:t>
            </w: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Erriberri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838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87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Orkoien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408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22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Iruña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197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604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554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79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Azkoien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13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908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51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Gares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959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72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Zaraitzu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757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28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San Adrián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186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51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Zangoza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10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473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Tafalla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13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344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51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Tutera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35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358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136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38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Ultzama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765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62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Valtierra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13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338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137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03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Viana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598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94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04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Villatuerta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014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63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26</w:t>
            </w:r>
          </w:p>
        </w:tc>
      </w:tr>
      <w:tr w:rsidR="003B31F7" w:rsidRPr="003B31F7" w:rsidTr="003B31F7">
        <w:trPr>
          <w:trHeight w:val="57"/>
        </w:trPr>
        <w:tc>
          <w:tcPr>
            <w:tcW w:w="1766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Atarrabia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465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101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81</w:t>
            </w:r>
          </w:p>
        </w:tc>
      </w:tr>
      <w:tr w:rsidR="003B31F7" w:rsidRPr="003B31F7" w:rsidTr="003B31F7">
        <w:trPr>
          <w:trHeight w:val="395"/>
        </w:trPr>
        <w:tc>
          <w:tcPr>
            <w:tcW w:w="1766" w:type="pct"/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lastRenderedPageBreak/>
              <w:t>Orokorra</w:t>
            </w:r>
            <w:r>
              <w:rPr>
                <w:rStyle w:val="Normal"/>
                <w:rFonts w:ascii="Arial" w:hAnsi="Arial"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sz w:val="18"/>
              </w:rPr>
              <w:t>guztira</w:t>
            </w:r>
          </w:p>
        </w:tc>
        <w:tc>
          <w:tcPr>
            <w:tcW w:w="1009" w:type="pct"/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644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566</w:t>
            </w:r>
          </w:p>
        </w:tc>
        <w:tc>
          <w:tcPr>
            <w:tcW w:w="1113" w:type="pct"/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298</w:t>
            </w:r>
          </w:p>
        </w:tc>
        <w:tc>
          <w:tcPr>
            <w:tcW w:w="1113" w:type="pct"/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67</w:t>
            </w:r>
          </w:p>
        </w:tc>
      </w:tr>
    </w:tbl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Gizarte Zerbitzuetako barrutietan artatutako pertsonen banaketari dagok</w:t>
      </w:r>
      <w:r>
        <w:rPr>
          <w:rStyle w:val="Normal"/>
          <w:rFonts w:ascii="Arial" w:hAnsi="Arial"/>
          <w:sz w:val="22"/>
        </w:rPr>
        <w:t>ionez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Iruñeko eta Iruñerriko barrutiak du kontzentrazio handiena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Nafarroan artatutako pertsonen ehuneko </w:t>
      </w:r>
      <w:r>
        <w:rPr>
          <w:rStyle w:val="Normal"/>
          <w:rFonts w:ascii="Arial" w:hAnsi="Arial"/>
          <w:sz w:val="22"/>
        </w:rPr>
        <w:t xml:space="preserve">49 </w:t>
      </w:r>
      <w:r>
        <w:rPr>
          <w:rStyle w:val="Normal"/>
          <w:rFonts w:ascii="Arial" w:hAnsi="Arial"/>
          <w:sz w:val="22"/>
        </w:rPr>
        <w:t>hartzen baitute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baina horrek zuzeneko lotura dauka Nafarroako biztanleriaren pilaketa handiena bertan egotearekin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Hala eta guztiz ere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etxez etxe</w:t>
      </w:r>
      <w:r>
        <w:rPr>
          <w:rStyle w:val="Normal"/>
          <w:rFonts w:ascii="Arial" w:hAnsi="Arial"/>
          <w:sz w:val="22"/>
        </w:rPr>
        <w:t>ko laguntza zerbitzuak barruti horietako bakoitzean daukan eragina aztertzen badugu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Lizarrako eta Ipar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ekialdeko barrutiak dira estaldura handiena dutenak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sz w:val="22"/>
        </w:rPr>
        <w:t>estaldura txikiena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berriz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Iruñean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Iruñerrian eta Tafallako barrutian gertatzen dira</w:t>
      </w:r>
      <w:r>
        <w:rPr>
          <w:rStyle w:val="Normal"/>
          <w:rFonts w:ascii="Arial" w:hAnsi="Arial"/>
          <w:sz w:val="22"/>
        </w:rPr>
        <w:t>.</w:t>
      </w:r>
    </w:p>
    <w:p w:rsidR="00B6036D" w:rsidRDefault="00B6036D" w:rsidP="00B141F3">
      <w:pPr>
        <w:spacing w:line="360" w:lineRule="auto"/>
        <w:jc w:val="center"/>
        <w:rPr>
          <w:rStyle w:val="Normal"/>
          <w:rFonts w:ascii="Arial" w:hAnsi="Arial"/>
          <w:sz w:val="22"/>
        </w:rPr>
      </w:pPr>
    </w:p>
    <w:p w:rsidR="003B31F7" w:rsidRPr="00B6036D" w:rsidRDefault="005A4315" w:rsidP="00B141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6036D">
        <w:rPr>
          <w:rStyle w:val="Normal"/>
          <w:rFonts w:ascii="Arial" w:hAnsi="Arial"/>
          <w:sz w:val="20"/>
          <w:szCs w:val="20"/>
        </w:rPr>
        <w:t>Barrutietan</w:t>
      </w:r>
      <w:r w:rsidRPr="00B6036D">
        <w:rPr>
          <w:rStyle w:val="Normal"/>
          <w:rFonts w:ascii="Arial" w:hAnsi="Arial"/>
          <w:sz w:val="20"/>
          <w:szCs w:val="20"/>
        </w:rPr>
        <w:t xml:space="preserve"> artatutako biztanleak</w:t>
      </w:r>
      <w:r w:rsidRPr="00B6036D">
        <w:rPr>
          <w:rStyle w:val="Normal"/>
          <w:rFonts w:ascii="Arial" w:hAnsi="Arial"/>
          <w:sz w:val="20"/>
          <w:szCs w:val="20"/>
        </w:rPr>
        <w:t xml:space="preserve">, </w:t>
      </w:r>
      <w:r w:rsidRPr="00B6036D">
        <w:rPr>
          <w:rStyle w:val="Normal"/>
          <w:rFonts w:ascii="Arial" w:hAnsi="Arial"/>
          <w:sz w:val="20"/>
          <w:szCs w:val="20"/>
        </w:rPr>
        <w:t>eta barrutiko biztanleen guztizkoan egiten duten ehunekoa</w:t>
      </w:r>
      <w:r w:rsidR="00B6036D">
        <w:rPr>
          <w:rStyle w:val="Normal"/>
          <w:rFonts w:ascii="Arial" w:hAnsi="Arial"/>
          <w:sz w:val="20"/>
          <w:szCs w:val="20"/>
        </w:rP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639"/>
        <w:gridCol w:w="2031"/>
        <w:gridCol w:w="2057"/>
      </w:tblGrid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Oinarrizko gizarte zerbitzuaren barrutia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Biztanleria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Arreta jaso duten pertsonen kopurua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Barrutiko populazioaren guztizkoaren gaineko ehunekoa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Lizarra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440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753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04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Ipa</w:t>
            </w:r>
            <w:r>
              <w:rPr>
                <w:rStyle w:val="Normal"/>
                <w:rFonts w:ascii="Arial" w:hAnsi="Arial"/>
                <w:sz w:val="18"/>
              </w:rPr>
              <w:t>r</w:t>
            </w:r>
            <w:r>
              <w:rPr>
                <w:rStyle w:val="Normal"/>
                <w:rFonts w:ascii="Arial" w:hAnsi="Arial"/>
                <w:sz w:val="18"/>
              </w:rPr>
              <w:t>-</w:t>
            </w:r>
            <w:r>
              <w:rPr>
                <w:rStyle w:val="Normal"/>
                <w:rFonts w:ascii="Arial" w:hAnsi="Arial"/>
                <w:sz w:val="18"/>
              </w:rPr>
              <w:t>ekialdea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20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746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242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17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Ipar</w:t>
            </w:r>
            <w:r>
              <w:rPr>
                <w:rStyle w:val="Normal"/>
                <w:rFonts w:ascii="Arial" w:hAnsi="Arial"/>
                <w:sz w:val="18"/>
              </w:rPr>
              <w:t>-</w:t>
            </w:r>
            <w:r>
              <w:rPr>
                <w:rStyle w:val="Normal"/>
                <w:rFonts w:ascii="Arial" w:hAnsi="Arial"/>
                <w:sz w:val="18"/>
              </w:rPr>
              <w:t>mendebaldea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51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482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315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61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Iruña eta Iruñerria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356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204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113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59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Tafalla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46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483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274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59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Tutera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97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211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601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62</w:t>
            </w:r>
          </w:p>
        </w:tc>
      </w:tr>
      <w:tr w:rsidR="003B31F7" w:rsidRPr="003B31F7" w:rsidTr="003B31F7">
        <w:trPr>
          <w:trHeight w:val="420"/>
        </w:trPr>
        <w:tc>
          <w:tcPr>
            <w:tcW w:w="168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C6D9F1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Orokorra</w:t>
            </w:r>
            <w:r>
              <w:rPr>
                <w:rStyle w:val="Normal"/>
                <w:rFonts w:ascii="Arial" w:hAnsi="Arial"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sz w:val="18"/>
              </w:rPr>
              <w:t>guztira</w:t>
            </w:r>
          </w:p>
        </w:tc>
        <w:tc>
          <w:tcPr>
            <w:tcW w:w="948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C6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644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566</w:t>
            </w:r>
          </w:p>
        </w:tc>
        <w:tc>
          <w:tcPr>
            <w:tcW w:w="1175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C6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.</w:t>
            </w:r>
            <w:r>
              <w:rPr>
                <w:rStyle w:val="Normal"/>
                <w:rFonts w:ascii="Arial" w:hAnsi="Arial"/>
                <w:sz w:val="18"/>
              </w:rPr>
              <w:t>298</w:t>
            </w:r>
          </w:p>
        </w:tc>
        <w:tc>
          <w:tcPr>
            <w:tcW w:w="1190" w:type="pct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C6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67</w:t>
            </w:r>
          </w:p>
        </w:tc>
      </w:tr>
    </w:tbl>
    <w:p w:rsidR="003B31F7" w:rsidRDefault="005A4315" w:rsidP="003B31F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br w:type="page"/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lastRenderedPageBreak/>
        <w:t>Bigarrena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Arreta jaso duen biztanleriaren bilakaera</w:t>
      </w:r>
      <w:r>
        <w:rPr>
          <w:rStyle w:val="Normal"/>
          <w:rFonts w:ascii="Arial" w:hAnsi="Arial"/>
          <w:b/>
          <w:sz w:val="22"/>
        </w:rPr>
        <w:t>.</w:t>
      </w:r>
    </w:p>
    <w:p w:rsidR="003B31F7" w:rsidRPr="003B31F7" w:rsidRDefault="005A4315" w:rsidP="003B31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Artatutako biztanleriaren bilakaera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2011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2015</w:t>
      </w:r>
      <w:r>
        <w:rPr>
          <w:rStyle w:val="Normal"/>
          <w:rFonts w:ascii="Arial" w:hAnsi="Arial"/>
          <w:sz w:val="22"/>
        </w:rPr>
        <w:t>)</w:t>
      </w:r>
    </w:p>
    <w:p w:rsidR="00DB08ED" w:rsidRDefault="005A4315" w:rsidP="003B31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object w:dxaOrig="720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in">
            <v:imagedata r:id="rId8" o:title=""/>
            <o:lock v:ext="edit" aspectratio="f"/>
          </v:shape>
        </w:objec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"/>
          <w:rFonts w:ascii="Arial" w:hAnsi="Arial"/>
          <w:b/>
          <w:sz w:val="22"/>
        </w:rPr>
        <w:t>Hirugarrena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Itxaron</w:t>
      </w:r>
      <w:r>
        <w:rPr>
          <w:rStyle w:val="Normal"/>
          <w:rFonts w:ascii="Arial" w:hAnsi="Arial"/>
          <w:b/>
          <w:sz w:val="22"/>
        </w:rPr>
        <w:t>-</w:t>
      </w:r>
      <w:r>
        <w:rPr>
          <w:rStyle w:val="Normal"/>
          <w:rFonts w:ascii="Arial" w:hAnsi="Arial"/>
          <w:b/>
          <w:sz w:val="22"/>
        </w:rPr>
        <w:t>zerrenda eta banaketa geografikoa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barrutika</w:t>
      </w:r>
      <w:r>
        <w:rPr>
          <w:rStyle w:val="Normal"/>
          <w:rFonts w:ascii="Arial" w:hAnsi="Arial"/>
          <w:b/>
          <w:sz w:val="22"/>
        </w:rPr>
        <w:t>.</w: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Datu horrek </w:t>
      </w:r>
      <w:r>
        <w:rPr>
          <w:rStyle w:val="Normal"/>
          <w:rFonts w:ascii="Arial" w:hAnsi="Arial"/>
          <w:sz w:val="22"/>
        </w:rPr>
        <w:t>2015</w:t>
      </w:r>
      <w:r>
        <w:rPr>
          <w:rStyle w:val="Normal"/>
          <w:rFonts w:ascii="Arial" w:hAnsi="Arial"/>
          <w:sz w:val="22"/>
        </w:rPr>
        <w:t xml:space="preserve">eko abenduaren </w:t>
      </w:r>
      <w:r>
        <w:rPr>
          <w:rStyle w:val="Normal"/>
          <w:rFonts w:ascii="Arial" w:hAnsi="Arial"/>
          <w:sz w:val="22"/>
        </w:rPr>
        <w:t>31</w:t>
      </w:r>
      <w:r>
        <w:rPr>
          <w:rStyle w:val="Normal"/>
          <w:rFonts w:ascii="Arial" w:hAnsi="Arial"/>
          <w:sz w:val="22"/>
        </w:rPr>
        <w:t>n itxaron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zerrendan zeuden pertsonei egiten die erreferentzia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Oinarrizko Gi</w:t>
      </w:r>
      <w:r>
        <w:rPr>
          <w:rStyle w:val="Normal"/>
          <w:rFonts w:ascii="Arial" w:hAnsi="Arial"/>
          <w:sz w:val="22"/>
        </w:rPr>
        <w:t xml:space="preserve">zarte Zerbitzuen </w:t>
      </w:r>
      <w:r>
        <w:rPr>
          <w:rStyle w:val="Normal"/>
          <w:rFonts w:ascii="Arial" w:hAnsi="Arial"/>
          <w:sz w:val="22"/>
        </w:rPr>
        <w:t xml:space="preserve">% </w:t>
      </w:r>
      <w:r>
        <w:rPr>
          <w:rStyle w:val="Normal"/>
          <w:rFonts w:ascii="Arial" w:hAnsi="Arial"/>
          <w:sz w:val="22"/>
        </w:rPr>
        <w:t>51</w:t>
      </w:r>
      <w:r>
        <w:rPr>
          <w:rStyle w:val="Normal"/>
          <w:rFonts w:ascii="Arial" w:hAnsi="Arial"/>
          <w:sz w:val="22"/>
        </w:rPr>
        <w:t xml:space="preserve">k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23</w:t>
      </w:r>
      <w:r>
        <w:rPr>
          <w:rStyle w:val="Normal"/>
          <w:rFonts w:ascii="Arial" w:hAnsi="Arial"/>
          <w:sz w:val="22"/>
        </w:rPr>
        <w:t xml:space="preserve">) </w:t>
      </w:r>
      <w:proofErr w:type="spellStart"/>
      <w:r>
        <w:rPr>
          <w:rStyle w:val="Normal"/>
          <w:rFonts w:ascii="Arial" w:hAnsi="Arial"/>
          <w:sz w:val="22"/>
        </w:rPr>
        <w:t>itxaron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zerrenda</w:t>
      </w:r>
      <w:proofErr w:type="spellEnd"/>
      <w:r>
        <w:rPr>
          <w:rStyle w:val="Normal"/>
          <w:rFonts w:ascii="Arial" w:hAnsi="Arial"/>
          <w:sz w:val="22"/>
        </w:rPr>
        <w:t xml:space="preserve"> dute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Honakoa da zerbitzuz zerbitzuko banaketa</w:t>
      </w:r>
      <w:r>
        <w:rPr>
          <w:rStyle w:val="Normal"/>
          <w:rFonts w:ascii="Arial" w:hAnsi="Arial"/>
          <w:sz w:val="22"/>
        </w:rPr>
        <w:t xml:space="preserve">: </w:t>
      </w:r>
    </w:p>
    <w:p w:rsidR="003B31F7" w:rsidRPr="003B31F7" w:rsidRDefault="005A4315" w:rsidP="00B141F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Style w:val="Normal"/>
          <w:rFonts w:ascii="Arial" w:hAnsi="Arial"/>
          <w:sz w:val="22"/>
        </w:rPr>
        <w:t>Itxaron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zerrendan</w:t>
      </w:r>
      <w:proofErr w:type="spellEnd"/>
      <w:r>
        <w:rPr>
          <w:rStyle w:val="Normal"/>
          <w:rFonts w:ascii="Arial" w:hAnsi="Arial"/>
          <w:sz w:val="22"/>
        </w:rPr>
        <w:t xml:space="preserve"> dauden pertsonak</w:t>
      </w:r>
      <w:r w:rsidR="006A0319">
        <w:rPr>
          <w:rStyle w:val="Normal"/>
          <w:rFonts w:ascii="Arial" w:hAnsi="Arial"/>
          <w:sz w:val="22"/>
        </w:rPr>
        <w:t>,</w:t>
      </w:r>
      <w:r w:rsidR="006A0319">
        <w:rPr>
          <w:rStyle w:val="Normal"/>
          <w:rFonts w:ascii="Arial" w:hAnsi="Arial"/>
          <w:sz w:val="22"/>
        </w:rPr>
        <w:br/>
      </w:r>
      <w:r>
        <w:rPr>
          <w:rStyle w:val="Normal"/>
          <w:rFonts w:ascii="Arial" w:hAnsi="Arial"/>
          <w:sz w:val="22"/>
        </w:rPr>
        <w:t>oinarrizko gizarte zerbitzu bakoitzean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2015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12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31</w:t>
      </w:r>
      <w:r>
        <w:rPr>
          <w:rStyle w:val="Normal"/>
          <w:rFonts w:ascii="Arial" w:hAnsi="Arial"/>
          <w:sz w:val="22"/>
        </w:rPr>
        <w:t>n</w:t>
      </w:r>
      <w:r w:rsidR="006A0319">
        <w:rPr>
          <w:rStyle w:val="Normal"/>
          <w:rFonts w:ascii="Arial" w:hAnsi="Arial"/>
          <w:sz w:val="22"/>
        </w:rPr>
        <w:br/>
      </w:r>
    </w:p>
    <w:tbl>
      <w:tblPr>
        <w:tblW w:w="43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3513"/>
      </w:tblGrid>
      <w:tr w:rsidR="003B31F7" w:rsidRPr="003B31F7" w:rsidTr="003B31F7">
        <w:trPr>
          <w:trHeight w:val="225"/>
          <w:tblHeader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 xml:space="preserve">Oinarrizko gizarte zerbitzuak 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</w:tcPr>
          <w:p w:rsidR="003B31F7" w:rsidRPr="003B31F7" w:rsidRDefault="005A4315" w:rsidP="006A03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Normal"/>
                <w:rFonts w:ascii="Arial" w:hAnsi="Arial"/>
                <w:b/>
                <w:sz w:val="18"/>
              </w:rPr>
              <w:t>Itxaron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>zerrendan</w:t>
            </w:r>
            <w:proofErr w:type="spellEnd"/>
            <w:r>
              <w:rPr>
                <w:rStyle w:val="Normal"/>
                <w:rFonts w:ascii="Arial" w:hAnsi="Arial"/>
                <w:b/>
                <w:sz w:val="18"/>
              </w:rPr>
              <w:t xml:space="preserve"> dauden pertsonak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b/>
                <w:sz w:val="18"/>
              </w:rPr>
              <w:t>2015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>12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>31</w:t>
            </w:r>
            <w:r>
              <w:rPr>
                <w:rStyle w:val="Normal"/>
                <w:rFonts w:ascii="Arial" w:hAnsi="Arial"/>
                <w:b/>
                <w:sz w:val="18"/>
              </w:rPr>
              <w:t>n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Allo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Altsasu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Antzin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Agoitz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6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Aranguren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Artaxoa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Auritz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Aiegi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DB08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Barañain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Berriozar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24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Buñuel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9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Burlata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13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Zarrakaztelu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Cascante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DB08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Normal"/>
                <w:rFonts w:ascii="Arial" w:hAnsi="Arial"/>
                <w:sz w:val="18"/>
              </w:rPr>
              <w:t>Cintruénigo</w:t>
            </w:r>
            <w:proofErr w:type="spellEnd"/>
            <w:r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Zizur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Corella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7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Doneztebe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11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Eguesibarra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Elizondo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Lizarra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12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Etx</w:t>
            </w:r>
            <w:r>
              <w:rPr>
                <w:rStyle w:val="Normal"/>
                <w:rFonts w:ascii="Arial" w:hAnsi="Arial"/>
                <w:sz w:val="18"/>
              </w:rPr>
              <w:t>arri Aranatz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Uharte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Irurtzun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5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lastRenderedPageBreak/>
              <w:t>Izaba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Leitza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Normal"/>
                <w:rFonts w:ascii="Arial" w:hAnsi="Arial"/>
                <w:sz w:val="18"/>
              </w:rPr>
              <w:t>Lesaka</w:t>
            </w:r>
            <w:r>
              <w:rPr>
                <w:rStyle w:val="Normal"/>
                <w:rFonts w:ascii="Arial" w:hAnsi="Arial"/>
                <w:sz w:val="18"/>
              </w:rPr>
              <w:t>-</w:t>
            </w:r>
            <w:r>
              <w:rPr>
                <w:rStyle w:val="Normal"/>
                <w:rFonts w:ascii="Arial" w:hAnsi="Arial"/>
                <w:sz w:val="18"/>
              </w:rPr>
              <w:t>Bortziriak</w:t>
            </w:r>
            <w:proofErr w:type="spellEnd"/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16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Lodosa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23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Los Arcos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DB08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Noain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Erriberri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5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Orkoien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Iruña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Azkoien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11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Gares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Zaraitzu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San Adrián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Zangoza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7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Tafalla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Tutera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3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Ultzama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Valtierra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Viana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Villatuerta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Atarrabia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</w:tr>
      <w:tr w:rsidR="003B31F7" w:rsidRPr="003B31F7" w:rsidTr="003B31F7">
        <w:trPr>
          <w:trHeight w:val="225"/>
          <w:jc w:val="center"/>
        </w:trPr>
        <w:tc>
          <w:tcPr>
            <w:tcW w:w="2686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Orokorra</w:t>
            </w:r>
            <w:r>
              <w:rPr>
                <w:rStyle w:val="Normal"/>
                <w:rFonts w:ascii="Arial" w:hAnsi="Arial"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sz w:val="18"/>
              </w:rPr>
              <w:t>guztira</w:t>
            </w:r>
          </w:p>
        </w:tc>
        <w:tc>
          <w:tcPr>
            <w:tcW w:w="2314" w:type="pct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176</w:t>
            </w:r>
          </w:p>
        </w:tc>
      </w:tr>
    </w:tbl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Arreta hartzeko dauden pertsonak </w:t>
      </w:r>
      <w:r>
        <w:rPr>
          <w:rStyle w:val="Normal"/>
          <w:rFonts w:ascii="Arial" w:hAnsi="Arial"/>
          <w:sz w:val="22"/>
        </w:rPr>
        <w:t xml:space="preserve">176 </w:t>
      </w:r>
      <w:r>
        <w:rPr>
          <w:rStyle w:val="Normal"/>
          <w:rFonts w:ascii="Arial" w:hAnsi="Arial"/>
          <w:sz w:val="22"/>
        </w:rPr>
        <w:t>dira guztira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Honako hau da barrutien araberako banaketa geografikoa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betiere nabarmenduta Ipar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ekialdeko eta Tafallako barrutiak direla itxaron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zerrenda txikienak di</w:t>
      </w:r>
      <w:r>
        <w:rPr>
          <w:rStyle w:val="Normal"/>
          <w:rFonts w:ascii="Arial" w:hAnsi="Arial"/>
          <w:sz w:val="22"/>
        </w:rPr>
        <w:t>tuztenak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eta Lizarrako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Ipar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mendebaldeko eta Iruñeko eta Iruñerriko barrutiek antzeko datuak dituztela</w:t>
      </w:r>
      <w:r>
        <w:rPr>
          <w:rStyle w:val="Normal"/>
          <w:rFonts w:ascii="Arial" w:hAnsi="Arial"/>
          <w:sz w:val="22"/>
        </w:rPr>
        <w:t>.</w:t>
      </w:r>
    </w:p>
    <w:p w:rsidR="003B31F7" w:rsidRPr="00B141F3" w:rsidRDefault="005A4315" w:rsidP="00B141F3">
      <w:pPr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Itxaron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zerrendan dauden pertsonak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barrutiz </w:t>
      </w:r>
      <w:proofErr w:type="spellStart"/>
      <w:r>
        <w:rPr>
          <w:rStyle w:val="Normal"/>
          <w:rFonts w:ascii="Arial" w:hAnsi="Arial"/>
          <w:sz w:val="22"/>
        </w:rPr>
        <w:t>barruti</w:t>
      </w:r>
      <w:proofErr w:type="spellEnd"/>
      <w:r w:rsidR="006A0319">
        <w:rPr>
          <w:rStyle w:val="Normal"/>
          <w:rFonts w:ascii="Arial" w:hAnsi="Arial"/>
          <w:sz w:val="22"/>
        </w:rPr>
        <w:br/>
      </w:r>
    </w:p>
    <w:tbl>
      <w:tblPr>
        <w:tblW w:w="4438" w:type="pct"/>
        <w:jc w:val="center"/>
        <w:tblInd w:w="610" w:type="dxa"/>
        <w:tblBorders>
          <w:top w:val="single" w:sz="8" w:space="0" w:color="366092"/>
          <w:left w:val="single" w:sz="8" w:space="0" w:color="366092"/>
          <w:bottom w:val="single" w:sz="8" w:space="0" w:color="366092"/>
          <w:right w:val="single" w:sz="8" w:space="0" w:color="366092"/>
          <w:insideH w:val="single" w:sz="8" w:space="0" w:color="36609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1"/>
        <w:gridCol w:w="4181"/>
      </w:tblGrid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4F81BD" w:fill="4F81BD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Oinarrizko gizarte zerbitzuaren barrutia</w:t>
            </w:r>
          </w:p>
        </w:tc>
        <w:tc>
          <w:tcPr>
            <w:tcW w:w="2811" w:type="pct"/>
            <w:shd w:val="clear" w:color="4F81BD" w:fill="4F81BD"/>
            <w:vAlign w:val="center"/>
          </w:tcPr>
          <w:p w:rsidR="003B31F7" w:rsidRPr="003B31F7" w:rsidRDefault="005A4315" w:rsidP="006A0319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2015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>12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>31</w:t>
            </w:r>
            <w:r>
              <w:rPr>
                <w:rStyle w:val="Normal"/>
                <w:rFonts w:ascii="Arial" w:hAnsi="Arial"/>
                <w:b/>
                <w:sz w:val="18"/>
              </w:rPr>
              <w:t>n itxaron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>zerrendan dauden pertsonen batura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L</w:t>
            </w:r>
            <w:r>
              <w:rPr>
                <w:rStyle w:val="Normal"/>
                <w:rFonts w:ascii="Arial" w:hAnsi="Arial"/>
                <w:sz w:val="18"/>
              </w:rPr>
              <w:t>izarra</w:t>
            </w:r>
          </w:p>
        </w:tc>
        <w:tc>
          <w:tcPr>
            <w:tcW w:w="2811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41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Ipar</w:t>
            </w:r>
            <w:r>
              <w:rPr>
                <w:rStyle w:val="Normal"/>
                <w:rFonts w:ascii="Arial" w:hAnsi="Arial"/>
                <w:sz w:val="18"/>
              </w:rPr>
              <w:t>-</w:t>
            </w:r>
            <w:r>
              <w:rPr>
                <w:rStyle w:val="Normal"/>
                <w:rFonts w:ascii="Arial" w:hAnsi="Arial"/>
                <w:sz w:val="18"/>
              </w:rPr>
              <w:t>ekialdea</w:t>
            </w:r>
          </w:p>
        </w:tc>
        <w:tc>
          <w:tcPr>
            <w:tcW w:w="2811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13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Ipar</w:t>
            </w:r>
            <w:r>
              <w:rPr>
                <w:rStyle w:val="Normal"/>
                <w:rFonts w:ascii="Arial" w:hAnsi="Arial"/>
                <w:sz w:val="18"/>
              </w:rPr>
              <w:t>-</w:t>
            </w:r>
            <w:r>
              <w:rPr>
                <w:rStyle w:val="Normal"/>
                <w:rFonts w:ascii="Arial" w:hAnsi="Arial"/>
                <w:sz w:val="18"/>
              </w:rPr>
              <w:t>mendebaldea</w:t>
            </w:r>
          </w:p>
        </w:tc>
        <w:tc>
          <w:tcPr>
            <w:tcW w:w="2811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40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Iruña eta Iruñerria</w:t>
            </w:r>
          </w:p>
        </w:tc>
        <w:tc>
          <w:tcPr>
            <w:tcW w:w="2811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43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Tafalla</w:t>
            </w:r>
          </w:p>
        </w:tc>
        <w:tc>
          <w:tcPr>
            <w:tcW w:w="2811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16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Tutera</w:t>
            </w:r>
          </w:p>
        </w:tc>
        <w:tc>
          <w:tcPr>
            <w:tcW w:w="2811" w:type="pct"/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23</w:t>
            </w:r>
          </w:p>
        </w:tc>
      </w:tr>
      <w:tr w:rsidR="003B31F7" w:rsidRPr="003B31F7" w:rsidTr="003B31F7">
        <w:trPr>
          <w:trHeight w:val="360"/>
          <w:jc w:val="center"/>
        </w:trPr>
        <w:tc>
          <w:tcPr>
            <w:tcW w:w="2189" w:type="pct"/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Orokorra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b/>
                <w:sz w:val="18"/>
              </w:rPr>
              <w:t>guztira</w:t>
            </w:r>
          </w:p>
        </w:tc>
        <w:tc>
          <w:tcPr>
            <w:tcW w:w="2811" w:type="pct"/>
            <w:shd w:val="clear" w:color="000000" w:fill="C5D9F1"/>
            <w:noWrap/>
            <w:vAlign w:val="center"/>
          </w:tcPr>
          <w:p w:rsidR="003B31F7" w:rsidRPr="003B31F7" w:rsidRDefault="005A4315" w:rsidP="003B31F7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176</w:t>
            </w:r>
          </w:p>
        </w:tc>
      </w:tr>
    </w:tbl>
    <w:p w:rsidR="00B141F3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Style w:val="Normal"/>
          <w:rFonts w:ascii="Arial" w:hAnsi="Arial"/>
          <w:b/>
          <w:sz w:val="22"/>
        </w:rPr>
        <w:lastRenderedPageBreak/>
        <w:t>Laugarrena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erabiltzaileen ezaugarriak</w:t>
      </w:r>
      <w:r>
        <w:rPr>
          <w:rStyle w:val="Normal"/>
          <w:rFonts w:ascii="Arial" w:hAnsi="Arial"/>
          <w:b/>
          <w:sz w:val="22"/>
        </w:rPr>
        <w:t xml:space="preserve">. </w:t>
      </w:r>
      <w:r>
        <w:rPr>
          <w:rStyle w:val="Normal"/>
          <w:rFonts w:ascii="Arial" w:hAnsi="Arial"/>
          <w:b/>
          <w:sz w:val="22"/>
        </w:rPr>
        <w:t>Arreta jaso dutenen banaketa</w:t>
      </w:r>
      <w:r>
        <w:rPr>
          <w:rStyle w:val="Normal"/>
          <w:rFonts w:ascii="Arial" w:hAnsi="Arial"/>
          <w:b/>
          <w:sz w:val="22"/>
        </w:rPr>
        <w:t xml:space="preserve">, </w:t>
      </w:r>
      <w:r>
        <w:rPr>
          <w:rStyle w:val="Normal"/>
          <w:rFonts w:ascii="Arial" w:hAnsi="Arial"/>
          <w:b/>
          <w:sz w:val="22"/>
        </w:rPr>
        <w:t>sexuaren eta adinaren arabera</w:t>
      </w:r>
      <w:r>
        <w:rPr>
          <w:rStyle w:val="Normal"/>
          <w:rFonts w:ascii="Arial" w:hAnsi="Arial"/>
          <w:b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Hurrengo irudian ikusten den beza</w:t>
      </w:r>
      <w:r>
        <w:rPr>
          <w:rStyle w:val="Normal"/>
          <w:rFonts w:ascii="Arial" w:hAnsi="Arial"/>
          <w:sz w:val="22"/>
        </w:rPr>
        <w:t>la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artatutako pertsona gehienen </w:t>
      </w:r>
      <w:r>
        <w:rPr>
          <w:rStyle w:val="Normal"/>
          <w:rFonts w:ascii="Arial" w:hAnsi="Arial"/>
          <w:sz w:val="22"/>
        </w:rPr>
        <w:t xml:space="preserve">% </w:t>
      </w:r>
      <w:r>
        <w:rPr>
          <w:rStyle w:val="Normal"/>
          <w:rFonts w:ascii="Arial" w:hAnsi="Arial"/>
          <w:sz w:val="22"/>
        </w:rPr>
        <w:t xml:space="preserve">66 </w:t>
      </w:r>
      <w:r>
        <w:rPr>
          <w:rStyle w:val="Normal"/>
          <w:rFonts w:ascii="Arial" w:hAnsi="Arial"/>
          <w:sz w:val="22"/>
        </w:rPr>
        <w:t>emakumeak dira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sz w:val="22"/>
        </w:rPr>
        <w:t xml:space="preserve">% </w:t>
      </w:r>
      <w:r>
        <w:rPr>
          <w:rStyle w:val="Normal"/>
          <w:rFonts w:ascii="Arial" w:hAnsi="Arial"/>
          <w:sz w:val="22"/>
        </w:rPr>
        <w:t>34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berriz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gizonezkoak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Urtetan joera horri eutsi egin zaio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ehunekoetan alde txikiak baitaude</w:t>
      </w:r>
      <w:r>
        <w:rPr>
          <w:rStyle w:val="Normal"/>
          <w:rFonts w:ascii="Arial" w:hAnsi="Arial"/>
          <w:sz w:val="22"/>
        </w:rPr>
        <w:t>.</w:t>
      </w:r>
    </w:p>
    <w:p w:rsidR="00DB08ED" w:rsidRDefault="003F7B1D" w:rsidP="003B31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 w:eastAsia="es-ES"/>
        </w:rPr>
        <w:drawing>
          <wp:inline distT="0" distB="0" distL="0" distR="0">
            <wp:extent cx="3985260" cy="2026920"/>
            <wp:effectExtent l="0" t="0" r="15240" b="1143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31F7" w:rsidRPr="003B31F7" w:rsidRDefault="005A4315" w:rsidP="00B141F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Style w:val="Normal"/>
          <w:rFonts w:ascii="Arial" w:hAnsi="Arial"/>
          <w:sz w:val="22"/>
        </w:rPr>
        <w:t>A</w:t>
      </w:r>
      <w:r>
        <w:rPr>
          <w:rStyle w:val="Normal"/>
          <w:rFonts w:ascii="Arial" w:hAnsi="Arial"/>
          <w:sz w:val="22"/>
        </w:rPr>
        <w:t>dinen eta sexuaren araberako banaketa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1624"/>
        <w:gridCol w:w="1624"/>
        <w:gridCol w:w="1623"/>
        <w:gridCol w:w="1623"/>
      </w:tblGrid>
      <w:tr w:rsidR="003B31F7" w:rsidRPr="003B31F7" w:rsidTr="003B31F7">
        <w:trPr>
          <w:trHeight w:val="345"/>
        </w:trPr>
        <w:tc>
          <w:tcPr>
            <w:tcW w:w="1243" w:type="pct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000000" w:fill="4F81BD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Sexua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 xml:space="preserve">&lt; 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17 </w:t>
            </w:r>
            <w:r>
              <w:rPr>
                <w:rStyle w:val="Normal"/>
                <w:rFonts w:ascii="Arial" w:hAnsi="Arial"/>
                <w:b/>
                <w:sz w:val="18"/>
              </w:rPr>
              <w:t>urte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18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64 </w:t>
            </w:r>
            <w:r>
              <w:rPr>
                <w:rStyle w:val="Normal"/>
                <w:rFonts w:ascii="Arial" w:hAnsi="Arial"/>
                <w:b/>
                <w:sz w:val="18"/>
              </w:rPr>
              <w:t>urte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65</w:t>
            </w:r>
            <w:r>
              <w:rPr>
                <w:rStyle w:val="Normal"/>
                <w:rFonts w:ascii="Arial" w:hAnsi="Arial"/>
                <w:b/>
                <w:sz w:val="18"/>
              </w:rPr>
              <w:t>-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79 </w:t>
            </w:r>
            <w:r>
              <w:rPr>
                <w:rStyle w:val="Normal"/>
                <w:rFonts w:ascii="Arial" w:hAnsi="Arial"/>
                <w:b/>
                <w:sz w:val="18"/>
              </w:rPr>
              <w:t>urte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000000" w:fill="4F81BD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 xml:space="preserve">&gt; </w:t>
            </w:r>
            <w:r>
              <w:rPr>
                <w:rStyle w:val="Normal"/>
                <w:rFonts w:ascii="Arial" w:hAnsi="Arial"/>
                <w:b/>
                <w:sz w:val="18"/>
              </w:rPr>
              <w:t xml:space="preserve">80 </w:t>
            </w:r>
            <w:r>
              <w:rPr>
                <w:rStyle w:val="Normal"/>
                <w:rFonts w:ascii="Arial" w:hAnsi="Arial"/>
                <w:b/>
                <w:sz w:val="18"/>
              </w:rPr>
              <w:t>urte</w:t>
            </w:r>
          </w:p>
        </w:tc>
      </w:tr>
      <w:tr w:rsidR="003B31F7" w:rsidRPr="003B31F7" w:rsidTr="003B31F7">
        <w:trPr>
          <w:trHeight w:val="345"/>
        </w:trPr>
        <w:tc>
          <w:tcPr>
            <w:tcW w:w="1243" w:type="pct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Emakumea 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40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4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04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13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05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46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93</w:t>
            </w:r>
          </w:p>
        </w:tc>
      </w:tr>
      <w:tr w:rsidR="003B31F7" w:rsidRPr="003B31F7" w:rsidTr="003B31F7">
        <w:trPr>
          <w:trHeight w:val="345"/>
        </w:trPr>
        <w:tc>
          <w:tcPr>
            <w:tcW w:w="12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Gizonezkoa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45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3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76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8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51</w:t>
            </w:r>
          </w:p>
        </w:tc>
        <w:tc>
          <w:tcPr>
            <w:tcW w:w="93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3B31F7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22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86</w:t>
            </w:r>
          </w:p>
        </w:tc>
      </w:tr>
    </w:tbl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B31F7" w:rsidRPr="003B31F7" w:rsidRDefault="005A4315" w:rsidP="003B31F7">
      <w:pPr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Adinen eta sexuaren araberako banaketa portzentuala</w:t>
      </w:r>
    </w:p>
    <w:bookmarkStart w:id="1" w:name="_1526204505"/>
    <w:bookmarkEnd w:id="1"/>
    <w:p w:rsidR="00DB08ED" w:rsidRDefault="005A4315" w:rsidP="003B31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object w:dxaOrig="7218" w:dyaOrig="4328">
          <v:shape id="_x0000_i1027" type="#_x0000_t75" style="width:361.05pt;height:216.55pt">
            <v:imagedata r:id="rId10" o:title=""/>
            <o:lock v:ext="edit" aspectratio="f"/>
          </v:shape>
        </w:object>
      </w: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Style w:val="Normal"/>
          <w:rFonts w:ascii="Arial" w:hAnsi="Arial"/>
          <w:b/>
          <w:sz w:val="22"/>
        </w:rPr>
        <w:lastRenderedPageBreak/>
        <w:t>Bosg</w:t>
      </w:r>
      <w:r>
        <w:rPr>
          <w:rStyle w:val="Normal"/>
          <w:rFonts w:ascii="Arial" w:hAnsi="Arial"/>
          <w:b/>
          <w:sz w:val="22"/>
        </w:rPr>
        <w:t>arrena</w:t>
      </w:r>
      <w:r>
        <w:rPr>
          <w:rStyle w:val="Normal"/>
          <w:rFonts w:ascii="Arial" w:hAnsi="Arial"/>
          <w:b/>
          <w:sz w:val="22"/>
        </w:rPr>
        <w:t xml:space="preserve">: </w:t>
      </w:r>
      <w:r>
        <w:rPr>
          <w:rStyle w:val="Normal"/>
          <w:rFonts w:ascii="Arial" w:hAnsi="Arial"/>
          <w:b/>
          <w:sz w:val="22"/>
        </w:rPr>
        <w:t>ELZen aldetik arreta jaso dutenen menpekotasun egoera</w:t>
      </w:r>
      <w:r>
        <w:rPr>
          <w:rStyle w:val="Normal"/>
          <w:rFonts w:ascii="Arial" w:hAnsi="Arial"/>
          <w:b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Mendekotasun egoeran dauden pertsonen autonomia pertsonala sustatzeari eta haiei laguntza emateari buruzko abenduaren </w:t>
      </w:r>
      <w:r>
        <w:rPr>
          <w:rStyle w:val="Normal"/>
          <w:rFonts w:ascii="Arial" w:hAnsi="Arial"/>
          <w:sz w:val="22"/>
        </w:rPr>
        <w:t>14</w:t>
      </w:r>
      <w:r>
        <w:rPr>
          <w:rStyle w:val="Normal"/>
          <w:rFonts w:ascii="Arial" w:hAnsi="Arial"/>
          <w:sz w:val="22"/>
        </w:rPr>
        <w:t xml:space="preserve">ko </w:t>
      </w:r>
      <w:r>
        <w:rPr>
          <w:rStyle w:val="Normal"/>
          <w:rFonts w:ascii="Arial" w:hAnsi="Arial"/>
          <w:sz w:val="22"/>
        </w:rPr>
        <w:t>39</w:t>
      </w:r>
      <w:r>
        <w:rPr>
          <w:rStyle w:val="Normal"/>
          <w:rFonts w:ascii="Arial" w:hAnsi="Arial"/>
          <w:sz w:val="22"/>
        </w:rPr>
        <w:t>/</w:t>
      </w:r>
      <w:r>
        <w:rPr>
          <w:rStyle w:val="Normal"/>
          <w:rFonts w:ascii="Arial" w:hAnsi="Arial"/>
          <w:sz w:val="22"/>
        </w:rPr>
        <w:t xml:space="preserve">2006 </w:t>
      </w:r>
      <w:r>
        <w:rPr>
          <w:rStyle w:val="Normal"/>
          <w:rFonts w:ascii="Arial" w:hAnsi="Arial"/>
          <w:sz w:val="22"/>
        </w:rPr>
        <w:t xml:space="preserve">Legeko </w:t>
      </w:r>
      <w:r>
        <w:rPr>
          <w:rStyle w:val="Normal"/>
          <w:rFonts w:ascii="Arial" w:hAnsi="Arial"/>
          <w:sz w:val="22"/>
        </w:rPr>
        <w:t>15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artikuluak jasotzen du etxez etxeko laguntza zerbit</w:t>
      </w:r>
      <w:r>
        <w:rPr>
          <w:rStyle w:val="Normal"/>
          <w:rFonts w:ascii="Arial" w:hAnsi="Arial"/>
          <w:sz w:val="22"/>
        </w:rPr>
        <w:t>zua zerbitzuen zorroan jasotako gizarte zerbitzuetako bat dela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eta hartarako eskubidea dutela mendetasun egoeran dauden pertsonek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sz w:val="22"/>
        </w:rPr>
        <w:t>mendetasunerako prestazioetarako eskubidearen eraginkortasuna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berriz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modu gradualean baliatzen da </w:t>
      </w:r>
      <w:r>
        <w:rPr>
          <w:rStyle w:val="Normal"/>
          <w:rFonts w:ascii="Arial" w:hAnsi="Arial"/>
          <w:sz w:val="22"/>
        </w:rPr>
        <w:t>2007</w:t>
      </w:r>
      <w:r>
        <w:rPr>
          <w:rStyle w:val="Normal"/>
          <w:rFonts w:ascii="Arial" w:hAnsi="Arial"/>
          <w:sz w:val="22"/>
        </w:rPr>
        <w:t xml:space="preserve">ko urtarrilaren </w:t>
      </w:r>
      <w:r>
        <w:rPr>
          <w:rStyle w:val="Normal"/>
          <w:rFonts w:ascii="Arial" w:hAnsi="Arial"/>
          <w:sz w:val="22"/>
        </w:rPr>
        <w:t>1</w:t>
      </w:r>
      <w:r>
        <w:rPr>
          <w:rStyle w:val="Normal"/>
          <w:rFonts w:ascii="Arial" w:hAnsi="Arial"/>
          <w:sz w:val="22"/>
        </w:rPr>
        <w:t>eti</w:t>
      </w:r>
      <w:r>
        <w:rPr>
          <w:rStyle w:val="Normal"/>
          <w:rFonts w:ascii="Arial" w:hAnsi="Arial"/>
          <w:sz w:val="22"/>
        </w:rPr>
        <w:t>k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Zehaztu beharra dago ezen mendetasunik ez duten pertsonen kategorian sartu ditugula bai mendetasunaren inongo baloraziorik eskatu ez duten pertsonak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bai mendetasunaren balorazioa eskatu dutenak baino jo denean kasuko pertsona ez dela mendekoa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bai eta </w:t>
      </w:r>
      <w:r>
        <w:rPr>
          <w:rStyle w:val="Normal"/>
          <w:rFonts w:ascii="Arial" w:hAnsi="Arial"/>
          <w:sz w:val="22"/>
        </w:rPr>
        <w:t xml:space="preserve">baloratzeko prozesuan dauden pertsonak ere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kontuan hartuta mendetasuna egoeraren aitorpenari buruzko ebazpenaren data zein den</w:t>
      </w:r>
      <w:r>
        <w:rPr>
          <w:rStyle w:val="Normal"/>
          <w:rFonts w:ascii="Arial" w:hAnsi="Arial"/>
          <w:sz w:val="22"/>
        </w:rPr>
        <w:t xml:space="preserve">). </w:t>
      </w:r>
      <w:r>
        <w:rPr>
          <w:rStyle w:val="Normal"/>
          <w:rFonts w:ascii="Arial" w:hAnsi="Arial"/>
          <w:sz w:val="22"/>
        </w:rPr>
        <w:t>Halaber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kontuan hartu beharra dago pertsona bakarrak zenbait mendetasun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egoera izan ditzakeela urtean zehar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sz w:val="22"/>
        </w:rPr>
        <w:t>bada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kasu horie</w:t>
      </w:r>
      <w:r>
        <w:rPr>
          <w:rStyle w:val="Normal"/>
          <w:rFonts w:ascii="Arial" w:hAnsi="Arial"/>
          <w:sz w:val="22"/>
        </w:rPr>
        <w:t>tan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abenduaren </w:t>
      </w:r>
      <w:r>
        <w:rPr>
          <w:rStyle w:val="Normal"/>
          <w:rFonts w:ascii="Arial" w:hAnsi="Arial"/>
          <w:sz w:val="22"/>
        </w:rPr>
        <w:t>31</w:t>
      </w:r>
      <w:r>
        <w:rPr>
          <w:rStyle w:val="Normal"/>
          <w:rFonts w:ascii="Arial" w:hAnsi="Arial"/>
          <w:sz w:val="22"/>
        </w:rPr>
        <w:t>ko egoera hartu da kontuan</w:t>
      </w:r>
      <w:r>
        <w:rPr>
          <w:rStyle w:val="Normal"/>
          <w:rFonts w:ascii="Arial" w:hAnsi="Arial"/>
          <w:sz w:val="22"/>
        </w:rPr>
        <w:t>.</w:t>
      </w:r>
    </w:p>
    <w:p w:rsidR="003B31F7" w:rsidRPr="00B141F3" w:rsidRDefault="005A4315" w:rsidP="00B141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Mendetasunaren araberako banaketa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3"/>
        <w:gridCol w:w="3591"/>
      </w:tblGrid>
      <w:tr w:rsidR="003B31F7" w:rsidRPr="003B31F7" w:rsidTr="00B141F3">
        <w:trPr>
          <w:trHeight w:val="300"/>
        </w:trPr>
        <w:tc>
          <w:tcPr>
            <w:tcW w:w="2923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center"/>
          </w:tcPr>
          <w:p w:rsidR="003B31F7" w:rsidRPr="003B31F7" w:rsidRDefault="005A4315" w:rsidP="00B141F3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Mendetasun egoera</w:t>
            </w:r>
          </w:p>
        </w:tc>
        <w:tc>
          <w:tcPr>
            <w:tcW w:w="2077" w:type="pct"/>
            <w:tcBorders>
              <w:top w:val="single" w:sz="8" w:space="0" w:color="4F81BD"/>
              <w:left w:val="nil"/>
              <w:bottom w:val="nil"/>
              <w:right w:val="single" w:sz="4" w:space="0" w:color="4F81BD"/>
            </w:tcBorders>
            <w:shd w:val="clear" w:color="000000" w:fill="4F81BD"/>
            <w:vAlign w:val="center"/>
          </w:tcPr>
          <w:p w:rsidR="003B31F7" w:rsidRPr="003B31F7" w:rsidRDefault="005A4315" w:rsidP="00B141F3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Arreta jaso duten pertsonen gaineko ehunekoa</w:t>
            </w:r>
          </w:p>
        </w:tc>
      </w:tr>
      <w:tr w:rsidR="003B31F7" w:rsidRPr="003B31F7" w:rsidTr="00B141F3">
        <w:trPr>
          <w:trHeight w:val="300"/>
        </w:trPr>
        <w:tc>
          <w:tcPr>
            <w:tcW w:w="2923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Mendekotasun arina</w:t>
            </w:r>
          </w:p>
        </w:tc>
        <w:tc>
          <w:tcPr>
            <w:tcW w:w="2077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16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84</w:t>
            </w:r>
          </w:p>
        </w:tc>
      </w:tr>
      <w:tr w:rsidR="003B31F7" w:rsidRPr="003B31F7" w:rsidTr="00B141F3">
        <w:trPr>
          <w:trHeight w:val="300"/>
        </w:trPr>
        <w:tc>
          <w:tcPr>
            <w:tcW w:w="2923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Mendekotasun larria</w:t>
            </w:r>
          </w:p>
        </w:tc>
        <w:tc>
          <w:tcPr>
            <w:tcW w:w="2077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13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35</w:t>
            </w:r>
          </w:p>
        </w:tc>
      </w:tr>
      <w:tr w:rsidR="003B31F7" w:rsidRPr="003B31F7" w:rsidTr="00B141F3">
        <w:trPr>
          <w:trHeight w:val="300"/>
        </w:trPr>
        <w:tc>
          <w:tcPr>
            <w:tcW w:w="2923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Mendekotasun handia</w:t>
            </w:r>
          </w:p>
        </w:tc>
        <w:tc>
          <w:tcPr>
            <w:tcW w:w="2077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9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21</w:t>
            </w:r>
          </w:p>
        </w:tc>
      </w:tr>
      <w:tr w:rsidR="003B31F7" w:rsidRPr="003B31F7" w:rsidTr="00B141F3">
        <w:trPr>
          <w:trHeight w:val="300"/>
        </w:trPr>
        <w:tc>
          <w:tcPr>
            <w:tcW w:w="2923" w:type="pct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Mendetasunik ez</w:t>
            </w:r>
            <w:r>
              <w:rPr>
                <w:rStyle w:val="Normal"/>
                <w:rFonts w:ascii="Arial" w:hAnsi="Arial"/>
                <w:sz w:val="18"/>
              </w:rPr>
              <w:t>/</w:t>
            </w:r>
            <w:r>
              <w:rPr>
                <w:rStyle w:val="Normal"/>
                <w:rFonts w:ascii="Arial" w:hAnsi="Arial"/>
                <w:sz w:val="18"/>
              </w:rPr>
              <w:t>Baloraziori</w:t>
            </w:r>
            <w:r>
              <w:rPr>
                <w:rStyle w:val="Normal"/>
                <w:rFonts w:ascii="Arial" w:hAnsi="Arial"/>
                <w:sz w:val="18"/>
              </w:rPr>
              <w:t xml:space="preserve">k gabe </w:t>
            </w:r>
          </w:p>
        </w:tc>
        <w:tc>
          <w:tcPr>
            <w:tcW w:w="2077" w:type="pct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:rsidR="003B31F7" w:rsidRPr="003B31F7" w:rsidRDefault="005A4315" w:rsidP="00B141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% </w:t>
            </w:r>
            <w:r>
              <w:rPr>
                <w:rStyle w:val="Normal"/>
                <w:rFonts w:ascii="Arial" w:hAnsi="Arial"/>
                <w:sz w:val="18"/>
              </w:rPr>
              <w:t>60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60</w:t>
            </w:r>
          </w:p>
        </w:tc>
      </w:tr>
      <w:tr w:rsidR="003B31F7" w:rsidRPr="003B31F7" w:rsidTr="00B141F3">
        <w:trPr>
          <w:trHeight w:val="300"/>
        </w:trPr>
        <w:tc>
          <w:tcPr>
            <w:tcW w:w="292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000000" w:fill="C5D9F1"/>
            <w:noWrap/>
            <w:vAlign w:val="center"/>
          </w:tcPr>
          <w:p w:rsidR="003B31F7" w:rsidRPr="003B31F7" w:rsidRDefault="005A4315" w:rsidP="00B141F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Orokorra</w:t>
            </w:r>
            <w:r>
              <w:rPr>
                <w:rStyle w:val="Normal"/>
                <w:rFonts w:ascii="Arial" w:hAnsi="Arial"/>
                <w:sz w:val="18"/>
              </w:rPr>
              <w:t xml:space="preserve">, </w:t>
            </w:r>
            <w:r>
              <w:rPr>
                <w:rStyle w:val="Normal"/>
                <w:rFonts w:ascii="Arial" w:hAnsi="Arial"/>
                <w:sz w:val="18"/>
              </w:rPr>
              <w:t>guztira</w:t>
            </w:r>
          </w:p>
        </w:tc>
        <w:tc>
          <w:tcPr>
            <w:tcW w:w="2077" w:type="pct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center"/>
          </w:tcPr>
          <w:p w:rsidR="003B31F7" w:rsidRPr="003B31F7" w:rsidRDefault="005A4315" w:rsidP="00B141F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Style w:val="Normal"/>
                <w:rFonts w:ascii="Arial" w:hAnsi="Arial"/>
                <w:sz w:val="18"/>
              </w:rPr>
              <w:t>%</w:t>
            </w:r>
            <w:r>
              <w:rPr>
                <w:rStyle w:val="Normal"/>
                <w:rFonts w:ascii="Arial" w:hAnsi="Arial"/>
                <w:sz w:val="18"/>
              </w:rPr>
              <w:t> </w:t>
            </w:r>
            <w:r>
              <w:rPr>
                <w:rStyle w:val="Normal"/>
                <w:rFonts w:ascii="Arial" w:hAnsi="Arial"/>
                <w:sz w:val="18"/>
              </w:rPr>
              <w:t>100</w:t>
            </w:r>
            <w:r>
              <w:rPr>
                <w:rStyle w:val="Normal"/>
                <w:rFonts w:ascii="Arial" w:hAnsi="Arial"/>
                <w:sz w:val="18"/>
              </w:rPr>
              <w:t>,</w:t>
            </w:r>
            <w:r>
              <w:rPr>
                <w:rStyle w:val="Normal"/>
                <w:rFonts w:ascii="Arial" w:hAnsi="Arial"/>
                <w:sz w:val="18"/>
              </w:rPr>
              <w:t>00</w:t>
            </w:r>
          </w:p>
        </w:tc>
      </w:tr>
    </w:tbl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1F7" w:rsidRPr="003B31F7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Mendetasun egoera aitortuta ez daukaten pertsonak etxez etxeko laguntza zerbitzuek artatutako biztanleen ehuneko </w:t>
      </w:r>
      <w:r>
        <w:rPr>
          <w:rStyle w:val="Normal"/>
          <w:rFonts w:ascii="Arial" w:hAnsi="Arial"/>
          <w:sz w:val="22"/>
        </w:rPr>
        <w:t>60</w:t>
      </w:r>
      <w:r>
        <w:rPr>
          <w:rStyle w:val="Normal"/>
          <w:rFonts w:ascii="Arial" w:hAnsi="Arial"/>
          <w:sz w:val="22"/>
        </w:rPr>
        <w:t>,</w:t>
      </w:r>
      <w:r>
        <w:rPr>
          <w:rStyle w:val="Normal"/>
          <w:rFonts w:ascii="Arial" w:hAnsi="Arial"/>
          <w:sz w:val="22"/>
        </w:rPr>
        <w:t xml:space="preserve">60 </w:t>
      </w:r>
      <w:r>
        <w:rPr>
          <w:rStyle w:val="Normal"/>
          <w:rFonts w:ascii="Arial" w:hAnsi="Arial"/>
          <w:sz w:val="22"/>
        </w:rPr>
        <w:t>dira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3B31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Talde txikiena mendetasun handia duten pertsonei dagokie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artatutako biztanleen </w:t>
      </w:r>
      <w:r>
        <w:rPr>
          <w:rStyle w:val="Normal"/>
          <w:rFonts w:ascii="Arial" w:hAnsi="Arial"/>
          <w:sz w:val="22"/>
        </w:rPr>
        <w:t xml:space="preserve">% </w:t>
      </w:r>
      <w:r>
        <w:rPr>
          <w:rStyle w:val="Normal"/>
          <w:rFonts w:ascii="Arial" w:hAnsi="Arial"/>
          <w:sz w:val="22"/>
        </w:rPr>
        <w:t>9</w:t>
      </w:r>
      <w:r>
        <w:rPr>
          <w:rStyle w:val="Normal"/>
          <w:rFonts w:ascii="Arial" w:hAnsi="Arial"/>
          <w:sz w:val="22"/>
        </w:rPr>
        <w:t>,</w:t>
      </w:r>
      <w:r>
        <w:rPr>
          <w:rStyle w:val="Normal"/>
          <w:rFonts w:ascii="Arial" w:hAnsi="Arial"/>
          <w:sz w:val="22"/>
        </w:rPr>
        <w:t>2</w:t>
      </w:r>
      <w:r>
        <w:rPr>
          <w:rStyle w:val="Normal"/>
          <w:rFonts w:ascii="Arial" w:hAnsi="Arial"/>
          <w:sz w:val="22"/>
        </w:rPr>
        <w:t>1</w:t>
      </w:r>
      <w:r>
        <w:rPr>
          <w:rStyle w:val="Normal"/>
          <w:rFonts w:ascii="Arial" w:hAnsi="Arial"/>
          <w:sz w:val="22"/>
        </w:rPr>
        <w:t>eko eraginarekin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Proportzionaltasun hori gutxi aldatu da azken urteetan</w:t>
      </w:r>
      <w:r>
        <w:rPr>
          <w:rStyle w:val="Normal"/>
          <w:rFonts w:ascii="Arial" w:hAnsi="Arial"/>
          <w:sz w:val="22"/>
        </w:rPr>
        <w:t>.</w:t>
      </w:r>
    </w:p>
    <w:p w:rsidR="00EC31C9" w:rsidRPr="003B31F7" w:rsidRDefault="005A4315" w:rsidP="00EC31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08ED" w:rsidRDefault="005A4315" w:rsidP="00B67C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Hori guztia jakinarazten dizut Nafarroako Parlamentuko Erregelamenduaren </w:t>
      </w:r>
      <w:r>
        <w:rPr>
          <w:rStyle w:val="Normal"/>
          <w:rFonts w:ascii="Arial" w:hAnsi="Arial"/>
          <w:sz w:val="22"/>
        </w:rPr>
        <w:t>194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artikulua betetzeko</w:t>
      </w:r>
      <w:r>
        <w:rPr>
          <w:rStyle w:val="Normal"/>
          <w:rFonts w:ascii="Arial" w:hAnsi="Arial"/>
          <w:sz w:val="22"/>
        </w:rPr>
        <w:t>.</w:t>
      </w:r>
    </w:p>
    <w:p w:rsidR="00DB08ED" w:rsidRDefault="005A4315" w:rsidP="0006150C">
      <w:pPr>
        <w:spacing w:line="360" w:lineRule="auto"/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Iruñean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2016</w:t>
      </w:r>
      <w:r>
        <w:rPr>
          <w:rStyle w:val="Normal"/>
          <w:rFonts w:ascii="Arial" w:hAnsi="Arial"/>
          <w:sz w:val="22"/>
        </w:rPr>
        <w:t xml:space="preserve">ko ekainaren </w:t>
      </w:r>
      <w:r>
        <w:rPr>
          <w:rStyle w:val="Normal"/>
          <w:rFonts w:ascii="Arial" w:hAnsi="Arial"/>
          <w:sz w:val="22"/>
        </w:rPr>
        <w:t>2</w:t>
      </w:r>
      <w:r>
        <w:rPr>
          <w:rStyle w:val="Normal"/>
          <w:rFonts w:ascii="Arial" w:hAnsi="Arial"/>
          <w:sz w:val="22"/>
        </w:rPr>
        <w:t>an</w:t>
      </w:r>
    </w:p>
    <w:p w:rsidR="0006150C" w:rsidRPr="00DB08ED" w:rsidRDefault="005A4315" w:rsidP="00DB08ED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Eskubide Sozialetako lehendakariordea</w:t>
      </w:r>
      <w:r>
        <w:rPr>
          <w:rStyle w:val="Normal"/>
          <w:rFonts w:ascii="Arial" w:hAnsi="Arial"/>
          <w:sz w:val="22"/>
        </w:rPr>
        <w:t xml:space="preserve">: </w:t>
      </w:r>
      <w:r>
        <w:rPr>
          <w:rStyle w:val="Normal"/>
          <w:rFonts w:ascii="Arial" w:hAnsi="Arial"/>
          <w:sz w:val="22"/>
        </w:rPr>
        <w:t>Miguel Lapar</w:t>
      </w:r>
      <w:r>
        <w:rPr>
          <w:rStyle w:val="Normal"/>
          <w:rFonts w:ascii="Arial" w:hAnsi="Arial"/>
          <w:sz w:val="22"/>
        </w:rPr>
        <w:t>ra Navarro</w:t>
      </w:r>
    </w:p>
    <w:sectPr w:rsidR="0006150C" w:rsidRPr="00DB08ED" w:rsidSect="00DB08ED">
      <w:headerReference w:type="default" r:id="rId11"/>
      <w:pgSz w:w="11906" w:h="16838" w:code="9"/>
      <w:pgMar w:top="1418" w:right="1701" w:bottom="993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CE" w:rsidRDefault="005A4315">
      <w:r>
        <w:separator/>
      </w:r>
    </w:p>
  </w:endnote>
  <w:endnote w:type="continuationSeparator" w:id="0">
    <w:p w:rsidR="002910CE" w:rsidRDefault="005A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CE" w:rsidRDefault="005A4315">
      <w:r>
        <w:separator/>
      </w:r>
    </w:p>
  </w:footnote>
  <w:footnote w:type="continuationSeparator" w:id="0">
    <w:p w:rsidR="002910CE" w:rsidRDefault="005A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1" w:rsidRDefault="005A4315" w:rsidP="00360CD5">
    <w:pPr>
      <w:pStyle w:val="Encabezado"/>
      <w:jc w:val="center"/>
    </w:pPr>
  </w:p>
  <w:p w:rsidR="00750951" w:rsidRDefault="005A4315" w:rsidP="00360CD5">
    <w:pPr>
      <w:pStyle w:val="Encabezado"/>
      <w:jc w:val="center"/>
    </w:pPr>
  </w:p>
  <w:p w:rsidR="00750951" w:rsidRDefault="005A431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763"/>
    <w:multiLevelType w:val="hybridMultilevel"/>
    <w:tmpl w:val="0DA23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E3670"/>
    <w:multiLevelType w:val="hybridMultilevel"/>
    <w:tmpl w:val="48F6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3F7B1D"/>
    <w:rsid w:val="005A4315"/>
    <w:rsid w:val="006A0319"/>
    <w:rsid w:val="00B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6A03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0319"/>
    <w:rPr>
      <w:rFonts w:ascii="Tahoma" w:hAnsi="Tahoma" w:cs="Tahoma"/>
      <w:sz w:val="16"/>
      <w:szCs w:val="16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6A03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0319"/>
    <w:rPr>
      <w:rFonts w:ascii="Tahoma" w:hAnsi="Tahoma" w:cs="Tahoma"/>
      <w:sz w:val="16"/>
      <w:szCs w:val="16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Sexuaren araberako</a:t>
            </a:r>
            <a:r>
              <a:rPr lang="en-US" baseline="0"/>
              <a:t> banaketa</a:t>
            </a:r>
            <a:endParaRPr lang="en-US"/>
          </a:p>
        </c:rich>
      </c:tx>
      <c:layout/>
      <c:overlay val="0"/>
      <c:spPr>
        <a:noFill/>
        <a:ln w="25388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'edad y sexo'!$J$12</c:f>
              <c:strCache>
                <c:ptCount val="1"/>
                <c:pt idx="0">
                  <c:v>nº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spPr>
              <a:noFill/>
              <a:ln w="25388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'edad y sexo'!$I$13:$I$14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'edad y sexo'!$J$13:$J$14</c:f>
              <c:numCache>
                <c:formatCode>General</c:formatCode>
                <c:ptCount val="2"/>
                <c:pt idx="0">
                  <c:v>2836</c:v>
                </c:pt>
                <c:pt idx="1">
                  <c:v>1462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1246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De Santiago, Iñaki</cp:lastModifiedBy>
  <cp:revision>3</cp:revision>
  <cp:lastPrinted>2016-06-02T13:02:00Z</cp:lastPrinted>
  <dcterms:created xsi:type="dcterms:W3CDTF">2016-07-01T10:11:00Z</dcterms:created>
  <dcterms:modified xsi:type="dcterms:W3CDTF">2016-07-01T10:40:00Z</dcterms:modified>
</cp:coreProperties>
</file>