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6an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Hezkuntza Batzordean izapidetu dadin María Teresa Sáez Barrao andreak aurkezturiko galdera, egoera ekonomiko txarrean dauden ikasleei baliabide ekonomikoak esleitzeari begira irakaskuntza itunduaren eta publikoaren artean dauden ezberdintasunei buruzkoa. Galdera 2017ko irailaren 29ko 119.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2017ko azaroaren 6an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