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93F50" w:rsidRPr="00553CEB" w:rsidRDefault="00654632" w:rsidP="009D0591">
      <w:pPr>
        <w:pStyle w:val="EstiloPortada"/>
        <w:ind w:left="3686" w:right="-58"/>
        <w:jc w:val="right"/>
        <w:rPr>
          <w:sz w:val="36"/>
          <w:szCs w:val="36"/>
        </w:rPr>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678A450" wp14:editId="1D44607D">
                <wp:simplePos x="0" y="0"/>
                <wp:positionH relativeFrom="column">
                  <wp:posOffset>-152400</wp:posOffset>
                </wp:positionH>
                <wp:positionV relativeFrom="paragraph">
                  <wp:posOffset>-800100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91334" w:rsidRPr="003A7956" w:rsidRDefault="00A91334" w:rsidP="004C3423">
                            <w:pPr>
                              <w:spacing w:after="0"/>
                              <w:ind w:firstLine="0"/>
                              <w:jc w:val="center"/>
                              <w:rPr>
                                <w:sz w:val="18"/>
                                <w:szCs w:val="18"/>
                                <w:lang w:val="es-ES"/>
                              </w:rPr>
                            </w:pPr>
                            <w:r w:rsidRPr="003A7956">
                              <w:rPr>
                                <w:sz w:val="18"/>
                                <w:szCs w:val="18"/>
                                <w:lang w:val="es-ES"/>
                              </w:rPr>
                              <w:t>CAMARA DE</w:t>
                            </w:r>
                          </w:p>
                          <w:p w:rsidR="00A91334" w:rsidRPr="003A7956" w:rsidRDefault="00A91334" w:rsidP="004C3423">
                            <w:pPr>
                              <w:spacing w:after="0"/>
                              <w:ind w:firstLine="0"/>
                              <w:jc w:val="center"/>
                              <w:rPr>
                                <w:sz w:val="18"/>
                                <w:szCs w:val="18"/>
                                <w:lang w:val="es-ES"/>
                              </w:rPr>
                            </w:pPr>
                            <w:r w:rsidRPr="003A7956">
                              <w:rPr>
                                <w:sz w:val="18"/>
                                <w:szCs w:val="18"/>
                                <w:lang w:val="es-ES"/>
                              </w:rPr>
                              <w:t>COMPTOS</w:t>
                            </w:r>
                          </w:p>
                          <w:p w:rsidR="00A91334" w:rsidRPr="003A7956" w:rsidRDefault="00A91334" w:rsidP="004C3423">
                            <w:pPr>
                              <w:spacing w:after="0"/>
                              <w:ind w:firstLine="0"/>
                              <w:jc w:val="center"/>
                              <w:rPr>
                                <w:sz w:val="18"/>
                                <w:szCs w:val="18"/>
                                <w:lang w:val="es-ES"/>
                              </w:rPr>
                            </w:pPr>
                            <w:r w:rsidRPr="003A7956">
                              <w:rPr>
                                <w:sz w:val="18"/>
                                <w:szCs w:val="18"/>
                                <w:lang w:val="es-ES"/>
                              </w:rPr>
                              <w:t>DE NAVARRA</w:t>
                            </w:r>
                          </w:p>
                          <w:p w:rsidR="00A91334" w:rsidRPr="003A7956" w:rsidRDefault="00A91334" w:rsidP="004C3423">
                            <w:pPr>
                              <w:spacing w:after="0"/>
                              <w:ind w:firstLine="0"/>
                              <w:jc w:val="center"/>
                              <w:rPr>
                                <w:color w:val="808080"/>
                                <w:sz w:val="18"/>
                                <w:szCs w:val="18"/>
                                <w:lang w:val="es-ES"/>
                              </w:rPr>
                            </w:pPr>
                            <w:r w:rsidRPr="003A7956">
                              <w:rPr>
                                <w:color w:val="808080"/>
                                <w:sz w:val="18"/>
                                <w:szCs w:val="18"/>
                                <w:lang w:val="es-ES"/>
                              </w:rPr>
                              <w:t>NAFARROAKO</w:t>
                            </w:r>
                          </w:p>
                          <w:p w:rsidR="00A91334" w:rsidRPr="003A7956" w:rsidRDefault="00A91334" w:rsidP="004C3423">
                            <w:pPr>
                              <w:spacing w:after="0"/>
                              <w:ind w:firstLine="0"/>
                              <w:jc w:val="center"/>
                              <w:rPr>
                                <w:color w:val="808080"/>
                                <w:sz w:val="18"/>
                                <w:szCs w:val="18"/>
                                <w:lang w:val="es-ES"/>
                              </w:rPr>
                            </w:pPr>
                            <w:r w:rsidRPr="003A7956">
                              <w:rPr>
                                <w:color w:val="808080"/>
                                <w:sz w:val="18"/>
                                <w:szCs w:val="18"/>
                                <w:lang w:val="es-ES"/>
                              </w:rPr>
                              <w:t>KONTUEN</w:t>
                            </w:r>
                          </w:p>
                          <w:p w:rsidR="00A91334" w:rsidRPr="003A7956" w:rsidRDefault="00A91334" w:rsidP="004C3423">
                            <w:pPr>
                              <w:spacing w:after="0"/>
                              <w:ind w:firstLine="0"/>
                              <w:jc w:val="center"/>
                              <w:rPr>
                                <w:color w:val="808080"/>
                                <w:sz w:val="18"/>
                                <w:szCs w:val="18"/>
                                <w:lang w:val="es-ES"/>
                              </w:rPr>
                            </w:pPr>
                            <w:r w:rsidRPr="003A7956">
                              <w:rPr>
                                <w:color w:val="808080"/>
                                <w:sz w:val="18"/>
                                <w:szCs w:val="18"/>
                                <w:lang w:val="es-ES"/>
                              </w:rPr>
                              <w:t>GANBERA</w:t>
                            </w:r>
                          </w:p>
                          <w:p w:rsidR="00A91334" w:rsidRPr="002C7026" w:rsidRDefault="00A91334"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3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" stroked="f" strokecolor="white">
                <v:textbox>
                  <w:txbxContent>
                    <w:p w:rsidR="00045AEB" w:rsidRPr="003A7956" w:rsidRDefault="00045AEB" w:rsidP="004C3423">
                      <w:pPr>
                        <w:spacing w:after="0"/>
                        <w:ind w:firstLine="0"/>
                        <w:jc w:val="center"/>
                        <w:rPr>
                          <w:sz w:val="18"/>
                          <w:szCs w:val="18"/>
                          <w:lang w:val="es-ES"/>
                        </w:rPr>
                      </w:pPr>
                      <w:r w:rsidRPr="003A7956">
                        <w:rPr>
                          <w:sz w:val="18"/>
                          <w:szCs w:val="18"/>
                          <w:lang w:val="es-ES"/>
                        </w:rPr>
                        <w:t>CAMARA DE</w:t>
                      </w:r>
                    </w:p>
                    <w:p w:rsidR="00045AEB" w:rsidRPr="003A7956" w:rsidRDefault="00045AEB" w:rsidP="004C3423">
                      <w:pPr>
                        <w:spacing w:after="0"/>
                        <w:ind w:firstLine="0"/>
                        <w:jc w:val="center"/>
                        <w:rPr>
                          <w:sz w:val="18"/>
                          <w:szCs w:val="18"/>
                          <w:lang w:val="es-ES"/>
                        </w:rPr>
                      </w:pPr>
                      <w:r w:rsidRPr="003A7956">
                        <w:rPr>
                          <w:sz w:val="18"/>
                          <w:szCs w:val="18"/>
                          <w:lang w:val="es-ES"/>
                        </w:rPr>
                        <w:t>COMPTOS</w:t>
                      </w:r>
                    </w:p>
                    <w:p w:rsidR="00045AEB" w:rsidRPr="003A7956" w:rsidRDefault="00045AEB" w:rsidP="004C3423">
                      <w:pPr>
                        <w:spacing w:after="0"/>
                        <w:ind w:firstLine="0"/>
                        <w:jc w:val="center"/>
                        <w:rPr>
                          <w:sz w:val="18"/>
                          <w:szCs w:val="18"/>
                          <w:lang w:val="es-ES"/>
                        </w:rPr>
                      </w:pPr>
                      <w:r w:rsidRPr="003A7956">
                        <w:rPr>
                          <w:sz w:val="18"/>
                          <w:szCs w:val="18"/>
                          <w:lang w:val="es-ES"/>
                        </w:rPr>
                        <w:t>DE NAVARRA</w:t>
                      </w:r>
                    </w:p>
                    <w:p w:rsidR="00045AEB" w:rsidRPr="003A7956" w:rsidRDefault="00045AEB" w:rsidP="004C3423">
                      <w:pPr>
                        <w:spacing w:after="0"/>
                        <w:ind w:firstLine="0"/>
                        <w:jc w:val="center"/>
                        <w:rPr>
                          <w:color w:val="808080"/>
                          <w:sz w:val="18"/>
                          <w:szCs w:val="18"/>
                          <w:lang w:val="es-ES"/>
                        </w:rPr>
                      </w:pPr>
                      <w:r w:rsidRPr="003A7956">
                        <w:rPr>
                          <w:color w:val="808080"/>
                          <w:sz w:val="18"/>
                          <w:szCs w:val="18"/>
                          <w:lang w:val="es-ES"/>
                        </w:rPr>
                        <w:t>NAFARROAKO</w:t>
                      </w:r>
                    </w:p>
                    <w:p w:rsidR="00045AEB" w:rsidRPr="003A7956" w:rsidRDefault="00045AEB" w:rsidP="004C3423">
                      <w:pPr>
                        <w:spacing w:after="0"/>
                        <w:ind w:firstLine="0"/>
                        <w:jc w:val="center"/>
                        <w:rPr>
                          <w:color w:val="808080"/>
                          <w:sz w:val="18"/>
                          <w:szCs w:val="18"/>
                          <w:lang w:val="es-ES"/>
                        </w:rPr>
                      </w:pPr>
                      <w:r w:rsidRPr="003A7956">
                        <w:rPr>
                          <w:color w:val="808080"/>
                          <w:sz w:val="18"/>
                          <w:szCs w:val="18"/>
                          <w:lang w:val="es-ES"/>
                        </w:rPr>
                        <w:t>KONTUEN</w:t>
                      </w:r>
                    </w:p>
                    <w:p w:rsidR="00045AEB" w:rsidRPr="003A7956" w:rsidRDefault="00045AEB" w:rsidP="004C3423">
                      <w:pPr>
                        <w:spacing w:after="0"/>
                        <w:ind w:firstLine="0"/>
                        <w:jc w:val="center"/>
                        <w:rPr>
                          <w:color w:val="808080"/>
                          <w:sz w:val="18"/>
                          <w:szCs w:val="18"/>
                          <w:lang w:val="es-ES"/>
                        </w:rPr>
                      </w:pPr>
                      <w:r w:rsidRPr="003A7956">
                        <w:rPr>
                          <w:color w:val="808080"/>
                          <w:sz w:val="18"/>
                          <w:szCs w:val="18"/>
                          <w:lang w:val="es-ES"/>
                        </w:rPr>
                        <w:t>GANBERA</w:t>
                      </w:r>
                    </w:p>
                    <w:p w:rsidR="00045AEB" w:rsidRPr="002C7026" w:rsidRDefault="00045AEB" w:rsidP="002C7026">
                      <w:pPr>
                        <w:spacing w:after="0"/>
                        <w:ind w:firstLine="0"/>
                        <w:jc w:val="center"/>
                        <w:rPr>
                          <w:rFonts w:ascii="Trajan" w:hAnsi="Trajan"/>
                          <w:color w:val="808080"/>
                          <w:sz w:val="18"/>
                          <w:szCs w:val="18"/>
                          <w:lang w:val="es-ES"/>
                        </w:rPr>
                      </w:pPr>
                    </w:p>
                  </w:txbxContent>
                </v:textbox>
              </v:shape>
            </w:pict>
          </mc:Fallback>
        </mc:AlternateContent>
      </w:r>
    </w:p>
    <w:p w:rsidR="00F0755F" w:rsidRPr="00F0755F" w:rsidRDefault="00193F50" w:rsidP="00321FE3">
      <w:pPr>
        <w:pStyle w:val="EstiloPortada"/>
        <w:ind w:left="2835" w:right="-58"/>
        <w:jc w:val="right"/>
        <w:rPr>
          <w:b w:val="0"/>
          <w:sz w:val="36"/>
          <w:szCs w:val="36"/>
        </w:rPr>
      </w:pPr>
      <w:r w:rsidRPr="00F0755F">
        <w:rPr>
          <w:b w:val="0"/>
          <w:sz w:val="36"/>
          <w:szCs w:val="36"/>
        </w:rPr>
        <w:t>G</w:t>
      </w:r>
      <w:r w:rsidR="002044FA" w:rsidRPr="00F0755F">
        <w:rPr>
          <w:b w:val="0"/>
          <w:sz w:val="36"/>
          <w:szCs w:val="36"/>
        </w:rPr>
        <w:t>astos de representación,</w:t>
      </w:r>
      <w:r w:rsidR="00F0755F" w:rsidRPr="00F0755F">
        <w:rPr>
          <w:b w:val="0"/>
          <w:sz w:val="36"/>
          <w:szCs w:val="36"/>
        </w:rPr>
        <w:t xml:space="preserve"> </w:t>
      </w:r>
      <w:r w:rsidR="00522821" w:rsidRPr="00F0755F">
        <w:rPr>
          <w:b w:val="0"/>
          <w:sz w:val="36"/>
          <w:szCs w:val="36"/>
        </w:rPr>
        <w:t xml:space="preserve">reuniones, </w:t>
      </w:r>
    </w:p>
    <w:p w:rsidR="00F0755F" w:rsidRPr="00F0755F" w:rsidRDefault="00522821" w:rsidP="00321FE3">
      <w:pPr>
        <w:pStyle w:val="EstiloPortada"/>
        <w:ind w:left="2835" w:right="-58"/>
        <w:jc w:val="right"/>
        <w:rPr>
          <w:b w:val="0"/>
          <w:sz w:val="36"/>
          <w:szCs w:val="36"/>
        </w:rPr>
      </w:pPr>
      <w:r w:rsidRPr="00F0755F">
        <w:rPr>
          <w:b w:val="0"/>
          <w:sz w:val="36"/>
          <w:szCs w:val="36"/>
        </w:rPr>
        <w:t xml:space="preserve">viajes e indemnizaciones </w:t>
      </w:r>
      <w:r w:rsidR="00193F50" w:rsidRPr="00F0755F">
        <w:rPr>
          <w:b w:val="0"/>
          <w:sz w:val="36"/>
          <w:szCs w:val="36"/>
        </w:rPr>
        <w:t xml:space="preserve">y </w:t>
      </w:r>
    </w:p>
    <w:p w:rsidR="00654632" w:rsidRPr="00F0755F" w:rsidRDefault="00193F50" w:rsidP="00321FE3">
      <w:pPr>
        <w:pStyle w:val="EstiloPortada"/>
        <w:ind w:left="2835" w:right="-58"/>
        <w:jc w:val="right"/>
        <w:rPr>
          <w:b w:val="0"/>
          <w:sz w:val="40"/>
          <w:szCs w:val="40"/>
        </w:rPr>
      </w:pPr>
      <w:r w:rsidRPr="00F0755F">
        <w:rPr>
          <w:b w:val="0"/>
          <w:sz w:val="36"/>
          <w:szCs w:val="36"/>
        </w:rPr>
        <w:t>con</w:t>
      </w:r>
      <w:r w:rsidR="002044FA" w:rsidRPr="00F0755F">
        <w:rPr>
          <w:b w:val="0"/>
          <w:sz w:val="36"/>
          <w:szCs w:val="36"/>
        </w:rPr>
        <w:t>tratación pública</w:t>
      </w:r>
    </w:p>
    <w:p w:rsidR="00654632" w:rsidRDefault="00654632" w:rsidP="00F0755F">
      <w:pPr>
        <w:pStyle w:val="EstiloPortada"/>
        <w:spacing w:before="0"/>
        <w:ind w:left="851" w:right="-57"/>
        <w:jc w:val="right"/>
        <w:rPr>
          <w:sz w:val="48"/>
          <w:szCs w:val="48"/>
        </w:rPr>
      </w:pPr>
    </w:p>
    <w:p w:rsidR="00654632" w:rsidRPr="00F0755F" w:rsidRDefault="00553CEB" w:rsidP="00321FE3">
      <w:pPr>
        <w:pStyle w:val="EstiloPortada"/>
        <w:ind w:left="1843" w:right="-58"/>
        <w:jc w:val="right"/>
        <w:rPr>
          <w:sz w:val="44"/>
          <w:szCs w:val="44"/>
        </w:rPr>
      </w:pPr>
      <w:r w:rsidRPr="00F0755F">
        <w:rPr>
          <w:sz w:val="44"/>
          <w:szCs w:val="44"/>
        </w:rPr>
        <w:t>C</w:t>
      </w:r>
      <w:r w:rsidR="00654632" w:rsidRPr="00F0755F">
        <w:rPr>
          <w:sz w:val="44"/>
          <w:szCs w:val="44"/>
        </w:rPr>
        <w:t>omunidad de Bardenas Reales</w:t>
      </w:r>
    </w:p>
    <w:p w:rsidR="00553CEB" w:rsidRPr="00F0755F" w:rsidRDefault="00553CEB" w:rsidP="00111725">
      <w:pPr>
        <w:pStyle w:val="EstiloPortada"/>
        <w:ind w:left="1843" w:right="-58" w:firstLine="1843"/>
        <w:jc w:val="right"/>
        <w:rPr>
          <w:sz w:val="44"/>
          <w:szCs w:val="44"/>
        </w:rPr>
      </w:pPr>
      <w:r w:rsidRPr="00F0755F">
        <w:rPr>
          <w:sz w:val="44"/>
          <w:szCs w:val="44"/>
        </w:rPr>
        <w:t xml:space="preserve">de Navarra </w:t>
      </w:r>
      <w:r w:rsidR="00CA5C4E" w:rsidRPr="00F0755F">
        <w:rPr>
          <w:sz w:val="44"/>
          <w:szCs w:val="44"/>
        </w:rPr>
        <w:t>(</w:t>
      </w:r>
      <w:r w:rsidRPr="00F0755F">
        <w:rPr>
          <w:sz w:val="44"/>
          <w:szCs w:val="44"/>
        </w:rPr>
        <w:t>2010-</w:t>
      </w:r>
      <w:r w:rsidR="00111725" w:rsidRPr="00F0755F">
        <w:rPr>
          <w:sz w:val="44"/>
          <w:szCs w:val="44"/>
        </w:rPr>
        <w:t>2</w:t>
      </w:r>
      <w:r w:rsidRPr="00F0755F">
        <w:rPr>
          <w:sz w:val="44"/>
          <w:szCs w:val="44"/>
        </w:rPr>
        <w:t>016</w:t>
      </w:r>
      <w:r w:rsidR="00CA5C4E" w:rsidRPr="00F0755F">
        <w:rPr>
          <w:sz w:val="44"/>
          <w:szCs w:val="44"/>
        </w:rPr>
        <w:t>)</w:t>
      </w:r>
    </w:p>
    <w:p w:rsidR="001C3A32" w:rsidRPr="00F0755F" w:rsidRDefault="001C3A32" w:rsidP="00C73DC8">
      <w:pPr>
        <w:pStyle w:val="texto"/>
        <w:jc w:val="right"/>
        <w:rPr>
          <w:sz w:val="44"/>
          <w:szCs w:val="44"/>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E1F03" w:rsidRDefault="00BE1F03" w:rsidP="00891D73">
      <w:pPr>
        <w:pStyle w:val="texto"/>
      </w:pPr>
    </w:p>
    <w:p w:rsidR="00BE1F03" w:rsidRPr="00204979" w:rsidRDefault="00BE1F03" w:rsidP="00891D73">
      <w:pPr>
        <w:pStyle w:val="texto"/>
      </w:pPr>
    </w:p>
    <w:p w:rsidR="001C3A32" w:rsidRPr="00204979" w:rsidRDefault="001C3A32" w:rsidP="00DD497E">
      <w:pPr>
        <w:pStyle w:val="texto"/>
        <w:ind w:firstLine="0"/>
      </w:pPr>
    </w:p>
    <w:p w:rsidR="00716463" w:rsidRDefault="00F0755F" w:rsidP="009936FC">
      <w:pPr>
        <w:pStyle w:val="Fechaportada"/>
      </w:pPr>
      <w:r>
        <w:t>Octubre</w:t>
      </w:r>
      <w:r w:rsidR="00253E78" w:rsidRPr="001D4F09">
        <w:t xml:space="preserve"> de 20</w:t>
      </w:r>
      <w:r w:rsidR="00553CEB">
        <w:t>17</w:t>
      </w:r>
    </w:p>
    <w:p w:rsidR="00553CEB" w:rsidRPr="001D4F09" w:rsidRDefault="00553CEB" w:rsidP="009936FC">
      <w:pPr>
        <w:pStyle w:val="Fechaportada"/>
      </w:pP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553CEB" w:rsidRDefault="00553CEB" w:rsidP="00553CEB">
      <w:pPr>
        <w:pStyle w:val="ndice"/>
      </w:pPr>
      <w:r w:rsidRPr="00891D73">
        <w:lastRenderedPageBreak/>
        <w:t>Índice</w:t>
      </w:r>
    </w:p>
    <w:p w:rsidR="00D51D57" w:rsidRDefault="00553CEB" w:rsidP="00553CEB">
      <w:pPr>
        <w:pStyle w:val="texto"/>
        <w:ind w:right="-211"/>
        <w:jc w:val="right"/>
        <w:rPr>
          <w:noProof/>
        </w:rPr>
      </w:pPr>
      <w:r>
        <w:tab/>
      </w:r>
      <w:r>
        <w:tab/>
      </w:r>
      <w:r>
        <w:tab/>
      </w:r>
      <w:r>
        <w:tab/>
      </w:r>
      <w:r>
        <w:tab/>
      </w:r>
      <w:r>
        <w:rPr>
          <w:smallCaps/>
          <w:sz w:val="20"/>
          <w:szCs w:val="20"/>
        </w:rPr>
        <w:t>página</w:t>
      </w:r>
      <w:r>
        <w:t xml:space="preserve"> </w:t>
      </w:r>
      <w:r>
        <w:rPr>
          <w:rFonts w:ascii="Arial Narrow" w:hAnsi="Arial Narrow"/>
          <w:smallCaps/>
          <w:spacing w:val="0"/>
          <w:sz w:val="22"/>
          <w:szCs w:val="20"/>
        </w:rPr>
        <w:fldChar w:fldCharType="begin"/>
      </w:r>
      <w:r>
        <w:instrText xml:space="preserve"> TOC \o "1-3" \h \z \t "atitulo1;1;atitulo2;2" </w:instrText>
      </w:r>
      <w:r>
        <w:rPr>
          <w:rFonts w:ascii="Arial Narrow" w:hAnsi="Arial Narrow"/>
          <w:smallCaps/>
          <w:spacing w:val="0"/>
          <w:sz w:val="22"/>
          <w:szCs w:val="20"/>
        </w:rPr>
        <w:fldChar w:fldCharType="separate"/>
      </w:r>
    </w:p>
    <w:p w:rsidR="00D51D57" w:rsidRDefault="005A7AAC">
      <w:pPr>
        <w:pStyle w:val="TDC1"/>
        <w:rPr>
          <w:rFonts w:asciiTheme="minorHAnsi" w:eastAsiaTheme="minorEastAsia" w:hAnsiTheme="minorHAnsi" w:cstheme="minorBidi"/>
          <w:smallCaps w:val="0"/>
          <w:noProof/>
          <w:szCs w:val="22"/>
          <w:lang w:val="es-ES" w:eastAsia="es-ES"/>
        </w:rPr>
      </w:pPr>
      <w:hyperlink w:anchor="_Toc494897105" w:history="1">
        <w:r w:rsidR="00D51D57" w:rsidRPr="00032FF2">
          <w:rPr>
            <w:rStyle w:val="Hipervnculo"/>
            <w:noProof/>
          </w:rPr>
          <w:t>I. Introducción</w:t>
        </w:r>
        <w:r w:rsidR="00D51D57">
          <w:rPr>
            <w:noProof/>
            <w:webHidden/>
          </w:rPr>
          <w:tab/>
        </w:r>
        <w:r w:rsidR="00D51D57">
          <w:rPr>
            <w:noProof/>
            <w:webHidden/>
          </w:rPr>
          <w:fldChar w:fldCharType="begin"/>
        </w:r>
        <w:r w:rsidR="00D51D57">
          <w:rPr>
            <w:noProof/>
            <w:webHidden/>
          </w:rPr>
          <w:instrText xml:space="preserve"> PAGEREF _Toc494897105 \h </w:instrText>
        </w:r>
        <w:r w:rsidR="00D51D57">
          <w:rPr>
            <w:noProof/>
            <w:webHidden/>
          </w:rPr>
        </w:r>
        <w:r w:rsidR="00D51D57">
          <w:rPr>
            <w:noProof/>
            <w:webHidden/>
          </w:rPr>
          <w:fldChar w:fldCharType="separate"/>
        </w:r>
        <w:r w:rsidR="004653AF">
          <w:rPr>
            <w:noProof/>
            <w:webHidden/>
          </w:rPr>
          <w:t>3</w:t>
        </w:r>
        <w:r w:rsidR="00D51D57">
          <w:rPr>
            <w:noProof/>
            <w:webHidden/>
          </w:rPr>
          <w:fldChar w:fldCharType="end"/>
        </w:r>
      </w:hyperlink>
    </w:p>
    <w:p w:rsidR="00D51D57" w:rsidRDefault="005A7AAC">
      <w:pPr>
        <w:pStyle w:val="TDC1"/>
        <w:rPr>
          <w:rFonts w:asciiTheme="minorHAnsi" w:eastAsiaTheme="minorEastAsia" w:hAnsiTheme="minorHAnsi" w:cstheme="minorBidi"/>
          <w:smallCaps w:val="0"/>
          <w:noProof/>
          <w:szCs w:val="22"/>
          <w:lang w:val="es-ES" w:eastAsia="es-ES"/>
        </w:rPr>
      </w:pPr>
      <w:hyperlink w:anchor="_Toc494897106" w:history="1">
        <w:r w:rsidR="00D51D57" w:rsidRPr="00032FF2">
          <w:rPr>
            <w:rStyle w:val="Hipervnculo"/>
            <w:noProof/>
          </w:rPr>
          <w:t>II. Las Bardenas Reales y la Comunidad de Bardenas Reales</w:t>
        </w:r>
        <w:r w:rsidR="00D51D57">
          <w:rPr>
            <w:noProof/>
            <w:webHidden/>
          </w:rPr>
          <w:tab/>
        </w:r>
        <w:r w:rsidR="00D51D57">
          <w:rPr>
            <w:noProof/>
            <w:webHidden/>
          </w:rPr>
          <w:fldChar w:fldCharType="begin"/>
        </w:r>
        <w:r w:rsidR="00D51D57">
          <w:rPr>
            <w:noProof/>
            <w:webHidden/>
          </w:rPr>
          <w:instrText xml:space="preserve"> PAGEREF _Toc494897106 \h </w:instrText>
        </w:r>
        <w:r w:rsidR="00D51D57">
          <w:rPr>
            <w:noProof/>
            <w:webHidden/>
          </w:rPr>
        </w:r>
        <w:r w:rsidR="00D51D57">
          <w:rPr>
            <w:noProof/>
            <w:webHidden/>
          </w:rPr>
          <w:fldChar w:fldCharType="separate"/>
        </w:r>
        <w:r w:rsidR="004653AF">
          <w:rPr>
            <w:noProof/>
            <w:webHidden/>
          </w:rPr>
          <w:t>5</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07" w:history="1">
        <w:r w:rsidR="00D51D57" w:rsidRPr="00032FF2">
          <w:rPr>
            <w:rStyle w:val="Hipervnculo"/>
            <w:noProof/>
          </w:rPr>
          <w:t>II.1. Descripción territorial y del objeto dominical</w:t>
        </w:r>
        <w:r w:rsidR="00D51D57">
          <w:rPr>
            <w:noProof/>
            <w:webHidden/>
          </w:rPr>
          <w:tab/>
        </w:r>
        <w:r w:rsidR="00D51D57">
          <w:rPr>
            <w:noProof/>
            <w:webHidden/>
          </w:rPr>
          <w:fldChar w:fldCharType="begin"/>
        </w:r>
        <w:r w:rsidR="00D51D57">
          <w:rPr>
            <w:noProof/>
            <w:webHidden/>
          </w:rPr>
          <w:instrText xml:space="preserve"> PAGEREF _Toc494897107 \h </w:instrText>
        </w:r>
        <w:r w:rsidR="00D51D57">
          <w:rPr>
            <w:noProof/>
            <w:webHidden/>
          </w:rPr>
        </w:r>
        <w:r w:rsidR="00D51D57">
          <w:rPr>
            <w:noProof/>
            <w:webHidden/>
          </w:rPr>
          <w:fldChar w:fldCharType="separate"/>
        </w:r>
        <w:r w:rsidR="004653AF">
          <w:rPr>
            <w:noProof/>
            <w:webHidden/>
          </w:rPr>
          <w:t>5</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08" w:history="1">
        <w:r w:rsidR="00D51D57" w:rsidRPr="00032FF2">
          <w:rPr>
            <w:rStyle w:val="Hipervnculo"/>
            <w:noProof/>
          </w:rPr>
          <w:t>II.2. Protección del territorio de las Bardenas Reales</w:t>
        </w:r>
        <w:r w:rsidR="00D51D57">
          <w:rPr>
            <w:noProof/>
            <w:webHidden/>
          </w:rPr>
          <w:tab/>
        </w:r>
        <w:r w:rsidR="00D51D57">
          <w:rPr>
            <w:noProof/>
            <w:webHidden/>
          </w:rPr>
          <w:fldChar w:fldCharType="begin"/>
        </w:r>
        <w:r w:rsidR="00D51D57">
          <w:rPr>
            <w:noProof/>
            <w:webHidden/>
          </w:rPr>
          <w:instrText xml:space="preserve"> PAGEREF _Toc494897108 \h </w:instrText>
        </w:r>
        <w:r w:rsidR="00D51D57">
          <w:rPr>
            <w:noProof/>
            <w:webHidden/>
          </w:rPr>
        </w:r>
        <w:r w:rsidR="00D51D57">
          <w:rPr>
            <w:noProof/>
            <w:webHidden/>
          </w:rPr>
          <w:fldChar w:fldCharType="separate"/>
        </w:r>
        <w:r w:rsidR="004653AF">
          <w:rPr>
            <w:noProof/>
            <w:webHidden/>
          </w:rPr>
          <w:t>7</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09" w:history="1">
        <w:r w:rsidR="00D51D57" w:rsidRPr="00032FF2">
          <w:rPr>
            <w:rStyle w:val="Hipervnculo"/>
            <w:noProof/>
          </w:rPr>
          <w:t>II.3. Régimen jurídico y organización interna de la Comunidad de Bardenas Reales</w:t>
        </w:r>
        <w:r w:rsidR="00D51D57">
          <w:rPr>
            <w:noProof/>
            <w:webHidden/>
          </w:rPr>
          <w:tab/>
        </w:r>
        <w:r w:rsidR="00D51D57">
          <w:rPr>
            <w:noProof/>
            <w:webHidden/>
          </w:rPr>
          <w:fldChar w:fldCharType="begin"/>
        </w:r>
        <w:r w:rsidR="00D51D57">
          <w:rPr>
            <w:noProof/>
            <w:webHidden/>
          </w:rPr>
          <w:instrText xml:space="preserve"> PAGEREF _Toc494897109 \h </w:instrText>
        </w:r>
        <w:r w:rsidR="00D51D57">
          <w:rPr>
            <w:noProof/>
            <w:webHidden/>
          </w:rPr>
        </w:r>
        <w:r w:rsidR="00D51D57">
          <w:rPr>
            <w:noProof/>
            <w:webHidden/>
          </w:rPr>
          <w:fldChar w:fldCharType="separate"/>
        </w:r>
        <w:r w:rsidR="004653AF">
          <w:rPr>
            <w:noProof/>
            <w:webHidden/>
          </w:rPr>
          <w:t>10</w:t>
        </w:r>
        <w:r w:rsidR="00D51D57">
          <w:rPr>
            <w:noProof/>
            <w:webHidden/>
          </w:rPr>
          <w:fldChar w:fldCharType="end"/>
        </w:r>
      </w:hyperlink>
    </w:p>
    <w:p w:rsidR="00D51D57" w:rsidRDefault="005A7AAC">
      <w:pPr>
        <w:pStyle w:val="TDC1"/>
        <w:rPr>
          <w:rFonts w:asciiTheme="minorHAnsi" w:eastAsiaTheme="minorEastAsia" w:hAnsiTheme="minorHAnsi" w:cstheme="minorBidi"/>
          <w:smallCaps w:val="0"/>
          <w:noProof/>
          <w:szCs w:val="22"/>
          <w:lang w:val="es-ES" w:eastAsia="es-ES"/>
        </w:rPr>
      </w:pPr>
      <w:hyperlink w:anchor="_Toc494897110" w:history="1">
        <w:r w:rsidR="00D51D57" w:rsidRPr="00032FF2">
          <w:rPr>
            <w:rStyle w:val="Hipervnculo"/>
            <w:noProof/>
          </w:rPr>
          <w:t>III. Alcance del trabajo</w:t>
        </w:r>
        <w:r w:rsidR="00D51D57">
          <w:rPr>
            <w:noProof/>
            <w:webHidden/>
          </w:rPr>
          <w:tab/>
        </w:r>
        <w:r w:rsidR="00D51D57">
          <w:rPr>
            <w:noProof/>
            <w:webHidden/>
          </w:rPr>
          <w:fldChar w:fldCharType="begin"/>
        </w:r>
        <w:r w:rsidR="00D51D57">
          <w:rPr>
            <w:noProof/>
            <w:webHidden/>
          </w:rPr>
          <w:instrText xml:space="preserve"> PAGEREF _Toc494897110 \h </w:instrText>
        </w:r>
        <w:r w:rsidR="00D51D57">
          <w:rPr>
            <w:noProof/>
            <w:webHidden/>
          </w:rPr>
        </w:r>
        <w:r w:rsidR="00D51D57">
          <w:rPr>
            <w:noProof/>
            <w:webHidden/>
          </w:rPr>
          <w:fldChar w:fldCharType="separate"/>
        </w:r>
        <w:r w:rsidR="004653AF">
          <w:rPr>
            <w:noProof/>
            <w:webHidden/>
          </w:rPr>
          <w:t>12</w:t>
        </w:r>
        <w:r w:rsidR="00D51D57">
          <w:rPr>
            <w:noProof/>
            <w:webHidden/>
          </w:rPr>
          <w:fldChar w:fldCharType="end"/>
        </w:r>
      </w:hyperlink>
    </w:p>
    <w:p w:rsidR="00D51D57" w:rsidRDefault="005A7AAC">
      <w:pPr>
        <w:pStyle w:val="TDC1"/>
        <w:rPr>
          <w:rFonts w:asciiTheme="minorHAnsi" w:eastAsiaTheme="minorEastAsia" w:hAnsiTheme="minorHAnsi" w:cstheme="minorBidi"/>
          <w:smallCaps w:val="0"/>
          <w:noProof/>
          <w:szCs w:val="22"/>
          <w:lang w:val="es-ES" w:eastAsia="es-ES"/>
        </w:rPr>
      </w:pPr>
      <w:hyperlink w:anchor="_Toc494897111" w:history="1">
        <w:r w:rsidR="00D51D57" w:rsidRPr="00032FF2">
          <w:rPr>
            <w:rStyle w:val="Hipervnculo"/>
            <w:noProof/>
          </w:rPr>
          <w:t>IV. Opinión</w:t>
        </w:r>
        <w:r w:rsidR="00D51D57">
          <w:rPr>
            <w:noProof/>
            <w:webHidden/>
          </w:rPr>
          <w:tab/>
        </w:r>
        <w:r w:rsidR="00D51D57">
          <w:rPr>
            <w:noProof/>
            <w:webHidden/>
          </w:rPr>
          <w:fldChar w:fldCharType="begin"/>
        </w:r>
        <w:r w:rsidR="00D51D57">
          <w:rPr>
            <w:noProof/>
            <w:webHidden/>
          </w:rPr>
          <w:instrText xml:space="preserve"> PAGEREF _Toc494897111 \h </w:instrText>
        </w:r>
        <w:r w:rsidR="00D51D57">
          <w:rPr>
            <w:noProof/>
            <w:webHidden/>
          </w:rPr>
        </w:r>
        <w:r w:rsidR="00D51D57">
          <w:rPr>
            <w:noProof/>
            <w:webHidden/>
          </w:rPr>
          <w:fldChar w:fldCharType="separate"/>
        </w:r>
        <w:r w:rsidR="004653AF">
          <w:rPr>
            <w:noProof/>
            <w:webHidden/>
          </w:rPr>
          <w:t>13</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12" w:history="1">
        <w:r w:rsidR="00D51D57" w:rsidRPr="00032FF2">
          <w:rPr>
            <w:rStyle w:val="Hipervnculo"/>
            <w:noProof/>
          </w:rPr>
          <w:t>IV.1. Opinión de auditoría financiera sobre “gastos de representación, reuniones, viajes e indemnizaciones”</w:t>
        </w:r>
        <w:r w:rsidR="00D51D57">
          <w:rPr>
            <w:noProof/>
            <w:webHidden/>
          </w:rPr>
          <w:tab/>
        </w:r>
        <w:r w:rsidR="00D51D57">
          <w:rPr>
            <w:noProof/>
            <w:webHidden/>
          </w:rPr>
          <w:fldChar w:fldCharType="begin"/>
        </w:r>
        <w:r w:rsidR="00D51D57">
          <w:rPr>
            <w:noProof/>
            <w:webHidden/>
          </w:rPr>
          <w:instrText xml:space="preserve"> PAGEREF _Toc494897112 \h </w:instrText>
        </w:r>
        <w:r w:rsidR="00D51D57">
          <w:rPr>
            <w:noProof/>
            <w:webHidden/>
          </w:rPr>
        </w:r>
        <w:r w:rsidR="00D51D57">
          <w:rPr>
            <w:noProof/>
            <w:webHidden/>
          </w:rPr>
          <w:fldChar w:fldCharType="separate"/>
        </w:r>
        <w:r w:rsidR="004653AF">
          <w:rPr>
            <w:noProof/>
            <w:webHidden/>
          </w:rPr>
          <w:t>14</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13" w:history="1">
        <w:r w:rsidR="00D51D57" w:rsidRPr="00032FF2">
          <w:rPr>
            <w:rStyle w:val="Hipervnculo"/>
            <w:noProof/>
          </w:rPr>
          <w:t>IV.2. Opinión de fiscalización de cumplimiento de legalidad en materia de contratación pública</w:t>
        </w:r>
        <w:r w:rsidR="00D51D57">
          <w:rPr>
            <w:noProof/>
            <w:webHidden/>
          </w:rPr>
          <w:tab/>
        </w:r>
        <w:r w:rsidR="00D51D57">
          <w:rPr>
            <w:noProof/>
            <w:webHidden/>
          </w:rPr>
          <w:fldChar w:fldCharType="begin"/>
        </w:r>
        <w:r w:rsidR="00D51D57">
          <w:rPr>
            <w:noProof/>
            <w:webHidden/>
          </w:rPr>
          <w:instrText xml:space="preserve"> PAGEREF _Toc494897113 \h </w:instrText>
        </w:r>
        <w:r w:rsidR="00D51D57">
          <w:rPr>
            <w:noProof/>
            <w:webHidden/>
          </w:rPr>
        </w:r>
        <w:r w:rsidR="00D51D57">
          <w:rPr>
            <w:noProof/>
            <w:webHidden/>
          </w:rPr>
          <w:fldChar w:fldCharType="separate"/>
        </w:r>
        <w:r w:rsidR="004653AF">
          <w:rPr>
            <w:noProof/>
            <w:webHidden/>
          </w:rPr>
          <w:t>15</w:t>
        </w:r>
        <w:r w:rsidR="00D51D57">
          <w:rPr>
            <w:noProof/>
            <w:webHidden/>
          </w:rPr>
          <w:fldChar w:fldCharType="end"/>
        </w:r>
      </w:hyperlink>
    </w:p>
    <w:p w:rsidR="00D51D57" w:rsidRDefault="005A7AAC">
      <w:pPr>
        <w:pStyle w:val="TDC1"/>
        <w:rPr>
          <w:rFonts w:asciiTheme="minorHAnsi" w:eastAsiaTheme="minorEastAsia" w:hAnsiTheme="minorHAnsi" w:cstheme="minorBidi"/>
          <w:smallCaps w:val="0"/>
          <w:noProof/>
          <w:szCs w:val="22"/>
          <w:lang w:val="es-ES" w:eastAsia="es-ES"/>
        </w:rPr>
      </w:pPr>
      <w:hyperlink w:anchor="_Toc494897114" w:history="1">
        <w:r w:rsidR="00D51D57" w:rsidRPr="00032FF2">
          <w:rPr>
            <w:rStyle w:val="Hipervnculo"/>
            <w:noProof/>
            <w:lang w:val="es-ES" w:eastAsia="es-ES"/>
          </w:rPr>
          <w:t>V. Comentarios, observaciones y recomendaciones</w:t>
        </w:r>
        <w:r w:rsidR="00D51D57">
          <w:rPr>
            <w:noProof/>
            <w:webHidden/>
          </w:rPr>
          <w:tab/>
        </w:r>
        <w:r w:rsidR="00D51D57">
          <w:rPr>
            <w:noProof/>
            <w:webHidden/>
          </w:rPr>
          <w:fldChar w:fldCharType="begin"/>
        </w:r>
        <w:r w:rsidR="00D51D57">
          <w:rPr>
            <w:noProof/>
            <w:webHidden/>
          </w:rPr>
          <w:instrText xml:space="preserve"> PAGEREF _Toc494897114 \h </w:instrText>
        </w:r>
        <w:r w:rsidR="00D51D57">
          <w:rPr>
            <w:noProof/>
            <w:webHidden/>
          </w:rPr>
        </w:r>
        <w:r w:rsidR="00D51D57">
          <w:rPr>
            <w:noProof/>
            <w:webHidden/>
          </w:rPr>
          <w:fldChar w:fldCharType="separate"/>
        </w:r>
        <w:r w:rsidR="004653AF">
          <w:rPr>
            <w:noProof/>
            <w:webHidden/>
          </w:rPr>
          <w:t>16</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15" w:history="1">
        <w:r w:rsidR="00D51D57" w:rsidRPr="00032FF2">
          <w:rPr>
            <w:rStyle w:val="Hipervnculo"/>
            <w:noProof/>
            <w:lang w:val="es-ES" w:eastAsia="es-ES"/>
          </w:rPr>
          <w:t>V.1. Gastos por atenciones protocolarias y representativas</w:t>
        </w:r>
        <w:r w:rsidR="00D51D57">
          <w:rPr>
            <w:noProof/>
            <w:webHidden/>
          </w:rPr>
          <w:tab/>
        </w:r>
        <w:r w:rsidR="00D51D57">
          <w:rPr>
            <w:noProof/>
            <w:webHidden/>
          </w:rPr>
          <w:fldChar w:fldCharType="begin"/>
        </w:r>
        <w:r w:rsidR="00D51D57">
          <w:rPr>
            <w:noProof/>
            <w:webHidden/>
          </w:rPr>
          <w:instrText xml:space="preserve"> PAGEREF _Toc494897115 \h </w:instrText>
        </w:r>
        <w:r w:rsidR="00D51D57">
          <w:rPr>
            <w:noProof/>
            <w:webHidden/>
          </w:rPr>
        </w:r>
        <w:r w:rsidR="00D51D57">
          <w:rPr>
            <w:noProof/>
            <w:webHidden/>
          </w:rPr>
          <w:fldChar w:fldCharType="separate"/>
        </w:r>
        <w:r w:rsidR="004653AF">
          <w:rPr>
            <w:noProof/>
            <w:webHidden/>
          </w:rPr>
          <w:t>16</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16" w:history="1">
        <w:r w:rsidR="00D51D57" w:rsidRPr="00032FF2">
          <w:rPr>
            <w:rStyle w:val="Hipervnculo"/>
            <w:noProof/>
            <w:lang w:val="es-ES" w:eastAsia="es-ES"/>
          </w:rPr>
          <w:t>V.2. Indemnizaciones cargos electivos</w:t>
        </w:r>
        <w:r w:rsidR="00D51D57">
          <w:rPr>
            <w:noProof/>
            <w:webHidden/>
          </w:rPr>
          <w:tab/>
        </w:r>
        <w:r w:rsidR="00D51D57">
          <w:rPr>
            <w:noProof/>
            <w:webHidden/>
          </w:rPr>
          <w:fldChar w:fldCharType="begin"/>
        </w:r>
        <w:r w:rsidR="00D51D57">
          <w:rPr>
            <w:noProof/>
            <w:webHidden/>
          </w:rPr>
          <w:instrText xml:space="preserve"> PAGEREF _Toc494897116 \h </w:instrText>
        </w:r>
        <w:r w:rsidR="00D51D57">
          <w:rPr>
            <w:noProof/>
            <w:webHidden/>
          </w:rPr>
        </w:r>
        <w:r w:rsidR="00D51D57">
          <w:rPr>
            <w:noProof/>
            <w:webHidden/>
          </w:rPr>
          <w:fldChar w:fldCharType="separate"/>
        </w:r>
        <w:r w:rsidR="004653AF">
          <w:rPr>
            <w:noProof/>
            <w:webHidden/>
          </w:rPr>
          <w:t>19</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17" w:history="1">
        <w:r w:rsidR="00D51D57" w:rsidRPr="00032FF2">
          <w:rPr>
            <w:rStyle w:val="Hipervnculo"/>
            <w:noProof/>
            <w:lang w:val="es-ES" w:eastAsia="es-ES"/>
          </w:rPr>
          <w:t>V.3. Asistencia a reuniones y conferencias</w:t>
        </w:r>
        <w:r w:rsidR="00D51D57">
          <w:rPr>
            <w:noProof/>
            <w:webHidden/>
          </w:rPr>
          <w:tab/>
        </w:r>
        <w:r w:rsidR="00D51D57">
          <w:rPr>
            <w:noProof/>
            <w:webHidden/>
          </w:rPr>
          <w:fldChar w:fldCharType="begin"/>
        </w:r>
        <w:r w:rsidR="00D51D57">
          <w:rPr>
            <w:noProof/>
            <w:webHidden/>
          </w:rPr>
          <w:instrText xml:space="preserve"> PAGEREF _Toc494897117 \h </w:instrText>
        </w:r>
        <w:r w:rsidR="00D51D57">
          <w:rPr>
            <w:noProof/>
            <w:webHidden/>
          </w:rPr>
        </w:r>
        <w:r w:rsidR="00D51D57">
          <w:rPr>
            <w:noProof/>
            <w:webHidden/>
          </w:rPr>
          <w:fldChar w:fldCharType="separate"/>
        </w:r>
        <w:r w:rsidR="004653AF">
          <w:rPr>
            <w:noProof/>
            <w:webHidden/>
          </w:rPr>
          <w:t>23</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18" w:history="1">
        <w:r w:rsidR="00D51D57" w:rsidRPr="00032FF2">
          <w:rPr>
            <w:rStyle w:val="Hipervnculo"/>
            <w:noProof/>
            <w:lang w:val="es-ES" w:eastAsia="es-ES"/>
          </w:rPr>
          <w:t>V.4. Gastos de viaje institucionales</w:t>
        </w:r>
        <w:r w:rsidR="00D51D57">
          <w:rPr>
            <w:noProof/>
            <w:webHidden/>
          </w:rPr>
          <w:tab/>
        </w:r>
        <w:r w:rsidR="00D51D57">
          <w:rPr>
            <w:noProof/>
            <w:webHidden/>
          </w:rPr>
          <w:fldChar w:fldCharType="begin"/>
        </w:r>
        <w:r w:rsidR="00D51D57">
          <w:rPr>
            <w:noProof/>
            <w:webHidden/>
          </w:rPr>
          <w:instrText xml:space="preserve"> PAGEREF _Toc494897118 \h </w:instrText>
        </w:r>
        <w:r w:rsidR="00D51D57">
          <w:rPr>
            <w:noProof/>
            <w:webHidden/>
          </w:rPr>
        </w:r>
        <w:r w:rsidR="00D51D57">
          <w:rPr>
            <w:noProof/>
            <w:webHidden/>
          </w:rPr>
          <w:fldChar w:fldCharType="separate"/>
        </w:r>
        <w:r w:rsidR="004653AF">
          <w:rPr>
            <w:noProof/>
            <w:webHidden/>
          </w:rPr>
          <w:t>24</w:t>
        </w:r>
        <w:r w:rsidR="00D51D57">
          <w:rPr>
            <w:noProof/>
            <w:webHidden/>
          </w:rPr>
          <w:fldChar w:fldCharType="end"/>
        </w:r>
      </w:hyperlink>
    </w:p>
    <w:p w:rsidR="00D51D57" w:rsidRDefault="005A7AAC">
      <w:pPr>
        <w:pStyle w:val="TDC2"/>
        <w:rPr>
          <w:rFonts w:asciiTheme="minorHAnsi" w:eastAsiaTheme="minorEastAsia" w:hAnsiTheme="minorHAnsi" w:cstheme="minorBidi"/>
          <w:noProof/>
          <w:szCs w:val="22"/>
          <w:lang w:val="es-ES" w:eastAsia="es-ES"/>
        </w:rPr>
      </w:pPr>
      <w:hyperlink w:anchor="_Toc494897119" w:history="1">
        <w:r w:rsidR="00D51D57" w:rsidRPr="00032FF2">
          <w:rPr>
            <w:rStyle w:val="Hipervnculo"/>
            <w:noProof/>
          </w:rPr>
          <w:t>V.5. Contratación pública</w:t>
        </w:r>
        <w:r w:rsidR="00D51D57">
          <w:rPr>
            <w:noProof/>
            <w:webHidden/>
          </w:rPr>
          <w:tab/>
        </w:r>
        <w:r w:rsidR="00D51D57">
          <w:rPr>
            <w:noProof/>
            <w:webHidden/>
          </w:rPr>
          <w:fldChar w:fldCharType="begin"/>
        </w:r>
        <w:r w:rsidR="00D51D57">
          <w:rPr>
            <w:noProof/>
            <w:webHidden/>
          </w:rPr>
          <w:instrText xml:space="preserve"> PAGEREF _Toc494897119 \h </w:instrText>
        </w:r>
        <w:r w:rsidR="00D51D57">
          <w:rPr>
            <w:noProof/>
            <w:webHidden/>
          </w:rPr>
        </w:r>
        <w:r w:rsidR="00D51D57">
          <w:rPr>
            <w:noProof/>
            <w:webHidden/>
          </w:rPr>
          <w:fldChar w:fldCharType="separate"/>
        </w:r>
        <w:r w:rsidR="004653AF">
          <w:rPr>
            <w:noProof/>
            <w:webHidden/>
          </w:rPr>
          <w:t>38</w:t>
        </w:r>
        <w:r w:rsidR="00D51D57">
          <w:rPr>
            <w:noProof/>
            <w:webHidden/>
          </w:rPr>
          <w:fldChar w:fldCharType="end"/>
        </w:r>
      </w:hyperlink>
    </w:p>
    <w:p w:rsidR="00D51D57" w:rsidRDefault="005A7AAC">
      <w:pPr>
        <w:pStyle w:val="TDC1"/>
        <w:rPr>
          <w:rFonts w:asciiTheme="minorHAnsi" w:eastAsiaTheme="minorEastAsia" w:hAnsiTheme="minorHAnsi" w:cstheme="minorBidi"/>
          <w:smallCaps w:val="0"/>
          <w:noProof/>
          <w:szCs w:val="22"/>
          <w:lang w:val="es-ES" w:eastAsia="es-ES"/>
        </w:rPr>
      </w:pPr>
      <w:hyperlink w:anchor="_Toc494897120" w:history="1">
        <w:r w:rsidR="00D51D57" w:rsidRPr="00032FF2">
          <w:rPr>
            <w:rStyle w:val="Hipervnculo"/>
            <w:noProof/>
            <w:lang w:val="es-ES" w:eastAsia="es-ES"/>
          </w:rPr>
          <w:t>Anexo. Evolución de la ejecución presupuestaria y principales magnitudes de la Comunidad de Bardenas Reales (2010 a 2016)</w:t>
        </w:r>
        <w:r w:rsidR="00D51D57">
          <w:rPr>
            <w:noProof/>
            <w:webHidden/>
          </w:rPr>
          <w:tab/>
        </w:r>
        <w:r w:rsidR="00D51D57">
          <w:rPr>
            <w:noProof/>
            <w:webHidden/>
          </w:rPr>
          <w:fldChar w:fldCharType="begin"/>
        </w:r>
        <w:r w:rsidR="00D51D57">
          <w:rPr>
            <w:noProof/>
            <w:webHidden/>
          </w:rPr>
          <w:instrText xml:space="preserve"> PAGEREF _Toc494897120 \h </w:instrText>
        </w:r>
        <w:r w:rsidR="00D51D57">
          <w:rPr>
            <w:noProof/>
            <w:webHidden/>
          </w:rPr>
        </w:r>
        <w:r w:rsidR="00D51D57">
          <w:rPr>
            <w:noProof/>
            <w:webHidden/>
          </w:rPr>
          <w:fldChar w:fldCharType="separate"/>
        </w:r>
        <w:r w:rsidR="004653AF">
          <w:rPr>
            <w:noProof/>
            <w:webHidden/>
          </w:rPr>
          <w:t>54</w:t>
        </w:r>
        <w:r w:rsidR="00D51D57">
          <w:rPr>
            <w:noProof/>
            <w:webHidden/>
          </w:rPr>
          <w:fldChar w:fldCharType="end"/>
        </w:r>
      </w:hyperlink>
    </w:p>
    <w:p w:rsidR="00553CEB" w:rsidRDefault="00553CEB" w:rsidP="00553CEB">
      <w:pPr>
        <w:pStyle w:val="texto"/>
      </w:pPr>
      <w:r>
        <w:fldChar w:fldCharType="end"/>
      </w:r>
    </w:p>
    <w:p w:rsidR="00553CEB" w:rsidRDefault="00553CEB" w:rsidP="00553CEB">
      <w:pPr>
        <w:pStyle w:val="texto"/>
      </w:pPr>
    </w:p>
    <w:p w:rsidR="00553CEB" w:rsidRDefault="00553CEB" w:rsidP="00553CEB">
      <w:pPr>
        <w:pStyle w:val="texto"/>
        <w:ind w:firstLine="0"/>
        <w:sectPr w:rsidR="00553CEB" w:rsidSect="00553CEB">
          <w:headerReference w:type="default" r:id="rId14"/>
          <w:footerReference w:type="even" r:id="rId15"/>
          <w:footerReference w:type="default" r:id="rId16"/>
          <w:headerReference w:type="first" r:id="rId17"/>
          <w:footerReference w:type="first" r:id="rId18"/>
          <w:type w:val="oddPage"/>
          <w:pgSz w:w="11907" w:h="16840" w:code="9"/>
          <w:pgMar w:top="2109" w:right="1559" w:bottom="1644" w:left="1559" w:header="369" w:footer="402" w:gutter="0"/>
          <w:pgNumType w:start="3"/>
          <w:cols w:space="720"/>
          <w:docGrid w:linePitch="360"/>
        </w:sectPr>
      </w:pPr>
    </w:p>
    <w:p w:rsidR="00553CEB" w:rsidRDefault="00553CEB" w:rsidP="00553CEB">
      <w:pPr>
        <w:pStyle w:val="atitulo1"/>
      </w:pPr>
      <w:bookmarkStart w:id="1" w:name="_Toc303592528"/>
      <w:bookmarkStart w:id="2" w:name="_Toc309383711"/>
      <w:bookmarkStart w:id="3" w:name="_Toc339016600"/>
      <w:bookmarkStart w:id="4" w:name="_Toc463350236"/>
      <w:bookmarkStart w:id="5" w:name="_Toc463611381"/>
      <w:bookmarkStart w:id="6" w:name="_Toc494897105"/>
      <w:r w:rsidRPr="00FB570E">
        <w:lastRenderedPageBreak/>
        <w:t>I. Introducción</w:t>
      </w:r>
      <w:bookmarkEnd w:id="1"/>
      <w:bookmarkEnd w:id="2"/>
      <w:bookmarkEnd w:id="3"/>
      <w:bookmarkEnd w:id="4"/>
      <w:bookmarkEnd w:id="5"/>
      <w:bookmarkEnd w:id="6"/>
      <w:r>
        <w:t xml:space="preserve"> </w:t>
      </w:r>
    </w:p>
    <w:p w:rsidR="00553CEB" w:rsidRDefault="00553CEB" w:rsidP="00553CEB">
      <w:pPr>
        <w:pStyle w:val="texto"/>
        <w:rPr>
          <w:szCs w:val="26"/>
          <w:lang w:val="es-ES" w:eastAsia="es-ES"/>
        </w:rPr>
      </w:pPr>
      <w:r>
        <w:rPr>
          <w:szCs w:val="26"/>
          <w:lang w:val="es-ES" w:eastAsia="es-ES"/>
        </w:rPr>
        <w:t>Entre finales de 2016 y principios de 2017, se recibieron en la Cámara de Comptos las siguientes peticiones sobre la Comunidad de Bardenas Reales de Navarra:</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lang w:val="es-ES" w:eastAsia="es-ES"/>
        </w:rPr>
      </w:pPr>
      <w:r>
        <w:rPr>
          <w:szCs w:val="26"/>
          <w:lang w:val="es-ES" w:eastAsia="es-ES"/>
        </w:rPr>
        <w:t>Acuerdo de la Junta de Portavoces del 28 de noviembre de 2016 en el que, a instancias del grupo parlamentario EH Bildu Nafarroa, se solicita de la Cám</w:t>
      </w:r>
      <w:r>
        <w:rPr>
          <w:szCs w:val="26"/>
          <w:lang w:val="es-ES" w:eastAsia="es-ES"/>
        </w:rPr>
        <w:t>a</w:t>
      </w:r>
      <w:r>
        <w:rPr>
          <w:szCs w:val="26"/>
          <w:lang w:val="es-ES" w:eastAsia="es-ES"/>
        </w:rPr>
        <w:t>ra de Comptos la emisión de un informe de fiscalización sobre la ejecución y justificación de las siguientes partidas y aspectos:</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“Asistencias a reuniones y conferencias</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Atenciones protocolarias</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Indemnización y locomoción de cargos</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Gasto en viajes a Egipto (2006), Argentina (2007), Senegal (2008) y Costa Rica (2012)”</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lang w:val="es-ES" w:eastAsia="es-ES"/>
        </w:rPr>
      </w:pPr>
      <w:r>
        <w:rPr>
          <w:szCs w:val="26"/>
          <w:lang w:val="es-ES" w:eastAsia="es-ES"/>
        </w:rPr>
        <w:t>Acuerdo de la Junta de Portavoces del 28 de noviembre de 2016 en el que, a instancias de la agrupación parlamentaria de Izquierda-Ezkerra, se solicita de la Cámara de Comptos la emisión de:</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“Un informe de fiscalización urgente sobre las cuentas de 2009 a 2016 así como sobre el cumplimiento de la legalidad vigente en materia de contratación pública.</w:t>
      </w:r>
    </w:p>
    <w:p w:rsidR="00553CEB" w:rsidRPr="00F97B91" w:rsidRDefault="00553CEB" w:rsidP="00553CEB">
      <w:pPr>
        <w:pStyle w:val="texto"/>
        <w:numPr>
          <w:ilvl w:val="0"/>
          <w:numId w:val="12"/>
        </w:numPr>
        <w:tabs>
          <w:tab w:val="clear" w:pos="2835"/>
          <w:tab w:val="clear" w:pos="3969"/>
          <w:tab w:val="clear" w:pos="5103"/>
          <w:tab w:val="clear" w:pos="6237"/>
          <w:tab w:val="clear" w:pos="7371"/>
          <w:tab w:val="left" w:pos="480"/>
        </w:tabs>
        <w:ind w:left="426" w:hanging="136"/>
        <w:rPr>
          <w:i/>
          <w:sz w:val="22"/>
          <w:szCs w:val="22"/>
          <w:lang w:val="es-ES" w:eastAsia="es-ES"/>
        </w:rPr>
      </w:pPr>
      <w:r w:rsidRPr="00F97B91">
        <w:rPr>
          <w:i/>
          <w:sz w:val="22"/>
          <w:szCs w:val="22"/>
          <w:lang w:val="es-ES" w:eastAsia="es-ES"/>
        </w:rPr>
        <w:t>Análisis especifico de la partida de protocolo y se desglosen esos gastos. Así mismo se especifique el uso de la partida de dietas y de asistencia a reuniones y conferencias, s</w:t>
      </w:r>
      <w:r w:rsidRPr="00F97B91">
        <w:rPr>
          <w:i/>
          <w:sz w:val="22"/>
          <w:szCs w:val="22"/>
          <w:lang w:val="es-ES" w:eastAsia="es-ES"/>
        </w:rPr>
        <w:t>o</w:t>
      </w:r>
      <w:r w:rsidRPr="00F97B91">
        <w:rPr>
          <w:i/>
          <w:sz w:val="22"/>
          <w:szCs w:val="22"/>
          <w:lang w:val="es-ES" w:eastAsia="es-ES"/>
        </w:rPr>
        <w:t>bre qué conceptos se justifican y como se justifican.”</w:t>
      </w:r>
    </w:p>
    <w:p w:rsidR="00553CEB" w:rsidRPr="006E14B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lang w:val="es-ES" w:eastAsia="es-ES"/>
        </w:rPr>
      </w:pPr>
      <w:r>
        <w:rPr>
          <w:szCs w:val="26"/>
          <w:lang w:val="es-ES" w:eastAsia="es-ES"/>
        </w:rPr>
        <w:t>Acuerdo del Pleno del Ayuntamiento de Valtierra de 27 de diciembre de 2016, en el que se adopta por unanimidad lo siguiente:</w:t>
      </w:r>
    </w:p>
    <w:p w:rsidR="00553CEB" w:rsidRPr="00F97B91" w:rsidRDefault="00553CEB" w:rsidP="00553CEB">
      <w:pPr>
        <w:pStyle w:val="texto"/>
        <w:tabs>
          <w:tab w:val="clear" w:pos="2835"/>
          <w:tab w:val="clear" w:pos="3969"/>
          <w:tab w:val="clear" w:pos="5103"/>
          <w:tab w:val="clear" w:pos="6237"/>
          <w:tab w:val="clear" w:pos="7371"/>
          <w:tab w:val="left" w:pos="480"/>
        </w:tabs>
        <w:rPr>
          <w:i/>
          <w:sz w:val="22"/>
          <w:szCs w:val="22"/>
          <w:lang w:val="es-ES" w:eastAsia="es-ES"/>
        </w:rPr>
      </w:pPr>
      <w:r w:rsidRPr="00F97B91">
        <w:rPr>
          <w:i/>
          <w:sz w:val="22"/>
          <w:szCs w:val="22"/>
          <w:lang w:val="es-ES" w:eastAsia="es-ES"/>
        </w:rPr>
        <w:t>“1º. Requerir a la Cámara de Comptos la realización urgente de un informe de fiscaliz</w:t>
      </w:r>
      <w:r w:rsidRPr="00F97B91">
        <w:rPr>
          <w:i/>
          <w:sz w:val="22"/>
          <w:szCs w:val="22"/>
          <w:lang w:val="es-ES" w:eastAsia="es-ES"/>
        </w:rPr>
        <w:t>a</w:t>
      </w:r>
      <w:r w:rsidRPr="00F97B91">
        <w:rPr>
          <w:i/>
          <w:sz w:val="22"/>
          <w:szCs w:val="22"/>
          <w:lang w:val="es-ES" w:eastAsia="es-ES"/>
        </w:rPr>
        <w:t>ción sobre las cuentas de 2009 a 2016 y sobre el cumplimiento de la legalidad vigente en materia de contratación pública.</w:t>
      </w:r>
    </w:p>
    <w:p w:rsidR="00553CEB" w:rsidRPr="00F97B91" w:rsidRDefault="00553CEB" w:rsidP="00553CEB">
      <w:pPr>
        <w:pStyle w:val="texto"/>
        <w:tabs>
          <w:tab w:val="clear" w:pos="2835"/>
          <w:tab w:val="clear" w:pos="3969"/>
          <w:tab w:val="clear" w:pos="5103"/>
          <w:tab w:val="clear" w:pos="6237"/>
          <w:tab w:val="clear" w:pos="7371"/>
          <w:tab w:val="left" w:pos="480"/>
        </w:tabs>
        <w:rPr>
          <w:i/>
          <w:sz w:val="22"/>
          <w:szCs w:val="22"/>
          <w:lang w:val="es-ES" w:eastAsia="es-ES"/>
        </w:rPr>
      </w:pPr>
      <w:r w:rsidRPr="00F97B91">
        <w:rPr>
          <w:i/>
          <w:sz w:val="22"/>
          <w:szCs w:val="22"/>
          <w:lang w:val="es-ES" w:eastAsia="es-ES"/>
        </w:rPr>
        <w:t>2º. Requerir a la Cámara de Comptos que dicho informe recoja un análisis pormenoriz</w:t>
      </w:r>
      <w:r w:rsidRPr="00F97B91">
        <w:rPr>
          <w:i/>
          <w:sz w:val="22"/>
          <w:szCs w:val="22"/>
          <w:lang w:val="es-ES" w:eastAsia="es-ES"/>
        </w:rPr>
        <w:t>a</w:t>
      </w:r>
      <w:r w:rsidRPr="00F97B91">
        <w:rPr>
          <w:i/>
          <w:sz w:val="22"/>
          <w:szCs w:val="22"/>
          <w:lang w:val="es-ES" w:eastAsia="es-ES"/>
        </w:rPr>
        <w:t xml:space="preserve">do de los siguientes aspectos: </w:t>
      </w:r>
    </w:p>
    <w:p w:rsidR="00553CEB" w:rsidRPr="00F97B91" w:rsidRDefault="00553CEB" w:rsidP="00553CEB">
      <w:pPr>
        <w:pStyle w:val="texto"/>
        <w:numPr>
          <w:ilvl w:val="0"/>
          <w:numId w:val="13"/>
        </w:numPr>
        <w:tabs>
          <w:tab w:val="clear" w:pos="2835"/>
          <w:tab w:val="clear" w:pos="3969"/>
          <w:tab w:val="clear" w:pos="5103"/>
          <w:tab w:val="clear" w:pos="6237"/>
          <w:tab w:val="clear" w:pos="7371"/>
          <w:tab w:val="left" w:pos="480"/>
        </w:tabs>
        <w:rPr>
          <w:i/>
          <w:sz w:val="22"/>
          <w:szCs w:val="22"/>
          <w:lang w:val="es-ES" w:eastAsia="es-ES"/>
        </w:rPr>
      </w:pPr>
      <w:r>
        <w:rPr>
          <w:i/>
          <w:sz w:val="22"/>
          <w:szCs w:val="22"/>
          <w:lang w:val="es-ES" w:eastAsia="es-ES"/>
        </w:rPr>
        <w:t xml:space="preserve"> </w:t>
      </w:r>
      <w:r w:rsidRPr="00F97B91">
        <w:rPr>
          <w:i/>
          <w:sz w:val="22"/>
          <w:szCs w:val="22"/>
          <w:lang w:val="es-ES" w:eastAsia="es-ES"/>
        </w:rPr>
        <w:t>La partida de protocolo y se desglosen esos gastos.</w:t>
      </w:r>
    </w:p>
    <w:p w:rsidR="00553CEB" w:rsidRPr="00F97B91" w:rsidRDefault="00553CEB" w:rsidP="00553CEB">
      <w:pPr>
        <w:pStyle w:val="texto"/>
        <w:tabs>
          <w:tab w:val="clear" w:pos="2835"/>
          <w:tab w:val="clear" w:pos="3969"/>
          <w:tab w:val="clear" w:pos="5103"/>
          <w:tab w:val="clear" w:pos="6237"/>
          <w:tab w:val="clear" w:pos="7371"/>
        </w:tabs>
        <w:ind w:left="284" w:firstLine="0"/>
        <w:rPr>
          <w:i/>
          <w:sz w:val="22"/>
          <w:szCs w:val="22"/>
          <w:lang w:val="es-ES" w:eastAsia="es-ES"/>
        </w:rPr>
      </w:pPr>
      <w:r>
        <w:rPr>
          <w:i/>
          <w:sz w:val="22"/>
          <w:szCs w:val="22"/>
          <w:lang w:val="es-ES" w:eastAsia="es-ES"/>
        </w:rPr>
        <w:t xml:space="preserve">b) </w:t>
      </w:r>
      <w:r w:rsidRPr="00F97B91">
        <w:rPr>
          <w:i/>
          <w:sz w:val="22"/>
          <w:szCs w:val="22"/>
          <w:lang w:val="es-ES" w:eastAsia="es-ES"/>
        </w:rPr>
        <w:t>El uso de la partida de dietas, sobre qué conceptos versa, quiénes son sus destinatarios y cómo se justifican éstas.</w:t>
      </w:r>
    </w:p>
    <w:p w:rsidR="00553CEB" w:rsidRPr="00F97B91" w:rsidRDefault="00553CEB" w:rsidP="00553CEB">
      <w:pPr>
        <w:pStyle w:val="texto"/>
        <w:tabs>
          <w:tab w:val="clear" w:pos="2835"/>
          <w:tab w:val="clear" w:pos="3969"/>
          <w:tab w:val="clear" w:pos="5103"/>
          <w:tab w:val="clear" w:pos="6237"/>
          <w:tab w:val="clear" w:pos="7371"/>
        </w:tabs>
        <w:ind w:left="284" w:firstLine="0"/>
        <w:rPr>
          <w:i/>
          <w:sz w:val="22"/>
          <w:szCs w:val="22"/>
          <w:lang w:val="es-ES" w:eastAsia="es-ES"/>
        </w:rPr>
      </w:pPr>
      <w:r>
        <w:rPr>
          <w:i/>
          <w:sz w:val="22"/>
          <w:szCs w:val="22"/>
          <w:lang w:val="es-ES" w:eastAsia="es-ES"/>
        </w:rPr>
        <w:t xml:space="preserve">c) </w:t>
      </w:r>
      <w:r w:rsidRPr="00F97B91">
        <w:rPr>
          <w:i/>
          <w:sz w:val="22"/>
          <w:szCs w:val="22"/>
          <w:lang w:val="es-ES" w:eastAsia="es-ES"/>
        </w:rPr>
        <w:t>La partida de asistencia a reuniones y conferencias, indicando beneficiarios, materia, lugar y duración de las mismas”</w:t>
      </w:r>
    </w:p>
    <w:p w:rsidR="00553CEB" w:rsidRDefault="00553CEB" w:rsidP="00553CEB">
      <w:pPr>
        <w:pStyle w:val="texto"/>
        <w:rPr>
          <w:szCs w:val="26"/>
          <w:lang w:val="es-ES" w:eastAsia="es-ES"/>
        </w:rPr>
      </w:pPr>
      <w:r w:rsidRPr="00F30A16">
        <w:rPr>
          <w:szCs w:val="26"/>
          <w:lang w:val="es-ES" w:eastAsia="es-ES"/>
        </w:rPr>
        <w:t>De acuerdo con la Ley Foral 19/1984, de 20 de diciembre, reguladora de la Cámara de Comptos de Navarra-Nafarroako Kontuen Ganb</w:t>
      </w:r>
      <w:r>
        <w:rPr>
          <w:szCs w:val="26"/>
          <w:lang w:val="es-ES" w:eastAsia="es-ES"/>
        </w:rPr>
        <w:t>e</w:t>
      </w:r>
      <w:r w:rsidRPr="00F30A16">
        <w:rPr>
          <w:szCs w:val="26"/>
          <w:lang w:val="es-ES" w:eastAsia="es-ES"/>
        </w:rPr>
        <w:t xml:space="preserve">ra y </w:t>
      </w:r>
      <w:r>
        <w:rPr>
          <w:szCs w:val="26"/>
          <w:lang w:val="es-ES" w:eastAsia="es-ES"/>
        </w:rPr>
        <w:t>teniendo en cuenta las anteriores peticiones,</w:t>
      </w:r>
      <w:r>
        <w:rPr>
          <w:i/>
          <w:szCs w:val="26"/>
          <w:lang w:val="es-ES" w:eastAsia="es-ES"/>
        </w:rPr>
        <w:t xml:space="preserve"> </w:t>
      </w:r>
      <w:r>
        <w:rPr>
          <w:szCs w:val="26"/>
          <w:lang w:val="es-ES" w:eastAsia="es-ES"/>
        </w:rPr>
        <w:t xml:space="preserve">se incluyó este trabajo de </w:t>
      </w:r>
      <w:r w:rsidR="002044FA">
        <w:rPr>
          <w:szCs w:val="26"/>
          <w:lang w:val="es-ES" w:eastAsia="es-ES"/>
        </w:rPr>
        <w:t>alcance limitado</w:t>
      </w:r>
      <w:r>
        <w:rPr>
          <w:szCs w:val="26"/>
          <w:lang w:val="es-ES" w:eastAsia="es-ES"/>
        </w:rPr>
        <w:t xml:space="preserve"> s</w:t>
      </w:r>
      <w:r>
        <w:rPr>
          <w:szCs w:val="26"/>
          <w:lang w:val="es-ES" w:eastAsia="es-ES"/>
        </w:rPr>
        <w:t>o</w:t>
      </w:r>
      <w:r>
        <w:rPr>
          <w:szCs w:val="26"/>
          <w:lang w:val="es-ES" w:eastAsia="es-ES"/>
        </w:rPr>
        <w:t>bre la Comunidad de Bardenas Reales</w:t>
      </w:r>
      <w:r w:rsidRPr="00F30A16">
        <w:rPr>
          <w:szCs w:val="26"/>
          <w:lang w:val="es-ES" w:eastAsia="es-ES"/>
        </w:rPr>
        <w:t xml:space="preserve"> en el Programa de Actuación de</w:t>
      </w:r>
      <w:r>
        <w:rPr>
          <w:szCs w:val="26"/>
          <w:lang w:val="es-ES" w:eastAsia="es-ES"/>
        </w:rPr>
        <w:t xml:space="preserve"> la C</w:t>
      </w:r>
      <w:r>
        <w:rPr>
          <w:szCs w:val="26"/>
          <w:lang w:val="es-ES" w:eastAsia="es-ES"/>
        </w:rPr>
        <w:t>á</w:t>
      </w:r>
      <w:r>
        <w:rPr>
          <w:szCs w:val="26"/>
          <w:lang w:val="es-ES" w:eastAsia="es-ES"/>
        </w:rPr>
        <w:t>mara de Comptos para el ejercicio de 2017.</w:t>
      </w:r>
    </w:p>
    <w:p w:rsidR="00553CEB" w:rsidRDefault="00553CEB" w:rsidP="00553CEB">
      <w:pPr>
        <w:pStyle w:val="texto"/>
        <w:rPr>
          <w:szCs w:val="26"/>
          <w:lang w:val="es-ES" w:eastAsia="es-ES"/>
        </w:rPr>
      </w:pPr>
    </w:p>
    <w:p w:rsidR="00553CEB" w:rsidRDefault="00553CEB" w:rsidP="00553CEB">
      <w:pPr>
        <w:pStyle w:val="texto"/>
        <w:rPr>
          <w:szCs w:val="26"/>
          <w:lang w:val="es-ES" w:eastAsia="es-ES"/>
        </w:rPr>
      </w:pPr>
      <w:r>
        <w:rPr>
          <w:szCs w:val="26"/>
          <w:lang w:val="es-ES" w:eastAsia="es-ES"/>
        </w:rPr>
        <w:lastRenderedPageBreak/>
        <w:t>En concreto, el alcance del trabajo realizado ha sido el siguiente:</w:t>
      </w:r>
    </w:p>
    <w:p w:rsidR="00553CEB" w:rsidRDefault="00553CEB" w:rsidP="00646E8E">
      <w:pPr>
        <w:pStyle w:val="texto"/>
        <w:numPr>
          <w:ilvl w:val="0"/>
          <w:numId w:val="2"/>
        </w:numPr>
        <w:tabs>
          <w:tab w:val="clear" w:pos="2835"/>
          <w:tab w:val="clear" w:pos="3969"/>
          <w:tab w:val="clear" w:pos="5103"/>
          <w:tab w:val="clear" w:pos="6237"/>
          <w:tab w:val="clear" w:pos="7371"/>
          <w:tab w:val="left" w:pos="480"/>
          <w:tab w:val="num" w:pos="600"/>
        </w:tabs>
        <w:spacing w:after="160"/>
        <w:ind w:left="0" w:firstLine="290"/>
        <w:rPr>
          <w:szCs w:val="26"/>
          <w:lang w:val="es-ES" w:eastAsia="es-ES"/>
        </w:rPr>
      </w:pPr>
      <w:r>
        <w:rPr>
          <w:szCs w:val="26"/>
          <w:lang w:val="es-ES" w:eastAsia="es-ES"/>
        </w:rPr>
        <w:t xml:space="preserve">Una auditoría financiera sobre las siguientes partidas o elementos incluidos en las liquidaciones presupuestarias de las cuentas generales de la Comunidad: </w:t>
      </w:r>
    </w:p>
    <w:p w:rsidR="00553CEB" w:rsidRDefault="00553CEB" w:rsidP="00646E8E">
      <w:pPr>
        <w:pStyle w:val="texto"/>
        <w:spacing w:after="160"/>
        <w:rPr>
          <w:szCs w:val="26"/>
          <w:lang w:val="es-ES" w:eastAsia="es-ES"/>
        </w:rPr>
      </w:pPr>
      <w:r>
        <w:rPr>
          <w:szCs w:val="26"/>
          <w:lang w:val="es-ES" w:eastAsia="es-ES"/>
        </w:rPr>
        <w:t>a) Gastos de representación o protocolarios, asistencias a reuniones e inde</w:t>
      </w:r>
      <w:r>
        <w:rPr>
          <w:szCs w:val="26"/>
          <w:lang w:val="es-ES" w:eastAsia="es-ES"/>
        </w:rPr>
        <w:t>m</w:t>
      </w:r>
      <w:r>
        <w:rPr>
          <w:szCs w:val="26"/>
          <w:lang w:val="es-ES" w:eastAsia="es-ES"/>
        </w:rPr>
        <w:t>nizaciones.</w:t>
      </w:r>
    </w:p>
    <w:p w:rsidR="00DA4F64" w:rsidRDefault="00553CEB" w:rsidP="00646E8E">
      <w:pPr>
        <w:pStyle w:val="texto"/>
        <w:spacing w:after="160"/>
        <w:rPr>
          <w:szCs w:val="26"/>
          <w:lang w:val="es-ES" w:eastAsia="es-ES"/>
        </w:rPr>
      </w:pPr>
      <w:r>
        <w:rPr>
          <w:szCs w:val="26"/>
          <w:lang w:val="es-ES" w:eastAsia="es-ES"/>
        </w:rPr>
        <w:t>b) Los gastos de viaje citados expresamente en la petición parlamentaria de EH Bildu.</w:t>
      </w:r>
    </w:p>
    <w:p w:rsidR="00553CEB" w:rsidRPr="005F463B" w:rsidRDefault="00553CEB" w:rsidP="00646E8E">
      <w:pPr>
        <w:pStyle w:val="texto"/>
        <w:numPr>
          <w:ilvl w:val="0"/>
          <w:numId w:val="2"/>
        </w:numPr>
        <w:tabs>
          <w:tab w:val="clear" w:pos="2835"/>
          <w:tab w:val="clear" w:pos="3969"/>
          <w:tab w:val="clear" w:pos="5103"/>
          <w:tab w:val="clear" w:pos="6237"/>
          <w:tab w:val="clear" w:pos="7371"/>
          <w:tab w:val="left" w:pos="480"/>
          <w:tab w:val="num" w:pos="600"/>
        </w:tabs>
        <w:spacing w:after="160"/>
        <w:ind w:left="0" w:firstLine="290"/>
        <w:rPr>
          <w:szCs w:val="26"/>
          <w:lang w:val="es-ES" w:eastAsia="es-ES"/>
        </w:rPr>
      </w:pPr>
      <w:r>
        <w:rPr>
          <w:szCs w:val="26"/>
          <w:lang w:val="es-ES" w:eastAsia="es-ES"/>
        </w:rPr>
        <w:t>Una f</w:t>
      </w:r>
      <w:r w:rsidRPr="005F463B">
        <w:rPr>
          <w:szCs w:val="26"/>
          <w:lang w:val="es-ES" w:eastAsia="es-ES"/>
        </w:rPr>
        <w:t>iscal</w:t>
      </w:r>
      <w:r>
        <w:rPr>
          <w:szCs w:val="26"/>
          <w:lang w:val="es-ES" w:eastAsia="es-ES"/>
        </w:rPr>
        <w:t>iz</w:t>
      </w:r>
      <w:r w:rsidRPr="005F463B">
        <w:rPr>
          <w:szCs w:val="26"/>
          <w:lang w:val="es-ES" w:eastAsia="es-ES"/>
        </w:rPr>
        <w:t>ación de cumpl</w:t>
      </w:r>
      <w:r>
        <w:rPr>
          <w:szCs w:val="26"/>
          <w:lang w:val="es-ES" w:eastAsia="es-ES"/>
        </w:rPr>
        <w:t>im</w:t>
      </w:r>
      <w:r w:rsidRPr="005F463B">
        <w:rPr>
          <w:szCs w:val="26"/>
          <w:lang w:val="es-ES" w:eastAsia="es-ES"/>
        </w:rPr>
        <w:t>iento de legalidad en materia de contratación pública</w:t>
      </w:r>
      <w:r>
        <w:rPr>
          <w:szCs w:val="26"/>
          <w:lang w:val="es-ES" w:eastAsia="es-ES"/>
        </w:rPr>
        <w:t>.</w:t>
      </w:r>
    </w:p>
    <w:p w:rsidR="00553CEB" w:rsidRDefault="00553CEB" w:rsidP="00646E8E">
      <w:pPr>
        <w:pStyle w:val="texto"/>
        <w:spacing w:after="160"/>
        <w:rPr>
          <w:szCs w:val="26"/>
          <w:lang w:val="es-ES" w:eastAsia="es-ES"/>
        </w:rPr>
      </w:pPr>
      <w:r>
        <w:rPr>
          <w:szCs w:val="26"/>
          <w:lang w:val="es-ES" w:eastAsia="es-ES"/>
        </w:rPr>
        <w:t>El ámbito temporal del trabajo se ha extendido a los ejercicios de 2010 a 2016, dado que en marzo de 2011 se publicó un informe de fiscalización sobre las cuentas generales de la Comunidad correspondientes al ejercicio de 2009. Este ámbito temporal, en la revisión de los precitados viajes, se ha ampliado a los ejercicios en que se efectuaron los mismos</w:t>
      </w:r>
      <w:r w:rsidR="002044FA">
        <w:rPr>
          <w:szCs w:val="26"/>
          <w:lang w:val="es-ES" w:eastAsia="es-ES"/>
        </w:rPr>
        <w:t xml:space="preserve"> (2006 a 2008).</w:t>
      </w:r>
    </w:p>
    <w:p w:rsidR="00553CEB" w:rsidRDefault="00553CEB" w:rsidP="00646E8E">
      <w:pPr>
        <w:pStyle w:val="texto"/>
        <w:tabs>
          <w:tab w:val="clear" w:pos="2835"/>
          <w:tab w:val="clear" w:pos="3969"/>
          <w:tab w:val="clear" w:pos="5103"/>
          <w:tab w:val="clear" w:pos="6237"/>
          <w:tab w:val="clear" w:pos="7371"/>
        </w:tabs>
        <w:spacing w:after="160"/>
        <w:rPr>
          <w:szCs w:val="26"/>
        </w:rPr>
      </w:pPr>
      <w:r w:rsidRPr="00A522C1">
        <w:rPr>
          <w:szCs w:val="26"/>
        </w:rPr>
        <w:t xml:space="preserve">El informe se estructura en </w:t>
      </w:r>
      <w:r w:rsidRPr="0029552E">
        <w:rPr>
          <w:szCs w:val="26"/>
        </w:rPr>
        <w:t>cinco</w:t>
      </w:r>
      <w:r w:rsidRPr="00EF0C5D">
        <w:rPr>
          <w:color w:val="FF0000"/>
          <w:szCs w:val="26"/>
        </w:rPr>
        <w:t xml:space="preserve"> </w:t>
      </w:r>
      <w:r w:rsidRPr="00786D18">
        <w:rPr>
          <w:szCs w:val="26"/>
        </w:rPr>
        <w:t>epígrafes</w:t>
      </w:r>
      <w:r w:rsidRPr="00A522C1">
        <w:rPr>
          <w:szCs w:val="26"/>
        </w:rPr>
        <w:t>, incluyendo esta introducción. En el segundo</w:t>
      </w:r>
      <w:r>
        <w:rPr>
          <w:szCs w:val="26"/>
        </w:rPr>
        <w:t>, se presenta una descripción general del territorio de las Bardenas Reales y de la Comunidad de Bardenas Reales; en el tercero, mostramos el d</w:t>
      </w:r>
      <w:r>
        <w:rPr>
          <w:szCs w:val="26"/>
        </w:rPr>
        <w:t>e</w:t>
      </w:r>
      <w:r>
        <w:rPr>
          <w:szCs w:val="26"/>
        </w:rPr>
        <w:t xml:space="preserve">talle cuantitativo de los elementos y partidas revisados. </w:t>
      </w:r>
      <w:r w:rsidRPr="005723F1">
        <w:rPr>
          <w:szCs w:val="26"/>
        </w:rPr>
        <w:t>En el cuarto, se expone nuestra opinión financiera</w:t>
      </w:r>
      <w:r w:rsidR="00DA4F64" w:rsidRPr="005723F1">
        <w:rPr>
          <w:szCs w:val="26"/>
        </w:rPr>
        <w:t xml:space="preserve"> y de racionalidad</w:t>
      </w:r>
      <w:r w:rsidR="001F17EB" w:rsidRPr="005723F1">
        <w:rPr>
          <w:szCs w:val="26"/>
        </w:rPr>
        <w:t xml:space="preserve"> en el gasto</w:t>
      </w:r>
      <w:r w:rsidRPr="005723F1">
        <w:rPr>
          <w:szCs w:val="26"/>
        </w:rPr>
        <w:t xml:space="preserve"> sob</w:t>
      </w:r>
      <w:r w:rsidR="0057686A">
        <w:rPr>
          <w:szCs w:val="26"/>
        </w:rPr>
        <w:t>re la</w:t>
      </w:r>
      <w:r w:rsidRPr="005723F1">
        <w:rPr>
          <w:szCs w:val="26"/>
        </w:rPr>
        <w:t xml:space="preserve">s </w:t>
      </w:r>
      <w:r w:rsidR="0057686A">
        <w:rPr>
          <w:szCs w:val="26"/>
        </w:rPr>
        <w:t>partidas</w:t>
      </w:r>
      <w:r w:rsidRPr="005723F1">
        <w:rPr>
          <w:szCs w:val="26"/>
        </w:rPr>
        <w:t xml:space="preserve"> rev</w:t>
      </w:r>
      <w:r w:rsidRPr="005723F1">
        <w:rPr>
          <w:szCs w:val="26"/>
        </w:rPr>
        <w:t>i</w:t>
      </w:r>
      <w:r w:rsidRPr="005723F1">
        <w:rPr>
          <w:szCs w:val="26"/>
        </w:rPr>
        <w:t>sad</w:t>
      </w:r>
      <w:r w:rsidR="0057686A">
        <w:rPr>
          <w:szCs w:val="26"/>
        </w:rPr>
        <w:t>a</w:t>
      </w:r>
      <w:r w:rsidRPr="005723F1">
        <w:rPr>
          <w:szCs w:val="26"/>
        </w:rPr>
        <w:t>s de las liquidaciones presupuestarias de las cuentas generales y nuestra opinión de fiscalización de cumplimiento de legalidad en materia de contrat</w:t>
      </w:r>
      <w:r w:rsidRPr="005723F1">
        <w:rPr>
          <w:szCs w:val="26"/>
        </w:rPr>
        <w:t>a</w:t>
      </w:r>
      <w:r w:rsidRPr="005723F1">
        <w:rPr>
          <w:szCs w:val="26"/>
        </w:rPr>
        <w:t>ción pública. F</w:t>
      </w:r>
      <w:r>
        <w:rPr>
          <w:szCs w:val="26"/>
        </w:rPr>
        <w:t>inalmente</w:t>
      </w:r>
      <w:r w:rsidR="004A0634">
        <w:rPr>
          <w:szCs w:val="26"/>
        </w:rPr>
        <w:t>,</w:t>
      </w:r>
      <w:r>
        <w:rPr>
          <w:szCs w:val="26"/>
        </w:rPr>
        <w:t xml:space="preserve"> en el quinto </w:t>
      </w:r>
      <w:r w:rsidRPr="00E523CE">
        <w:rPr>
          <w:szCs w:val="26"/>
        </w:rPr>
        <w:t>señalamo</w:t>
      </w:r>
      <w:r>
        <w:rPr>
          <w:szCs w:val="26"/>
        </w:rPr>
        <w:t xml:space="preserve">s un conjunto de </w:t>
      </w:r>
      <w:r w:rsidRPr="00E523CE">
        <w:rPr>
          <w:szCs w:val="26"/>
        </w:rPr>
        <w:t>observaciones</w:t>
      </w:r>
      <w:r>
        <w:rPr>
          <w:szCs w:val="26"/>
        </w:rPr>
        <w:t xml:space="preserve"> y comentarios</w:t>
      </w:r>
      <w:r w:rsidR="00201E74">
        <w:rPr>
          <w:szCs w:val="26"/>
        </w:rPr>
        <w:t xml:space="preserve"> as</w:t>
      </w:r>
      <w:r w:rsidR="00004E7A">
        <w:rPr>
          <w:szCs w:val="26"/>
        </w:rPr>
        <w:t xml:space="preserve">í </w:t>
      </w:r>
      <w:r>
        <w:rPr>
          <w:szCs w:val="26"/>
        </w:rPr>
        <w:t xml:space="preserve">como las recomendaciones que se consideran oportunas para la mejora de la gestión. </w:t>
      </w:r>
    </w:p>
    <w:p w:rsidR="00553CEB" w:rsidRDefault="00553CEB" w:rsidP="00646E8E">
      <w:pPr>
        <w:pStyle w:val="texto"/>
        <w:tabs>
          <w:tab w:val="clear" w:pos="2835"/>
          <w:tab w:val="clear" w:pos="3969"/>
          <w:tab w:val="clear" w:pos="5103"/>
          <w:tab w:val="clear" w:pos="6237"/>
          <w:tab w:val="clear" w:pos="7371"/>
        </w:tabs>
        <w:spacing w:after="160"/>
        <w:rPr>
          <w:szCs w:val="26"/>
        </w:rPr>
      </w:pPr>
      <w:r>
        <w:rPr>
          <w:szCs w:val="26"/>
        </w:rPr>
        <w:t>El informe se acompaña de un anexo con la evolución de los gastos e ingr</w:t>
      </w:r>
      <w:r>
        <w:rPr>
          <w:szCs w:val="26"/>
        </w:rPr>
        <w:t>e</w:t>
      </w:r>
      <w:r>
        <w:rPr>
          <w:szCs w:val="26"/>
        </w:rPr>
        <w:t>sos presupuestarios de la Comunidad para el periodo de 2010 a 2016 y de una serie de magnitudes y otra información económico-financiera relevante.</w:t>
      </w:r>
    </w:p>
    <w:p w:rsidR="00553CEB" w:rsidRDefault="00553CEB" w:rsidP="00646E8E">
      <w:pPr>
        <w:pStyle w:val="texto"/>
        <w:tabs>
          <w:tab w:val="clear" w:pos="2835"/>
          <w:tab w:val="clear" w:pos="3969"/>
          <w:tab w:val="clear" w:pos="5103"/>
          <w:tab w:val="clear" w:pos="6237"/>
          <w:tab w:val="clear" w:pos="7371"/>
        </w:tabs>
        <w:spacing w:after="160"/>
        <w:rPr>
          <w:szCs w:val="26"/>
        </w:rPr>
      </w:pPr>
      <w:r>
        <w:rPr>
          <w:szCs w:val="26"/>
        </w:rPr>
        <w:t xml:space="preserve">El trabajo de campo lo realizó desde </w:t>
      </w:r>
      <w:r w:rsidRPr="00073CC4">
        <w:rPr>
          <w:szCs w:val="26"/>
        </w:rPr>
        <w:t xml:space="preserve">marzo hasta mayo de 2017 </w:t>
      </w:r>
      <w:r>
        <w:rPr>
          <w:szCs w:val="26"/>
        </w:rPr>
        <w:t xml:space="preserve">un equipo integrado por dos técnicos de auditoría y un auditor, con la colaboración de los servicios jurídicos, informáticos y administrativos de la Cámara de Comptos. </w:t>
      </w:r>
    </w:p>
    <w:p w:rsidR="00646E8E" w:rsidRPr="00D60709" w:rsidRDefault="00646E8E" w:rsidP="00646E8E">
      <w:pPr>
        <w:autoSpaceDE w:val="0"/>
        <w:autoSpaceDN w:val="0"/>
        <w:adjustRightInd w:val="0"/>
        <w:spacing w:after="160"/>
        <w:ind w:firstLine="0"/>
        <w:jc w:val="left"/>
        <w:rPr>
          <w:szCs w:val="26"/>
        </w:rPr>
      </w:pPr>
      <w:r w:rsidRPr="00B14FFE">
        <w:rPr>
          <w:sz w:val="26"/>
          <w:szCs w:val="26"/>
          <w:lang w:val="es-ES" w:eastAsia="es-ES_tradnl"/>
        </w:rPr>
        <w:t xml:space="preserve">Los resultados de esta actuación se pusieron de manifiesto al </w:t>
      </w:r>
      <w:r w:rsidR="00111740" w:rsidRPr="00B14FFE">
        <w:rPr>
          <w:sz w:val="26"/>
          <w:szCs w:val="26"/>
          <w:lang w:val="es-ES" w:eastAsia="es-ES_tradnl"/>
        </w:rPr>
        <w:t xml:space="preserve">actual </w:t>
      </w:r>
      <w:r w:rsidRPr="00B14FFE">
        <w:rPr>
          <w:sz w:val="26"/>
          <w:szCs w:val="26"/>
          <w:lang w:val="es-ES" w:eastAsia="es-ES_tradnl"/>
        </w:rPr>
        <w:t xml:space="preserve">presidente de la </w:t>
      </w:r>
      <w:r w:rsidR="00D60709">
        <w:rPr>
          <w:sz w:val="26"/>
          <w:szCs w:val="26"/>
          <w:lang w:val="es-ES" w:eastAsia="es-ES_tradnl"/>
        </w:rPr>
        <w:t>C</w:t>
      </w:r>
      <w:r w:rsidRPr="00B14FFE">
        <w:rPr>
          <w:sz w:val="26"/>
          <w:szCs w:val="26"/>
          <w:lang w:val="es-ES" w:eastAsia="es-ES_tradnl"/>
        </w:rPr>
        <w:t>omunidad</w:t>
      </w:r>
      <w:r w:rsidR="00D60709">
        <w:rPr>
          <w:sz w:val="26"/>
          <w:szCs w:val="26"/>
          <w:lang w:val="es-ES" w:eastAsia="es-ES_tradnl"/>
        </w:rPr>
        <w:t xml:space="preserve"> de Bardenas Reales y al que ocupó tal cargo hasta mayo de 2013 para que formulasen, en su caso, </w:t>
      </w:r>
      <w:r w:rsidRPr="00B14FFE">
        <w:rPr>
          <w:sz w:val="26"/>
          <w:szCs w:val="26"/>
          <w:lang w:val="es-ES" w:eastAsia="es-ES_tradnl"/>
        </w:rPr>
        <w:t>las alegaciones que estimasen oportunas, de conform</w:t>
      </w:r>
      <w:r w:rsidRPr="00B14FFE">
        <w:rPr>
          <w:sz w:val="26"/>
          <w:szCs w:val="26"/>
          <w:lang w:val="es-ES" w:eastAsia="es-ES_tradnl"/>
        </w:rPr>
        <w:t>i</w:t>
      </w:r>
      <w:r w:rsidRPr="00B14FFE">
        <w:rPr>
          <w:sz w:val="26"/>
          <w:szCs w:val="26"/>
          <w:lang w:val="es-ES" w:eastAsia="es-ES_tradnl"/>
        </w:rPr>
        <w:t xml:space="preserve">dad con lo previsto en el art. 11.2 de la Ley Foral 19/1984, reguladora de la Cámara de Comptos de Navarra. </w:t>
      </w:r>
      <w:r w:rsidRPr="00D60709">
        <w:rPr>
          <w:sz w:val="26"/>
          <w:szCs w:val="26"/>
          <w:lang w:val="es-ES" w:eastAsia="es-ES_tradnl"/>
        </w:rPr>
        <w:t>Transcurrido el plazo fijado, no se han presentado aleg</w:t>
      </w:r>
      <w:r w:rsidRPr="00D60709">
        <w:rPr>
          <w:sz w:val="26"/>
          <w:szCs w:val="26"/>
          <w:lang w:val="es-ES" w:eastAsia="es-ES_tradnl"/>
        </w:rPr>
        <w:t>a</w:t>
      </w:r>
      <w:r w:rsidRPr="00D60709">
        <w:rPr>
          <w:sz w:val="26"/>
          <w:szCs w:val="26"/>
          <w:lang w:val="es-ES" w:eastAsia="es-ES_tradnl"/>
        </w:rPr>
        <w:t>ciones.</w:t>
      </w:r>
    </w:p>
    <w:p w:rsidR="00FD163B" w:rsidRDefault="00553CEB" w:rsidP="00D60709">
      <w:pPr>
        <w:pStyle w:val="texto"/>
        <w:tabs>
          <w:tab w:val="clear" w:pos="2835"/>
          <w:tab w:val="clear" w:pos="3969"/>
          <w:tab w:val="clear" w:pos="5103"/>
          <w:tab w:val="clear" w:pos="6237"/>
          <w:tab w:val="clear" w:pos="7371"/>
        </w:tabs>
        <w:rPr>
          <w:rFonts w:ascii="Arial" w:hAnsi="Arial"/>
          <w:b/>
          <w:color w:val="000000"/>
          <w:kern w:val="28"/>
          <w:sz w:val="25"/>
          <w:szCs w:val="26"/>
        </w:rPr>
      </w:pPr>
      <w:r>
        <w:rPr>
          <w:szCs w:val="26"/>
        </w:rPr>
        <w:t>Agradecemos al personal de la Comunidad de Bardenas Reales la colabor</w:t>
      </w:r>
      <w:r>
        <w:rPr>
          <w:szCs w:val="26"/>
        </w:rPr>
        <w:t>a</w:t>
      </w:r>
      <w:r>
        <w:rPr>
          <w:szCs w:val="26"/>
        </w:rPr>
        <w:t xml:space="preserve">ción prestada en la realización del presente trabajo. </w:t>
      </w:r>
      <w:bookmarkStart w:id="7" w:name="_Toc480357318"/>
      <w:bookmarkStart w:id="8" w:name="_Toc494897106"/>
      <w:bookmarkStart w:id="9" w:name="_Toc423419507"/>
      <w:r w:rsidR="00FD163B">
        <w:br w:type="page"/>
      </w:r>
    </w:p>
    <w:p w:rsidR="00553CEB" w:rsidRDefault="00553CEB" w:rsidP="00553CEB">
      <w:pPr>
        <w:pStyle w:val="atitulo1"/>
      </w:pPr>
      <w:r>
        <w:lastRenderedPageBreak/>
        <w:t>II. Las Bardenas Reales</w:t>
      </w:r>
      <w:bookmarkEnd w:id="7"/>
      <w:r>
        <w:t xml:space="preserve"> y la Comunidad de Bardenas Reales</w:t>
      </w:r>
      <w:bookmarkEnd w:id="8"/>
    </w:p>
    <w:p w:rsidR="00553CEB" w:rsidRDefault="00553CEB" w:rsidP="00553CEB">
      <w:pPr>
        <w:pStyle w:val="texto"/>
        <w:spacing w:after="360"/>
      </w:pPr>
      <w:bookmarkStart w:id="10" w:name="_Toc414360531"/>
      <w:bookmarkStart w:id="11" w:name="_Toc480357319"/>
      <w:r>
        <w:t>A continuación se exponen las principales características organizativas y j</w:t>
      </w:r>
      <w:r>
        <w:t>u</w:t>
      </w:r>
      <w:r>
        <w:t xml:space="preserve">rídicas del territorio de las Bardenas Reales y de la Comunidad de Bardenas Reales (en adelante, Comunidad). </w:t>
      </w:r>
    </w:p>
    <w:p w:rsidR="00553CEB" w:rsidRDefault="00553CEB" w:rsidP="00553CEB">
      <w:pPr>
        <w:pStyle w:val="atitulo2"/>
      </w:pPr>
      <w:bookmarkStart w:id="12" w:name="_Toc468085242"/>
      <w:bookmarkStart w:id="13" w:name="_Toc468085591"/>
      <w:bookmarkStart w:id="14" w:name="_Toc468085904"/>
      <w:bookmarkStart w:id="15" w:name="_Toc468085970"/>
      <w:bookmarkStart w:id="16" w:name="_Toc468086028"/>
      <w:bookmarkStart w:id="17" w:name="_Toc468087830"/>
      <w:bookmarkStart w:id="18" w:name="_Toc469726194"/>
      <w:bookmarkStart w:id="19" w:name="_Toc287259145"/>
      <w:bookmarkStart w:id="20" w:name="_Toc477161311"/>
      <w:bookmarkStart w:id="21" w:name="_Toc494897107"/>
      <w:r>
        <w:t>II.1. Descripción territorial y del objeto dominical</w:t>
      </w:r>
      <w:bookmarkEnd w:id="12"/>
      <w:bookmarkEnd w:id="13"/>
      <w:bookmarkEnd w:id="14"/>
      <w:bookmarkEnd w:id="15"/>
      <w:bookmarkEnd w:id="16"/>
      <w:bookmarkEnd w:id="17"/>
      <w:bookmarkEnd w:id="18"/>
      <w:bookmarkEnd w:id="19"/>
      <w:bookmarkEnd w:id="20"/>
      <w:bookmarkEnd w:id="21"/>
    </w:p>
    <w:p w:rsidR="00553CEB" w:rsidRPr="00166739" w:rsidRDefault="00553CEB" w:rsidP="00553CEB">
      <w:pPr>
        <w:pStyle w:val="texto"/>
      </w:pPr>
      <w:r>
        <w:t>Las Bardenas Reales constituyen una extensión de terreno rústico que alca</w:t>
      </w:r>
      <w:r>
        <w:t>n</w:t>
      </w:r>
      <w:r>
        <w:t>za una superficie de 41.845 ha –el cuatro por ciento de la superficie total de la Comunidad Foral–, ubicada en el extremo sur de Navarra que linda con Aragón y que no está adscrita</w:t>
      </w:r>
      <w:r w:rsidRPr="00C029D0">
        <w:t xml:space="preserve"> </w:t>
      </w:r>
      <w:r>
        <w:t>a término municipal alguno; tradicionalmente, este t</w:t>
      </w:r>
      <w:r>
        <w:t>e</w:t>
      </w:r>
      <w:r>
        <w:t>rreno se ha destinado a pastos, cultivos y aprovechamiento de leñas y, más r</w:t>
      </w:r>
      <w:r>
        <w:t>e</w:t>
      </w:r>
      <w:r>
        <w:t xml:space="preserve">cientemente, </w:t>
      </w:r>
      <w:r w:rsidRPr="00166739">
        <w:t>a explotaciones de economía sostenible, energías renovables y t</w:t>
      </w:r>
      <w:r w:rsidRPr="00166739">
        <w:t>u</w:t>
      </w:r>
      <w:r w:rsidRPr="00166739">
        <w:t>rismo.</w:t>
      </w:r>
    </w:p>
    <w:p w:rsidR="00553CEB" w:rsidRDefault="00553CEB" w:rsidP="00553CEB">
      <w:pPr>
        <w:pStyle w:val="texto"/>
        <w:spacing w:after="360"/>
        <w:ind w:firstLine="0"/>
        <w:jc w:val="center"/>
      </w:pPr>
      <w:r>
        <w:rPr>
          <w:noProof/>
          <w:lang w:val="es-ES" w:eastAsia="es-ES"/>
        </w:rPr>
        <w:drawing>
          <wp:inline distT="0" distB="0" distL="0" distR="0" wp14:anchorId="2E8E4749" wp14:editId="235193F0">
            <wp:extent cx="3721880" cy="4010025"/>
            <wp:effectExtent l="0" t="0" r="0" b="0"/>
            <wp:docPr id="7" name="Imagen 7" descr="https://upload.wikimedia.org/wikipedia/commons/f/fd/Navarra_municipalities_Barde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d/Navarra_municipalities_Bardena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1880" cy="4010025"/>
                    </a:xfrm>
                    <a:prstGeom prst="rect">
                      <a:avLst/>
                    </a:prstGeom>
                    <a:noFill/>
                    <a:ln>
                      <a:noFill/>
                    </a:ln>
                  </pic:spPr>
                </pic:pic>
              </a:graphicData>
            </a:graphic>
          </wp:inline>
        </w:drawing>
      </w:r>
    </w:p>
    <w:p w:rsidR="00553CEB" w:rsidRDefault="00553CEB" w:rsidP="00553CEB">
      <w:pPr>
        <w:pStyle w:val="texto"/>
        <w:spacing w:after="360"/>
      </w:pPr>
      <w:r>
        <w:t>Las Bardenas Reales originariamente constituyeron un patrimonio del que fue titular la Corona de Navarra y que posteriormente pasó al dominio e</w:t>
      </w:r>
      <w:r w:rsidR="004A0634">
        <w:t xml:space="preserve">statal. Desde el año 882 hasta </w:t>
      </w:r>
      <w:r>
        <w:t>1693, el disfrute de estos terrenos se fue reconociendo a los vecinos de las siguientes entidades:</w:t>
      </w:r>
    </w:p>
    <w:p w:rsidR="00CA5C4E" w:rsidRDefault="00CA5C4E" w:rsidP="00553CEB">
      <w:pPr>
        <w:pStyle w:val="texto"/>
        <w:spacing w:after="360"/>
      </w:pPr>
    </w:p>
    <w:tbl>
      <w:tblPr>
        <w:tblW w:w="8718" w:type="dxa"/>
        <w:jc w:val="center"/>
        <w:tblInd w:w="-71" w:type="dxa"/>
        <w:tblBorders>
          <w:top w:val="single" w:sz="4" w:space="0" w:color="auto"/>
          <w:bottom w:val="single" w:sz="4" w:space="0" w:color="auto"/>
          <w:insideH w:val="single" w:sz="2" w:space="0" w:color="auto"/>
        </w:tblBorders>
        <w:shd w:val="clear" w:color="auto" w:fill="FFCC99"/>
        <w:tblLayout w:type="fixed"/>
        <w:tblCellMar>
          <w:left w:w="70" w:type="dxa"/>
          <w:right w:w="70" w:type="dxa"/>
        </w:tblCellMar>
        <w:tblLook w:val="00A0" w:firstRow="1" w:lastRow="0" w:firstColumn="1" w:lastColumn="0" w:noHBand="0" w:noVBand="0"/>
      </w:tblPr>
      <w:tblGrid>
        <w:gridCol w:w="4891"/>
        <w:gridCol w:w="3827"/>
      </w:tblGrid>
      <w:tr w:rsidR="00553CEB" w:rsidRPr="00F97B91" w:rsidTr="00F0755F">
        <w:trPr>
          <w:trHeight w:val="312"/>
          <w:jc w:val="center"/>
        </w:trPr>
        <w:tc>
          <w:tcPr>
            <w:tcW w:w="8718" w:type="dxa"/>
            <w:gridSpan w:val="2"/>
            <w:tcBorders>
              <w:top w:val="single" w:sz="4" w:space="0" w:color="auto"/>
              <w:bottom w:val="single" w:sz="4" w:space="0" w:color="auto"/>
            </w:tcBorders>
            <w:shd w:val="clear" w:color="auto" w:fill="FABF8F" w:themeFill="accent6" w:themeFillTint="99"/>
            <w:vAlign w:val="center"/>
          </w:tcPr>
          <w:p w:rsidR="00553CEB" w:rsidRPr="00F97B91" w:rsidRDefault="00553CEB" w:rsidP="00553CEB">
            <w:pPr>
              <w:pStyle w:val="cuatexto"/>
              <w:ind w:right="-6"/>
              <w:jc w:val="center"/>
              <w:rPr>
                <w:rFonts w:ascii="Arial" w:hAnsi="Arial" w:cs="Arial"/>
                <w:sz w:val="18"/>
                <w:szCs w:val="18"/>
              </w:rPr>
            </w:pPr>
            <w:r w:rsidRPr="00F97B91">
              <w:rPr>
                <w:rFonts w:ascii="Arial" w:hAnsi="Arial" w:cs="Arial"/>
                <w:sz w:val="18"/>
                <w:szCs w:val="18"/>
              </w:rPr>
              <w:lastRenderedPageBreak/>
              <w:t>Entidades congonzantes de la Comunidad de Bardenas Reales</w:t>
            </w:r>
          </w:p>
        </w:tc>
      </w:tr>
      <w:tr w:rsidR="00553CEB" w:rsidRPr="00A03EF5" w:rsidTr="00F0755F">
        <w:trPr>
          <w:trHeight w:val="312"/>
          <w:jc w:val="center"/>
        </w:trPr>
        <w:tc>
          <w:tcPr>
            <w:tcW w:w="4891" w:type="dxa"/>
            <w:tcBorders>
              <w:top w:val="single" w:sz="4"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Tudela</w:t>
            </w:r>
          </w:p>
        </w:tc>
        <w:tc>
          <w:tcPr>
            <w:tcW w:w="3827" w:type="dxa"/>
            <w:tcBorders>
              <w:top w:val="single" w:sz="4"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Corella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Arguedas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Valtierra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Fustiñana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Cabanillas</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Cortes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Buñuel</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Cadreita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Milagro</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Villafranca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Marcilla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Funes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Peralta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Falces</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Caparroso</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Santacara</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Mélida</w:t>
            </w:r>
          </w:p>
        </w:tc>
      </w:tr>
      <w:tr w:rsidR="00553CEB" w:rsidTr="00F0755F">
        <w:trPr>
          <w:trHeight w:val="312"/>
          <w:jc w:val="center"/>
        </w:trPr>
        <w:tc>
          <w:tcPr>
            <w:tcW w:w="4891" w:type="dxa"/>
            <w:tcBorders>
              <w:top w:val="single" w:sz="2" w:space="0" w:color="auto"/>
              <w:bottom w:val="single" w:sz="2" w:space="0" w:color="auto"/>
              <w:right w:val="single" w:sz="2" w:space="0" w:color="auto"/>
            </w:tcBorders>
            <w:shd w:val="clear" w:color="auto" w:fill="auto"/>
            <w:vAlign w:val="center"/>
          </w:tcPr>
          <w:p w:rsidR="00553CEB" w:rsidRDefault="00553CEB" w:rsidP="00553CEB">
            <w:pPr>
              <w:pStyle w:val="cuatexto"/>
              <w:ind w:right="-6"/>
              <w:jc w:val="center"/>
            </w:pPr>
            <w:r>
              <w:t>Carcastillo</w:t>
            </w:r>
          </w:p>
        </w:tc>
        <w:tc>
          <w:tcPr>
            <w:tcW w:w="3827" w:type="dxa"/>
            <w:tcBorders>
              <w:top w:val="single" w:sz="2" w:space="0" w:color="auto"/>
              <w:left w:val="single" w:sz="2" w:space="0" w:color="auto"/>
              <w:bottom w:val="single" w:sz="2" w:space="0" w:color="auto"/>
            </w:tcBorders>
            <w:shd w:val="clear" w:color="auto" w:fill="auto"/>
            <w:vAlign w:val="center"/>
          </w:tcPr>
          <w:p w:rsidR="00553CEB" w:rsidRDefault="00553CEB" w:rsidP="00553CEB">
            <w:pPr>
              <w:pStyle w:val="cuatexto"/>
              <w:ind w:right="-6"/>
              <w:jc w:val="center"/>
            </w:pPr>
            <w:r>
              <w:t>Valle de Roncal</w:t>
            </w:r>
          </w:p>
        </w:tc>
      </w:tr>
      <w:tr w:rsidR="00553CEB" w:rsidTr="00F0755F">
        <w:trPr>
          <w:trHeight w:val="312"/>
          <w:jc w:val="center"/>
        </w:trPr>
        <w:tc>
          <w:tcPr>
            <w:tcW w:w="4891" w:type="dxa"/>
            <w:tcBorders>
              <w:top w:val="single" w:sz="2" w:space="0" w:color="auto"/>
              <w:bottom w:val="single" w:sz="4" w:space="0" w:color="auto"/>
              <w:right w:val="single" w:sz="2" w:space="0" w:color="auto"/>
            </w:tcBorders>
            <w:shd w:val="clear" w:color="auto" w:fill="auto"/>
            <w:vAlign w:val="center"/>
          </w:tcPr>
          <w:p w:rsidR="00553CEB" w:rsidRPr="00A03EF5" w:rsidRDefault="00553CEB" w:rsidP="00553CEB">
            <w:pPr>
              <w:pStyle w:val="cuatexto"/>
              <w:ind w:right="-6"/>
              <w:jc w:val="center"/>
            </w:pPr>
            <w:r>
              <w:t>Valle de Salazar</w:t>
            </w:r>
          </w:p>
        </w:tc>
        <w:tc>
          <w:tcPr>
            <w:tcW w:w="3827" w:type="dxa"/>
            <w:tcBorders>
              <w:top w:val="single" w:sz="2" w:space="0" w:color="auto"/>
              <w:left w:val="single" w:sz="2" w:space="0" w:color="auto"/>
              <w:bottom w:val="single" w:sz="4" w:space="0" w:color="auto"/>
            </w:tcBorders>
            <w:shd w:val="clear" w:color="auto" w:fill="auto"/>
            <w:vAlign w:val="center"/>
          </w:tcPr>
          <w:p w:rsidR="00553CEB" w:rsidRDefault="00553CEB" w:rsidP="00553CEB">
            <w:pPr>
              <w:pStyle w:val="cuatexto"/>
              <w:ind w:right="-6"/>
              <w:jc w:val="center"/>
            </w:pPr>
            <w:r>
              <w:t>Monasterio de La Oliva</w:t>
            </w:r>
          </w:p>
        </w:tc>
      </w:tr>
    </w:tbl>
    <w:p w:rsidR="00553CEB" w:rsidRDefault="00553CEB" w:rsidP="00553CEB">
      <w:pPr>
        <w:pStyle w:val="texto"/>
        <w:spacing w:before="300"/>
      </w:pPr>
      <w:r>
        <w:t xml:space="preserve">Tal disfrute fue confirmado por Real Cédula de 1705, mediante la cual el Rey Felipe V cedió a perpetuidad el goce y disfrute de las Bardenas, a cambio de 12.000 ducados sufragados por los pueblos congozantes y con la obligación de no hacerlo extensivo a ninguna otra persona o entidad. </w:t>
      </w:r>
    </w:p>
    <w:p w:rsidR="00553CEB" w:rsidRDefault="00553CEB" w:rsidP="00553CEB">
      <w:pPr>
        <w:pStyle w:val="texto"/>
      </w:pPr>
      <w:r>
        <w:t xml:space="preserve">Estos terrenos constituían una propiedad especial, una </w:t>
      </w:r>
      <w:r w:rsidRPr="005B5F10">
        <w:t>“comunidad”</w:t>
      </w:r>
      <w:r>
        <w:t>, en que la nuda propiedad la ostentaba el Estado y correspondía a los entes congozantes el dominio útil. Ahora bien, los vecinos eran los beneficiarios últimos, en co</w:t>
      </w:r>
      <w:r>
        <w:t>n</w:t>
      </w:r>
      <w:r>
        <w:t>cepto de aprovechantes comunales, lo cual implica que compartían la titular</w:t>
      </w:r>
      <w:r>
        <w:t>i</w:t>
      </w:r>
      <w:r>
        <w:t>dad última del dominio útil con las instituciones congozantes.</w:t>
      </w:r>
    </w:p>
    <w:p w:rsidR="00553CEB" w:rsidRDefault="00553CEB" w:rsidP="00553CEB">
      <w:pPr>
        <w:pStyle w:val="texto"/>
      </w:pPr>
      <w:r>
        <w:t>Mediante Real Decreto 3142/1979, de 29 de diciembre, el Estado cedió gr</w:t>
      </w:r>
      <w:r>
        <w:t>a</w:t>
      </w:r>
      <w:r>
        <w:t>tuitamente a la Comunidad la nuda propiedad sobre las Bardenas Reales, pero tal cesión fue anulada por defecto de forma por la Sentencia del Tribunal S</w:t>
      </w:r>
      <w:r>
        <w:t>u</w:t>
      </w:r>
      <w:r>
        <w:t>premo de 23 de mayo de 1984, dado que dichos bienes no estaban inscritos a nombre del Estado ni figuraban en su Inventario de Bienes y Derechos.</w:t>
      </w:r>
    </w:p>
    <w:p w:rsidR="00553CEB" w:rsidRPr="00E450C0" w:rsidRDefault="00553CEB" w:rsidP="00553CEB">
      <w:pPr>
        <w:pStyle w:val="texto"/>
      </w:pPr>
      <w:r>
        <w:t>Subsanados los anteriores defectos, por Orden Ministerial de Economía y Hacienda de octubre de 2008, el Estado acordó ceder gratuitamente a la Com</w:t>
      </w:r>
      <w:r>
        <w:t>u</w:t>
      </w:r>
      <w:r>
        <w:t xml:space="preserve">nidad estos terrenos. </w:t>
      </w:r>
      <w:r w:rsidRPr="00E450C0">
        <w:t>Esta cesión, que se enmarca dentro del proceso de fome</w:t>
      </w:r>
      <w:r w:rsidRPr="00E450C0">
        <w:t>n</w:t>
      </w:r>
      <w:r w:rsidRPr="00E450C0">
        <w:t>to, mejora y conservación de la explotación del territorio, está sujeta a varias condiciones:</w:t>
      </w:r>
    </w:p>
    <w:p w:rsidR="00553CEB" w:rsidRPr="00E450C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E450C0">
        <w:rPr>
          <w:lang w:val="es-ES"/>
        </w:rPr>
        <w:t>En la inscripción en el registro debe figurar que el terreno ha sido cedido para los fines marcados de forma permanente y siendo intransmisible.</w:t>
      </w:r>
    </w:p>
    <w:p w:rsidR="00553CEB" w:rsidRPr="009F16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E450C0">
        <w:rPr>
          <w:lang w:val="es-ES"/>
        </w:rPr>
        <w:t>Derecho a la reversión al Estado si no se aplica al uso previsto, que se ju</w:t>
      </w:r>
      <w:r w:rsidRPr="00E450C0">
        <w:rPr>
          <w:lang w:val="es-ES"/>
        </w:rPr>
        <w:t>s</w:t>
      </w:r>
      <w:r w:rsidRPr="00E450C0">
        <w:rPr>
          <w:lang w:val="es-ES"/>
        </w:rPr>
        <w:t>tificará por la Comunidad documentalmente y de forma periódica.</w:t>
      </w:r>
    </w:p>
    <w:p w:rsidR="00553CEB" w:rsidRPr="00A559D5" w:rsidRDefault="00553CEB" w:rsidP="00553CEB">
      <w:pPr>
        <w:pStyle w:val="texto"/>
      </w:pPr>
      <w:r w:rsidRPr="00A559D5">
        <w:t xml:space="preserve">En marzo de 2009, se inscribe esta cesión en el </w:t>
      </w:r>
      <w:r>
        <w:t>R</w:t>
      </w:r>
      <w:r w:rsidRPr="00A559D5">
        <w:t>egistro de la P</w:t>
      </w:r>
      <w:r>
        <w:t>ro</w:t>
      </w:r>
      <w:r w:rsidRPr="00A559D5">
        <w:t>piedad de Tudela.</w:t>
      </w:r>
    </w:p>
    <w:p w:rsidR="00553CEB" w:rsidRDefault="00553CEB" w:rsidP="00553CEB">
      <w:pPr>
        <w:pStyle w:val="texto"/>
      </w:pPr>
      <w:r>
        <w:t xml:space="preserve">Una parte del territorio –2.244 ha, es decir, el cinco por ciento del total de su superficie– está alquilado, desde 1951, al Ministerio de Defensa para campo de </w:t>
      </w:r>
      <w:r>
        <w:lastRenderedPageBreak/>
        <w:t xml:space="preserve">entrenamiento de las Fuerzas Armadas. </w:t>
      </w:r>
      <w:r w:rsidRPr="00290B47">
        <w:t>A través del Real Decreto 1943/2000, de 1 de diciembre, se declar</w:t>
      </w:r>
      <w:r>
        <w:t>ó</w:t>
      </w:r>
      <w:r w:rsidRPr="00290B47">
        <w:t xml:space="preserve"> zona de interés para la Defensa Nacional el </w:t>
      </w:r>
      <w:r>
        <w:t>citado campo. Los ingresos obtenidos por este arrendamiento constituyen la principal fuente de financiación de la Comunidad.</w:t>
      </w:r>
    </w:p>
    <w:p w:rsidR="00553CEB" w:rsidRDefault="00553CEB" w:rsidP="00CA5C4E">
      <w:pPr>
        <w:pStyle w:val="texto"/>
        <w:spacing w:after="360"/>
      </w:pPr>
      <w:r>
        <w:t>Colindante con el territorio de las Bardenas –pero fuera del ámbito territorial del Parque Natural–, la Comunidad adquirió la finca de Aguilares donde se ubica, entre otros servicios, el Punto de Información Turístico y Centro de Educación Ambiental. Con este Punto se pretende encauzar el acceso del turi</w:t>
      </w:r>
      <w:r>
        <w:t>s</w:t>
      </w:r>
      <w:r>
        <w:t>mo y disponer de un centro para la divulgación ambiental</w:t>
      </w:r>
      <w:r w:rsidR="004A0634">
        <w:t xml:space="preserve">, </w:t>
      </w:r>
      <w:r>
        <w:t>así como de una r</w:t>
      </w:r>
      <w:r>
        <w:t>e</w:t>
      </w:r>
      <w:r>
        <w:t>sidencia para los investigadores que trabajan en las Bardenas.</w:t>
      </w:r>
      <w:bookmarkStart w:id="22" w:name="_Toc477161312"/>
    </w:p>
    <w:p w:rsidR="00553CEB" w:rsidRDefault="00553CEB" w:rsidP="00553CEB">
      <w:pPr>
        <w:pStyle w:val="atitulo2"/>
      </w:pPr>
      <w:bookmarkStart w:id="23" w:name="_Toc494897108"/>
      <w:r>
        <w:t>II.2. Protección del territorio de las Bardenas Reales</w:t>
      </w:r>
      <w:bookmarkEnd w:id="23"/>
    </w:p>
    <w:p w:rsidR="00553CEB" w:rsidRDefault="00553CEB" w:rsidP="00553CEB">
      <w:pPr>
        <w:pStyle w:val="texto"/>
      </w:pPr>
      <w:r w:rsidRPr="009F16D9">
        <w:t>La riqueza de la</w:t>
      </w:r>
      <w:r>
        <w:t>s</w:t>
      </w:r>
      <w:r w:rsidRPr="009F16D9">
        <w:t xml:space="preserve"> Bardena</w:t>
      </w:r>
      <w:r>
        <w:t>s</w:t>
      </w:r>
      <w:r w:rsidRPr="009F16D9">
        <w:t xml:space="preserve"> en cuanto a su medio natural, paisaje, flora y fauna y su consideración como espacio estepario único es reconocida desde d</w:t>
      </w:r>
      <w:r w:rsidRPr="009F16D9">
        <w:t>i</w:t>
      </w:r>
      <w:r w:rsidRPr="009F16D9">
        <w:t xml:space="preserve">versas instancias, tanto </w:t>
      </w:r>
      <w:r>
        <w:t xml:space="preserve">forales como </w:t>
      </w:r>
      <w:r w:rsidRPr="009F16D9">
        <w:t xml:space="preserve">nacionales </w:t>
      </w:r>
      <w:r>
        <w:t xml:space="preserve">e </w:t>
      </w:r>
      <w:r w:rsidRPr="009F16D9">
        <w:t>internacionales. Su prote</w:t>
      </w:r>
      <w:r w:rsidRPr="009F16D9">
        <w:t>c</w:t>
      </w:r>
      <w:r w:rsidRPr="009F16D9">
        <w:t>ción, mejora, desarrollo sostenible y su compatibilización con las actividades económicas</w:t>
      </w:r>
      <w:r>
        <w:t>,</w:t>
      </w:r>
      <w:r w:rsidRPr="009F16D9">
        <w:t xml:space="preserve"> especialmente las tradicionales, ha sido objeto de diversa regul</w:t>
      </w:r>
      <w:r w:rsidRPr="009F16D9">
        <w:t>a</w:t>
      </w:r>
      <w:r w:rsidRPr="009F16D9">
        <w:t>ción y protec</w:t>
      </w:r>
      <w:r>
        <w:t>ción. Así destacamos:</w:t>
      </w:r>
    </w:p>
    <w:p w:rsidR="00553CEB" w:rsidRDefault="00553CEB" w:rsidP="00553CEB">
      <w:pPr>
        <w:pStyle w:val="texto"/>
        <w:numPr>
          <w:ilvl w:val="0"/>
          <w:numId w:val="15"/>
        </w:numPr>
      </w:pPr>
      <w:r>
        <w:t>Declaración de Parque Natural</w:t>
      </w:r>
    </w:p>
    <w:p w:rsidR="00553CEB" w:rsidRPr="00ED6E51" w:rsidRDefault="00553CEB" w:rsidP="00553CEB">
      <w:pPr>
        <w:pStyle w:val="texto"/>
        <w:rPr>
          <w:spacing w:val="4"/>
        </w:rPr>
      </w:pPr>
      <w:r w:rsidRPr="00ED6E51">
        <w:rPr>
          <w:spacing w:val="4"/>
        </w:rPr>
        <w:t>La Ley Foral 10/1999, de 6 de abril convirtió a Bardenas Reales en el tercer Parque Natural de Navarra. De esta manera se protegió este territorio que reúne en su interior dos Reservas Naturales (Rincón del Bu y Caídas de la Negra), dos Zonas Húmedas y tres grandes Zonas de Especial Protección de Aves (ZEPAS).</w:t>
      </w:r>
    </w:p>
    <w:p w:rsidR="002044FA" w:rsidRDefault="002044FA" w:rsidP="002044FA">
      <w:pPr>
        <w:pStyle w:val="texto"/>
      </w:pPr>
      <w:r>
        <w:t>Para la declaración de Parque Natural se requiere que sean áreas naturales, poco transformadas por la ocupación humana que, en razón a la belleza de sus paisajes, la representatividad de sus ecosistemas o la singularidad de su flora, de su fauna o de sus formaciones geomorfológicas, posean unos valores ecol</w:t>
      </w:r>
      <w:r>
        <w:t>ó</w:t>
      </w:r>
      <w:r>
        <w:t>gicos, estéticos, educativos y científicos cuya conservación merezca una ate</w:t>
      </w:r>
      <w:r>
        <w:t>n</w:t>
      </w:r>
      <w:r>
        <w:t>ción preferente.</w:t>
      </w:r>
    </w:p>
    <w:p w:rsidR="00553CEB" w:rsidRDefault="00553CEB" w:rsidP="00553CEB">
      <w:pPr>
        <w:pStyle w:val="texto"/>
      </w:pPr>
      <w:r w:rsidRPr="00ED6E51">
        <w:rPr>
          <w:spacing w:val="4"/>
        </w:rPr>
        <w:t>El Parque Natural se delimita como el territorio total que ocupa las Bardenas Reales, excluyendo las siguientes zonas de usos especiales: Hondo de Espartosa (272 ha), Bandera (43 ha), Cinco Villas (13 ha) y Polígono de Tiro (2244 ha)</w:t>
      </w:r>
      <w:r w:rsidRPr="00756F9E">
        <w:t>.</w:t>
      </w:r>
    </w:p>
    <w:p w:rsidR="00553CEB" w:rsidRPr="00756F9E" w:rsidRDefault="00553CEB" w:rsidP="00553CEB">
      <w:pPr>
        <w:pStyle w:val="texto"/>
      </w:pPr>
      <w:r>
        <w:t>La declaración de Parque Natural tiene como finalidad:</w:t>
      </w:r>
    </w:p>
    <w:p w:rsidR="00553CEB" w:rsidRPr="00ED6E5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lang w:val="es-ES"/>
        </w:rPr>
      </w:pPr>
      <w:r w:rsidRPr="00ED6E51">
        <w:rPr>
          <w:spacing w:val="-4"/>
          <w:lang w:val="es-ES"/>
        </w:rPr>
        <w:t>La conservación y protección de los valores naturales específicos del área natural.</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lang w:val="es-ES"/>
        </w:rPr>
      </w:pPr>
      <w:r w:rsidRPr="00E62A20">
        <w:rPr>
          <w:lang w:val="es-ES"/>
        </w:rPr>
        <w:t>La ordenada y racional utilización de los recursos naturales en sus distintas vertientes, garantizando la renovación de los recursos.</w:t>
      </w:r>
    </w:p>
    <w:p w:rsidR="00553CEB" w:rsidRPr="00ED6E51"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lang w:val="es-ES"/>
        </w:rPr>
      </w:pPr>
      <w:r w:rsidRPr="00ED6E51">
        <w:rPr>
          <w:spacing w:val="4"/>
          <w:lang w:val="es-ES"/>
        </w:rPr>
        <w:t>Mantenimiento y potenciación de la gestión de los bosques y montes por las entidades tradicionales, primando el interés público o social sobre el particular.</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lang w:val="es-ES"/>
        </w:rPr>
      </w:pPr>
      <w:r w:rsidRPr="00E62A20">
        <w:rPr>
          <w:lang w:val="es-ES"/>
        </w:rPr>
        <w:lastRenderedPageBreak/>
        <w:t>Fomento del conocimiento científico y educativo de la naturaleza y de su necesidad de preservación.</w:t>
      </w:r>
    </w:p>
    <w:p w:rsidR="00553CEB" w:rsidRPr="00E62A2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E62A20">
        <w:rPr>
          <w:lang w:val="es-ES"/>
        </w:rPr>
        <w:t>Apoyo a la promoción socioeconómica de los núcleos de población próx</w:t>
      </w:r>
      <w:r w:rsidRPr="00E62A20">
        <w:rPr>
          <w:lang w:val="es-ES"/>
        </w:rPr>
        <w:t>i</w:t>
      </w:r>
      <w:r w:rsidRPr="00E62A20">
        <w:rPr>
          <w:lang w:val="es-ES"/>
        </w:rPr>
        <w:t>mos, compatible con la conservación del Parque Natural.</w:t>
      </w:r>
    </w:p>
    <w:p w:rsidR="00553CEB" w:rsidRPr="00C026C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E62A20">
        <w:rPr>
          <w:lang w:val="es-ES"/>
        </w:rPr>
        <w:t>Control y ordenación de las actividades turísticas y educativas, supedita</w:t>
      </w:r>
      <w:r w:rsidRPr="00E62A20">
        <w:rPr>
          <w:lang w:val="es-ES"/>
        </w:rPr>
        <w:t>n</w:t>
      </w:r>
      <w:r w:rsidRPr="00E62A20">
        <w:rPr>
          <w:lang w:val="es-ES"/>
        </w:rPr>
        <w:t>do éstas a la protección y preservación de los elementos naturales y especies de la flora y fauna silvestres.</w:t>
      </w:r>
    </w:p>
    <w:p w:rsidR="00F0755F" w:rsidRDefault="00553CEB" w:rsidP="00553CEB">
      <w:pPr>
        <w:pStyle w:val="texto"/>
      </w:pPr>
      <w:r w:rsidRPr="00FE38FC">
        <w:t xml:space="preserve">En cuanto a la gestión de este territorio, el </w:t>
      </w:r>
      <w:r>
        <w:t>a</w:t>
      </w:r>
      <w:r w:rsidRPr="00FE38FC">
        <w:t>rt. 3 de la Ley Foral</w:t>
      </w:r>
      <w:r>
        <w:t xml:space="preserve"> </w:t>
      </w:r>
      <w:r w:rsidRPr="00FE38FC">
        <w:t>10/1999, e</w:t>
      </w:r>
      <w:r w:rsidRPr="00FE38FC">
        <w:t>s</w:t>
      </w:r>
      <w:r w:rsidRPr="00FE38FC">
        <w:t>tablece que</w:t>
      </w:r>
      <w:r w:rsidR="00F0755F">
        <w:t>:</w:t>
      </w:r>
    </w:p>
    <w:p w:rsidR="00553CEB" w:rsidRPr="00FE38FC" w:rsidRDefault="00553CEB" w:rsidP="00553CEB">
      <w:pPr>
        <w:pStyle w:val="texto"/>
      </w:pPr>
      <w:r w:rsidRPr="00750879">
        <w:rPr>
          <w:i/>
          <w:sz w:val="22"/>
          <w:szCs w:val="22"/>
        </w:rPr>
        <w:t>“La gestión del Parque Natural corresponderá a la Comunidad de Bardenas, quien oste</w:t>
      </w:r>
      <w:r w:rsidRPr="00750879">
        <w:rPr>
          <w:i/>
          <w:sz w:val="22"/>
          <w:szCs w:val="22"/>
        </w:rPr>
        <w:t>n</w:t>
      </w:r>
      <w:r w:rsidRPr="00750879">
        <w:rPr>
          <w:i/>
          <w:sz w:val="22"/>
          <w:szCs w:val="22"/>
        </w:rPr>
        <w:t>tará todas las facultades y potestades administrativas que el ordenamiento jurídico vigente atribuye a los órganos de gestión de los Parques Naturales”.</w:t>
      </w:r>
    </w:p>
    <w:p w:rsidR="00553CEB" w:rsidRPr="000D68BC" w:rsidRDefault="00553CEB" w:rsidP="00553CEB">
      <w:pPr>
        <w:pStyle w:val="texto"/>
        <w:spacing w:after="240"/>
        <w:rPr>
          <w:lang w:val="es-ES"/>
        </w:rPr>
      </w:pPr>
      <w:r>
        <w:t>Previa declaración definitiva del Parque Natural, se aprueba el Plan de Ord</w:t>
      </w:r>
      <w:r>
        <w:t>e</w:t>
      </w:r>
      <w:r>
        <w:t xml:space="preserve">nación de los Recursos Naturales de Bardenas </w:t>
      </w:r>
      <w:hyperlink r:id="rId20" w:history="1">
        <w:r w:rsidRPr="00C026CB">
          <w:t>(PORN)</w:t>
        </w:r>
      </w:hyperlink>
      <w:r>
        <w:t>, pieza clave para la d</w:t>
      </w:r>
      <w:r>
        <w:t>e</w:t>
      </w:r>
      <w:r>
        <w:t>claración, así como para las futuras actuaciones y gestión de este territorio. En este documento se efectúa básicamente un análisis del medio físico y de los usos del suelo, proponiendo líneas de actuación; igualmente plantea la zonif</w:t>
      </w:r>
      <w:r>
        <w:t>i</w:t>
      </w:r>
      <w:r>
        <w:t>cación del Parque como el resultado final de un largo proceso de análisis de c</w:t>
      </w:r>
      <w:r>
        <w:t>a</w:t>
      </w:r>
      <w:r>
        <w:t>da uno de los elementos del medio natural, así como de los diferentes usos y aprovechamientos efectuados sobre el territorio. Incluye un apartado de concl</w:t>
      </w:r>
      <w:r>
        <w:t>u</w:t>
      </w:r>
      <w:r>
        <w:t>siones que reflejan las líneas de actuación para la protección, minimización de la erosión, respeto y fomento de los usos tradicionales, posibilidad de nuevos usos con respeto de los valores naturales, etc.</w:t>
      </w:r>
    </w:p>
    <w:p w:rsidR="00553CEB" w:rsidRDefault="00553CEB" w:rsidP="00553CEB">
      <w:pPr>
        <w:pStyle w:val="texto"/>
        <w:numPr>
          <w:ilvl w:val="0"/>
          <w:numId w:val="15"/>
        </w:numPr>
      </w:pPr>
      <w:r>
        <w:t>Declaración de Reserva Mundial de la Biosfera</w:t>
      </w:r>
    </w:p>
    <w:p w:rsidR="00553CEB" w:rsidRDefault="00553CEB" w:rsidP="00553CEB">
      <w:pPr>
        <w:pStyle w:val="texto"/>
      </w:pPr>
      <w:r w:rsidRPr="00B17C41">
        <w:t>Las Reservas de la Biosfera son áreas que pertenecen a ecosistemas terre</w:t>
      </w:r>
      <w:r w:rsidRPr="00B17C41">
        <w:t>s</w:t>
      </w:r>
      <w:r w:rsidRPr="00B17C41">
        <w:t>tres o costeros representativos, cuya importancia para el suministro de conoc</w:t>
      </w:r>
      <w:r w:rsidRPr="00B17C41">
        <w:t>i</w:t>
      </w:r>
      <w:r w:rsidRPr="00B17C41">
        <w:t>mientos prácticos y científicos y de valores humanos puedan contribuir al des</w:t>
      </w:r>
      <w:r w:rsidRPr="00B17C41">
        <w:t>a</w:t>
      </w:r>
      <w:r w:rsidRPr="00B17C41">
        <w:t xml:space="preserve">rrollo sostenible. Las Reservas son propuestas por los diferentes </w:t>
      </w:r>
      <w:r>
        <w:t>e</w:t>
      </w:r>
      <w:r w:rsidRPr="00B17C41">
        <w:t xml:space="preserve">stados </w:t>
      </w:r>
      <w:r>
        <w:t>m</w:t>
      </w:r>
      <w:r w:rsidRPr="00B17C41">
        <w:t>ie</w:t>
      </w:r>
      <w:r w:rsidRPr="00B17C41">
        <w:t>m</w:t>
      </w:r>
      <w:r w:rsidRPr="00B17C41">
        <w:t>bro y son reconocidas a nivel internacional dentro del marco del programa “Hombre y Biosfera” (MAB) de la UNESCO. Entre todas ellas</w:t>
      </w:r>
      <w:r>
        <w:t>, se</w:t>
      </w:r>
      <w:r w:rsidRPr="00B17C41">
        <w:t xml:space="preserve"> constituyen una Red Mundial.</w:t>
      </w:r>
    </w:p>
    <w:p w:rsidR="00553CEB" w:rsidRDefault="00553CEB" w:rsidP="00553CEB">
      <w:pPr>
        <w:pStyle w:val="texto"/>
      </w:pPr>
      <w:r>
        <w:t>En noviembre de 2000, la UNESCO declaró las Bardenas Reales de Navarra como Reserva Mundial de la Biosfera. Constituye el único paraje que en Nav</w:t>
      </w:r>
      <w:r>
        <w:t>a</w:t>
      </w:r>
      <w:r>
        <w:t>rra tiene tal consideración.</w:t>
      </w:r>
    </w:p>
    <w:p w:rsidR="00553CEB" w:rsidRPr="00B17C41" w:rsidRDefault="00553CEB" w:rsidP="00553CEB">
      <w:pPr>
        <w:pStyle w:val="texto"/>
      </w:pPr>
      <w:r>
        <w:t>De acuerdo con las directrices del citado organismo internacional, la reserva</w:t>
      </w:r>
      <w:r w:rsidRPr="00B17C41">
        <w:t xml:space="preserve"> tiene que satisfacer tres funciones básicas que se complementan y se refuerzan entre sí:</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Función de conservación de los recursos, orientada a reforzar las acciones de conservación de los recursos genéticos, paisajes, ecosistemas y especies.</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lastRenderedPageBreak/>
        <w:t>Función de desarrollo, que pretende establecer dinámicas que integren desarrollo humano y económico con la conservación del medio, cultura y trad</w:t>
      </w:r>
      <w:r w:rsidRPr="000D68BC">
        <w:rPr>
          <w:lang w:val="es-ES"/>
        </w:rPr>
        <w:t>i</w:t>
      </w:r>
      <w:r w:rsidRPr="000D68BC">
        <w:rPr>
          <w:lang w:val="es-ES"/>
        </w:rPr>
        <w:t>ciones.</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Función logística, que proporciona el apoyo para la realización de proye</w:t>
      </w:r>
      <w:r w:rsidRPr="000D68BC">
        <w:rPr>
          <w:lang w:val="es-ES"/>
        </w:rPr>
        <w:t>c</w:t>
      </w:r>
      <w:r w:rsidRPr="000D68BC">
        <w:rPr>
          <w:lang w:val="es-ES"/>
        </w:rPr>
        <w:t>tos de demostración, investigación, formación, seguimiento, educación ambie</w:t>
      </w:r>
      <w:r w:rsidRPr="000D68BC">
        <w:rPr>
          <w:lang w:val="es-ES"/>
        </w:rPr>
        <w:t>n</w:t>
      </w:r>
      <w:r w:rsidRPr="000D68BC">
        <w:rPr>
          <w:lang w:val="es-ES"/>
        </w:rPr>
        <w:t>tal y de intercambio de información, relativos a la conservación y desarrollo sostenible a nivel local, regional, nacional y global.</w:t>
      </w:r>
    </w:p>
    <w:p w:rsidR="00553CEB" w:rsidRPr="00ED6E51" w:rsidRDefault="00553CEB" w:rsidP="00553CEB">
      <w:pPr>
        <w:pStyle w:val="texto"/>
        <w:rPr>
          <w:spacing w:val="4"/>
        </w:rPr>
      </w:pPr>
      <w:r>
        <w:t>Es decir, la figura de la Reserva introduce en materia de la conservación no solo la protección de los elementos naturales existentes sino también y con idéntico nivel de prioridad, la protección de formas tradicionales de explot</w:t>
      </w:r>
      <w:r>
        <w:t>a</w:t>
      </w:r>
      <w:r>
        <w:t xml:space="preserve">ción sostenible de los recursos naturales. </w:t>
      </w:r>
      <w:r w:rsidRPr="00ED6E51">
        <w:rPr>
          <w:spacing w:val="4"/>
        </w:rPr>
        <w:t>En definitiva, la población vinculada con la Reserva debe jugar un papel activo, participando en la búsqueda y des</w:t>
      </w:r>
      <w:r w:rsidRPr="00ED6E51">
        <w:rPr>
          <w:spacing w:val="4"/>
        </w:rPr>
        <w:t>a</w:t>
      </w:r>
      <w:r w:rsidRPr="00ED6E51">
        <w:rPr>
          <w:spacing w:val="4"/>
        </w:rPr>
        <w:t>rrollo de dichas formas sostenibles de explotación, de forma que la propia R</w:t>
      </w:r>
      <w:r w:rsidRPr="00ED6E51">
        <w:rPr>
          <w:spacing w:val="4"/>
        </w:rPr>
        <w:t>e</w:t>
      </w:r>
      <w:r w:rsidRPr="00ED6E51">
        <w:rPr>
          <w:spacing w:val="4"/>
        </w:rPr>
        <w:t>serva se constituya en un espacio de encuentro entre las políticas de conserv</w:t>
      </w:r>
      <w:r w:rsidRPr="00ED6E51">
        <w:rPr>
          <w:spacing w:val="4"/>
        </w:rPr>
        <w:t>a</w:t>
      </w:r>
      <w:r w:rsidRPr="00ED6E51">
        <w:rPr>
          <w:spacing w:val="4"/>
        </w:rPr>
        <w:t>ción y de desarrollo local y su experiencia pueda extrapolarse a otros territorios.</w:t>
      </w:r>
    </w:p>
    <w:p w:rsidR="00553CEB" w:rsidRPr="000A57CD" w:rsidRDefault="00553CEB" w:rsidP="00553CEB">
      <w:pPr>
        <w:pStyle w:val="texto"/>
      </w:pPr>
      <w:r w:rsidRPr="000A57CD">
        <w:t>El reto más importante en la creación de una Reserva de la Biosfera es dis</w:t>
      </w:r>
      <w:r w:rsidRPr="000A57CD">
        <w:t>e</w:t>
      </w:r>
      <w:r w:rsidRPr="000A57CD">
        <w:t>ñar y, sobre todo mantener, mecanismos apropiados para: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Compatibilizar y armonizar el desarrollo económico con la conservación.</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Conciliar los intereses de la sociedad en general, y de sus habitantes en particular, con los objetivos y funciones de la Reserva.</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Conservar las estruct</w:t>
      </w:r>
      <w:r w:rsidR="004A0634">
        <w:rPr>
          <w:lang w:val="es-ES"/>
        </w:rPr>
        <w:t>uras agrarias y las tradiciones</w:t>
      </w:r>
      <w:r w:rsidRPr="000D68BC">
        <w:rPr>
          <w:lang w:val="es-ES"/>
        </w:rPr>
        <w:t xml:space="preserve"> y</w:t>
      </w:r>
      <w:r w:rsidR="004A0634">
        <w:rPr>
          <w:lang w:val="es-ES"/>
        </w:rPr>
        <w:t>,</w:t>
      </w:r>
      <w:r w:rsidRPr="000D68BC">
        <w:rPr>
          <w:lang w:val="es-ES"/>
        </w:rPr>
        <w:t xml:space="preserve"> a la vez</w:t>
      </w:r>
      <w:r w:rsidR="004A0634">
        <w:rPr>
          <w:lang w:val="es-ES"/>
        </w:rPr>
        <w:t>,</w:t>
      </w:r>
      <w:r w:rsidRPr="000D68BC">
        <w:rPr>
          <w:lang w:val="es-ES"/>
        </w:rPr>
        <w:t xml:space="preserve"> desarrollar una economía de acuerdo a los nuevos tiempos.</w:t>
      </w:r>
    </w:p>
    <w:p w:rsidR="00553CEB" w:rsidRPr="000D68B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D68BC">
        <w:rPr>
          <w:lang w:val="es-ES"/>
        </w:rPr>
        <w:t>Planificar y coordinar todas las actividades que han de desarrollarse en ella, cumpliendo a la vez todos los criterios bajo los que fue declarada.</w:t>
      </w:r>
    </w:p>
    <w:p w:rsidR="00553CEB" w:rsidRDefault="00553CEB" w:rsidP="00553CEB">
      <w:pPr>
        <w:pStyle w:val="texto"/>
      </w:pPr>
      <w:r w:rsidRPr="000A57CD">
        <w:t>En las Reservas</w:t>
      </w:r>
      <w:r>
        <w:t>,</w:t>
      </w:r>
      <w:r w:rsidRPr="000A57CD">
        <w:t xml:space="preserve"> la población local debe jugar un papel esencial en la toma de decisiones, participando en la búsqueda y desarrollo de formas sostenibles de explotación. Esta dimensión humana de las Reservas de la Biosfera es lo que las hace distintas y especiales, dado que la gestión llega a ser, en esencia, un pacto entre la población local y la sociedad en su conjunto. </w:t>
      </w:r>
    </w:p>
    <w:p w:rsidR="00553CEB" w:rsidRDefault="00553CEB" w:rsidP="00553CEB">
      <w:pPr>
        <w:pStyle w:val="texto"/>
      </w:pPr>
      <w:r w:rsidRPr="0063605A">
        <w:rPr>
          <w:b/>
        </w:rPr>
        <w:t>En definitiva</w:t>
      </w:r>
      <w:r>
        <w:t>, estas declaraciones –tanto de parque natural como de reserva de la biosfera– ponen de relieve, en primer lugar, la importancia ecológica del territorio de las Bardenas. Esta protección debe ser compatible con los valores naturales a preservar en el dicho territorio, la explotación sostenible de sus usos tradicionales –agricultura, ganadería y caza–, la apertura a nuevos usos econ</w:t>
      </w:r>
      <w:r>
        <w:t>ó</w:t>
      </w:r>
      <w:r>
        <w:t>micos que respeten el territorio, la necesidad de investigar científicamente su vegetación, flora y fauna y el fomento de la educación ambiental. Estos princ</w:t>
      </w:r>
      <w:r>
        <w:t>i</w:t>
      </w:r>
      <w:r>
        <w:t>pios deben de guiar necesariamente la gestión de la Comunidad de Bardenas.</w:t>
      </w:r>
    </w:p>
    <w:p w:rsidR="00553CEB" w:rsidRDefault="00553CEB" w:rsidP="00553CEB">
      <w:pPr>
        <w:pStyle w:val="atitulo2"/>
      </w:pPr>
      <w:bookmarkStart w:id="24" w:name="_Toc494897109"/>
      <w:bookmarkStart w:id="25" w:name="_Toc480357321"/>
      <w:bookmarkEnd w:id="10"/>
      <w:bookmarkEnd w:id="11"/>
      <w:bookmarkEnd w:id="22"/>
      <w:r>
        <w:lastRenderedPageBreak/>
        <w:t xml:space="preserve">II.3. Régimen </w:t>
      </w:r>
      <w:r w:rsidR="005723F1">
        <w:t>j</w:t>
      </w:r>
      <w:r>
        <w:t>urídico y organización interna de la Comunidad de Bard</w:t>
      </w:r>
      <w:r>
        <w:t>e</w:t>
      </w:r>
      <w:r>
        <w:t>nas Reales</w:t>
      </w:r>
      <w:bookmarkEnd w:id="24"/>
    </w:p>
    <w:p w:rsidR="00553CEB" w:rsidRDefault="00553CEB" w:rsidP="00553CEB">
      <w:pPr>
        <w:pStyle w:val="texto"/>
      </w:pPr>
      <w:r>
        <w:t xml:space="preserve">En el informe que la Cámara de Comptos emitió sobre la Comunidad de Bardenas Reales del ejercicio de 2009, se </w:t>
      </w:r>
      <w:r w:rsidR="005C3F03">
        <w:t>desarrollaban</w:t>
      </w:r>
      <w:r>
        <w:t xml:space="preserve"> ampliamente estos apartados. En este informe nos limitamos a resumir dicho contenido, destaca</w:t>
      </w:r>
      <w:r>
        <w:t>n</w:t>
      </w:r>
      <w:r>
        <w:t>do los siguientes aspectos:</w:t>
      </w:r>
    </w:p>
    <w:p w:rsidR="00553CEB" w:rsidRDefault="00553CEB" w:rsidP="00553CEB">
      <w:pPr>
        <w:pStyle w:val="texto"/>
      </w:pPr>
      <w:r>
        <w:t>La Comunidad es una entidad local de naturaleza territorial, sin población, encuadrable, de acuerdo con el art. 45.1. de la Ley Foral de Administración L</w:t>
      </w:r>
      <w:r>
        <w:t>o</w:t>
      </w:r>
      <w:r>
        <w:t>cal (LFAL) dentro de la categoría de las “</w:t>
      </w:r>
      <w:r w:rsidRPr="005B5F10">
        <w:t>agrupaciones o corporaciones trad</w:t>
      </w:r>
      <w:r w:rsidRPr="005B5F10">
        <w:t>i</w:t>
      </w:r>
      <w:r w:rsidRPr="005B5F10">
        <w:t>cionales de Navarra</w:t>
      </w:r>
      <w:r>
        <w:t>”, que se asemeja a las mancomunidades por su base de c</w:t>
      </w:r>
      <w:r>
        <w:t>a</w:t>
      </w:r>
      <w:r>
        <w:t>rácter asociativo, pero se diferencia de ellas al integrar en su seno una variada gama de entes locales, municipios y otras corporaciones tradicionales, junto con una persona jurídico privada.</w:t>
      </w:r>
    </w:p>
    <w:p w:rsidR="00553CEB" w:rsidRPr="00B97ECF" w:rsidRDefault="00553CEB" w:rsidP="00553CEB">
      <w:pPr>
        <w:pStyle w:val="texto"/>
      </w:pPr>
      <w:r w:rsidRPr="00B97ECF">
        <w:t>El elemento singular del ordenamiento jurídico que incide directamente s</w:t>
      </w:r>
      <w:r w:rsidRPr="00B97ECF">
        <w:t>o</w:t>
      </w:r>
      <w:r w:rsidRPr="00B97ECF">
        <w:t>bre la</w:t>
      </w:r>
      <w:r>
        <w:t xml:space="preserve"> Comunidad</w:t>
      </w:r>
      <w:r w:rsidRPr="00B97ECF">
        <w:t xml:space="preserve"> lo constituyen sus </w:t>
      </w:r>
      <w:r>
        <w:t>ordenanzas</w:t>
      </w:r>
      <w:r w:rsidRPr="00B97ECF">
        <w:t xml:space="preserve">, cuerpo normativo del que se dota la </w:t>
      </w:r>
      <w:r>
        <w:t xml:space="preserve">misma </w:t>
      </w:r>
      <w:r w:rsidRPr="00B97ECF">
        <w:t>para establecer las reglas de cómo, cuándo y por quién se ejerc</w:t>
      </w:r>
      <w:r w:rsidRPr="00B97ECF">
        <w:t>i</w:t>
      </w:r>
      <w:r w:rsidRPr="00B97ECF">
        <w:t>tará los aprovechamientos o usos de dicho territorio.</w:t>
      </w:r>
    </w:p>
    <w:p w:rsidR="00553CEB" w:rsidRDefault="00EE7722" w:rsidP="00553CEB">
      <w:pPr>
        <w:pStyle w:val="texto"/>
      </w:pPr>
      <w:r>
        <w:t>La</w:t>
      </w:r>
      <w:r w:rsidR="00553CEB" w:rsidRPr="00520E9C">
        <w:t xml:space="preserve"> de gestión patrimonial</w:t>
      </w:r>
      <w:r>
        <w:t xml:space="preserve"> está regulada</w:t>
      </w:r>
      <w:r w:rsidR="00553CEB">
        <w:t xml:space="preserve"> por las citadas ordenanzas</w:t>
      </w:r>
      <w:r w:rsidR="00553CEB" w:rsidRPr="00520E9C">
        <w:t>, cuyo a</w:t>
      </w:r>
      <w:r w:rsidR="00553CEB" w:rsidRPr="00520E9C">
        <w:t>r</w:t>
      </w:r>
      <w:r w:rsidR="00553CEB" w:rsidRPr="00520E9C">
        <w:t xml:space="preserve">ticulado </w:t>
      </w:r>
      <w:r>
        <w:t>fija</w:t>
      </w:r>
      <w:r w:rsidR="00553CEB" w:rsidRPr="00520E9C">
        <w:t xml:space="preserve"> singular régimen jurídico aplicable a la materia. La normativa g</w:t>
      </w:r>
      <w:r w:rsidR="00553CEB" w:rsidRPr="00520E9C">
        <w:t>e</w:t>
      </w:r>
      <w:r w:rsidR="00553CEB" w:rsidRPr="00520E9C">
        <w:t>neral, por tanto, sólo será aplicable supletoriamente, ante las eventuales lagunas que puedan presentarse y siempre que no se oponga al régimen privativo de aquéllas</w:t>
      </w:r>
      <w:r w:rsidR="00553CEB">
        <w:t>.</w:t>
      </w:r>
    </w:p>
    <w:p w:rsidR="00553CEB" w:rsidRDefault="00553CEB" w:rsidP="00553CEB">
      <w:pPr>
        <w:pStyle w:val="texto"/>
      </w:pPr>
      <w:r>
        <w:t>En gestión de personal, régimen económico-financiero</w:t>
      </w:r>
      <w:r w:rsidR="002044FA">
        <w:t>, contratación adm</w:t>
      </w:r>
      <w:r w:rsidR="002044FA">
        <w:t>i</w:t>
      </w:r>
      <w:r w:rsidR="002044FA">
        <w:t>nistrativa</w:t>
      </w:r>
      <w:r>
        <w:t xml:space="preserve"> y régimen contable-presupuestario se le aplica el establecido con c</w:t>
      </w:r>
      <w:r>
        <w:t>a</w:t>
      </w:r>
      <w:r>
        <w:t>rácter general para las entidades locales.</w:t>
      </w:r>
      <w:r w:rsidRPr="00520E9C">
        <w:t xml:space="preserve"> En esta</w:t>
      </w:r>
      <w:r>
        <w:t>s</w:t>
      </w:r>
      <w:r w:rsidRPr="00520E9C">
        <w:t xml:space="preserve"> materia</w:t>
      </w:r>
      <w:r>
        <w:t>s</w:t>
      </w:r>
      <w:r w:rsidRPr="00520E9C">
        <w:t xml:space="preserve">, las </w:t>
      </w:r>
      <w:r>
        <w:t>ordenanzas</w:t>
      </w:r>
      <w:r w:rsidRPr="00520E9C">
        <w:t xml:space="preserve"> e</w:t>
      </w:r>
      <w:r w:rsidRPr="00520E9C">
        <w:t>s</w:t>
      </w:r>
      <w:r w:rsidRPr="00520E9C">
        <w:t>tán subordinadas a la normativa gener</w:t>
      </w:r>
      <w:r>
        <w:t>al, a la que puede desarrollar –</w:t>
      </w:r>
      <w:r w:rsidRPr="00520E9C">
        <w:t>e incluso regular espacios autónomos de régimen peculiar</w:t>
      </w:r>
      <w:r>
        <w:t xml:space="preserve">– </w:t>
      </w:r>
      <w:r w:rsidRPr="00520E9C">
        <w:t>pero a la que no puede co</w:t>
      </w:r>
      <w:r w:rsidRPr="00520E9C">
        <w:t>n</w:t>
      </w:r>
      <w:r w:rsidRPr="00520E9C">
        <w:t>travenir.</w:t>
      </w:r>
    </w:p>
    <w:p w:rsidR="00553CEB" w:rsidRDefault="00553CEB" w:rsidP="00553CEB">
      <w:pPr>
        <w:pStyle w:val="texto"/>
      </w:pPr>
      <w:r>
        <w:t>En definitiva, l</w:t>
      </w:r>
      <w:r w:rsidRPr="00491CD1">
        <w:t xml:space="preserve">a Comunidad se incardina en el organigrama jurídico-administrativo de Navarra como una entidad local con el carácter de agrupación tradicional, que </w:t>
      </w:r>
      <w:r w:rsidR="002044FA">
        <w:t>gestionará</w:t>
      </w:r>
      <w:r w:rsidRPr="00491CD1">
        <w:t xml:space="preserve"> sus aprovechamientos y </w:t>
      </w:r>
      <w:r w:rsidRPr="003D514D">
        <w:t>recursos</w:t>
      </w:r>
      <w:r w:rsidRPr="00491CD1">
        <w:t xml:space="preserve"> económicos co</w:t>
      </w:r>
      <w:r w:rsidRPr="00491CD1">
        <w:t>n</w:t>
      </w:r>
      <w:r w:rsidRPr="00491CD1">
        <w:t xml:space="preserve">forme a lo que determinen sus </w:t>
      </w:r>
      <w:r>
        <w:t>ordenanzas</w:t>
      </w:r>
      <w:r w:rsidRPr="00491CD1">
        <w:t xml:space="preserve"> y, en defecto de </w:t>
      </w:r>
      <w:r w:rsidR="00EE7722">
        <w:t>e</w:t>
      </w:r>
      <w:r w:rsidRPr="00491CD1">
        <w:t>stas, le será de aplicación la normativa general de las entidades locales de Navarra.</w:t>
      </w:r>
    </w:p>
    <w:p w:rsidR="00553CEB" w:rsidRDefault="00553CEB" w:rsidP="00553CEB">
      <w:pPr>
        <w:pStyle w:val="texto"/>
      </w:pPr>
      <w:bookmarkStart w:id="26" w:name="_Toc468085244"/>
      <w:bookmarkStart w:id="27" w:name="_Toc468085593"/>
      <w:bookmarkStart w:id="28" w:name="_Toc468085906"/>
      <w:bookmarkStart w:id="29" w:name="_Toc468085972"/>
      <w:bookmarkStart w:id="30" w:name="_Toc468086030"/>
      <w:bookmarkStart w:id="31" w:name="_Toc468087832"/>
      <w:bookmarkStart w:id="32" w:name="_Toc469726196"/>
      <w:bookmarkStart w:id="33" w:name="_Toc287259147"/>
      <w:bookmarkStart w:id="34" w:name="_Toc477161313"/>
      <w:r>
        <w:t>Las ordenanzas se han mantenido prácticamente sin modificaciones, salvo las experimentadas en 2007 –que introducen medidas ganaderas y agrícolas d</w:t>
      </w:r>
      <w:r>
        <w:t>e</w:t>
      </w:r>
      <w:r>
        <w:t>rivadas del PORN– y en 2010 –por las que se crean los d</w:t>
      </w:r>
      <w:r w:rsidRPr="00DB6872">
        <w:t xml:space="preserve">istritos </w:t>
      </w:r>
      <w:r>
        <w:t>a</w:t>
      </w:r>
      <w:r w:rsidRPr="00DB6872">
        <w:t>gr</w:t>
      </w:r>
      <w:r>
        <w:t xml:space="preserve">oganaderos, </w:t>
      </w:r>
      <w:r w:rsidRPr="00DB6872">
        <w:t>supon</w:t>
      </w:r>
      <w:r>
        <w:t xml:space="preserve">iendo </w:t>
      </w:r>
      <w:r w:rsidRPr="00DB6872">
        <w:t>un cambio profundo en el</w:t>
      </w:r>
      <w:r>
        <w:t xml:space="preserve"> sistema de usos </w:t>
      </w:r>
      <w:r w:rsidRPr="00DB6872">
        <w:t>tradicional que viene realizándose en</w:t>
      </w:r>
      <w:r>
        <w:t xml:space="preserve"> </w:t>
      </w:r>
      <w:r w:rsidRPr="00DB6872">
        <w:t>la</w:t>
      </w:r>
      <w:r>
        <w:t>s</w:t>
      </w:r>
      <w:r w:rsidRPr="00DB6872">
        <w:t xml:space="preserve"> Bardena</w:t>
      </w:r>
      <w:r>
        <w:t>s–</w:t>
      </w:r>
      <w:r w:rsidRPr="00DB6872">
        <w:t>.</w:t>
      </w:r>
    </w:p>
    <w:p w:rsidR="00CA5C4E" w:rsidRDefault="00CA5C4E" w:rsidP="00553CEB">
      <w:pPr>
        <w:pStyle w:val="texto"/>
      </w:pPr>
    </w:p>
    <w:p w:rsidR="00553CEB" w:rsidRPr="005B5F10" w:rsidRDefault="00553CEB" w:rsidP="00553CEB">
      <w:pPr>
        <w:pStyle w:val="texto"/>
      </w:pPr>
      <w:r>
        <w:lastRenderedPageBreak/>
        <w:t>Sobre su organización interna, el art. 107 de sus ordenanzas señala que</w:t>
      </w:r>
      <w:bookmarkEnd w:id="26"/>
      <w:bookmarkEnd w:id="27"/>
      <w:bookmarkEnd w:id="28"/>
      <w:bookmarkEnd w:id="29"/>
      <w:bookmarkEnd w:id="30"/>
      <w:bookmarkEnd w:id="31"/>
      <w:bookmarkEnd w:id="32"/>
      <w:bookmarkEnd w:id="33"/>
      <w:bookmarkEnd w:id="34"/>
      <w:r w:rsidRPr="00750879">
        <w:rPr>
          <w:sz w:val="22"/>
          <w:szCs w:val="22"/>
        </w:rPr>
        <w:t xml:space="preserve"> “</w:t>
      </w:r>
      <w:r w:rsidRPr="00750879">
        <w:rPr>
          <w:i/>
          <w:sz w:val="22"/>
          <w:szCs w:val="22"/>
        </w:rPr>
        <w:t>el gobierno y administración de las Bardenas corresponde a la Junta General de representa</w:t>
      </w:r>
      <w:r w:rsidRPr="00750879">
        <w:rPr>
          <w:i/>
          <w:sz w:val="22"/>
          <w:szCs w:val="22"/>
        </w:rPr>
        <w:t>n</w:t>
      </w:r>
      <w:r w:rsidRPr="00750879">
        <w:rPr>
          <w:i/>
          <w:sz w:val="22"/>
          <w:szCs w:val="22"/>
        </w:rPr>
        <w:t>tes de los pueblos, valles y monasterio congozantes y a la Comisión Permanente, compuesta por un Presidente y seis Vocales”</w:t>
      </w:r>
      <w:r>
        <w:rPr>
          <w:i/>
        </w:rPr>
        <w:t>:</w:t>
      </w:r>
    </w:p>
    <w:p w:rsidR="00553CEB" w:rsidRPr="0075087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89"/>
        <w:rPr>
          <w:spacing w:val="4"/>
          <w:lang w:val="es-ES"/>
        </w:rPr>
      </w:pPr>
      <w:r w:rsidRPr="005B5F10">
        <w:rPr>
          <w:lang w:val="es-ES"/>
        </w:rPr>
        <w:t xml:space="preserve">La Junta General </w:t>
      </w:r>
      <w:r>
        <w:rPr>
          <w:lang w:val="es-ES"/>
        </w:rPr>
        <w:t>la</w:t>
      </w:r>
      <w:r w:rsidRPr="005B5F10">
        <w:rPr>
          <w:lang w:val="es-ES"/>
        </w:rPr>
        <w:t xml:space="preserve"> integra</w:t>
      </w:r>
      <w:r>
        <w:rPr>
          <w:lang w:val="es-ES"/>
        </w:rPr>
        <w:t>n</w:t>
      </w:r>
      <w:r w:rsidRPr="005B5F10">
        <w:rPr>
          <w:lang w:val="es-ES"/>
        </w:rPr>
        <w:t xml:space="preserve"> veintidós miembros, uno (o dos pero con un único derecho a voto) por cada ente congozante, con poder decisorio paritario, independientemente de la p</w:t>
      </w:r>
      <w:r w:rsidRPr="00750879">
        <w:rPr>
          <w:spacing w:val="4"/>
          <w:lang w:val="es-ES"/>
        </w:rPr>
        <w:t>oblación y de los derechos de aprovechamiento: cada representante tiene un voto; constituye el órgano superior de gobierno y admini</w:t>
      </w:r>
      <w:r w:rsidRPr="00750879">
        <w:rPr>
          <w:spacing w:val="4"/>
          <w:lang w:val="es-ES"/>
        </w:rPr>
        <w:t>s</w:t>
      </w:r>
      <w:r w:rsidRPr="00750879">
        <w:rPr>
          <w:spacing w:val="4"/>
          <w:lang w:val="es-ES"/>
        </w:rPr>
        <w:t>tración de la comunidad y por ello le corresponden las facultades esenciales, esto es, la de modificación y desarrollo de las ordenanzas, la aprobación de pres</w:t>
      </w:r>
      <w:r w:rsidRPr="00750879">
        <w:rPr>
          <w:spacing w:val="4"/>
          <w:lang w:val="es-ES"/>
        </w:rPr>
        <w:t>u</w:t>
      </w:r>
      <w:r w:rsidRPr="00750879">
        <w:rPr>
          <w:spacing w:val="4"/>
          <w:lang w:val="es-ES"/>
        </w:rPr>
        <w:t>puestos y cuentas, la fijación de los recursos y cánones de aprovechamiento y las restantes que de modo específico le atribuya su ordenamiento propio.</w:t>
      </w:r>
    </w:p>
    <w:p w:rsidR="00553CEB" w:rsidRPr="005B5F1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5B5F10">
        <w:rPr>
          <w:lang w:val="es-ES"/>
        </w:rPr>
        <w:t xml:space="preserve">La Comisión Permanente está constituida por siete vocales elegidos por la Junta General de entre sus miembros y presidida por </w:t>
      </w:r>
      <w:r w:rsidR="00EE7722">
        <w:rPr>
          <w:lang w:val="es-ES"/>
        </w:rPr>
        <w:t>quién designen los mi</w:t>
      </w:r>
      <w:r w:rsidR="00EE7722">
        <w:rPr>
          <w:lang w:val="es-ES"/>
        </w:rPr>
        <w:t>s</w:t>
      </w:r>
      <w:r w:rsidR="00EE7722">
        <w:rPr>
          <w:lang w:val="es-ES"/>
        </w:rPr>
        <w:t>mos</w:t>
      </w:r>
      <w:r w:rsidRPr="005B5F10">
        <w:rPr>
          <w:lang w:val="es-ES"/>
        </w:rPr>
        <w:t xml:space="preserve">; le corresponde </w:t>
      </w:r>
      <w:r w:rsidRPr="00F0755F">
        <w:rPr>
          <w:lang w:val="es-ES"/>
        </w:rPr>
        <w:t>“conocer todos los asuntos del gobierno ordinario de la Comunidad”,</w:t>
      </w:r>
      <w:r w:rsidRPr="005B5F10">
        <w:rPr>
          <w:lang w:val="es-ES"/>
        </w:rPr>
        <w:t xml:space="preserve"> es decir, es el órgano ordinario de go</w:t>
      </w:r>
      <w:r w:rsidR="002044FA">
        <w:rPr>
          <w:lang w:val="es-ES"/>
        </w:rPr>
        <w:t xml:space="preserve">bierno </w:t>
      </w:r>
      <w:r w:rsidRPr="005B5F10">
        <w:rPr>
          <w:lang w:val="es-ES"/>
        </w:rPr>
        <w:t xml:space="preserve">de la Comunidad. </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5B5F10">
        <w:rPr>
          <w:lang w:val="es-ES"/>
        </w:rPr>
        <w:t xml:space="preserve">En relación a la Presidencia, las </w:t>
      </w:r>
      <w:r w:rsidR="00EE7722">
        <w:rPr>
          <w:lang w:val="es-ES"/>
        </w:rPr>
        <w:t>o</w:t>
      </w:r>
      <w:r>
        <w:rPr>
          <w:lang w:val="es-ES"/>
        </w:rPr>
        <w:t>rdenanzas</w:t>
      </w:r>
      <w:r w:rsidRPr="005B5F10">
        <w:rPr>
          <w:lang w:val="es-ES"/>
        </w:rPr>
        <w:t xml:space="preserve"> son poco explícitas respecto a sus competencias y, al margen de las implícitas de representar y presidir los ó</w:t>
      </w:r>
      <w:r w:rsidRPr="005B5F10">
        <w:rPr>
          <w:lang w:val="es-ES"/>
        </w:rPr>
        <w:t>r</w:t>
      </w:r>
      <w:r w:rsidRPr="005B5F10">
        <w:rPr>
          <w:lang w:val="es-ES"/>
        </w:rPr>
        <w:t xml:space="preserve">ganos colegiados inherentes al cargo, sólo le atribuyen la facultad de dirimir los empates con su voto de “calidad” y “adoptar en casos de urgencia toda clase de disposiciones que correspondan a la Comisión, sin perjuicio de someterlas a la aprobación de </w:t>
      </w:r>
      <w:r w:rsidR="00EE7722">
        <w:rPr>
          <w:lang w:val="es-ES"/>
        </w:rPr>
        <w:t>e</w:t>
      </w:r>
      <w:r w:rsidRPr="005B5F10">
        <w:rPr>
          <w:lang w:val="es-ES"/>
        </w:rPr>
        <w:t>sta en su primera reunión”.</w:t>
      </w:r>
      <w:r>
        <w:rPr>
          <w:lang w:val="es-ES"/>
        </w:rPr>
        <w:t xml:space="preserve"> </w:t>
      </w:r>
    </w:p>
    <w:p w:rsidR="00553CEB" w:rsidRPr="009825C8" w:rsidRDefault="00553CEB" w:rsidP="009825C8">
      <w:pPr>
        <w:pStyle w:val="texto"/>
      </w:pPr>
      <w:r w:rsidRPr="009825C8">
        <w:t>Los acuerdos de los órganos colegiados se adoptan siempre por mayoría simple, salvo en lo que respecta a la modificación de las ordenanzas que r</w:t>
      </w:r>
      <w:r w:rsidRPr="009825C8">
        <w:t>e</w:t>
      </w:r>
      <w:r w:rsidRPr="009825C8">
        <w:t xml:space="preserve">quiere el voto favorable de “las dos terceras partes de los Vocales (de la Junta General)”. </w:t>
      </w:r>
    </w:p>
    <w:p w:rsidR="00553CEB" w:rsidRPr="00476A08" w:rsidRDefault="00553CEB" w:rsidP="00553CEB">
      <w:pPr>
        <w:pStyle w:val="texto"/>
      </w:pPr>
      <w:r w:rsidRPr="00476A08">
        <w:t xml:space="preserve">En cuanto a su personal, las </w:t>
      </w:r>
      <w:r>
        <w:t>ordenanzas</w:t>
      </w:r>
      <w:r w:rsidRPr="00476A08">
        <w:t xml:space="preserve"> le dedica el capítulo XVI “de los funcionarios”; en concreto, contempla</w:t>
      </w:r>
      <w:r>
        <w:t>, entre otros,</w:t>
      </w:r>
      <w:r w:rsidRPr="00476A08">
        <w:t xml:space="preserve"> los puestos de:</w:t>
      </w:r>
    </w:p>
    <w:p w:rsidR="00553CEB" w:rsidRPr="003D514D" w:rsidRDefault="00553CEB" w:rsidP="00553CEB">
      <w:pPr>
        <w:pStyle w:val="texto"/>
      </w:pPr>
      <w:r>
        <w:t xml:space="preserve">a) </w:t>
      </w:r>
      <w:r w:rsidRPr="00476A08">
        <w:t>Secretario</w:t>
      </w:r>
      <w:r>
        <w:t>, cuyas funciones son básicamente l</w:t>
      </w:r>
      <w:r w:rsidRPr="00476A08">
        <w:t>as de asistir a los órganos de gobierno de la Comunidad, confeccionar las actas</w:t>
      </w:r>
      <w:r>
        <w:t>,</w:t>
      </w:r>
      <w:r w:rsidRPr="00476A08">
        <w:t xml:space="preserve"> ordenar y custodiar la d</w:t>
      </w:r>
      <w:r w:rsidRPr="00476A08">
        <w:t>o</w:t>
      </w:r>
      <w:r w:rsidRPr="00476A08">
        <w:t>cumentación</w:t>
      </w:r>
      <w:r>
        <w:t xml:space="preserve"> </w:t>
      </w:r>
      <w:r w:rsidRPr="003D514D">
        <w:t xml:space="preserve">y las demás previstas en el ordenamiento vigente. </w:t>
      </w:r>
    </w:p>
    <w:p w:rsidR="00553CEB" w:rsidRPr="00FA79C6" w:rsidRDefault="00553CEB" w:rsidP="00553CEB">
      <w:pPr>
        <w:pStyle w:val="texto"/>
        <w:tabs>
          <w:tab w:val="clear" w:pos="2835"/>
          <w:tab w:val="clear" w:pos="3969"/>
          <w:tab w:val="clear" w:pos="5103"/>
          <w:tab w:val="clear" w:pos="6237"/>
          <w:tab w:val="clear" w:pos="7371"/>
        </w:tabs>
        <w:spacing w:after="120"/>
        <w:rPr>
          <w:rFonts w:eastAsia="Calibri"/>
          <w:lang w:eastAsia="es-ES"/>
        </w:rPr>
      </w:pPr>
      <w:r w:rsidRPr="00666764">
        <w:rPr>
          <w:rFonts w:eastAsia="Calibri"/>
          <w:lang w:eastAsia="es-ES"/>
        </w:rPr>
        <w:t>b</w:t>
      </w:r>
      <w:r>
        <w:rPr>
          <w:rFonts w:eastAsia="Calibri"/>
          <w:lang w:eastAsia="es-ES"/>
        </w:rPr>
        <w:t>)</w:t>
      </w:r>
      <w:r w:rsidRPr="00666764">
        <w:rPr>
          <w:rFonts w:eastAsia="Calibri"/>
          <w:lang w:eastAsia="es-ES"/>
        </w:rPr>
        <w:t xml:space="preserve"> Interventor</w:t>
      </w:r>
      <w:r>
        <w:rPr>
          <w:rFonts w:eastAsia="Calibri"/>
          <w:lang w:eastAsia="es-ES"/>
        </w:rPr>
        <w:t>, con funciones propias contempladas para el conjunto de las entidades locales (fiscalización interna, gestión de la contabilidad…).</w:t>
      </w:r>
      <w:r w:rsidRPr="00666764">
        <w:rPr>
          <w:rFonts w:eastAsia="Calibri"/>
          <w:lang w:eastAsia="es-ES"/>
        </w:rPr>
        <w:t xml:space="preserve"> En un periodo de tiempo se cubrió temporalmente esta plaza; posteriormente, se real</w:t>
      </w:r>
      <w:r w:rsidRPr="00666764">
        <w:rPr>
          <w:rFonts w:eastAsia="Calibri"/>
          <w:lang w:eastAsia="es-ES"/>
        </w:rPr>
        <w:t>i</w:t>
      </w:r>
      <w:r w:rsidRPr="00666764">
        <w:rPr>
          <w:rFonts w:eastAsia="Calibri"/>
          <w:lang w:eastAsia="es-ES"/>
        </w:rPr>
        <w:t>zaron diversas gestiones con otras entidades locales para compartir interventor, que no fructificaron. En</w:t>
      </w:r>
      <w:r>
        <w:rPr>
          <w:rFonts w:eastAsia="Calibri"/>
          <w:lang w:eastAsia="es-ES"/>
        </w:rPr>
        <w:t xml:space="preserve"> la actualidad, </w:t>
      </w:r>
      <w:r w:rsidRPr="00666764">
        <w:rPr>
          <w:rFonts w:eastAsia="Calibri"/>
          <w:lang w:eastAsia="es-ES"/>
        </w:rPr>
        <w:t xml:space="preserve">ejerce </w:t>
      </w:r>
      <w:r w:rsidR="003F4869">
        <w:rPr>
          <w:rFonts w:eastAsia="Calibri"/>
          <w:lang w:eastAsia="es-ES"/>
        </w:rPr>
        <w:t>tales</w:t>
      </w:r>
      <w:r w:rsidRPr="00666764">
        <w:rPr>
          <w:rFonts w:eastAsia="Calibri"/>
          <w:lang w:eastAsia="es-ES"/>
        </w:rPr>
        <w:t xml:space="preserve"> funciones el </w:t>
      </w:r>
      <w:r>
        <w:rPr>
          <w:rFonts w:eastAsia="Calibri"/>
          <w:lang w:eastAsia="es-ES"/>
        </w:rPr>
        <w:t>s</w:t>
      </w:r>
      <w:r w:rsidRPr="00666764">
        <w:rPr>
          <w:rFonts w:eastAsia="Calibri"/>
          <w:lang w:eastAsia="es-ES"/>
        </w:rPr>
        <w:t xml:space="preserve">ecretario, que actúa como secretario-interventor, y cuenta con la colaboración de una empresa contratada para las tareas </w:t>
      </w:r>
      <w:r w:rsidR="009825C8">
        <w:rPr>
          <w:rFonts w:eastAsia="Calibri"/>
          <w:lang w:eastAsia="es-ES"/>
        </w:rPr>
        <w:t>contables-presupuestarias</w:t>
      </w:r>
      <w:r w:rsidR="003F4869">
        <w:rPr>
          <w:rFonts w:eastAsia="Calibri"/>
          <w:lang w:eastAsia="es-ES"/>
        </w:rPr>
        <w:t xml:space="preserve">, </w:t>
      </w:r>
      <w:r w:rsidR="003F4869" w:rsidRPr="00FA79C6">
        <w:rPr>
          <w:rFonts w:eastAsia="Calibri"/>
          <w:lang w:eastAsia="es-ES"/>
        </w:rPr>
        <w:t xml:space="preserve">siendo dicha empresa la que realiza de hecho </w:t>
      </w:r>
      <w:r w:rsidR="00FA79C6" w:rsidRPr="00FA79C6">
        <w:rPr>
          <w:rFonts w:eastAsia="Calibri"/>
          <w:lang w:eastAsia="es-ES"/>
        </w:rPr>
        <w:t>tales tareas</w:t>
      </w:r>
      <w:r w:rsidR="003F4869" w:rsidRPr="00FA79C6">
        <w:rPr>
          <w:rFonts w:eastAsia="Calibri"/>
          <w:lang w:eastAsia="es-ES"/>
        </w:rPr>
        <w:t>.</w:t>
      </w:r>
    </w:p>
    <w:p w:rsidR="00553CEB" w:rsidRDefault="00553CEB" w:rsidP="00553CEB">
      <w:pPr>
        <w:pStyle w:val="atitulo1"/>
      </w:pPr>
      <w:bookmarkStart w:id="35" w:name="_Toc494897110"/>
      <w:r>
        <w:lastRenderedPageBreak/>
        <w:t xml:space="preserve">III. </w:t>
      </w:r>
      <w:r w:rsidR="009825C8">
        <w:t>Alcance del trabajo</w:t>
      </w:r>
      <w:bookmarkEnd w:id="35"/>
    </w:p>
    <w:p w:rsidR="00553CEB" w:rsidRPr="001F3A63" w:rsidRDefault="00553CEB" w:rsidP="00372B75">
      <w:pPr>
        <w:pStyle w:val="texto"/>
        <w:tabs>
          <w:tab w:val="clear" w:pos="2835"/>
          <w:tab w:val="clear" w:pos="3969"/>
          <w:tab w:val="clear" w:pos="5103"/>
          <w:tab w:val="clear" w:pos="6237"/>
          <w:tab w:val="clear" w:pos="7371"/>
        </w:tabs>
        <w:spacing w:after="240"/>
        <w:rPr>
          <w:szCs w:val="26"/>
        </w:rPr>
      </w:pPr>
      <w:r>
        <w:rPr>
          <w:szCs w:val="26"/>
        </w:rPr>
        <w:t xml:space="preserve">De acuerdo con </w:t>
      </w:r>
      <w:r w:rsidR="00750826">
        <w:rPr>
          <w:szCs w:val="26"/>
        </w:rPr>
        <w:t>las peticiones realizadas,</w:t>
      </w:r>
      <w:r>
        <w:rPr>
          <w:szCs w:val="26"/>
        </w:rPr>
        <w:t xml:space="preserve"> a continuación se muestra la liqu</w:t>
      </w:r>
      <w:r>
        <w:rPr>
          <w:szCs w:val="26"/>
        </w:rPr>
        <w:t>i</w:t>
      </w:r>
      <w:r>
        <w:rPr>
          <w:szCs w:val="26"/>
        </w:rPr>
        <w:t xml:space="preserve">dación presupuestaria de las partidas y capítulos objeto de </w:t>
      </w:r>
      <w:r w:rsidR="00533E20">
        <w:rPr>
          <w:szCs w:val="26"/>
        </w:rPr>
        <w:t>fiscalización</w:t>
      </w:r>
      <w:r>
        <w:rPr>
          <w:szCs w:val="26"/>
        </w:rPr>
        <w:t xml:space="preserve"> así c</w:t>
      </w:r>
      <w:r>
        <w:rPr>
          <w:szCs w:val="26"/>
        </w:rPr>
        <w:t>o</w:t>
      </w:r>
      <w:r>
        <w:rPr>
          <w:szCs w:val="26"/>
        </w:rPr>
        <w:t>mo el importe total de las obligaciones reconocidas de la Comunidad de Bard</w:t>
      </w:r>
      <w:r>
        <w:rPr>
          <w:szCs w:val="26"/>
        </w:rPr>
        <w:t>e</w:t>
      </w:r>
      <w:r>
        <w:rPr>
          <w:szCs w:val="26"/>
        </w:rPr>
        <w:t xml:space="preserve">nas Reales para el periodo de 2010 a 2016: </w:t>
      </w:r>
    </w:p>
    <w:tbl>
      <w:tblPr>
        <w:tblW w:w="8874" w:type="dxa"/>
        <w:jc w:val="center"/>
        <w:tblLayout w:type="fixed"/>
        <w:tblCellMar>
          <w:left w:w="70" w:type="dxa"/>
          <w:right w:w="70" w:type="dxa"/>
        </w:tblCellMar>
        <w:tblLook w:val="04A0" w:firstRow="1" w:lastRow="0" w:firstColumn="1" w:lastColumn="0" w:noHBand="0" w:noVBand="1"/>
      </w:tblPr>
      <w:tblGrid>
        <w:gridCol w:w="2097"/>
        <w:gridCol w:w="978"/>
        <w:gridCol w:w="1002"/>
        <w:gridCol w:w="986"/>
        <w:gridCol w:w="953"/>
        <w:gridCol w:w="1031"/>
        <w:gridCol w:w="948"/>
        <w:gridCol w:w="879"/>
      </w:tblGrid>
      <w:tr w:rsidR="00553CEB" w:rsidRPr="00866E46" w:rsidTr="00372B75">
        <w:trPr>
          <w:trHeight w:val="284"/>
          <w:jc w:val="center"/>
        </w:trPr>
        <w:tc>
          <w:tcPr>
            <w:tcW w:w="2097"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center"/>
              <w:rPr>
                <w:rFonts w:ascii="Arial" w:hAnsi="Arial" w:cs="Arial"/>
                <w:bCs/>
                <w:color w:val="000000"/>
                <w:sz w:val="16"/>
                <w:szCs w:val="16"/>
                <w:lang w:val="es-ES" w:eastAsia="es-ES"/>
              </w:rPr>
            </w:pPr>
            <w:r w:rsidRPr="00866E46">
              <w:rPr>
                <w:rFonts w:ascii="Arial" w:hAnsi="Arial" w:cs="Arial"/>
                <w:bCs/>
                <w:color w:val="000000"/>
                <w:sz w:val="16"/>
                <w:szCs w:val="16"/>
                <w:lang w:eastAsia="es-ES"/>
              </w:rPr>
              <w:t xml:space="preserve">Denominación </w:t>
            </w:r>
          </w:p>
        </w:tc>
        <w:tc>
          <w:tcPr>
            <w:tcW w:w="97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2010</w:t>
            </w:r>
          </w:p>
        </w:tc>
        <w:tc>
          <w:tcPr>
            <w:tcW w:w="1002"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2011</w:t>
            </w:r>
          </w:p>
        </w:tc>
        <w:tc>
          <w:tcPr>
            <w:tcW w:w="986"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2012</w:t>
            </w:r>
          </w:p>
        </w:tc>
        <w:tc>
          <w:tcPr>
            <w:tcW w:w="953"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2013</w:t>
            </w:r>
          </w:p>
        </w:tc>
        <w:tc>
          <w:tcPr>
            <w:tcW w:w="1031"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2014</w:t>
            </w:r>
          </w:p>
        </w:tc>
        <w:tc>
          <w:tcPr>
            <w:tcW w:w="94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2015</w:t>
            </w:r>
          </w:p>
        </w:tc>
        <w:tc>
          <w:tcPr>
            <w:tcW w:w="879" w:type="dxa"/>
            <w:tcBorders>
              <w:top w:val="single" w:sz="4" w:space="0" w:color="auto"/>
              <w:bottom w:val="single" w:sz="4" w:space="0" w:color="auto"/>
            </w:tcBorders>
            <w:shd w:val="clear" w:color="auto" w:fill="FABF8F" w:themeFill="accent6" w:themeFillTint="99"/>
            <w:vAlign w:val="center"/>
            <w:hideMark/>
          </w:tcPr>
          <w:p w:rsidR="00553CEB" w:rsidRPr="00866E46" w:rsidRDefault="00553CEB" w:rsidP="00553CEB">
            <w:pPr>
              <w:spacing w:after="0"/>
              <w:ind w:firstLine="0"/>
              <w:jc w:val="right"/>
              <w:rPr>
                <w:rFonts w:ascii="Arial" w:hAnsi="Arial" w:cs="Arial"/>
                <w:bCs/>
                <w:color w:val="000000"/>
                <w:sz w:val="16"/>
                <w:szCs w:val="16"/>
                <w:lang w:val="es-ES" w:eastAsia="es-ES"/>
              </w:rPr>
            </w:pPr>
            <w:r w:rsidRPr="00866E46">
              <w:rPr>
                <w:rFonts w:ascii="Arial" w:hAnsi="Arial" w:cs="Arial"/>
                <w:bCs/>
                <w:color w:val="000000"/>
                <w:sz w:val="16"/>
                <w:szCs w:val="16"/>
                <w:lang w:eastAsia="es-ES"/>
              </w:rPr>
              <w:t>2016</w:t>
            </w:r>
          </w:p>
        </w:tc>
      </w:tr>
      <w:tr w:rsidR="00553CEB" w:rsidRPr="00866E46" w:rsidTr="00403A30">
        <w:trPr>
          <w:trHeight w:val="397"/>
          <w:jc w:val="center"/>
        </w:trPr>
        <w:tc>
          <w:tcPr>
            <w:tcW w:w="2097" w:type="dxa"/>
            <w:tcBorders>
              <w:top w:val="single" w:sz="4"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Atenciones protocolarias y representativas</w:t>
            </w:r>
          </w:p>
        </w:tc>
        <w:tc>
          <w:tcPr>
            <w:tcW w:w="978"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35.767</w:t>
            </w:r>
          </w:p>
        </w:tc>
        <w:tc>
          <w:tcPr>
            <w:tcW w:w="1002"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48.964</w:t>
            </w:r>
          </w:p>
        </w:tc>
        <w:tc>
          <w:tcPr>
            <w:tcW w:w="986"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35.389</w:t>
            </w:r>
          </w:p>
        </w:tc>
        <w:tc>
          <w:tcPr>
            <w:tcW w:w="953"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32.348</w:t>
            </w:r>
          </w:p>
        </w:tc>
        <w:tc>
          <w:tcPr>
            <w:tcW w:w="1031"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35.206</w:t>
            </w:r>
          </w:p>
        </w:tc>
        <w:tc>
          <w:tcPr>
            <w:tcW w:w="948" w:type="dxa"/>
            <w:tcBorders>
              <w:top w:val="single" w:sz="4"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28.689</w:t>
            </w:r>
          </w:p>
        </w:tc>
        <w:tc>
          <w:tcPr>
            <w:tcW w:w="879" w:type="dxa"/>
            <w:tcBorders>
              <w:top w:val="single" w:sz="4"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25.229</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Reuniones y conferencias</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22.060</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50.172</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23.367</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1.077</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1.184</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1.217</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2.952</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Indemnizaciones por razón de servicio: cargos electivos</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83.872</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110.239</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85.145</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75.095</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72.270</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63.496</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70.721</w:t>
            </w:r>
          </w:p>
        </w:tc>
      </w:tr>
      <w:tr w:rsidR="00553CEB" w:rsidRPr="00866E46" w:rsidTr="00553CEB">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Indemnizaciones por razón de servicio: del personal</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3.269</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2.784</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1.001</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281</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651</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1.440</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251</w:t>
            </w:r>
          </w:p>
        </w:tc>
      </w:tr>
      <w:tr w:rsidR="00553CEB" w:rsidRPr="00866E46" w:rsidTr="004606FA">
        <w:trPr>
          <w:trHeight w:val="340"/>
          <w:jc w:val="center"/>
        </w:trPr>
        <w:tc>
          <w:tcPr>
            <w:tcW w:w="2097" w:type="dxa"/>
            <w:tcBorders>
              <w:top w:val="single" w:sz="2" w:space="0" w:color="auto"/>
              <w:bottom w:val="single" w:sz="2" w:space="0" w:color="auto"/>
            </w:tcBorders>
            <w:shd w:val="clear" w:color="000000" w:fill="FFFFFF"/>
            <w:vAlign w:val="center"/>
            <w:hideMark/>
          </w:tcPr>
          <w:p w:rsidR="00553CEB" w:rsidRPr="00866E46" w:rsidRDefault="00553CEB" w:rsidP="00553CEB">
            <w:pPr>
              <w:spacing w:after="0"/>
              <w:ind w:firstLine="0"/>
              <w:jc w:val="left"/>
              <w:rPr>
                <w:rFonts w:ascii="Arial Narrow" w:hAnsi="Arial Narrow"/>
                <w:color w:val="000000"/>
                <w:sz w:val="18"/>
                <w:szCs w:val="18"/>
                <w:lang w:val="es-ES" w:eastAsia="es-ES"/>
              </w:rPr>
            </w:pPr>
            <w:r w:rsidRPr="00866E46">
              <w:rPr>
                <w:rFonts w:ascii="Arial Narrow" w:hAnsi="Arial Narrow"/>
                <w:color w:val="000000"/>
                <w:sz w:val="18"/>
                <w:szCs w:val="18"/>
                <w:lang w:eastAsia="es-ES"/>
              </w:rPr>
              <w:t>Indemnizaciones por razón de servicio: Otras indemniz</w:t>
            </w:r>
            <w:r w:rsidRPr="00866E46">
              <w:rPr>
                <w:rFonts w:ascii="Arial Narrow" w:hAnsi="Arial Narrow"/>
                <w:color w:val="000000"/>
                <w:sz w:val="18"/>
                <w:szCs w:val="18"/>
                <w:lang w:eastAsia="es-ES"/>
              </w:rPr>
              <w:t>a</w:t>
            </w:r>
            <w:r w:rsidRPr="00866E46">
              <w:rPr>
                <w:rFonts w:ascii="Arial Narrow" w:hAnsi="Arial Narrow"/>
                <w:color w:val="000000"/>
                <w:sz w:val="18"/>
                <w:szCs w:val="18"/>
                <w:lang w:eastAsia="es-ES"/>
              </w:rPr>
              <w:t>ciones por daños en cultivos</w:t>
            </w:r>
          </w:p>
        </w:tc>
        <w:tc>
          <w:tcPr>
            <w:tcW w:w="97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1.430</w:t>
            </w:r>
          </w:p>
        </w:tc>
        <w:tc>
          <w:tcPr>
            <w:tcW w:w="1002"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1.357</w:t>
            </w:r>
          </w:p>
        </w:tc>
        <w:tc>
          <w:tcPr>
            <w:tcW w:w="986"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20.629</w:t>
            </w:r>
          </w:p>
        </w:tc>
        <w:tc>
          <w:tcPr>
            <w:tcW w:w="953"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6.448</w:t>
            </w:r>
          </w:p>
        </w:tc>
        <w:tc>
          <w:tcPr>
            <w:tcW w:w="1031"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 0</w:t>
            </w:r>
          </w:p>
        </w:tc>
        <w:tc>
          <w:tcPr>
            <w:tcW w:w="948" w:type="dxa"/>
            <w:tcBorders>
              <w:top w:val="single" w:sz="2" w:space="0" w:color="auto"/>
              <w:bottom w:val="single" w:sz="2" w:space="0" w:color="auto"/>
            </w:tcBorders>
            <w:shd w:val="clear" w:color="auto" w:fill="auto"/>
            <w:noWrap/>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0</w:t>
            </w:r>
          </w:p>
        </w:tc>
        <w:tc>
          <w:tcPr>
            <w:tcW w:w="879" w:type="dxa"/>
            <w:tcBorders>
              <w:top w:val="single" w:sz="2" w:space="0" w:color="auto"/>
              <w:bottom w:val="single" w:sz="2" w:space="0" w:color="auto"/>
            </w:tcBorders>
            <w:shd w:val="clear" w:color="auto" w:fill="auto"/>
            <w:vAlign w:val="center"/>
            <w:hideMark/>
          </w:tcPr>
          <w:p w:rsidR="00553CEB" w:rsidRPr="00542216" w:rsidRDefault="00553CEB" w:rsidP="00553CEB">
            <w:pPr>
              <w:spacing w:after="0"/>
              <w:ind w:firstLine="0"/>
              <w:jc w:val="right"/>
              <w:rPr>
                <w:rFonts w:ascii="Arial Narrow" w:hAnsi="Arial Narrow"/>
                <w:color w:val="000000"/>
                <w:sz w:val="18"/>
                <w:szCs w:val="18"/>
                <w:lang w:val="es-ES" w:eastAsia="es-ES"/>
              </w:rPr>
            </w:pPr>
            <w:r w:rsidRPr="00542216">
              <w:rPr>
                <w:rFonts w:ascii="Arial Narrow" w:hAnsi="Arial Narrow"/>
                <w:color w:val="000000"/>
                <w:sz w:val="18"/>
                <w:szCs w:val="18"/>
                <w:lang w:eastAsia="es-ES"/>
              </w:rPr>
              <w:t>423</w:t>
            </w:r>
          </w:p>
        </w:tc>
      </w:tr>
      <w:tr w:rsidR="00553CEB" w:rsidRPr="00B936F9" w:rsidTr="004606FA">
        <w:trPr>
          <w:trHeight w:val="340"/>
          <w:jc w:val="center"/>
        </w:trPr>
        <w:tc>
          <w:tcPr>
            <w:tcW w:w="2097" w:type="dxa"/>
            <w:tcBorders>
              <w:top w:val="single" w:sz="2" w:space="0" w:color="auto"/>
              <w:bottom w:val="single" w:sz="2" w:space="0" w:color="auto"/>
            </w:tcBorders>
            <w:shd w:val="clear" w:color="auto" w:fill="FABF8F" w:themeFill="accent6" w:themeFillTint="99"/>
            <w:vAlign w:val="center"/>
            <w:hideMark/>
          </w:tcPr>
          <w:p w:rsidR="00553CEB" w:rsidRPr="00B936F9" w:rsidRDefault="00553CEB" w:rsidP="00553CEB">
            <w:pPr>
              <w:spacing w:after="0"/>
              <w:ind w:firstLine="0"/>
              <w:jc w:val="left"/>
              <w:rPr>
                <w:rFonts w:ascii="Arial" w:hAnsi="Arial" w:cs="Arial"/>
                <w:bCs/>
                <w:color w:val="000000"/>
                <w:sz w:val="16"/>
                <w:szCs w:val="16"/>
                <w:lang w:val="es-ES" w:eastAsia="es-ES"/>
              </w:rPr>
            </w:pPr>
            <w:r w:rsidRPr="00B936F9">
              <w:rPr>
                <w:rFonts w:ascii="Arial" w:hAnsi="Arial" w:cs="Arial"/>
                <w:bCs/>
                <w:color w:val="000000"/>
                <w:sz w:val="16"/>
                <w:szCs w:val="16"/>
                <w:lang w:eastAsia="es-ES"/>
              </w:rPr>
              <w:t xml:space="preserve">Total partidas a revisar capítulo 2 </w:t>
            </w:r>
          </w:p>
        </w:tc>
        <w:tc>
          <w:tcPr>
            <w:tcW w:w="978"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146.398</w:t>
            </w:r>
          </w:p>
        </w:tc>
        <w:tc>
          <w:tcPr>
            <w:tcW w:w="1002"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213.516</w:t>
            </w:r>
          </w:p>
        </w:tc>
        <w:tc>
          <w:tcPr>
            <w:tcW w:w="986"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165.531</w:t>
            </w:r>
          </w:p>
        </w:tc>
        <w:tc>
          <w:tcPr>
            <w:tcW w:w="953"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115.249</w:t>
            </w:r>
          </w:p>
        </w:tc>
        <w:tc>
          <w:tcPr>
            <w:tcW w:w="1031"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109.311</w:t>
            </w:r>
          </w:p>
        </w:tc>
        <w:tc>
          <w:tcPr>
            <w:tcW w:w="948" w:type="dxa"/>
            <w:tcBorders>
              <w:top w:val="single" w:sz="2" w:space="0" w:color="auto"/>
              <w:bottom w:val="single" w:sz="2"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94.842</w:t>
            </w:r>
          </w:p>
        </w:tc>
        <w:tc>
          <w:tcPr>
            <w:tcW w:w="879" w:type="dxa"/>
            <w:tcBorders>
              <w:top w:val="single" w:sz="2" w:space="0" w:color="auto"/>
              <w:bottom w:val="single" w:sz="2" w:space="0" w:color="auto"/>
            </w:tcBorders>
            <w:shd w:val="clear" w:color="auto" w:fill="FABF8F" w:themeFill="accent6" w:themeFillTint="99"/>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99.576</w:t>
            </w:r>
          </w:p>
        </w:tc>
      </w:tr>
      <w:tr w:rsidR="004606FA" w:rsidRPr="00866E46" w:rsidTr="004606FA">
        <w:trPr>
          <w:trHeight w:val="340"/>
          <w:jc w:val="center"/>
        </w:trPr>
        <w:tc>
          <w:tcPr>
            <w:tcW w:w="2097" w:type="dxa"/>
            <w:tcBorders>
              <w:top w:val="single" w:sz="2" w:space="0" w:color="auto"/>
              <w:bottom w:val="single" w:sz="2" w:space="0" w:color="auto"/>
            </w:tcBorders>
            <w:shd w:val="clear" w:color="auto" w:fill="auto"/>
            <w:vAlign w:val="center"/>
          </w:tcPr>
          <w:p w:rsidR="004606FA" w:rsidRPr="00866E46" w:rsidRDefault="004606FA" w:rsidP="00553CEB">
            <w:pPr>
              <w:spacing w:after="0"/>
              <w:ind w:firstLine="0"/>
              <w:jc w:val="left"/>
              <w:rPr>
                <w:rFonts w:ascii="Arial" w:hAnsi="Arial" w:cs="Arial"/>
                <w:bCs/>
                <w:color w:val="000000"/>
                <w:sz w:val="16"/>
                <w:szCs w:val="16"/>
                <w:lang w:eastAsia="es-ES"/>
              </w:rPr>
            </w:pPr>
          </w:p>
        </w:tc>
        <w:tc>
          <w:tcPr>
            <w:tcW w:w="978"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1002"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86"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53"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1031"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48" w:type="dxa"/>
            <w:tcBorders>
              <w:top w:val="single" w:sz="2" w:space="0" w:color="auto"/>
              <w:bottom w:val="single" w:sz="2"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879" w:type="dxa"/>
            <w:tcBorders>
              <w:top w:val="single" w:sz="2" w:space="0" w:color="auto"/>
              <w:bottom w:val="single" w:sz="2" w:space="0" w:color="auto"/>
            </w:tcBorders>
            <w:shd w:val="clear" w:color="auto" w:fill="auto"/>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r>
      <w:tr w:rsidR="00553CEB" w:rsidRPr="00B936F9" w:rsidTr="004606FA">
        <w:trPr>
          <w:trHeight w:val="340"/>
          <w:jc w:val="center"/>
        </w:trPr>
        <w:tc>
          <w:tcPr>
            <w:tcW w:w="2097"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left"/>
              <w:rPr>
                <w:rFonts w:ascii="Arial" w:hAnsi="Arial" w:cs="Arial"/>
                <w:bCs/>
                <w:color w:val="000000"/>
                <w:sz w:val="16"/>
                <w:szCs w:val="16"/>
                <w:lang w:val="es-ES" w:eastAsia="es-ES"/>
              </w:rPr>
            </w:pPr>
            <w:r w:rsidRPr="00B936F9">
              <w:rPr>
                <w:rFonts w:ascii="Arial" w:hAnsi="Arial" w:cs="Arial"/>
                <w:bCs/>
                <w:color w:val="000000"/>
                <w:sz w:val="16"/>
                <w:szCs w:val="16"/>
                <w:lang w:eastAsia="es-ES"/>
              </w:rPr>
              <w:t>Total Capítulo 6</w:t>
            </w:r>
          </w:p>
        </w:tc>
        <w:tc>
          <w:tcPr>
            <w:tcW w:w="978"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1.485.440</w:t>
            </w:r>
          </w:p>
        </w:tc>
        <w:tc>
          <w:tcPr>
            <w:tcW w:w="1002"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val="es-ES" w:eastAsia="es-ES"/>
              </w:rPr>
              <w:t>1.288.881</w:t>
            </w:r>
          </w:p>
        </w:tc>
        <w:tc>
          <w:tcPr>
            <w:tcW w:w="986"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1.428.072</w:t>
            </w:r>
          </w:p>
        </w:tc>
        <w:tc>
          <w:tcPr>
            <w:tcW w:w="953"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1.354.348</w:t>
            </w:r>
          </w:p>
        </w:tc>
        <w:tc>
          <w:tcPr>
            <w:tcW w:w="1031"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1.224.449</w:t>
            </w:r>
          </w:p>
        </w:tc>
        <w:tc>
          <w:tcPr>
            <w:tcW w:w="948"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1.179.572</w:t>
            </w:r>
          </w:p>
        </w:tc>
        <w:tc>
          <w:tcPr>
            <w:tcW w:w="879" w:type="dxa"/>
            <w:tcBorders>
              <w:top w:val="single" w:sz="2" w:space="0" w:color="auto"/>
              <w:bottom w:val="single" w:sz="4" w:space="0" w:color="auto"/>
            </w:tcBorders>
            <w:shd w:val="clear" w:color="auto" w:fill="FABF8F" w:themeFill="accent6" w:themeFillTint="99"/>
            <w:noWrap/>
            <w:vAlign w:val="center"/>
            <w:hideMark/>
          </w:tcPr>
          <w:p w:rsidR="00553CEB" w:rsidRPr="00B936F9" w:rsidRDefault="00553CEB" w:rsidP="00553CEB">
            <w:pPr>
              <w:spacing w:after="0"/>
              <w:ind w:firstLine="0"/>
              <w:jc w:val="right"/>
              <w:rPr>
                <w:rFonts w:ascii="Arial" w:hAnsi="Arial" w:cs="Arial"/>
                <w:bCs/>
                <w:color w:val="000000"/>
                <w:sz w:val="16"/>
                <w:szCs w:val="16"/>
                <w:lang w:val="es-ES" w:eastAsia="es-ES"/>
              </w:rPr>
            </w:pPr>
            <w:r w:rsidRPr="00B936F9">
              <w:rPr>
                <w:rFonts w:ascii="Arial" w:hAnsi="Arial" w:cs="Arial"/>
                <w:bCs/>
                <w:color w:val="000000"/>
                <w:sz w:val="16"/>
                <w:szCs w:val="16"/>
                <w:lang w:eastAsia="es-ES"/>
              </w:rPr>
              <w:t>1.494.127</w:t>
            </w:r>
          </w:p>
        </w:tc>
      </w:tr>
      <w:tr w:rsidR="004606FA" w:rsidRPr="00866E46" w:rsidTr="00553CEB">
        <w:trPr>
          <w:trHeight w:val="340"/>
          <w:jc w:val="center"/>
        </w:trPr>
        <w:tc>
          <w:tcPr>
            <w:tcW w:w="2097"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left"/>
              <w:rPr>
                <w:rFonts w:ascii="Arial" w:hAnsi="Arial" w:cs="Arial"/>
                <w:bCs/>
                <w:color w:val="000000"/>
                <w:sz w:val="16"/>
                <w:szCs w:val="16"/>
                <w:lang w:eastAsia="es-ES"/>
              </w:rPr>
            </w:pPr>
          </w:p>
        </w:tc>
        <w:tc>
          <w:tcPr>
            <w:tcW w:w="978"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1002"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val="es-ES" w:eastAsia="es-ES"/>
              </w:rPr>
            </w:pPr>
          </w:p>
        </w:tc>
        <w:tc>
          <w:tcPr>
            <w:tcW w:w="986"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953"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1031"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948"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c>
          <w:tcPr>
            <w:tcW w:w="879" w:type="dxa"/>
            <w:tcBorders>
              <w:top w:val="single" w:sz="2" w:space="0" w:color="auto"/>
              <w:bottom w:val="single" w:sz="4" w:space="0" w:color="auto"/>
            </w:tcBorders>
            <w:shd w:val="clear" w:color="auto" w:fill="auto"/>
            <w:noWrap/>
            <w:vAlign w:val="center"/>
          </w:tcPr>
          <w:p w:rsidR="004606FA" w:rsidRPr="00866E46" w:rsidRDefault="004606FA" w:rsidP="00553CEB">
            <w:pPr>
              <w:spacing w:after="0"/>
              <w:ind w:firstLine="0"/>
              <w:jc w:val="right"/>
              <w:rPr>
                <w:rFonts w:ascii="Arial" w:hAnsi="Arial" w:cs="Arial"/>
                <w:bCs/>
                <w:color w:val="000000"/>
                <w:sz w:val="16"/>
                <w:szCs w:val="16"/>
                <w:lang w:eastAsia="es-ES"/>
              </w:rPr>
            </w:pPr>
          </w:p>
        </w:tc>
      </w:tr>
      <w:tr w:rsidR="00553CEB" w:rsidRPr="00866E46" w:rsidTr="00553CEB">
        <w:trPr>
          <w:trHeight w:val="284"/>
          <w:jc w:val="center"/>
        </w:trPr>
        <w:tc>
          <w:tcPr>
            <w:tcW w:w="2097"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rPr>
                <w:rFonts w:ascii="Arial" w:hAnsi="Arial" w:cs="Arial"/>
                <w:bCs/>
                <w:color w:val="000000"/>
                <w:sz w:val="16"/>
                <w:szCs w:val="16"/>
                <w:lang w:eastAsia="es-ES"/>
              </w:rPr>
            </w:pPr>
            <w:r w:rsidRPr="00866E46">
              <w:rPr>
                <w:rFonts w:ascii="Arial" w:hAnsi="Arial" w:cs="Arial"/>
                <w:bCs/>
                <w:color w:val="000000"/>
                <w:sz w:val="16"/>
                <w:szCs w:val="16"/>
                <w:lang w:eastAsia="es-ES"/>
              </w:rPr>
              <w:t>Gasto total</w:t>
            </w:r>
            <w:r>
              <w:rPr>
                <w:rFonts w:ascii="Arial" w:hAnsi="Arial" w:cs="Arial"/>
                <w:bCs/>
                <w:color w:val="000000"/>
                <w:sz w:val="16"/>
                <w:szCs w:val="16"/>
                <w:lang w:eastAsia="es-ES"/>
              </w:rPr>
              <w:t xml:space="preserve"> </w:t>
            </w:r>
            <w:r w:rsidRPr="00866E46">
              <w:rPr>
                <w:rFonts w:ascii="Arial" w:hAnsi="Arial" w:cs="Arial"/>
                <w:bCs/>
                <w:color w:val="000000"/>
                <w:sz w:val="16"/>
                <w:szCs w:val="16"/>
                <w:lang w:eastAsia="es-ES"/>
              </w:rPr>
              <w:t>Comunidad</w:t>
            </w:r>
          </w:p>
        </w:tc>
        <w:tc>
          <w:tcPr>
            <w:tcW w:w="97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9.485.302</w:t>
            </w:r>
          </w:p>
        </w:tc>
        <w:tc>
          <w:tcPr>
            <w:tcW w:w="1002"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9.347.164</w:t>
            </w:r>
          </w:p>
        </w:tc>
        <w:tc>
          <w:tcPr>
            <w:tcW w:w="986"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9.906.427</w:t>
            </w:r>
          </w:p>
        </w:tc>
        <w:tc>
          <w:tcPr>
            <w:tcW w:w="953"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9.097.828</w:t>
            </w:r>
          </w:p>
        </w:tc>
        <w:tc>
          <w:tcPr>
            <w:tcW w:w="1031"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11.155.178</w:t>
            </w:r>
          </w:p>
        </w:tc>
        <w:tc>
          <w:tcPr>
            <w:tcW w:w="948"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8.819.033</w:t>
            </w:r>
          </w:p>
        </w:tc>
        <w:tc>
          <w:tcPr>
            <w:tcW w:w="879" w:type="dxa"/>
            <w:tcBorders>
              <w:top w:val="single" w:sz="4" w:space="0" w:color="auto"/>
              <w:bottom w:val="single" w:sz="4" w:space="0" w:color="auto"/>
            </w:tcBorders>
            <w:shd w:val="clear" w:color="auto" w:fill="FABF8F" w:themeFill="accent6" w:themeFillTint="99"/>
            <w:noWrap/>
            <w:vAlign w:val="center"/>
            <w:hideMark/>
          </w:tcPr>
          <w:p w:rsidR="00553CEB" w:rsidRPr="00866E46" w:rsidRDefault="00553CEB" w:rsidP="00553CEB">
            <w:pPr>
              <w:spacing w:after="0"/>
              <w:ind w:firstLine="0"/>
              <w:jc w:val="right"/>
              <w:rPr>
                <w:rFonts w:ascii="Arial" w:hAnsi="Arial" w:cs="Arial"/>
                <w:bCs/>
                <w:color w:val="000000"/>
                <w:sz w:val="16"/>
                <w:szCs w:val="16"/>
                <w:lang w:eastAsia="es-ES"/>
              </w:rPr>
            </w:pPr>
            <w:r w:rsidRPr="00866E46">
              <w:rPr>
                <w:rFonts w:ascii="Arial" w:hAnsi="Arial" w:cs="Arial"/>
                <w:bCs/>
                <w:color w:val="000000"/>
                <w:sz w:val="16"/>
                <w:szCs w:val="16"/>
                <w:lang w:eastAsia="es-ES"/>
              </w:rPr>
              <w:t>9.033.786</w:t>
            </w:r>
          </w:p>
        </w:tc>
      </w:tr>
    </w:tbl>
    <w:p w:rsidR="00553CEB" w:rsidRPr="001F3A63" w:rsidRDefault="00553CEB" w:rsidP="00372B75">
      <w:pPr>
        <w:pStyle w:val="texto"/>
        <w:tabs>
          <w:tab w:val="clear" w:pos="2835"/>
          <w:tab w:val="clear" w:pos="3969"/>
          <w:tab w:val="clear" w:pos="5103"/>
          <w:tab w:val="clear" w:pos="6237"/>
          <w:tab w:val="clear" w:pos="7371"/>
        </w:tabs>
        <w:spacing w:after="0"/>
        <w:ind w:firstLine="0"/>
        <w:rPr>
          <w:szCs w:val="26"/>
        </w:rPr>
      </w:pPr>
    </w:p>
    <w:p w:rsidR="00553CEB" w:rsidRPr="004D4EA3" w:rsidRDefault="00553CEB" w:rsidP="00553CEB">
      <w:pPr>
        <w:pStyle w:val="texto"/>
        <w:spacing w:after="120"/>
      </w:pPr>
      <w:r w:rsidRPr="004D4EA3">
        <w:t>Para la auditoría financiera, el importe de las</w:t>
      </w:r>
      <w:r>
        <w:t xml:space="preserve"> partidas del capítulo 2 objeto de revisión</w:t>
      </w:r>
      <w:r w:rsidRPr="004D4EA3">
        <w:t xml:space="preserve"> en los seis años ascienden a</w:t>
      </w:r>
      <w:r>
        <w:t xml:space="preserve"> </w:t>
      </w:r>
      <w:r w:rsidRPr="004D4EA3">
        <w:t>944.</w:t>
      </w:r>
      <w:r>
        <w:t>423</w:t>
      </w:r>
      <w:r w:rsidRPr="004D4EA3">
        <w:t xml:space="preserve"> eu</w:t>
      </w:r>
      <w:r>
        <w:t>ros</w:t>
      </w:r>
      <w:r w:rsidRPr="004D4EA3">
        <w:t>, que representan el 14 por ciento del total del capítulo 2 en dichos ejercicios.</w:t>
      </w:r>
    </w:p>
    <w:p w:rsidR="00553CEB" w:rsidRDefault="00553CEB" w:rsidP="00553CEB">
      <w:pPr>
        <w:pStyle w:val="texto"/>
        <w:spacing w:after="120"/>
      </w:pPr>
      <w:r>
        <w:t>Además de los anteriores y atendiendo a la petición parlamentaria, se han r</w:t>
      </w:r>
      <w:r>
        <w:t>e</w:t>
      </w:r>
      <w:r>
        <w:t xml:space="preserve">visado los gastos derivados de los cuatro viajes efectuados entre 2006 y 2012 y cuyo importe ascendió a 203.643 euros; no obstante hay que precisar que el viaje a Costa Rica se efectuó en 2012, por lo que su gasto </w:t>
      </w:r>
      <w:r w:rsidR="00B936F9">
        <w:t>–</w:t>
      </w:r>
      <w:r>
        <w:t>34.324 euros</w:t>
      </w:r>
      <w:r w:rsidR="00B936F9">
        <w:t xml:space="preserve">– </w:t>
      </w:r>
      <w:r>
        <w:t xml:space="preserve">está incluido en las partidas del capítulo 2 del cuadro general anterior. </w:t>
      </w:r>
    </w:p>
    <w:p w:rsidR="00553CEB" w:rsidRPr="00372B75" w:rsidRDefault="00553CEB" w:rsidP="00553CEB">
      <w:pPr>
        <w:pStyle w:val="texto"/>
        <w:spacing w:after="120"/>
      </w:pPr>
      <w:r w:rsidRPr="004D4EA3">
        <w:t>La revisión de contratación se</w:t>
      </w:r>
      <w:r>
        <w:t xml:space="preserve"> ha efectuado</w:t>
      </w:r>
      <w:r w:rsidRPr="004D4EA3">
        <w:t xml:space="preserve"> a través de </w:t>
      </w:r>
      <w:r>
        <w:t>la selección de co</w:t>
      </w:r>
      <w:r>
        <w:t>n</w:t>
      </w:r>
      <w:r>
        <w:t xml:space="preserve">tratos adjudicados y </w:t>
      </w:r>
      <w:r w:rsidRPr="004D4EA3">
        <w:t>reflej</w:t>
      </w:r>
      <w:r>
        <w:t>ados</w:t>
      </w:r>
      <w:r w:rsidRPr="004D4EA3">
        <w:t xml:space="preserve"> presupuestari</w:t>
      </w:r>
      <w:r>
        <w:t xml:space="preserve">amente en el </w:t>
      </w:r>
      <w:r w:rsidRPr="004D4EA3">
        <w:t>capítulo</w:t>
      </w:r>
      <w:r>
        <w:t xml:space="preserve"> </w:t>
      </w:r>
      <w:r w:rsidRPr="004D4EA3">
        <w:t>6</w:t>
      </w:r>
      <w:r>
        <w:t>. El total del capítulo 6 asciende en el periodo a un gasto de 9,45</w:t>
      </w:r>
      <w:r w:rsidRPr="000C5209">
        <w:rPr>
          <w:color w:val="FF0000"/>
        </w:rPr>
        <w:t xml:space="preserve"> </w:t>
      </w:r>
      <w:r w:rsidRPr="00477647">
        <w:t>millone</w:t>
      </w:r>
      <w:r w:rsidRPr="00372B75">
        <w:t>s.</w:t>
      </w:r>
    </w:p>
    <w:p w:rsidR="00372B75" w:rsidRDefault="00372B75">
      <w:pPr>
        <w:spacing w:after="0"/>
        <w:ind w:firstLine="0"/>
        <w:jc w:val="left"/>
        <w:rPr>
          <w:rFonts w:ascii="Arial" w:hAnsi="Arial"/>
          <w:b/>
          <w:color w:val="000000"/>
          <w:kern w:val="28"/>
          <w:sz w:val="25"/>
          <w:szCs w:val="26"/>
        </w:rPr>
      </w:pPr>
      <w:r>
        <w:br w:type="page"/>
      </w:r>
    </w:p>
    <w:p w:rsidR="00553CEB" w:rsidRDefault="00553CEB" w:rsidP="00553CEB">
      <w:pPr>
        <w:pStyle w:val="atitulo1"/>
      </w:pPr>
      <w:bookmarkStart w:id="36" w:name="_Toc494897111"/>
      <w:r>
        <w:lastRenderedPageBreak/>
        <w:t>IV. Opinión</w:t>
      </w:r>
      <w:bookmarkEnd w:id="25"/>
      <w:bookmarkEnd w:id="36"/>
    </w:p>
    <w:p w:rsidR="00553CEB" w:rsidRDefault="00553CEB" w:rsidP="00B936F9">
      <w:pPr>
        <w:pStyle w:val="texto"/>
        <w:tabs>
          <w:tab w:val="clear" w:pos="2835"/>
          <w:tab w:val="clear" w:pos="3969"/>
          <w:tab w:val="clear" w:pos="5103"/>
          <w:tab w:val="clear" w:pos="6237"/>
          <w:tab w:val="clear" w:pos="7371"/>
        </w:tabs>
        <w:spacing w:after="120"/>
        <w:rPr>
          <w:szCs w:val="26"/>
        </w:rPr>
      </w:pPr>
      <w:bookmarkStart w:id="37" w:name="_Toc480357322"/>
      <w:r>
        <w:rPr>
          <w:szCs w:val="26"/>
        </w:rPr>
        <w:t>La Cámara de Comptos ha fiscalizado l</w:t>
      </w:r>
      <w:r w:rsidR="004606FA">
        <w:rPr>
          <w:szCs w:val="26"/>
        </w:rPr>
        <w:t>as partidas</w:t>
      </w:r>
      <w:r>
        <w:rPr>
          <w:szCs w:val="26"/>
        </w:rPr>
        <w:t xml:space="preserve"> de “gastos de atenciones protocolarias, reuniones, viajes e indemnizaciones” incluid</w:t>
      </w:r>
      <w:r w:rsidR="004606FA">
        <w:rPr>
          <w:szCs w:val="26"/>
        </w:rPr>
        <w:t>a</w:t>
      </w:r>
      <w:r>
        <w:rPr>
          <w:szCs w:val="26"/>
        </w:rPr>
        <w:t>s en las liquidaci</w:t>
      </w:r>
      <w:r>
        <w:rPr>
          <w:szCs w:val="26"/>
        </w:rPr>
        <w:t>o</w:t>
      </w:r>
      <w:r>
        <w:rPr>
          <w:szCs w:val="26"/>
        </w:rPr>
        <w:t>nes presupuestarias de las cuentas generales de la Comunidad de Bardenas Reales. El alcance de la auditoría financiera está limitado a dichos elementos de las citadas liquidaciones presupuestarias.</w:t>
      </w:r>
    </w:p>
    <w:p w:rsidR="00553CEB" w:rsidRDefault="00553CEB" w:rsidP="00B936F9">
      <w:pPr>
        <w:pStyle w:val="texto"/>
        <w:tabs>
          <w:tab w:val="clear" w:pos="2835"/>
          <w:tab w:val="clear" w:pos="3969"/>
          <w:tab w:val="clear" w:pos="5103"/>
          <w:tab w:val="clear" w:pos="6237"/>
          <w:tab w:val="clear" w:pos="7371"/>
        </w:tabs>
        <w:spacing w:after="120"/>
        <w:rPr>
          <w:szCs w:val="26"/>
        </w:rPr>
      </w:pPr>
      <w:r>
        <w:rPr>
          <w:szCs w:val="26"/>
        </w:rPr>
        <w:t>En combinación con la auditoría financiera de los elementos precitados, la Cámara de Comptos ha fiscalizado si la actividad contractual desarrollada por la Comunidad se ha realizado en todos sus aspectos significativos de conform</w:t>
      </w:r>
      <w:r>
        <w:rPr>
          <w:szCs w:val="26"/>
        </w:rPr>
        <w:t>i</w:t>
      </w:r>
      <w:r>
        <w:rPr>
          <w:szCs w:val="26"/>
        </w:rPr>
        <w:t>dad con la normativa aplicable a la gestión de la contratación pública.</w:t>
      </w:r>
    </w:p>
    <w:p w:rsidR="00553CEB" w:rsidRDefault="00553CEB" w:rsidP="00542216">
      <w:pPr>
        <w:pStyle w:val="texto"/>
        <w:tabs>
          <w:tab w:val="clear" w:pos="2835"/>
          <w:tab w:val="clear" w:pos="3969"/>
          <w:tab w:val="clear" w:pos="5103"/>
          <w:tab w:val="clear" w:pos="6237"/>
          <w:tab w:val="clear" w:pos="7371"/>
        </w:tabs>
        <w:spacing w:after="240"/>
        <w:rPr>
          <w:szCs w:val="26"/>
        </w:rPr>
      </w:pPr>
      <w:r>
        <w:rPr>
          <w:szCs w:val="26"/>
        </w:rPr>
        <w:t>El ámbito temporal de nuestra actuación se ha centrado especialmente en las liquidaciones presupuestarias de la Comunidad correspondientes a los ejerc</w:t>
      </w:r>
      <w:r>
        <w:rPr>
          <w:szCs w:val="26"/>
        </w:rPr>
        <w:t>i</w:t>
      </w:r>
      <w:r>
        <w:rPr>
          <w:szCs w:val="26"/>
        </w:rPr>
        <w:t>cios de 2010 a 2016. No obstante, para los gastos de viaje institucionales, se han revisado igualmente los efectuados entre 2006 y 2008.</w:t>
      </w:r>
    </w:p>
    <w:p w:rsidR="00553CEB" w:rsidRPr="0095666D" w:rsidRDefault="00553CEB" w:rsidP="00553CEB">
      <w:pPr>
        <w:pStyle w:val="atitulo3"/>
      </w:pPr>
      <w:r>
        <w:t>Responsabilidad de la Comunidad</w:t>
      </w:r>
    </w:p>
    <w:p w:rsidR="00553CEB" w:rsidRPr="00782E9D" w:rsidRDefault="00553CEB" w:rsidP="00B936F9">
      <w:pPr>
        <w:pStyle w:val="texto"/>
        <w:spacing w:after="120"/>
      </w:pPr>
      <w:r>
        <w:t>El secretario-interventor de la Comunidad</w:t>
      </w:r>
      <w:r w:rsidRPr="0026612D">
        <w:t xml:space="preserve"> es </w:t>
      </w:r>
      <w:r>
        <w:t>el</w:t>
      </w:r>
      <w:r w:rsidRPr="0026612D">
        <w:t xml:space="preserve"> responsable de formular</w:t>
      </w:r>
      <w:r>
        <w:t xml:space="preserve"> y presentar dichos elementos de las liquidaciones presupuestarias de</w:t>
      </w:r>
      <w:r w:rsidRPr="0026612D">
        <w:t xml:space="preserve"> conformidad con e</w:t>
      </w:r>
      <w:r w:rsidRPr="00782E9D">
        <w:t>l marco normativo de información financiera pública aplicable, y del co</w:t>
      </w:r>
      <w:r w:rsidRPr="00782E9D">
        <w:t>n</w:t>
      </w:r>
      <w:r w:rsidR="004606FA">
        <w:t>trol interno que considere</w:t>
      </w:r>
      <w:r w:rsidRPr="00782E9D">
        <w:t xml:space="preserve"> necesario para permitir la preparación y presentación de l</w:t>
      </w:r>
      <w:r>
        <w:t>os mismos</w:t>
      </w:r>
      <w:r w:rsidRPr="00782E9D">
        <w:t xml:space="preserve"> libres de incorrección material, debida a fraude o error.</w:t>
      </w:r>
    </w:p>
    <w:p w:rsidR="00553CEB" w:rsidRDefault="00553CEB" w:rsidP="00553CEB">
      <w:pPr>
        <w:pStyle w:val="texto"/>
        <w:spacing w:after="240"/>
      </w:pPr>
      <w:r>
        <w:t>La Comunidad, además, debe garantizar que las actividades de contratación y la información reflejadas en las cuentas generales resultan conformes con las normas aplicables y de establecer los sistemas de control interno que consid</w:t>
      </w:r>
      <w:r>
        <w:t>e</w:t>
      </w:r>
      <w:r>
        <w:t>ren necesario para esa finalidad.</w:t>
      </w:r>
    </w:p>
    <w:p w:rsidR="00553CEB" w:rsidRPr="00F71FD2" w:rsidRDefault="00553CEB" w:rsidP="00553CEB">
      <w:pPr>
        <w:pStyle w:val="atitulo3"/>
      </w:pPr>
      <w:r w:rsidRPr="00F71FD2">
        <w:t>Responsabilidad de la Cámara de Comptos de Navarra</w:t>
      </w:r>
    </w:p>
    <w:p w:rsidR="00553CEB" w:rsidRDefault="00553CEB" w:rsidP="00B936F9">
      <w:pPr>
        <w:pStyle w:val="texto"/>
        <w:spacing w:after="120"/>
      </w:pPr>
      <w:r w:rsidRPr="004F32B1">
        <w:t>Nuestra responsabilidad es expresar una opinión</w:t>
      </w:r>
      <w:r>
        <w:t xml:space="preserve"> de fiscalización financiera</w:t>
      </w:r>
      <w:r w:rsidRPr="004F32B1">
        <w:t xml:space="preserve"> sobre</w:t>
      </w:r>
      <w:r>
        <w:t xml:space="preserve"> los “</w:t>
      </w:r>
      <w:r>
        <w:rPr>
          <w:szCs w:val="26"/>
        </w:rPr>
        <w:t>gastos de representación, reuniones, indemnizaciones y gastos de viaje”</w:t>
      </w:r>
      <w:r>
        <w:t xml:space="preserve"> incluidos en las liquidaciones presupuestarias de 2010 a 2016, basada en nuestra auditoría, que, al ser de alcance limitado, no versa sobre las cuentas g</w:t>
      </w:r>
      <w:r>
        <w:t>e</w:t>
      </w:r>
      <w:r>
        <w:t>nerales en su conjunto sino solo sobre los elementos señalados. También deb</w:t>
      </w:r>
      <w:r>
        <w:t>e</w:t>
      </w:r>
      <w:r>
        <w:t>mos expresar una opinión sobre el cumplimiento de la normativa en la activ</w:t>
      </w:r>
      <w:r>
        <w:t>i</w:t>
      </w:r>
      <w:r>
        <w:t>dad contractual desarrollada por la Comunidad en dichos ejercicios.</w:t>
      </w:r>
    </w:p>
    <w:p w:rsidR="00553CEB" w:rsidRPr="0015212F" w:rsidRDefault="00553CEB" w:rsidP="00553CEB">
      <w:pPr>
        <w:pStyle w:val="texto"/>
      </w:pPr>
      <w:r>
        <w:t xml:space="preserve"> Para ello, h</w:t>
      </w:r>
      <w:r w:rsidRPr="004F32B1">
        <w:t xml:space="preserve">emos llevado a cabo </w:t>
      </w:r>
      <w:r>
        <w:t>la misma</w:t>
      </w:r>
      <w:r w:rsidRPr="004F32B1">
        <w:t xml:space="preserve"> de conformidad con los </w:t>
      </w:r>
      <w:r>
        <w:t>principios fundamentales</w:t>
      </w:r>
      <w:r w:rsidRPr="004F32B1">
        <w:t xml:space="preserve"> de fiscalización de las Instituciones</w:t>
      </w:r>
      <w:r>
        <w:t xml:space="preserve"> Públicas de Control E</w:t>
      </w:r>
      <w:r>
        <w:t>x</w:t>
      </w:r>
      <w:r>
        <w:t xml:space="preserve">terno. Dichos principios </w:t>
      </w:r>
      <w:r w:rsidRPr="004F32B1">
        <w:t>exige</w:t>
      </w:r>
      <w:r>
        <w:t>n</w:t>
      </w:r>
      <w:r w:rsidRPr="004F32B1">
        <w:t xml:space="preserve"> que cumplamos los requerimientos de ética, así como que planifiquemos y ejecutemos la </w:t>
      </w:r>
      <w:r>
        <w:t>fiscalización</w:t>
      </w:r>
      <w:r w:rsidRPr="004F32B1">
        <w:t xml:space="preserve"> con el fin de obtener una seguridad razonable de que</w:t>
      </w:r>
      <w:r>
        <w:t xml:space="preserve"> los elementos revisados de</w:t>
      </w:r>
      <w:r w:rsidRPr="004F32B1">
        <w:t xml:space="preserve"> la</w:t>
      </w:r>
      <w:r>
        <w:t>s</w:t>
      </w:r>
      <w:r w:rsidRPr="004F32B1">
        <w:t xml:space="preserve"> </w:t>
      </w:r>
      <w:r>
        <w:t>liquidaciones pres</w:t>
      </w:r>
      <w:r>
        <w:t>u</w:t>
      </w:r>
      <w:r>
        <w:t>puestarias</w:t>
      </w:r>
      <w:r w:rsidRPr="004F32B1">
        <w:t xml:space="preserve"> est</w:t>
      </w:r>
      <w:r>
        <w:t>én</w:t>
      </w:r>
      <w:r w:rsidRPr="004F32B1">
        <w:t xml:space="preserve"> libre de incorrecciones materiales</w:t>
      </w:r>
      <w:r>
        <w:t xml:space="preserve"> y de que la</w:t>
      </w:r>
      <w:r w:rsidRPr="0015212F">
        <w:t xml:space="preserve"> actividad</w:t>
      </w:r>
      <w:r>
        <w:t xml:space="preserve"> co</w:t>
      </w:r>
      <w:r>
        <w:t>n</w:t>
      </w:r>
      <w:r>
        <w:lastRenderedPageBreak/>
        <w:t>tractual y la</w:t>
      </w:r>
      <w:r w:rsidRPr="0015212F">
        <w:t xml:space="preserve"> información reflejada en l</w:t>
      </w:r>
      <w:r>
        <w:t>as cuentas generales</w:t>
      </w:r>
      <w:r w:rsidRPr="0015212F">
        <w:t xml:space="preserve"> resultan en todos los aspectos significativos conformes con l</w:t>
      </w:r>
      <w:r>
        <w:t>as normas sobre contratación pública aplicables</w:t>
      </w:r>
      <w:r w:rsidRPr="0015212F">
        <w:t xml:space="preserve">. </w:t>
      </w:r>
    </w:p>
    <w:p w:rsidR="00553CEB" w:rsidRPr="00510E9D" w:rsidRDefault="00553CEB" w:rsidP="00553CEB">
      <w:pPr>
        <w:pStyle w:val="texto"/>
      </w:pPr>
      <w:r w:rsidRPr="00510E9D">
        <w:t>Una fiscalización requiere la aplicación de procedimientos para obtener ev</w:t>
      </w:r>
      <w:r w:rsidRPr="00510E9D">
        <w:t>i</w:t>
      </w:r>
      <w:r w:rsidRPr="00510E9D">
        <w:t xml:space="preserve">dencia de auditoría sobre los importes y la información revelada en </w:t>
      </w:r>
      <w:r>
        <w:t>los eleme</w:t>
      </w:r>
      <w:r>
        <w:t>n</w:t>
      </w:r>
      <w:r>
        <w:t>tos de las liquidaciones presupuestarias revisados</w:t>
      </w:r>
      <w:r w:rsidRPr="00510E9D">
        <w:t xml:space="preserve"> y sobre el cumplimiento de los aspectos relevantes establecidos en la normativa</w:t>
      </w:r>
      <w:r>
        <w:t xml:space="preserve"> de contratación </w:t>
      </w:r>
      <w:r w:rsidRPr="00510E9D">
        <w:t xml:space="preserve">durante </w:t>
      </w:r>
      <w:r>
        <w:t>los ejercicios</w:t>
      </w:r>
      <w:r w:rsidRPr="00510E9D">
        <w:t xml:space="preserve"> fiscalizado</w:t>
      </w:r>
      <w:r>
        <w:t>s</w:t>
      </w:r>
      <w:r w:rsidRPr="00510E9D">
        <w:t xml:space="preserve">. Los procedimientos seleccionados dependen del juicio del auditor, incluida la valoración de los riesgos tanto de incorrección material en </w:t>
      </w:r>
      <w:r>
        <w:t>los elementos</w:t>
      </w:r>
      <w:r w:rsidRPr="00510E9D">
        <w:t>, debida a fraude o error, como de incumplimientos significat</w:t>
      </w:r>
      <w:r w:rsidRPr="00510E9D">
        <w:t>i</w:t>
      </w:r>
      <w:r w:rsidRPr="00510E9D">
        <w:t>vos de la legalidad. Al efectuar dichas valoraciones del riesgo, el auditor tiene en cuenta el control interno relevante para la formulación por parte de la ent</w:t>
      </w:r>
      <w:r w:rsidRPr="00510E9D">
        <w:t>i</w:t>
      </w:r>
      <w:r w:rsidRPr="00510E9D">
        <w:t xml:space="preserve">dad de </w:t>
      </w:r>
      <w:r>
        <w:t xml:space="preserve">los epígrafes señalados de </w:t>
      </w:r>
      <w:r w:rsidRPr="00510E9D">
        <w:t>la cuenta general y para garantizar el cu</w:t>
      </w:r>
      <w:r w:rsidRPr="00510E9D">
        <w:t>m</w:t>
      </w:r>
      <w:r w:rsidRPr="00510E9D">
        <w:t>plimiento de la legalidad</w:t>
      </w:r>
      <w:r>
        <w:t xml:space="preserve"> en materia de contratación</w:t>
      </w:r>
      <w:r w:rsidRPr="00510E9D">
        <w:t>, con el fin de diseñar los procedimientos de auditoría que sean adecuados en función de las circunsta</w:t>
      </w:r>
      <w:r w:rsidRPr="00510E9D">
        <w:t>n</w:t>
      </w:r>
      <w:r w:rsidRPr="00510E9D">
        <w:t>cias, y no con la finalidad de expresar una opinión sobre la eficacia del control interno de la entidad. Una auditoría también incluye la evaluación de la ad</w:t>
      </w:r>
      <w:r w:rsidRPr="00510E9D">
        <w:t>e</w:t>
      </w:r>
      <w:r w:rsidRPr="00510E9D">
        <w:t>cuación de las políticas contables aplicadas</w:t>
      </w:r>
      <w:r>
        <w:t>.</w:t>
      </w:r>
    </w:p>
    <w:p w:rsidR="00553CEB" w:rsidRDefault="00553CEB" w:rsidP="00542216">
      <w:pPr>
        <w:pStyle w:val="texto"/>
        <w:spacing w:after="240"/>
      </w:pPr>
      <w:r w:rsidRPr="00A2212D">
        <w:t xml:space="preserve">Consideramos que la evidencia de auditoría que hemos obtenido proporciona una base suficiente y adecuada para </w:t>
      </w:r>
      <w:r>
        <w:t xml:space="preserve">fundamentar </w:t>
      </w:r>
      <w:r w:rsidRPr="004C62F0">
        <w:t>nuestra opinión.</w:t>
      </w:r>
    </w:p>
    <w:p w:rsidR="00553CEB" w:rsidRPr="00750826" w:rsidRDefault="00553CEB" w:rsidP="00CA5C4E">
      <w:pPr>
        <w:pStyle w:val="atitulo2"/>
        <w:spacing w:before="240" w:after="120"/>
        <w:rPr>
          <w:color w:val="auto"/>
        </w:rPr>
      </w:pPr>
      <w:bookmarkStart w:id="38" w:name="_Toc494897112"/>
      <w:bookmarkStart w:id="39" w:name="_Toc463350238"/>
      <w:bookmarkStart w:id="40" w:name="_Toc473529109"/>
      <w:r w:rsidRPr="00750826">
        <w:rPr>
          <w:color w:val="auto"/>
        </w:rPr>
        <w:t>IV.1. Opinión de auditoría financiera sobre “gastos de representación, reuniones, viajes e indemnizaciones”</w:t>
      </w:r>
      <w:bookmarkEnd w:id="38"/>
    </w:p>
    <w:p w:rsidR="00FD2CA8" w:rsidRPr="00750826" w:rsidRDefault="00FD2CA8" w:rsidP="00B14FFE">
      <w:pPr>
        <w:pStyle w:val="atitulo3"/>
        <w:spacing w:before="240"/>
        <w:rPr>
          <w:color w:val="auto"/>
        </w:rPr>
      </w:pPr>
      <w:r w:rsidRPr="00750826">
        <w:rPr>
          <w:color w:val="auto"/>
        </w:rPr>
        <w:t>Opinión de auditoría financiera</w:t>
      </w:r>
    </w:p>
    <w:p w:rsidR="00553CEB" w:rsidRPr="00750826" w:rsidRDefault="00553CEB" w:rsidP="00CA5C4E">
      <w:pPr>
        <w:pStyle w:val="texto"/>
      </w:pPr>
      <w:r w:rsidRPr="00750826">
        <w:t>En nuestra opinión</w:t>
      </w:r>
      <w:r w:rsidRPr="00750826">
        <w:rPr>
          <w:i/>
        </w:rPr>
        <w:t>,</w:t>
      </w:r>
      <w:r w:rsidR="00FD2CA8" w:rsidRPr="00750826">
        <w:t xml:space="preserve"> l</w:t>
      </w:r>
      <w:r w:rsidR="00004E7A" w:rsidRPr="00750826">
        <w:t>as partidas sobre</w:t>
      </w:r>
      <w:r w:rsidR="00FD2CA8" w:rsidRPr="00750826">
        <w:t xml:space="preserve"> </w:t>
      </w:r>
      <w:r w:rsidRPr="00750826">
        <w:t>gastos de representación, reuniones, viajes e indemnizaciones incluid</w:t>
      </w:r>
      <w:r w:rsidR="00004E7A" w:rsidRPr="00750826">
        <w:t>a</w:t>
      </w:r>
      <w:r w:rsidRPr="00750826">
        <w:t>s en las liquidaciones presupuestarias de las cuentas generales de la Comunidad de Bardenas para los ejercicios de 2010 a 2016 han sido preparad</w:t>
      </w:r>
      <w:r w:rsidR="00004E7A" w:rsidRPr="00750826">
        <w:t>as</w:t>
      </w:r>
      <w:r w:rsidRPr="00750826">
        <w:t>, en todos sus aspectos significativos, de conformidad con los requerimientos del marco normativo de información financiera pública que resulta de aplicación y, en particular, con los principios y criterios cont</w:t>
      </w:r>
      <w:r w:rsidRPr="00750826">
        <w:t>a</w:t>
      </w:r>
      <w:r w:rsidRPr="00750826">
        <w:t>bles contenidos en el mismo.</w:t>
      </w:r>
    </w:p>
    <w:p w:rsidR="005C3F03" w:rsidRPr="00FA79C6" w:rsidRDefault="005C3F03" w:rsidP="00B14FFE">
      <w:pPr>
        <w:pStyle w:val="atitulo3"/>
        <w:spacing w:before="240"/>
        <w:rPr>
          <w:color w:val="auto"/>
        </w:rPr>
      </w:pPr>
      <w:bookmarkStart w:id="41" w:name="_Toc480357323"/>
      <w:bookmarkEnd w:id="37"/>
      <w:bookmarkEnd w:id="39"/>
      <w:bookmarkEnd w:id="40"/>
      <w:r w:rsidRPr="00FA79C6">
        <w:rPr>
          <w:color w:val="auto"/>
        </w:rPr>
        <w:t>P</w:t>
      </w:r>
      <w:r w:rsidR="002B0BB9" w:rsidRPr="00FA79C6">
        <w:rPr>
          <w:color w:val="auto"/>
        </w:rPr>
        <w:t>á</w:t>
      </w:r>
      <w:r w:rsidRPr="00FA79C6">
        <w:rPr>
          <w:color w:val="auto"/>
        </w:rPr>
        <w:t xml:space="preserve">rrafo de </w:t>
      </w:r>
      <w:r w:rsidR="002B0BB9" w:rsidRPr="00FA79C6">
        <w:rPr>
          <w:color w:val="auto"/>
        </w:rPr>
        <w:t>énfasis</w:t>
      </w:r>
    </w:p>
    <w:p w:rsidR="002D3836" w:rsidRPr="00FA79C6" w:rsidRDefault="002D3836" w:rsidP="002D3836">
      <w:pPr>
        <w:pStyle w:val="texto"/>
        <w:rPr>
          <w:szCs w:val="26"/>
        </w:rPr>
      </w:pPr>
      <w:r w:rsidRPr="00FA79C6">
        <w:rPr>
          <w:szCs w:val="26"/>
        </w:rPr>
        <w:t>Partiendo de que los gastos revisados se inscriben dentro del ámbito discr</w:t>
      </w:r>
      <w:r w:rsidRPr="00FA79C6">
        <w:rPr>
          <w:szCs w:val="26"/>
        </w:rPr>
        <w:t>e</w:t>
      </w:r>
      <w:r w:rsidRPr="00FA79C6">
        <w:rPr>
          <w:szCs w:val="26"/>
        </w:rPr>
        <w:t xml:space="preserve">cional de la Comunidad de Bardenas, esta Cámara de Comptos, en aplicación del principio de racionalidad en el gasto público, considera de interés destacar: </w:t>
      </w:r>
    </w:p>
    <w:p w:rsidR="002D3836" w:rsidRPr="00FA79C6" w:rsidRDefault="00C80336" w:rsidP="002D3836">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rPr>
          <w:szCs w:val="26"/>
        </w:rPr>
        <w:t>E</w:t>
      </w:r>
      <w:r w:rsidR="00FA79C6">
        <w:rPr>
          <w:szCs w:val="26"/>
        </w:rPr>
        <w:t>l</w:t>
      </w:r>
      <w:r w:rsidR="002D3836" w:rsidRPr="00FA79C6">
        <w:rPr>
          <w:szCs w:val="26"/>
        </w:rPr>
        <w:t xml:space="preserve"> desarrollo de alguno de los viajes institucionales revisados y sufragados por la Comunidad</w:t>
      </w:r>
      <w:r w:rsidR="00FA79C6">
        <w:rPr>
          <w:szCs w:val="26"/>
        </w:rPr>
        <w:t xml:space="preserve"> no </w:t>
      </w:r>
      <w:r>
        <w:rPr>
          <w:szCs w:val="26"/>
        </w:rPr>
        <w:t>responden a</w:t>
      </w:r>
      <w:r w:rsidR="002D3836" w:rsidRPr="00FA79C6">
        <w:rPr>
          <w:szCs w:val="26"/>
        </w:rPr>
        <w:t xml:space="preserve"> una utilización racional de los recursos p</w:t>
      </w:r>
      <w:r w:rsidR="002D3836" w:rsidRPr="00FA79C6">
        <w:rPr>
          <w:szCs w:val="26"/>
        </w:rPr>
        <w:t>ú</w:t>
      </w:r>
      <w:r w:rsidR="002D3836" w:rsidRPr="00FA79C6">
        <w:rPr>
          <w:szCs w:val="26"/>
        </w:rPr>
        <w:t>blicos</w:t>
      </w:r>
      <w:r w:rsidR="00FA79C6">
        <w:rPr>
          <w:szCs w:val="26"/>
        </w:rPr>
        <w:t xml:space="preserve"> ni al principio de buena gestión exigible a todas las administraciones p</w:t>
      </w:r>
      <w:r w:rsidR="00FA79C6">
        <w:rPr>
          <w:szCs w:val="26"/>
        </w:rPr>
        <w:t>ú</w:t>
      </w:r>
      <w:r w:rsidR="00FA79C6">
        <w:rPr>
          <w:szCs w:val="26"/>
        </w:rPr>
        <w:t>blicas</w:t>
      </w:r>
      <w:r w:rsidR="002D3836" w:rsidRPr="00FA79C6">
        <w:rPr>
          <w:szCs w:val="26"/>
        </w:rPr>
        <w:t xml:space="preserve">, especialmente </w:t>
      </w:r>
      <w:r w:rsidR="00FA79C6">
        <w:rPr>
          <w:szCs w:val="26"/>
        </w:rPr>
        <w:t xml:space="preserve">en lo referente a la motivación de los </w:t>
      </w:r>
      <w:r w:rsidR="002D3836" w:rsidRPr="00FA79C6">
        <w:rPr>
          <w:szCs w:val="26"/>
        </w:rPr>
        <w:t>lugares visitados, el número de personas que lo efectuaron y los objetivos o finalidades perseguidas.</w:t>
      </w:r>
    </w:p>
    <w:p w:rsidR="005C3F03" w:rsidRPr="00FA79C6" w:rsidRDefault="002D3836"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rsidRPr="00FA79C6">
        <w:rPr>
          <w:szCs w:val="26"/>
        </w:rPr>
        <w:lastRenderedPageBreak/>
        <w:t>En determinados gastos en atenciones protocolarias y representativas, no siempre queda constancia justificativa de que su realización redundara en ben</w:t>
      </w:r>
      <w:r w:rsidRPr="00FA79C6">
        <w:rPr>
          <w:szCs w:val="26"/>
        </w:rPr>
        <w:t>e</w:t>
      </w:r>
      <w:r w:rsidRPr="00FA79C6">
        <w:rPr>
          <w:szCs w:val="26"/>
        </w:rPr>
        <w:t>ficio o utilidad para la Comunidad</w:t>
      </w:r>
      <w:r w:rsidR="00FA79C6">
        <w:rPr>
          <w:szCs w:val="26"/>
        </w:rPr>
        <w:t>, que sus importes pudieran ser considerados como normales u ordinarios</w:t>
      </w:r>
      <w:r w:rsidRPr="00FA79C6">
        <w:rPr>
          <w:szCs w:val="26"/>
        </w:rPr>
        <w:t xml:space="preserve"> </w:t>
      </w:r>
      <w:r w:rsidR="00FA79C6">
        <w:rPr>
          <w:szCs w:val="26"/>
        </w:rPr>
        <w:t>y</w:t>
      </w:r>
      <w:r w:rsidRPr="00FA79C6">
        <w:rPr>
          <w:szCs w:val="26"/>
        </w:rPr>
        <w:t xml:space="preserve"> de los beneficiarios de los mismos.</w:t>
      </w:r>
    </w:p>
    <w:p w:rsidR="00553CEB" w:rsidRPr="00750826" w:rsidRDefault="00553CEB" w:rsidP="00CA5C4E">
      <w:pPr>
        <w:pStyle w:val="atitulo3"/>
        <w:spacing w:before="120" w:after="120"/>
        <w:rPr>
          <w:color w:val="auto"/>
        </w:rPr>
      </w:pPr>
      <w:r w:rsidRPr="00750826">
        <w:rPr>
          <w:color w:val="auto"/>
        </w:rPr>
        <w:t>Párrafo de otras cuestiones significativas</w:t>
      </w:r>
    </w:p>
    <w:p w:rsidR="00553CEB" w:rsidRPr="00750826" w:rsidRDefault="00FD2CA8" w:rsidP="009A7B44">
      <w:pPr>
        <w:pStyle w:val="texto"/>
        <w:tabs>
          <w:tab w:val="clear" w:pos="2835"/>
          <w:tab w:val="clear" w:pos="3969"/>
          <w:tab w:val="clear" w:pos="5103"/>
          <w:tab w:val="clear" w:pos="6237"/>
          <w:tab w:val="clear" w:pos="7371"/>
          <w:tab w:val="center" w:pos="4536"/>
        </w:tabs>
        <w:rPr>
          <w:szCs w:val="26"/>
        </w:rPr>
      </w:pPr>
      <w:r w:rsidRPr="00750826">
        <w:rPr>
          <w:szCs w:val="26"/>
        </w:rPr>
        <w:t>Queremos</w:t>
      </w:r>
      <w:r w:rsidR="00553CEB" w:rsidRPr="00750826">
        <w:rPr>
          <w:szCs w:val="26"/>
        </w:rPr>
        <w:t xml:space="preserve"> </w:t>
      </w:r>
      <w:r w:rsidR="002D3836">
        <w:rPr>
          <w:szCs w:val="26"/>
        </w:rPr>
        <w:t>recalcar</w:t>
      </w:r>
      <w:r w:rsidR="00553CEB" w:rsidRPr="00750826">
        <w:rPr>
          <w:szCs w:val="26"/>
        </w:rPr>
        <w:t>:</w:t>
      </w:r>
    </w:p>
    <w:p w:rsidR="00FD2CA8" w:rsidRPr="00750826" w:rsidRDefault="00FD2CA8" w:rsidP="00542216">
      <w:pPr>
        <w:pStyle w:val="texto"/>
        <w:numPr>
          <w:ilvl w:val="0"/>
          <w:numId w:val="2"/>
        </w:numPr>
        <w:tabs>
          <w:tab w:val="clear" w:pos="2835"/>
          <w:tab w:val="clear" w:pos="3969"/>
          <w:tab w:val="clear" w:pos="5103"/>
          <w:tab w:val="clear" w:pos="6237"/>
          <w:tab w:val="clear" w:pos="7371"/>
          <w:tab w:val="left" w:pos="480"/>
          <w:tab w:val="num" w:pos="600"/>
        </w:tabs>
        <w:ind w:left="0" w:firstLine="289"/>
        <w:rPr>
          <w:szCs w:val="26"/>
        </w:rPr>
      </w:pPr>
      <w:r w:rsidRPr="00750826">
        <w:rPr>
          <w:szCs w:val="26"/>
        </w:rPr>
        <w:t>Se observa en los últimos ejercicios, especialmente a partir de 2013, una reducción relevante –en torno al 30 por ciento</w:t>
      </w:r>
      <w:r w:rsidR="00B936F9">
        <w:rPr>
          <w:szCs w:val="26"/>
        </w:rPr>
        <w:t>–</w:t>
      </w:r>
      <w:r w:rsidRPr="00750826">
        <w:rPr>
          <w:szCs w:val="26"/>
        </w:rPr>
        <w:t xml:space="preserve"> del importe gastado por la C</w:t>
      </w:r>
      <w:r w:rsidRPr="00750826">
        <w:rPr>
          <w:szCs w:val="26"/>
        </w:rPr>
        <w:t>o</w:t>
      </w:r>
      <w:r w:rsidRPr="00750826">
        <w:rPr>
          <w:szCs w:val="26"/>
        </w:rPr>
        <w:t>munidad en este conjunto de partidas revisadas.</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rsidRPr="00750826">
        <w:rPr>
          <w:szCs w:val="26"/>
        </w:rPr>
        <w:t>Las bases de ejecución del presupuesto de 2017 introducen una nueva r</w:t>
      </w:r>
      <w:r w:rsidRPr="00750826">
        <w:rPr>
          <w:szCs w:val="26"/>
        </w:rPr>
        <w:t>e</w:t>
      </w:r>
      <w:r w:rsidRPr="00750826">
        <w:rPr>
          <w:szCs w:val="26"/>
        </w:rPr>
        <w:t>gulación específica de los procedimientos y límites máximos en su cuantía rel</w:t>
      </w:r>
      <w:r w:rsidRPr="00750826">
        <w:rPr>
          <w:szCs w:val="26"/>
        </w:rPr>
        <w:t>a</w:t>
      </w:r>
      <w:r w:rsidRPr="00750826">
        <w:rPr>
          <w:szCs w:val="26"/>
        </w:rPr>
        <w:t xml:space="preserve">tivos a los gastos </w:t>
      </w:r>
      <w:r w:rsidR="0028127D">
        <w:rPr>
          <w:szCs w:val="26"/>
        </w:rPr>
        <w:t>de representación, de reuniones,</w:t>
      </w:r>
      <w:r w:rsidRPr="00750826">
        <w:rPr>
          <w:szCs w:val="26"/>
        </w:rPr>
        <w:t xml:space="preserve"> régimen indemnizatorio de los cargos electivos</w:t>
      </w:r>
      <w:r w:rsidR="0028127D">
        <w:rPr>
          <w:szCs w:val="26"/>
        </w:rPr>
        <w:t xml:space="preserve"> y régimen retributivo optativo para el presidente </w:t>
      </w:r>
      <w:r w:rsidRPr="00750826">
        <w:rPr>
          <w:szCs w:val="26"/>
        </w:rPr>
        <w:t>de la C</w:t>
      </w:r>
      <w:r w:rsidRPr="00750826">
        <w:rPr>
          <w:szCs w:val="26"/>
        </w:rPr>
        <w:t>o</w:t>
      </w:r>
      <w:r w:rsidRPr="00750826">
        <w:rPr>
          <w:szCs w:val="26"/>
        </w:rPr>
        <w:t>munidad.</w:t>
      </w:r>
      <w:r w:rsidR="00FD2CA8" w:rsidRPr="00750826">
        <w:rPr>
          <w:szCs w:val="26"/>
        </w:rPr>
        <w:t xml:space="preserve"> Este nuevo marco </w:t>
      </w:r>
      <w:r w:rsidR="00750826" w:rsidRPr="00750826">
        <w:rPr>
          <w:szCs w:val="26"/>
        </w:rPr>
        <w:t xml:space="preserve">normaliza y </w:t>
      </w:r>
      <w:r w:rsidR="00FD2CA8" w:rsidRPr="00750826">
        <w:rPr>
          <w:szCs w:val="26"/>
        </w:rPr>
        <w:t xml:space="preserve">clarifica </w:t>
      </w:r>
      <w:r w:rsidRPr="00750826">
        <w:rPr>
          <w:szCs w:val="26"/>
        </w:rPr>
        <w:t xml:space="preserve">las compensaciones </w:t>
      </w:r>
      <w:r w:rsidR="00EE7722">
        <w:rPr>
          <w:szCs w:val="26"/>
        </w:rPr>
        <w:t>destin</w:t>
      </w:r>
      <w:r w:rsidR="00EE7722">
        <w:rPr>
          <w:szCs w:val="26"/>
        </w:rPr>
        <w:t>a</w:t>
      </w:r>
      <w:r w:rsidR="00EE7722">
        <w:rPr>
          <w:szCs w:val="26"/>
        </w:rPr>
        <w:t>das a</w:t>
      </w:r>
      <w:r w:rsidRPr="00750826">
        <w:rPr>
          <w:szCs w:val="26"/>
        </w:rPr>
        <w:t xml:space="preserve"> los citados cargos electivos.</w:t>
      </w:r>
    </w:p>
    <w:p w:rsidR="00553CEB" w:rsidRPr="00750826" w:rsidRDefault="00553CEB" w:rsidP="00553CEB">
      <w:pPr>
        <w:pStyle w:val="atitulo2"/>
        <w:spacing w:before="240"/>
        <w:rPr>
          <w:color w:val="auto"/>
        </w:rPr>
      </w:pPr>
      <w:bookmarkStart w:id="42" w:name="_Toc494897113"/>
      <w:r w:rsidRPr="00750826">
        <w:rPr>
          <w:color w:val="auto"/>
        </w:rPr>
        <w:t>IV.</w:t>
      </w:r>
      <w:r w:rsidR="004F2C66">
        <w:rPr>
          <w:color w:val="auto"/>
        </w:rPr>
        <w:t>2</w:t>
      </w:r>
      <w:r w:rsidRPr="00750826">
        <w:rPr>
          <w:color w:val="auto"/>
        </w:rPr>
        <w:t>. Opinión de fiscalización de cumplimiento de legalidad en materia de contratación pública</w:t>
      </w:r>
      <w:bookmarkEnd w:id="41"/>
      <w:bookmarkEnd w:id="42"/>
    </w:p>
    <w:p w:rsidR="00FD2CA8" w:rsidRPr="00750826" w:rsidRDefault="00FD2CA8" w:rsidP="00FD2CA8">
      <w:pPr>
        <w:pStyle w:val="atitulo3"/>
        <w:spacing w:after="120"/>
        <w:rPr>
          <w:color w:val="auto"/>
        </w:rPr>
      </w:pPr>
      <w:bookmarkStart w:id="43" w:name="_Toc480357324"/>
      <w:r w:rsidRPr="00750826">
        <w:rPr>
          <w:color w:val="auto"/>
        </w:rPr>
        <w:t>Fundamento de la opinión de cumplimiento con salvedades</w:t>
      </w:r>
    </w:p>
    <w:p w:rsidR="00FD2CA8" w:rsidRPr="00750826" w:rsidRDefault="00FD2CA8" w:rsidP="00FD2CA8">
      <w:pPr>
        <w:pStyle w:val="texto"/>
        <w:spacing w:after="240"/>
      </w:pPr>
      <w:r w:rsidRPr="00750826">
        <w:t xml:space="preserve">Hemos observado </w:t>
      </w:r>
      <w:r w:rsidR="00F96427">
        <w:t>unas</w:t>
      </w:r>
      <w:r w:rsidRPr="00750826">
        <w:t xml:space="preserve"> </w:t>
      </w:r>
      <w:r w:rsidR="009E7D23">
        <w:t>excepciones</w:t>
      </w:r>
      <w:r w:rsidRPr="003F4869">
        <w:rPr>
          <w:color w:val="FF0000"/>
        </w:rPr>
        <w:t xml:space="preserve"> </w:t>
      </w:r>
      <w:r w:rsidR="003F4869">
        <w:t xml:space="preserve">puntuales </w:t>
      </w:r>
      <w:r w:rsidRPr="00750826">
        <w:t>en materia de contratación r</w:t>
      </w:r>
      <w:r w:rsidRPr="00750826">
        <w:t>e</w:t>
      </w:r>
      <w:r w:rsidRPr="00750826">
        <w:t>lacionadas básicamente con la inadecuada tramitación y ut</w:t>
      </w:r>
      <w:r w:rsidR="009A7B44" w:rsidRPr="00750826">
        <w:t>i</w:t>
      </w:r>
      <w:r w:rsidRPr="00750826">
        <w:t>lización de las m</w:t>
      </w:r>
      <w:r w:rsidRPr="00750826">
        <w:t>o</w:t>
      </w:r>
      <w:r w:rsidRPr="00750826">
        <w:t>dificaciones contractuales, la exclusión de ofertas anormalmente bajas sin suf</w:t>
      </w:r>
      <w:r w:rsidRPr="00750826">
        <w:t>i</w:t>
      </w:r>
      <w:r w:rsidRPr="00750826">
        <w:t>ciente justificación técnica y el tratamiento incorrecto de la cesión de la obra pendiente en un concurso de acreedores del licitador.</w:t>
      </w:r>
    </w:p>
    <w:p w:rsidR="00FD2CA8" w:rsidRPr="00750826" w:rsidRDefault="00FD2CA8" w:rsidP="00FD2CA8">
      <w:pPr>
        <w:pStyle w:val="atitulo3"/>
        <w:spacing w:after="120"/>
        <w:rPr>
          <w:color w:val="auto"/>
        </w:rPr>
      </w:pPr>
      <w:r w:rsidRPr="00750826">
        <w:rPr>
          <w:color w:val="auto"/>
        </w:rPr>
        <w:t>Opinión de fiscalización de cumplimiento de legalidad</w:t>
      </w:r>
    </w:p>
    <w:p w:rsidR="00FD2CA8" w:rsidRPr="00750826" w:rsidRDefault="00FD2CA8" w:rsidP="00FD2CA8">
      <w:pPr>
        <w:pStyle w:val="texto"/>
        <w:spacing w:after="240"/>
      </w:pPr>
      <w:r w:rsidRPr="00750826">
        <w:t>En nuestra opinión, excepto por los incumplimientos descritos en el párrafo “Fundamento de la opinión con salvedades”, las actividades de contratación desarrolladas por la Comunidad de Bardenas entre los ejercicios de 2010 a 2016 se han realizado y reflejado en las liquidaciones presupuestarias, en todos sus aspectos significativos, de conformidad con la normativa aplicable a la ge</w:t>
      </w:r>
      <w:r w:rsidRPr="00750826">
        <w:t>s</w:t>
      </w:r>
      <w:r w:rsidRPr="00750826">
        <w:t xml:space="preserve">tión de la contratación pública y a la presupuestaria. </w:t>
      </w:r>
    </w:p>
    <w:p w:rsidR="00FD2CA8" w:rsidRPr="00750826" w:rsidRDefault="00FD2CA8" w:rsidP="00FD2CA8">
      <w:pPr>
        <w:pStyle w:val="atitulo3"/>
        <w:spacing w:after="120"/>
        <w:rPr>
          <w:color w:val="auto"/>
        </w:rPr>
      </w:pPr>
      <w:r w:rsidRPr="00750826">
        <w:rPr>
          <w:color w:val="auto"/>
        </w:rPr>
        <w:t>Párrafo de énfasis</w:t>
      </w:r>
    </w:p>
    <w:p w:rsidR="00FD2CA8" w:rsidRPr="00750826" w:rsidRDefault="00FD2CA8" w:rsidP="00FD2CA8">
      <w:pPr>
        <w:pStyle w:val="texto"/>
        <w:rPr>
          <w:szCs w:val="26"/>
        </w:rPr>
      </w:pPr>
      <w:r w:rsidRPr="00750826">
        <w:rPr>
          <w:szCs w:val="26"/>
        </w:rPr>
        <w:t>Sin que afecte a nuestra opinión de cumplimiento de legalidad destacamos que la actividad inversora de la Comunidad de Bardenas desarrollada en los ejercicios analizados está vinculada, en gran parte, con las exigencias en disti</w:t>
      </w:r>
      <w:r w:rsidRPr="00750826">
        <w:rPr>
          <w:szCs w:val="26"/>
        </w:rPr>
        <w:t>n</w:t>
      </w:r>
      <w:r w:rsidRPr="00750826">
        <w:rPr>
          <w:szCs w:val="26"/>
        </w:rPr>
        <w:t xml:space="preserve">tos ámbitos que conlleva la declaración de su territorio como parque natural y reserva de la biosfera. </w:t>
      </w:r>
    </w:p>
    <w:p w:rsidR="00553CEB" w:rsidRPr="00750826" w:rsidRDefault="00553CEB" w:rsidP="00553CEB">
      <w:pPr>
        <w:spacing w:after="0"/>
        <w:ind w:firstLine="0"/>
        <w:jc w:val="left"/>
        <w:rPr>
          <w:rFonts w:ascii="Arial" w:hAnsi="Arial"/>
          <w:b/>
          <w:kern w:val="28"/>
          <w:sz w:val="25"/>
          <w:szCs w:val="26"/>
          <w:lang w:val="es-ES" w:eastAsia="es-ES"/>
        </w:rPr>
      </w:pPr>
      <w:r w:rsidRPr="00750826">
        <w:rPr>
          <w:lang w:val="es-ES" w:eastAsia="es-ES"/>
        </w:rPr>
        <w:br w:type="page"/>
      </w:r>
    </w:p>
    <w:p w:rsidR="00553CEB" w:rsidRDefault="00553CEB" w:rsidP="00553CEB">
      <w:pPr>
        <w:pStyle w:val="atitulo1"/>
        <w:rPr>
          <w:lang w:val="es-ES" w:eastAsia="es-ES"/>
        </w:rPr>
      </w:pPr>
      <w:bookmarkStart w:id="44" w:name="_Toc494897114"/>
      <w:r>
        <w:rPr>
          <w:lang w:val="es-ES" w:eastAsia="es-ES"/>
        </w:rPr>
        <w:lastRenderedPageBreak/>
        <w:t>V. Comentarios</w:t>
      </w:r>
      <w:r w:rsidR="009C1790">
        <w:rPr>
          <w:lang w:val="es-ES" w:eastAsia="es-ES"/>
        </w:rPr>
        <w:t>,</w:t>
      </w:r>
      <w:r>
        <w:rPr>
          <w:lang w:val="es-ES" w:eastAsia="es-ES"/>
        </w:rPr>
        <w:t xml:space="preserve"> observaciones</w:t>
      </w:r>
      <w:bookmarkEnd w:id="43"/>
      <w:r w:rsidR="009C1790">
        <w:rPr>
          <w:lang w:val="es-ES" w:eastAsia="es-ES"/>
        </w:rPr>
        <w:t xml:space="preserve"> y</w:t>
      </w:r>
      <w:r>
        <w:rPr>
          <w:lang w:val="es-ES" w:eastAsia="es-ES"/>
        </w:rPr>
        <w:t xml:space="preserve"> </w:t>
      </w:r>
      <w:r w:rsidR="009C1790">
        <w:rPr>
          <w:lang w:val="es-ES" w:eastAsia="es-ES"/>
        </w:rPr>
        <w:t>r</w:t>
      </w:r>
      <w:r>
        <w:rPr>
          <w:lang w:val="es-ES" w:eastAsia="es-ES"/>
        </w:rPr>
        <w:t>ecomendaciones</w:t>
      </w:r>
      <w:bookmarkEnd w:id="44"/>
    </w:p>
    <w:p w:rsidR="00553CEB" w:rsidRDefault="00553CEB" w:rsidP="00553CEB">
      <w:pPr>
        <w:pStyle w:val="texto"/>
      </w:pPr>
      <w:r w:rsidRPr="00D15E00">
        <w:t>Como parte de la fiscalización realizada, a continuación se incluyen aquellas observaciones y comentarios de las áreas revisadas junto con determinada i</w:t>
      </w:r>
      <w:r w:rsidRPr="00D15E00">
        <w:t>n</w:t>
      </w:r>
      <w:r w:rsidRPr="00D15E00">
        <w:t>formación adicional que esta Cámara considera que puede ser de interés a los destinatarios y usuarios del informe.</w:t>
      </w:r>
      <w:r>
        <w:t xml:space="preserve"> Incluye, igualmente, las recomenda</w:t>
      </w:r>
      <w:r w:rsidR="00391370">
        <w:t>ciones que entiende</w:t>
      </w:r>
      <w:r>
        <w:t xml:space="preserve"> precisas para una mejora de la gestión de la Comunidad.</w:t>
      </w:r>
    </w:p>
    <w:p w:rsidR="008630F5" w:rsidRPr="00D15E00" w:rsidRDefault="008630F5" w:rsidP="00B936F9">
      <w:pPr>
        <w:pStyle w:val="texto"/>
        <w:spacing w:after="300"/>
      </w:pPr>
      <w:r>
        <w:t>Asimismo, este apartado contiene información explicativa sobre las salved</w:t>
      </w:r>
      <w:r>
        <w:t>a</w:t>
      </w:r>
      <w:r>
        <w:t>des de la opinión</w:t>
      </w:r>
      <w:r w:rsidR="003D2505">
        <w:t xml:space="preserve"> de cumplimiento de legalidad</w:t>
      </w:r>
      <w:r>
        <w:t>.</w:t>
      </w:r>
    </w:p>
    <w:p w:rsidR="00553CEB" w:rsidRDefault="00553CEB" w:rsidP="00553CEB">
      <w:pPr>
        <w:pStyle w:val="atitulo2"/>
        <w:rPr>
          <w:lang w:val="es-ES" w:eastAsia="es-ES"/>
        </w:rPr>
      </w:pPr>
      <w:bookmarkStart w:id="45" w:name="_Toc480357325"/>
      <w:bookmarkStart w:id="46" w:name="_Toc482355683"/>
      <w:bookmarkStart w:id="47" w:name="_Toc494897115"/>
      <w:r>
        <w:rPr>
          <w:lang w:val="es-ES" w:eastAsia="es-ES"/>
        </w:rPr>
        <w:t>V.1. Gastos por atenciones protocolarias</w:t>
      </w:r>
      <w:bookmarkEnd w:id="9"/>
      <w:bookmarkEnd w:id="45"/>
      <w:bookmarkEnd w:id="46"/>
      <w:r>
        <w:rPr>
          <w:lang w:val="es-ES" w:eastAsia="es-ES"/>
        </w:rPr>
        <w:t xml:space="preserve"> y representativas</w:t>
      </w:r>
      <w:bookmarkEnd w:id="47"/>
    </w:p>
    <w:p w:rsidR="00553CEB" w:rsidRDefault="00553CEB" w:rsidP="009F7047">
      <w:pPr>
        <w:pStyle w:val="texto"/>
        <w:tabs>
          <w:tab w:val="clear" w:pos="2835"/>
          <w:tab w:val="clear" w:pos="3969"/>
          <w:tab w:val="clear" w:pos="5103"/>
          <w:tab w:val="clear" w:pos="6237"/>
          <w:tab w:val="clear" w:pos="7371"/>
        </w:tabs>
        <w:spacing w:after="360"/>
        <w:rPr>
          <w:szCs w:val="26"/>
        </w:rPr>
      </w:pPr>
      <w:r>
        <w:rPr>
          <w:szCs w:val="26"/>
        </w:rPr>
        <w:t>Entre 2010 y 2016, la Comunidad ha gastado en el concepto de atenciones protocolarias y representativas un total de 241.592 euros. Gráficamente, la ev</w:t>
      </w:r>
      <w:r>
        <w:rPr>
          <w:szCs w:val="26"/>
        </w:rPr>
        <w:t>o</w:t>
      </w:r>
      <w:r>
        <w:rPr>
          <w:szCs w:val="26"/>
        </w:rPr>
        <w:t>lución anual del gasto anterior se refleja a continuación:</w:t>
      </w:r>
    </w:p>
    <w:p w:rsidR="00553CEB" w:rsidRDefault="00553CEB" w:rsidP="009F7047">
      <w:pPr>
        <w:pStyle w:val="texto"/>
        <w:tabs>
          <w:tab w:val="clear" w:pos="2835"/>
          <w:tab w:val="clear" w:pos="3969"/>
          <w:tab w:val="clear" w:pos="5103"/>
          <w:tab w:val="clear" w:pos="6237"/>
          <w:tab w:val="clear" w:pos="7371"/>
        </w:tabs>
        <w:spacing w:after="0"/>
        <w:ind w:firstLine="0"/>
        <w:jc w:val="center"/>
        <w:rPr>
          <w:szCs w:val="26"/>
        </w:rPr>
      </w:pPr>
      <w:r>
        <w:rPr>
          <w:noProof/>
          <w:lang w:val="es-ES" w:eastAsia="es-ES"/>
        </w:rPr>
        <w:drawing>
          <wp:inline distT="0" distB="0" distL="0" distR="0" wp14:anchorId="57365DBA" wp14:editId="5BB693DE">
            <wp:extent cx="5648325" cy="2647950"/>
            <wp:effectExtent l="0" t="0" r="9525" b="1905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F7047" w:rsidRDefault="009F7047" w:rsidP="009F7047">
      <w:pPr>
        <w:pStyle w:val="texto"/>
        <w:spacing w:after="0"/>
      </w:pPr>
    </w:p>
    <w:p w:rsidR="00553CEB" w:rsidRPr="00FF0512" w:rsidRDefault="00553CEB" w:rsidP="009F7047">
      <w:pPr>
        <w:pStyle w:val="texto"/>
      </w:pPr>
      <w:r w:rsidRPr="00FF0512">
        <w:t xml:space="preserve">Como se observa, alcanza el importe más </w:t>
      </w:r>
      <w:r>
        <w:t>elevado</w:t>
      </w:r>
      <w:r w:rsidRPr="00FF0512">
        <w:t xml:space="preserve"> en 2011 con 48.964 euros; en 2016, su cuantía asciende a 25.229</w:t>
      </w:r>
      <w:r>
        <w:t xml:space="preserve"> euros, es decir un</w:t>
      </w:r>
      <w:r w:rsidRPr="00FF0512">
        <w:t xml:space="preserve"> 48 por ciento inferior al </w:t>
      </w:r>
      <w:r>
        <w:t xml:space="preserve">del </w:t>
      </w:r>
      <w:r w:rsidRPr="00FF0512">
        <w:t>cita</w:t>
      </w:r>
      <w:r>
        <w:t>do 2011.</w:t>
      </w:r>
    </w:p>
    <w:p w:rsidR="00391370" w:rsidRDefault="00391370" w:rsidP="00391370">
      <w:pPr>
        <w:pStyle w:val="texto"/>
        <w:rPr>
          <w:szCs w:val="26"/>
        </w:rPr>
      </w:pPr>
      <w:r w:rsidRPr="00F1390D">
        <w:t>Atendiendo a la naturaleza del gasto imputado a este concepto, observamos que prácticamente el 80 por ciento del mismo corresponde a restauración</w:t>
      </w:r>
      <w:r>
        <w:t>,</w:t>
      </w:r>
      <w:r w:rsidRPr="00F1390D">
        <w:t xml:space="preserve"> agu</w:t>
      </w:r>
      <w:r w:rsidRPr="00F1390D">
        <w:t>i</w:t>
      </w:r>
      <w:r w:rsidRPr="00F1390D">
        <w:t>naldos</w:t>
      </w:r>
      <w:r>
        <w:t xml:space="preserve"> y alimentación</w:t>
      </w:r>
      <w:r w:rsidRPr="00F1390D">
        <w:t xml:space="preserve">. </w:t>
      </w:r>
    </w:p>
    <w:p w:rsidR="00553CEB" w:rsidRPr="00FF0512" w:rsidRDefault="00553CEB" w:rsidP="009F7047">
      <w:pPr>
        <w:pStyle w:val="texto"/>
      </w:pPr>
      <w:r w:rsidRPr="00FF0512">
        <w:t>Se ha revisado el 8</w:t>
      </w:r>
      <w:r>
        <w:t>6</w:t>
      </w:r>
      <w:r w:rsidRPr="00FF0512">
        <w:t xml:space="preserve"> por ciento del gasto</w:t>
      </w:r>
      <w:r w:rsidR="00391370">
        <w:t xml:space="preserve"> total</w:t>
      </w:r>
      <w:r w:rsidRPr="00FF0512">
        <w:t xml:space="preserve"> anterior; tal revisión se ha ce</w:t>
      </w:r>
      <w:r w:rsidRPr="00FF0512">
        <w:t>n</w:t>
      </w:r>
      <w:r w:rsidRPr="00FF0512">
        <w:t>trado básicamente en: soporte legal, imputación presupuestaria, justificación documental, proveedores más relevantes, identificación de los beneficiarios y razonabilidad de su importe.</w:t>
      </w:r>
    </w:p>
    <w:p w:rsidR="00553CEB" w:rsidRPr="00F1390D" w:rsidRDefault="00553CEB" w:rsidP="00553CEB">
      <w:pPr>
        <w:pStyle w:val="texto"/>
      </w:pPr>
      <w:r w:rsidRPr="00F1390D">
        <w:lastRenderedPageBreak/>
        <w:t>Las bases de ejecución del presupuesto</w:t>
      </w:r>
      <w:r>
        <w:t xml:space="preserve"> </w:t>
      </w:r>
      <w:r w:rsidRPr="00F1390D">
        <w:t>regulan</w:t>
      </w:r>
      <w:r>
        <w:t xml:space="preserve"> someramente</w:t>
      </w:r>
      <w:r w:rsidRPr="00F1390D">
        <w:t xml:space="preserve"> el proced</w:t>
      </w:r>
      <w:r w:rsidRPr="00F1390D">
        <w:t>i</w:t>
      </w:r>
      <w:r w:rsidRPr="00F1390D">
        <w:t>miento de aprobación, justificación, fiscalización y contabilización de</w:t>
      </w:r>
      <w:r>
        <w:t xml:space="preserve"> los</w:t>
      </w:r>
      <w:r w:rsidRPr="00F1390D">
        <w:t xml:space="preserve"> ga</w:t>
      </w:r>
      <w:r w:rsidRPr="00F1390D">
        <w:t>s</w:t>
      </w:r>
      <w:r w:rsidRPr="00F1390D">
        <w:t>to</w:t>
      </w:r>
      <w:r>
        <w:t>s. E</w:t>
      </w:r>
      <w:r w:rsidRPr="00F1390D">
        <w:t>ntre 2010 y 2016, no existen normas internas que reg</w:t>
      </w:r>
      <w:r>
        <w:t>ulen</w:t>
      </w:r>
      <w:r w:rsidRPr="00F1390D">
        <w:t xml:space="preserve"> específicamente la naturaleza y cuantía de estos gastos en cuanto a</w:t>
      </w:r>
      <w:r>
        <w:t xml:space="preserve"> su motivación,</w:t>
      </w:r>
      <w:r w:rsidRPr="00F1390D">
        <w:t xml:space="preserve"> importes de referencia en las comidas, hoteles, medios de locomoción</w:t>
      </w:r>
      <w:r>
        <w:t>, etc. ni</w:t>
      </w:r>
      <w:r w:rsidRPr="00F1390D">
        <w:t xml:space="preserve"> se contempla un procedimiento único en la concertación de estos gastos. </w:t>
      </w:r>
    </w:p>
    <w:p w:rsidR="00553CEB" w:rsidRPr="00F1390D" w:rsidRDefault="00553CEB" w:rsidP="009F7047">
      <w:pPr>
        <w:pStyle w:val="texto"/>
      </w:pPr>
      <w:r w:rsidRPr="00F1390D">
        <w:t>Con carácter general, todos los gastos están debidamente aprobados, justif</w:t>
      </w:r>
      <w:r w:rsidRPr="00F1390D">
        <w:t>i</w:t>
      </w:r>
      <w:r w:rsidRPr="00F1390D">
        <w:t xml:space="preserve">cados </w:t>
      </w:r>
      <w:r w:rsidR="00391370">
        <w:t xml:space="preserve">documentalmente </w:t>
      </w:r>
      <w:r w:rsidRPr="00F1390D">
        <w:t xml:space="preserve">e imputados presupuestariamente. No obstante, </w:t>
      </w:r>
      <w:r>
        <w:t>no siempre están motivados ni se identifican los beneficiarios o destinatarios de los mismos,</w:t>
      </w:r>
      <w:r w:rsidRPr="00F1390D">
        <w:t xml:space="preserve"> especialmente </w:t>
      </w:r>
      <w:r>
        <w:t xml:space="preserve">en gastos </w:t>
      </w:r>
      <w:r w:rsidRPr="00F1390D">
        <w:t xml:space="preserve">de </w:t>
      </w:r>
      <w:r>
        <w:t>restauración.</w:t>
      </w:r>
      <w:r w:rsidRPr="00F1390D">
        <w:t xml:space="preserve"> </w:t>
      </w:r>
    </w:p>
    <w:p w:rsidR="00553CEB" w:rsidRPr="009F7047" w:rsidRDefault="00553CEB" w:rsidP="009F7047">
      <w:pPr>
        <w:pStyle w:val="texto"/>
        <w:rPr>
          <w:spacing w:val="2"/>
          <w:szCs w:val="26"/>
          <w:lang w:val="es-ES"/>
        </w:rPr>
      </w:pPr>
      <w:r w:rsidRPr="009F7047">
        <w:rPr>
          <w:spacing w:val="2"/>
          <w:szCs w:val="26"/>
          <w:lang w:val="es-ES"/>
        </w:rPr>
        <w:t>En términos generales, los beneficiarios del conjunto de estos gastos han sido:</w:t>
      </w:r>
    </w:p>
    <w:p w:rsidR="00553CEB" w:rsidRPr="0098639F" w:rsidRDefault="00553CEB"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Miembros de los órganos de la Comunidad</w:t>
      </w:r>
    </w:p>
    <w:p w:rsidR="00553CEB" w:rsidRPr="0098639F" w:rsidRDefault="00391370"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P</w:t>
      </w:r>
      <w:r w:rsidR="00553CEB">
        <w:rPr>
          <w:lang w:val="es-ES"/>
        </w:rPr>
        <w:t>ersonas de otras entidades</w:t>
      </w:r>
      <w:r>
        <w:rPr>
          <w:lang w:val="es-ES"/>
        </w:rPr>
        <w:t xml:space="preserve"> para atenciones institucionales</w:t>
      </w:r>
    </w:p>
    <w:p w:rsidR="00553CEB" w:rsidRPr="0098639F" w:rsidRDefault="00553CEB" w:rsidP="009F7047">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Personal de la Comunidad y personal técnico</w:t>
      </w:r>
      <w:r>
        <w:rPr>
          <w:lang w:val="es-ES"/>
        </w:rPr>
        <w:t xml:space="preserve"> de otras entidades</w:t>
      </w:r>
    </w:p>
    <w:p w:rsidR="00553CEB" w:rsidRPr="0098639F"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lang w:val="es-ES"/>
        </w:rPr>
      </w:pPr>
      <w:r>
        <w:rPr>
          <w:lang w:val="es-ES"/>
        </w:rPr>
        <w:t>Representantes y v</w:t>
      </w:r>
      <w:r w:rsidRPr="0098639F">
        <w:rPr>
          <w:lang w:val="es-ES"/>
        </w:rPr>
        <w:t>ecinos de los pueblos congozantes</w:t>
      </w:r>
    </w:p>
    <w:p w:rsidR="00553CEB" w:rsidRPr="009F7047" w:rsidRDefault="00553CEB" w:rsidP="009F7047">
      <w:pPr>
        <w:pStyle w:val="texto"/>
        <w:rPr>
          <w:spacing w:val="2"/>
          <w:lang w:val="es-ES"/>
        </w:rPr>
      </w:pPr>
      <w:r w:rsidRPr="00FF0512">
        <w:rPr>
          <w:lang w:val="es-ES"/>
        </w:rPr>
        <w:t>Entre</w:t>
      </w:r>
      <w:r>
        <w:rPr>
          <w:lang w:val="es-ES"/>
        </w:rPr>
        <w:t xml:space="preserve"> 2010 y 2016, s</w:t>
      </w:r>
      <w:r w:rsidRPr="00FF0512">
        <w:rPr>
          <w:lang w:val="es-ES"/>
        </w:rPr>
        <w:t xml:space="preserve">e observa una disparidad relevante en </w:t>
      </w:r>
      <w:r w:rsidR="00BB4118">
        <w:rPr>
          <w:lang w:val="es-ES"/>
        </w:rPr>
        <w:t>los “</w:t>
      </w:r>
      <w:r w:rsidR="00BB4118" w:rsidRPr="00BB4118">
        <w:rPr>
          <w:b/>
          <w:lang w:val="es-ES"/>
        </w:rPr>
        <w:t>gastos de</w:t>
      </w:r>
      <w:r w:rsidRPr="00BB4118">
        <w:rPr>
          <w:b/>
          <w:lang w:val="es-ES"/>
        </w:rPr>
        <w:t xml:space="preserve"> manutención</w:t>
      </w:r>
      <w:r w:rsidR="00BB4118">
        <w:rPr>
          <w:b/>
          <w:lang w:val="es-ES"/>
        </w:rPr>
        <w:t>”</w:t>
      </w:r>
      <w:r w:rsidRPr="00FF0512">
        <w:rPr>
          <w:lang w:val="es-ES"/>
        </w:rPr>
        <w:t>; así para comidas de los órganos de gobierno</w:t>
      </w:r>
      <w:r>
        <w:rPr>
          <w:lang w:val="es-ES"/>
        </w:rPr>
        <w:t xml:space="preserve"> –entre sí o con personal ajeno a la Comunidad</w:t>
      </w:r>
      <w:r w:rsidR="009F7047">
        <w:rPr>
          <w:lang w:val="es-ES"/>
        </w:rPr>
        <w:t>–</w:t>
      </w:r>
      <w:r w:rsidRPr="00FF0512">
        <w:rPr>
          <w:lang w:val="es-ES"/>
        </w:rPr>
        <w:t>,</w:t>
      </w:r>
      <w:r w:rsidRPr="009F7047">
        <w:rPr>
          <w:spacing w:val="2"/>
          <w:lang w:val="es-ES"/>
        </w:rPr>
        <w:t xml:space="preserve"> entre 2010 y 2014, </w:t>
      </w:r>
      <w:r w:rsidR="00004E7A">
        <w:rPr>
          <w:spacing w:val="2"/>
          <w:lang w:val="es-ES"/>
        </w:rPr>
        <w:t>su cuantía s</w:t>
      </w:r>
      <w:r w:rsidRPr="009F7047">
        <w:rPr>
          <w:spacing w:val="2"/>
          <w:lang w:val="es-ES"/>
        </w:rPr>
        <w:t>e sitúa en torno a los 60 euros de media por comida</w:t>
      </w:r>
      <w:r w:rsidR="00BB4118">
        <w:rPr>
          <w:spacing w:val="2"/>
          <w:lang w:val="es-ES"/>
        </w:rPr>
        <w:t>/persona</w:t>
      </w:r>
      <w:r w:rsidRPr="009F7047">
        <w:rPr>
          <w:spacing w:val="2"/>
          <w:lang w:val="es-ES"/>
        </w:rPr>
        <w:t xml:space="preserve">; después de ese año, se van reduciendo de forma progresiva y relevante ya que en 2016, ese </w:t>
      </w:r>
      <w:r w:rsidR="00BB4118">
        <w:rPr>
          <w:spacing w:val="2"/>
          <w:lang w:val="es-ES"/>
        </w:rPr>
        <w:t>gasto</w:t>
      </w:r>
      <w:r w:rsidRPr="009F7047">
        <w:rPr>
          <w:spacing w:val="2"/>
          <w:lang w:val="es-ES"/>
        </w:rPr>
        <w:t xml:space="preserve"> medio, resulta de 25 e</w:t>
      </w:r>
      <w:r w:rsidRPr="009F7047">
        <w:rPr>
          <w:spacing w:val="2"/>
          <w:lang w:val="es-ES"/>
        </w:rPr>
        <w:t>u</w:t>
      </w:r>
      <w:r w:rsidRPr="009F7047">
        <w:rPr>
          <w:spacing w:val="2"/>
          <w:lang w:val="es-ES"/>
        </w:rPr>
        <w:t>ros.</w:t>
      </w:r>
    </w:p>
    <w:p w:rsidR="00BB4118" w:rsidRDefault="00BB4118" w:rsidP="00BB4118">
      <w:pPr>
        <w:pStyle w:val="texto"/>
      </w:pPr>
      <w:r w:rsidRPr="00FF0512">
        <w:t xml:space="preserve">Los gastos efectuados a través de </w:t>
      </w:r>
      <w:r>
        <w:t>“</w:t>
      </w:r>
      <w:r w:rsidRPr="00BB4118">
        <w:rPr>
          <w:b/>
        </w:rPr>
        <w:t>tarjetas de crédito</w:t>
      </w:r>
      <w:r>
        <w:rPr>
          <w:b/>
        </w:rPr>
        <w:t>”</w:t>
      </w:r>
      <w:r w:rsidRPr="00FF0512">
        <w:t xml:space="preserve"> han ascendido a un total de 28.053 euros; por ejercicios, se observa un uso decreciente de los ga</w:t>
      </w:r>
      <w:r w:rsidRPr="00FF0512">
        <w:t>s</w:t>
      </w:r>
      <w:r w:rsidRPr="00FF0512">
        <w:t xml:space="preserve">tos por este </w:t>
      </w:r>
      <w:r>
        <w:t>sistema de pago</w:t>
      </w:r>
      <w:r w:rsidRPr="00FF0512">
        <w:t xml:space="preserve">, ya que en 2010 ascendían a 8.044 euros, en tanto, que en 2016, son de 650 euros. Estos gastos se imputan a las distintas partidas del presupuesto en función de la naturaleza del gasto. Explican el 82 por ciento del gasto efectuado mediante tarjeta, tres conceptos: restauración </w:t>
      </w:r>
      <w:r>
        <w:t>–5</w:t>
      </w:r>
      <w:r w:rsidRPr="00FF0512">
        <w:t>1 por cie</w:t>
      </w:r>
      <w:r w:rsidRPr="00FF0512">
        <w:t>n</w:t>
      </w:r>
      <w:r w:rsidRPr="00FF0512">
        <w:t>to</w:t>
      </w:r>
      <w:r>
        <w:t>–</w:t>
      </w:r>
      <w:r w:rsidRPr="00FF0512">
        <w:t xml:space="preserve">, billetes de tren </w:t>
      </w:r>
      <w:r>
        <w:t>–</w:t>
      </w:r>
      <w:r w:rsidRPr="00FF0512">
        <w:t>18 por ciento</w:t>
      </w:r>
      <w:r>
        <w:t>–</w:t>
      </w:r>
      <w:r w:rsidRPr="00FF0512">
        <w:t xml:space="preserve"> y peajes </w:t>
      </w:r>
      <w:r>
        <w:t>–</w:t>
      </w:r>
      <w:r w:rsidRPr="00FF0512">
        <w:t>13 por ciento</w:t>
      </w:r>
      <w:r>
        <w:t>–</w:t>
      </w:r>
      <w:r w:rsidRPr="00FF0512">
        <w:t>; el 52 por ciento de los gastos corresponden a gastos efectuados fuera de Navarra.</w:t>
      </w:r>
    </w:p>
    <w:p w:rsidR="00BB4118" w:rsidRDefault="00BB4118" w:rsidP="00BB4118">
      <w:pPr>
        <w:pStyle w:val="texto"/>
      </w:pPr>
      <w:r>
        <w:t xml:space="preserve">Se han analizado específicamente los gastos imputados por restauración a través de la tarjeta de crédito de </w:t>
      </w:r>
      <w:r w:rsidR="00037E6D">
        <w:t>P</w:t>
      </w:r>
      <w:r>
        <w:t>residencia de la Comunidad. Con un total de 135 movimientos en el periodo, se han revisado 88 apuntes –el 65 por ciento–, destacando:</w:t>
      </w:r>
    </w:p>
    <w:p w:rsidR="00BB4118" w:rsidRPr="000F0B0F" w:rsidRDefault="00BB4118" w:rsidP="00BB4118">
      <w:pPr>
        <w:pStyle w:val="texto"/>
        <w:numPr>
          <w:ilvl w:val="0"/>
          <w:numId w:val="2"/>
        </w:numPr>
        <w:tabs>
          <w:tab w:val="clear" w:pos="2835"/>
          <w:tab w:val="clear" w:pos="3969"/>
          <w:tab w:val="clear" w:pos="5103"/>
          <w:tab w:val="clear" w:pos="6237"/>
          <w:tab w:val="clear" w:pos="7371"/>
          <w:tab w:val="left" w:pos="480"/>
          <w:tab w:val="num" w:pos="600"/>
        </w:tabs>
        <w:ind w:left="0" w:firstLine="290"/>
        <w:rPr>
          <w:szCs w:val="26"/>
        </w:rPr>
      </w:pPr>
      <w:r w:rsidRPr="000F0B0F">
        <w:rPr>
          <w:szCs w:val="26"/>
        </w:rPr>
        <w:t>En 28 apuntes, solo consta, como justificación del gasto, el movimiento bancario de la tarjeta.</w:t>
      </w:r>
    </w:p>
    <w:p w:rsidR="00B936F9" w:rsidRDefault="00B936F9">
      <w:pPr>
        <w:spacing w:after="0"/>
        <w:ind w:firstLine="0"/>
        <w:jc w:val="left"/>
        <w:rPr>
          <w:spacing w:val="6"/>
          <w:sz w:val="26"/>
          <w:szCs w:val="26"/>
        </w:rPr>
      </w:pPr>
      <w:r>
        <w:rPr>
          <w:szCs w:val="26"/>
        </w:rPr>
        <w:br w:type="page"/>
      </w:r>
    </w:p>
    <w:p w:rsidR="00BB4118" w:rsidRDefault="00BB4118" w:rsidP="00BB4118">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szCs w:val="26"/>
        </w:rPr>
      </w:pPr>
      <w:r w:rsidRPr="000F0B0F">
        <w:rPr>
          <w:szCs w:val="26"/>
        </w:rPr>
        <w:lastRenderedPageBreak/>
        <w:t>Del resto de apuntes, el importe máximo y mínimo por comensal se refleja en el siguiente cuadro:</w:t>
      </w:r>
    </w:p>
    <w:tbl>
      <w:tblPr>
        <w:tblW w:w="8867" w:type="dxa"/>
        <w:jc w:val="center"/>
        <w:tblLayout w:type="fixed"/>
        <w:tblCellMar>
          <w:left w:w="70" w:type="dxa"/>
          <w:right w:w="70" w:type="dxa"/>
        </w:tblCellMar>
        <w:tblLook w:val="04A0" w:firstRow="1" w:lastRow="0" w:firstColumn="1" w:lastColumn="0" w:noHBand="0" w:noVBand="1"/>
      </w:tblPr>
      <w:tblGrid>
        <w:gridCol w:w="4882"/>
        <w:gridCol w:w="2092"/>
        <w:gridCol w:w="1893"/>
      </w:tblGrid>
      <w:tr w:rsidR="00BB4118" w:rsidRPr="009F7047" w:rsidTr="00542216">
        <w:trPr>
          <w:trHeight w:val="284"/>
          <w:jc w:val="center"/>
        </w:trPr>
        <w:tc>
          <w:tcPr>
            <w:tcW w:w="4882"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left"/>
              <w:rPr>
                <w:rFonts w:ascii="Arial" w:hAnsi="Arial" w:cs="Arial"/>
                <w:bCs/>
                <w:color w:val="000000"/>
                <w:sz w:val="18"/>
                <w:szCs w:val="18"/>
                <w:lang w:val="es-ES" w:eastAsia="es-ES"/>
              </w:rPr>
            </w:pPr>
            <w:r w:rsidRPr="009F7047">
              <w:rPr>
                <w:rFonts w:ascii="Arial" w:hAnsi="Arial" w:cs="Arial"/>
                <w:bCs/>
                <w:color w:val="000000"/>
                <w:sz w:val="18"/>
                <w:szCs w:val="18"/>
                <w:lang w:val="es-ES" w:eastAsia="es-ES"/>
              </w:rPr>
              <w:t>Ejercicio</w:t>
            </w:r>
          </w:p>
        </w:tc>
        <w:tc>
          <w:tcPr>
            <w:tcW w:w="2092"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right"/>
              <w:rPr>
                <w:rFonts w:ascii="Arial" w:hAnsi="Arial" w:cs="Arial"/>
                <w:bCs/>
                <w:color w:val="000000"/>
                <w:sz w:val="18"/>
                <w:szCs w:val="18"/>
                <w:lang w:val="es-ES" w:eastAsia="es-ES"/>
              </w:rPr>
            </w:pPr>
            <w:r w:rsidRPr="009F7047">
              <w:rPr>
                <w:rFonts w:ascii="Arial" w:hAnsi="Arial" w:cs="Arial"/>
                <w:bCs/>
                <w:color w:val="000000"/>
                <w:sz w:val="18"/>
                <w:szCs w:val="18"/>
                <w:lang w:val="es-ES" w:eastAsia="es-ES"/>
              </w:rPr>
              <w:t>Importe mínimo</w:t>
            </w:r>
          </w:p>
        </w:tc>
        <w:tc>
          <w:tcPr>
            <w:tcW w:w="1893" w:type="dxa"/>
            <w:tcBorders>
              <w:top w:val="single" w:sz="4" w:space="0" w:color="auto"/>
              <w:bottom w:val="single" w:sz="4" w:space="0" w:color="auto"/>
            </w:tcBorders>
            <w:shd w:val="clear" w:color="auto" w:fill="FABF8F" w:themeFill="accent6" w:themeFillTint="99"/>
            <w:noWrap/>
            <w:vAlign w:val="center"/>
          </w:tcPr>
          <w:p w:rsidR="00BB4118" w:rsidRPr="009F7047" w:rsidRDefault="00BB4118" w:rsidP="00524A11">
            <w:pPr>
              <w:spacing w:after="0"/>
              <w:ind w:firstLine="0"/>
              <w:jc w:val="right"/>
              <w:rPr>
                <w:rFonts w:ascii="Arial" w:hAnsi="Arial" w:cs="Arial"/>
                <w:bCs/>
                <w:color w:val="000000"/>
                <w:sz w:val="18"/>
                <w:szCs w:val="18"/>
                <w:lang w:val="es-ES" w:eastAsia="es-ES"/>
              </w:rPr>
            </w:pPr>
            <w:r w:rsidRPr="009F7047">
              <w:rPr>
                <w:rFonts w:ascii="Arial" w:hAnsi="Arial" w:cs="Arial"/>
                <w:bCs/>
                <w:color w:val="000000"/>
                <w:sz w:val="18"/>
                <w:szCs w:val="18"/>
                <w:lang w:val="es-ES" w:eastAsia="es-ES"/>
              </w:rPr>
              <w:t>Importe máximo</w:t>
            </w:r>
          </w:p>
        </w:tc>
      </w:tr>
      <w:tr w:rsidR="00BB4118" w:rsidRPr="009F7047" w:rsidTr="00542216">
        <w:trPr>
          <w:trHeight w:val="284"/>
          <w:jc w:val="center"/>
        </w:trPr>
        <w:tc>
          <w:tcPr>
            <w:tcW w:w="4882" w:type="dxa"/>
            <w:tcBorders>
              <w:top w:val="single" w:sz="4"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2010</w:t>
            </w:r>
          </w:p>
        </w:tc>
        <w:tc>
          <w:tcPr>
            <w:tcW w:w="2092" w:type="dxa"/>
            <w:tcBorders>
              <w:top w:val="single" w:sz="4"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14,58</w:t>
            </w:r>
          </w:p>
        </w:tc>
        <w:tc>
          <w:tcPr>
            <w:tcW w:w="1893" w:type="dxa"/>
            <w:tcBorders>
              <w:top w:val="single" w:sz="4"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99,35</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eastAsia="es-ES"/>
              </w:rPr>
            </w:pPr>
            <w:r w:rsidRPr="009F7047">
              <w:rPr>
                <w:rFonts w:ascii="Arial Narrow" w:hAnsi="Arial Narrow"/>
                <w:color w:val="000000"/>
                <w:lang w:eastAsia="es-ES"/>
              </w:rPr>
              <w:t>2011</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36,96</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57,24</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2012</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16,73</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79,17</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542216" w:rsidRDefault="00BB4118" w:rsidP="00524A11">
            <w:pPr>
              <w:spacing w:after="0"/>
              <w:ind w:firstLine="0"/>
              <w:jc w:val="left"/>
              <w:rPr>
                <w:rFonts w:ascii="Arial Narrow" w:hAnsi="Arial Narrow"/>
                <w:lang w:val="es-ES" w:eastAsia="es-ES"/>
              </w:rPr>
            </w:pPr>
            <w:r w:rsidRPr="009F7047">
              <w:rPr>
                <w:rFonts w:ascii="Arial Narrow" w:hAnsi="Arial Narrow"/>
                <w:lang w:val="es-ES" w:eastAsia="es-ES"/>
              </w:rPr>
              <w:t>2013</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15,82</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50,36</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2014</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5,85</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41,12</w:t>
            </w:r>
          </w:p>
        </w:tc>
      </w:tr>
      <w:tr w:rsidR="00BB4118" w:rsidRPr="009F7047" w:rsidTr="00542216">
        <w:trPr>
          <w:trHeight w:val="284"/>
          <w:jc w:val="center"/>
        </w:trPr>
        <w:tc>
          <w:tcPr>
            <w:tcW w:w="4882" w:type="dxa"/>
            <w:tcBorders>
              <w:top w:val="single" w:sz="2" w:space="0" w:color="auto"/>
              <w:bottom w:val="single" w:sz="2"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2015</w:t>
            </w:r>
          </w:p>
        </w:tc>
        <w:tc>
          <w:tcPr>
            <w:tcW w:w="2092"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24,08</w:t>
            </w:r>
          </w:p>
        </w:tc>
        <w:tc>
          <w:tcPr>
            <w:tcW w:w="1893" w:type="dxa"/>
            <w:tcBorders>
              <w:top w:val="single" w:sz="2" w:space="0" w:color="auto"/>
              <w:bottom w:val="single" w:sz="2"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24,08</w:t>
            </w:r>
          </w:p>
        </w:tc>
      </w:tr>
      <w:tr w:rsidR="00BB4118" w:rsidRPr="009F7047" w:rsidTr="00542216">
        <w:trPr>
          <w:trHeight w:val="284"/>
          <w:jc w:val="center"/>
        </w:trPr>
        <w:tc>
          <w:tcPr>
            <w:tcW w:w="4882" w:type="dxa"/>
            <w:tcBorders>
              <w:top w:val="single" w:sz="2" w:space="0" w:color="auto"/>
              <w:bottom w:val="single" w:sz="4" w:space="0" w:color="auto"/>
            </w:tcBorders>
            <w:shd w:val="clear" w:color="000000" w:fill="FFFFFF"/>
            <w:vAlign w:val="center"/>
          </w:tcPr>
          <w:p w:rsidR="00BB4118" w:rsidRPr="009F7047" w:rsidRDefault="00BB4118" w:rsidP="00524A11">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2016</w:t>
            </w:r>
          </w:p>
        </w:tc>
        <w:tc>
          <w:tcPr>
            <w:tcW w:w="2092" w:type="dxa"/>
            <w:tcBorders>
              <w:top w:val="single" w:sz="2" w:space="0" w:color="auto"/>
              <w:bottom w:val="single" w:sz="4"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Sin gasto</w:t>
            </w:r>
          </w:p>
        </w:tc>
        <w:tc>
          <w:tcPr>
            <w:tcW w:w="1893" w:type="dxa"/>
            <w:tcBorders>
              <w:top w:val="single" w:sz="2" w:space="0" w:color="auto"/>
              <w:bottom w:val="single" w:sz="4" w:space="0" w:color="auto"/>
            </w:tcBorders>
            <w:shd w:val="clear" w:color="auto" w:fill="auto"/>
            <w:noWrap/>
            <w:vAlign w:val="center"/>
          </w:tcPr>
          <w:p w:rsidR="00BB4118" w:rsidRPr="009F7047" w:rsidRDefault="00BB4118" w:rsidP="00524A11">
            <w:pPr>
              <w:spacing w:after="0"/>
              <w:ind w:firstLine="0"/>
              <w:jc w:val="right"/>
              <w:rPr>
                <w:rFonts w:ascii="Arial Narrow" w:hAnsi="Arial Narrow"/>
                <w:sz w:val="18"/>
                <w:szCs w:val="18"/>
                <w:lang w:eastAsia="es-ES"/>
              </w:rPr>
            </w:pPr>
            <w:r w:rsidRPr="009F7047">
              <w:rPr>
                <w:rFonts w:ascii="Arial Narrow" w:hAnsi="Arial Narrow"/>
                <w:sz w:val="18"/>
                <w:szCs w:val="18"/>
                <w:lang w:eastAsia="es-ES"/>
              </w:rPr>
              <w:t>Sin gasto</w:t>
            </w:r>
          </w:p>
        </w:tc>
      </w:tr>
    </w:tbl>
    <w:p w:rsidR="00BB4118" w:rsidRDefault="00BB4118" w:rsidP="00B936F9">
      <w:pPr>
        <w:pStyle w:val="texto"/>
        <w:spacing w:after="0"/>
        <w:ind w:firstLine="0"/>
        <w:rPr>
          <w:spacing w:val="0"/>
        </w:rPr>
      </w:pPr>
    </w:p>
    <w:p w:rsidR="00BB4118" w:rsidRPr="00BB4118" w:rsidRDefault="00553CEB" w:rsidP="00BB4118">
      <w:pPr>
        <w:pStyle w:val="texto"/>
        <w:rPr>
          <w:spacing w:val="0"/>
        </w:rPr>
      </w:pPr>
      <w:r w:rsidRPr="009F7047">
        <w:rPr>
          <w:spacing w:val="0"/>
        </w:rPr>
        <w:t>En “</w:t>
      </w:r>
      <w:r w:rsidRPr="00BB4118">
        <w:rPr>
          <w:b/>
          <w:spacing w:val="0"/>
        </w:rPr>
        <w:t>aguinaldos</w:t>
      </w:r>
      <w:r w:rsidRPr="009F7047">
        <w:rPr>
          <w:spacing w:val="0"/>
        </w:rPr>
        <w:t>” y para el periodo de 2010 a 2016, la Comunidad ha gastado un total de 50.218 euros. Por ejercicio, también se observa una tendencia clara de r</w:t>
      </w:r>
      <w:r w:rsidRPr="009F7047">
        <w:rPr>
          <w:spacing w:val="0"/>
        </w:rPr>
        <w:t>e</w:t>
      </w:r>
      <w:r w:rsidRPr="009F7047">
        <w:rPr>
          <w:spacing w:val="0"/>
        </w:rPr>
        <w:t>ducción de este gasto: así, en los ejercicios de 2010 y 2011, los gastos anuales por este concepto superaban los 12.000 euros/año; en 2016, en cambio se han reducido hasta una cuantía de 2.600 euros. En cuanto al número de beneficiarios, ha pasado de 29 en 2010, a nueve en 2016; el coste de cada aguinaldo se sitúa, en 2010, entre 110 y 582 euros; en 2016, es de 95 y 344 euros.</w:t>
      </w:r>
    </w:p>
    <w:p w:rsidR="00553CEB" w:rsidRDefault="00553CEB" w:rsidP="00542216">
      <w:pPr>
        <w:pStyle w:val="texto"/>
        <w:spacing w:after="300"/>
      </w:pPr>
      <w:r w:rsidRPr="00FF0512">
        <w:t>El “</w:t>
      </w:r>
      <w:r w:rsidRPr="00BB4118">
        <w:rPr>
          <w:b/>
        </w:rPr>
        <w:t>día de la Bardena</w:t>
      </w:r>
      <w:r w:rsidRPr="00FF0512">
        <w:t>” se celebra anualmente en una de los entidades mun</w:t>
      </w:r>
      <w:r w:rsidRPr="00FF0512">
        <w:t>i</w:t>
      </w:r>
      <w:r w:rsidRPr="00FF0512">
        <w:t>cipales congozantes y consiste en una comida popular y una serie de activid</w:t>
      </w:r>
      <w:r w:rsidRPr="00FF0512">
        <w:t>a</w:t>
      </w:r>
      <w:r>
        <w:t>des y actos (vaquillas,</w:t>
      </w:r>
      <w:r w:rsidRPr="00FF0512">
        <w:t xml:space="preserve"> hinchables, actuaciones, carpa, limpieza</w:t>
      </w:r>
      <w:r>
        <w:t>, etc.</w:t>
      </w:r>
      <w:r w:rsidRPr="00FF0512">
        <w:t>) que abona la entidad organizadora y que luego lo traslada para su financiación o reintegro por la Comunidad</w:t>
      </w:r>
      <w:r>
        <w:t>, la cual lo registra en la partida presupuestaria correspo</w:t>
      </w:r>
      <w:r>
        <w:t>n</w:t>
      </w:r>
      <w:r>
        <w:t>diente</w:t>
      </w:r>
      <w:r w:rsidRPr="00FF0512">
        <w:t xml:space="preserve">. </w:t>
      </w:r>
      <w:r>
        <w:t>El número de asistentes anuales ronda las 900 personas</w:t>
      </w:r>
      <w:r w:rsidR="00BB4118">
        <w:t>, abonando un</w:t>
      </w:r>
      <w:r w:rsidR="00D80902">
        <w:t>os</w:t>
      </w:r>
      <w:r w:rsidR="00BB4118">
        <w:t xml:space="preserve"> ti</w:t>
      </w:r>
      <w:r w:rsidR="00157D54">
        <w:t>ques</w:t>
      </w:r>
      <w:r w:rsidR="00BB4118">
        <w:t xml:space="preserve"> de comida un número reducido de personas y sufragando la Comunidad el resto</w:t>
      </w:r>
      <w:r>
        <w:t>. Entre 2010 y 2016, esta actividad ha supuesto un gasto neto total a la Comunidad de 263.169 euros, cuyo desglose es el siguiente</w:t>
      </w:r>
      <w:r w:rsidR="009F7047">
        <w:t>:</w:t>
      </w:r>
    </w:p>
    <w:tbl>
      <w:tblPr>
        <w:tblW w:w="8832" w:type="dxa"/>
        <w:jc w:val="center"/>
        <w:tblLayout w:type="fixed"/>
        <w:tblCellMar>
          <w:left w:w="70" w:type="dxa"/>
          <w:right w:w="70" w:type="dxa"/>
        </w:tblCellMar>
        <w:tblLook w:val="04A0" w:firstRow="1" w:lastRow="0" w:firstColumn="1" w:lastColumn="0" w:noHBand="0" w:noVBand="1"/>
      </w:tblPr>
      <w:tblGrid>
        <w:gridCol w:w="6471"/>
        <w:gridCol w:w="2361"/>
      </w:tblGrid>
      <w:tr w:rsidR="00553CEB" w:rsidRPr="009F7047" w:rsidTr="009F7047">
        <w:trPr>
          <w:trHeight w:val="284"/>
          <w:jc w:val="center"/>
        </w:trPr>
        <w:tc>
          <w:tcPr>
            <w:tcW w:w="6471" w:type="dxa"/>
            <w:tcBorders>
              <w:top w:val="single" w:sz="4" w:space="0" w:color="auto"/>
              <w:bottom w:val="single" w:sz="4" w:space="0" w:color="auto"/>
            </w:tcBorders>
            <w:shd w:val="clear" w:color="auto" w:fill="FABF8F" w:themeFill="accent6" w:themeFillTint="99"/>
            <w:noWrap/>
            <w:vAlign w:val="center"/>
            <w:hideMark/>
          </w:tcPr>
          <w:p w:rsidR="00553CEB" w:rsidRPr="009F7047" w:rsidRDefault="00553CEB" w:rsidP="009F7047">
            <w:pPr>
              <w:spacing w:after="0"/>
              <w:ind w:firstLine="0"/>
              <w:jc w:val="left"/>
              <w:rPr>
                <w:rFonts w:ascii="Arial" w:hAnsi="Arial" w:cs="Arial"/>
                <w:bCs/>
                <w:color w:val="000000"/>
                <w:sz w:val="18"/>
                <w:szCs w:val="18"/>
                <w:lang w:val="es-ES" w:eastAsia="es-ES"/>
              </w:rPr>
            </w:pPr>
            <w:r w:rsidRPr="009F7047">
              <w:rPr>
                <w:rFonts w:ascii="Arial" w:hAnsi="Arial" w:cs="Arial"/>
                <w:bCs/>
                <w:color w:val="000000"/>
                <w:sz w:val="18"/>
                <w:szCs w:val="18"/>
                <w:lang w:eastAsia="es-ES"/>
              </w:rPr>
              <w:t xml:space="preserve">Día de la Bardena </w:t>
            </w:r>
          </w:p>
        </w:tc>
        <w:tc>
          <w:tcPr>
            <w:tcW w:w="2361" w:type="dxa"/>
            <w:tcBorders>
              <w:top w:val="single" w:sz="4" w:space="0" w:color="auto"/>
              <w:bottom w:val="single" w:sz="4" w:space="0" w:color="auto"/>
            </w:tcBorders>
            <w:shd w:val="clear" w:color="auto" w:fill="FABF8F" w:themeFill="accent6" w:themeFillTint="99"/>
            <w:noWrap/>
            <w:vAlign w:val="center"/>
            <w:hideMark/>
          </w:tcPr>
          <w:p w:rsidR="00553CEB" w:rsidRPr="009F7047" w:rsidRDefault="00553CEB" w:rsidP="009F7047">
            <w:pPr>
              <w:spacing w:after="0"/>
              <w:ind w:firstLine="0"/>
              <w:jc w:val="right"/>
              <w:rPr>
                <w:rFonts w:ascii="Arial" w:hAnsi="Arial" w:cs="Arial"/>
                <w:bCs/>
                <w:color w:val="000000"/>
                <w:sz w:val="18"/>
                <w:szCs w:val="18"/>
                <w:lang w:val="es-ES" w:eastAsia="es-ES"/>
              </w:rPr>
            </w:pPr>
            <w:r w:rsidRPr="009F7047">
              <w:rPr>
                <w:rFonts w:ascii="Arial" w:hAnsi="Arial" w:cs="Arial"/>
                <w:bCs/>
                <w:color w:val="000000"/>
                <w:sz w:val="18"/>
                <w:szCs w:val="18"/>
                <w:lang w:eastAsia="es-ES"/>
              </w:rPr>
              <w:t>2010-2016</w:t>
            </w:r>
          </w:p>
        </w:tc>
      </w:tr>
      <w:tr w:rsidR="00553CEB" w:rsidRPr="009F7047" w:rsidTr="009F7047">
        <w:trPr>
          <w:trHeight w:val="284"/>
          <w:jc w:val="center"/>
        </w:trPr>
        <w:tc>
          <w:tcPr>
            <w:tcW w:w="6471" w:type="dxa"/>
            <w:tcBorders>
              <w:top w:val="single" w:sz="4" w:space="0" w:color="auto"/>
              <w:bottom w:val="single" w:sz="2"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Restauración</w:t>
            </w:r>
          </w:p>
        </w:tc>
        <w:tc>
          <w:tcPr>
            <w:tcW w:w="2361" w:type="dxa"/>
            <w:tcBorders>
              <w:top w:val="single" w:sz="4" w:space="0" w:color="auto"/>
              <w:bottom w:val="single" w:sz="2"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lang w:eastAsia="es-ES"/>
              </w:rPr>
            </w:pPr>
            <w:r w:rsidRPr="009F7047">
              <w:rPr>
                <w:rFonts w:ascii="Arial Narrow" w:hAnsi="Arial Narrow"/>
                <w:color w:val="000000"/>
                <w:lang w:eastAsia="es-ES"/>
              </w:rPr>
              <w:t>170.556</w:t>
            </w:r>
          </w:p>
        </w:tc>
      </w:tr>
      <w:tr w:rsidR="00553CEB" w:rsidRPr="009F7047" w:rsidTr="009F7047">
        <w:trPr>
          <w:trHeight w:val="284"/>
          <w:jc w:val="center"/>
        </w:trPr>
        <w:tc>
          <w:tcPr>
            <w:tcW w:w="6471" w:type="dxa"/>
            <w:tcBorders>
              <w:top w:val="single" w:sz="2" w:space="0" w:color="auto"/>
              <w:bottom w:val="single" w:sz="2"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lang w:eastAsia="es-ES"/>
              </w:rPr>
            </w:pPr>
            <w:r w:rsidRPr="009F7047">
              <w:rPr>
                <w:rFonts w:ascii="Arial Narrow" w:hAnsi="Arial Narrow"/>
                <w:color w:val="000000"/>
                <w:lang w:eastAsia="es-ES"/>
              </w:rPr>
              <w:t>Gastos a sufragar a la entidad organizadora</w:t>
            </w:r>
          </w:p>
        </w:tc>
        <w:tc>
          <w:tcPr>
            <w:tcW w:w="2361" w:type="dxa"/>
            <w:tcBorders>
              <w:top w:val="single" w:sz="2" w:space="0" w:color="auto"/>
              <w:bottom w:val="single" w:sz="2"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lang w:eastAsia="es-ES"/>
              </w:rPr>
            </w:pPr>
            <w:r w:rsidRPr="009F7047">
              <w:rPr>
                <w:rFonts w:ascii="Arial Narrow" w:hAnsi="Arial Narrow"/>
                <w:color w:val="000000"/>
                <w:lang w:eastAsia="es-ES"/>
              </w:rPr>
              <w:t>122.155</w:t>
            </w:r>
          </w:p>
        </w:tc>
      </w:tr>
      <w:tr w:rsidR="00553CEB" w:rsidRPr="009F7047" w:rsidTr="009F7047">
        <w:trPr>
          <w:trHeight w:val="284"/>
          <w:jc w:val="center"/>
        </w:trPr>
        <w:tc>
          <w:tcPr>
            <w:tcW w:w="6471" w:type="dxa"/>
            <w:tcBorders>
              <w:top w:val="single" w:sz="2" w:space="0" w:color="auto"/>
              <w:bottom w:val="single" w:sz="4" w:space="0" w:color="auto"/>
            </w:tcBorders>
            <w:shd w:val="clear" w:color="auto" w:fill="auto"/>
            <w:vAlign w:val="center"/>
          </w:tcPr>
          <w:p w:rsidR="00553CEB" w:rsidRPr="009F7047" w:rsidRDefault="00553CEB" w:rsidP="009F7047">
            <w:pPr>
              <w:spacing w:after="0"/>
              <w:ind w:firstLine="0"/>
              <w:jc w:val="left"/>
              <w:rPr>
                <w:rFonts w:ascii="Arial Narrow" w:hAnsi="Arial Narrow"/>
                <w:color w:val="000000"/>
                <w:lang w:val="es-ES" w:eastAsia="es-ES"/>
              </w:rPr>
            </w:pPr>
            <w:r w:rsidRPr="009F7047">
              <w:rPr>
                <w:rFonts w:ascii="Arial Narrow" w:hAnsi="Arial Narrow"/>
                <w:color w:val="000000"/>
                <w:lang w:val="es-ES" w:eastAsia="es-ES"/>
              </w:rPr>
              <w:t>- Aportación tiques comida</w:t>
            </w:r>
          </w:p>
        </w:tc>
        <w:tc>
          <w:tcPr>
            <w:tcW w:w="2361" w:type="dxa"/>
            <w:tcBorders>
              <w:top w:val="single" w:sz="2" w:space="0" w:color="auto"/>
              <w:bottom w:val="single" w:sz="4" w:space="0" w:color="auto"/>
            </w:tcBorders>
            <w:shd w:val="clear" w:color="auto" w:fill="auto"/>
            <w:noWrap/>
            <w:vAlign w:val="center"/>
          </w:tcPr>
          <w:p w:rsidR="00553CEB" w:rsidRPr="009F7047" w:rsidRDefault="00553CEB" w:rsidP="009F7047">
            <w:pPr>
              <w:spacing w:after="0"/>
              <w:ind w:firstLine="0"/>
              <w:jc w:val="right"/>
              <w:rPr>
                <w:rFonts w:ascii="Arial Narrow" w:hAnsi="Arial Narrow"/>
                <w:color w:val="000000"/>
                <w:lang w:eastAsia="es-ES"/>
              </w:rPr>
            </w:pPr>
            <w:r w:rsidRPr="009F7047">
              <w:rPr>
                <w:rFonts w:ascii="Arial Narrow" w:hAnsi="Arial Narrow"/>
                <w:color w:val="000000"/>
                <w:lang w:eastAsia="es-ES"/>
              </w:rPr>
              <w:t>(29.542)</w:t>
            </w:r>
          </w:p>
        </w:tc>
      </w:tr>
      <w:tr w:rsidR="00553CEB" w:rsidRPr="009F7047" w:rsidTr="009F7047">
        <w:trPr>
          <w:trHeight w:val="284"/>
          <w:jc w:val="center"/>
        </w:trPr>
        <w:tc>
          <w:tcPr>
            <w:tcW w:w="6471" w:type="dxa"/>
            <w:tcBorders>
              <w:top w:val="single" w:sz="4" w:space="0" w:color="auto"/>
              <w:bottom w:val="single" w:sz="4" w:space="0" w:color="auto"/>
            </w:tcBorders>
            <w:shd w:val="clear" w:color="auto" w:fill="FABF8F" w:themeFill="accent6" w:themeFillTint="99"/>
            <w:vAlign w:val="center"/>
          </w:tcPr>
          <w:p w:rsidR="00553CEB" w:rsidRPr="009F7047" w:rsidRDefault="00553CEB" w:rsidP="009F7047">
            <w:pPr>
              <w:spacing w:after="0"/>
              <w:ind w:firstLine="0"/>
              <w:jc w:val="left"/>
              <w:rPr>
                <w:rFonts w:ascii="Arial" w:hAnsi="Arial" w:cs="Arial"/>
                <w:bCs/>
                <w:color w:val="000000"/>
                <w:sz w:val="18"/>
                <w:szCs w:val="18"/>
                <w:lang w:eastAsia="es-ES"/>
              </w:rPr>
            </w:pPr>
            <w:r w:rsidRPr="009F7047">
              <w:rPr>
                <w:rFonts w:ascii="Arial" w:hAnsi="Arial" w:cs="Arial"/>
                <w:bCs/>
                <w:color w:val="000000"/>
                <w:sz w:val="18"/>
                <w:szCs w:val="18"/>
                <w:lang w:eastAsia="es-ES"/>
              </w:rPr>
              <w:t>Gasto neto Comunidad</w:t>
            </w:r>
          </w:p>
        </w:tc>
        <w:tc>
          <w:tcPr>
            <w:tcW w:w="2361" w:type="dxa"/>
            <w:tcBorders>
              <w:top w:val="single" w:sz="4" w:space="0" w:color="auto"/>
              <w:bottom w:val="single" w:sz="4" w:space="0" w:color="auto"/>
            </w:tcBorders>
            <w:shd w:val="clear" w:color="auto" w:fill="FABF8F" w:themeFill="accent6" w:themeFillTint="99"/>
            <w:noWrap/>
            <w:vAlign w:val="center"/>
          </w:tcPr>
          <w:p w:rsidR="00553CEB" w:rsidRPr="009F7047" w:rsidRDefault="00553CEB" w:rsidP="009F7047">
            <w:pPr>
              <w:spacing w:after="0"/>
              <w:ind w:firstLine="0"/>
              <w:jc w:val="right"/>
              <w:rPr>
                <w:rFonts w:ascii="Arial" w:hAnsi="Arial" w:cs="Arial"/>
                <w:bCs/>
                <w:color w:val="000000"/>
                <w:sz w:val="18"/>
                <w:szCs w:val="18"/>
                <w:lang w:eastAsia="es-ES"/>
              </w:rPr>
            </w:pPr>
            <w:r w:rsidRPr="009F7047">
              <w:rPr>
                <w:rFonts w:ascii="Arial" w:hAnsi="Arial" w:cs="Arial"/>
                <w:bCs/>
                <w:color w:val="000000"/>
                <w:sz w:val="18"/>
                <w:szCs w:val="18"/>
                <w:lang w:eastAsia="es-ES"/>
              </w:rPr>
              <w:t>263.169</w:t>
            </w:r>
          </w:p>
        </w:tc>
      </w:tr>
    </w:tbl>
    <w:p w:rsidR="00553CEB" w:rsidRDefault="00553CEB" w:rsidP="00542216">
      <w:pPr>
        <w:pStyle w:val="texto"/>
        <w:spacing w:after="0"/>
      </w:pPr>
    </w:p>
    <w:p w:rsidR="00553CEB" w:rsidRPr="00FF0512" w:rsidRDefault="00553CEB" w:rsidP="00553CEB">
      <w:pPr>
        <w:pStyle w:val="texto"/>
      </w:pPr>
      <w:r w:rsidRPr="00FF0512">
        <w:t xml:space="preserve">El gasto neto </w:t>
      </w:r>
      <w:r>
        <w:t>anual</w:t>
      </w:r>
      <w:r w:rsidRPr="00FF0512">
        <w:t xml:space="preserve"> que ha supuesto esta actividad para la Comunidad pasa de 53.689 euros en 2010 a 29.205 euros en 2016</w:t>
      </w:r>
      <w:r>
        <w:t xml:space="preserve"> –una reducción del 46 por ciento</w:t>
      </w:r>
      <w:r w:rsidR="009F7047">
        <w:t>–</w:t>
      </w:r>
      <w:r>
        <w:t xml:space="preserve">, </w:t>
      </w:r>
      <w:r w:rsidRPr="00FF0512">
        <w:t>represen</w:t>
      </w:r>
      <w:r>
        <w:t>tando</w:t>
      </w:r>
      <w:r w:rsidRPr="00FF0512">
        <w:t xml:space="preserve"> por asistente un </w:t>
      </w:r>
      <w:r w:rsidR="00034043">
        <w:t>gasto</w:t>
      </w:r>
      <w:r>
        <w:t xml:space="preserve"> neto</w:t>
      </w:r>
      <w:r w:rsidRPr="00FF0512">
        <w:t xml:space="preserve"> de 72 a 34 euros.</w:t>
      </w:r>
    </w:p>
    <w:p w:rsidR="00553CEB" w:rsidRDefault="00553CEB" w:rsidP="00553CEB">
      <w:pPr>
        <w:pStyle w:val="texto"/>
        <w:rPr>
          <w:lang w:val="es-ES"/>
        </w:rPr>
      </w:pPr>
      <w:r>
        <w:rPr>
          <w:lang w:val="es-ES"/>
        </w:rPr>
        <w:t>Como hecho posterior relevante señalamos que en las bases de ejecución del presupuesto de 2017 se regula específicamente esta materia, al incluirse, entre otros aspectos, los siguientes límites y procedimientos:</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834D5">
        <w:rPr>
          <w:lang w:val="es-ES"/>
        </w:rPr>
        <w:t xml:space="preserve">La compra de billetes de tren/avión en clase turista se realizará y abonará directamente por la Comunidad. </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834D5">
        <w:rPr>
          <w:lang w:val="es-ES"/>
        </w:rPr>
        <w:lastRenderedPageBreak/>
        <w:t>La reserva de hoteles se efectuará directamente por la Comunidad y las pernoctaciones se efectuarán en hoteles de tres estrellas o similares.</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834D5">
        <w:rPr>
          <w:lang w:val="es-ES"/>
        </w:rPr>
        <w:t>El kilometraje a abonar es de 0,30 euros por kilómetro y de 0,60 euros por kilómetro dentro del territorio de las Bardenas.</w:t>
      </w:r>
    </w:p>
    <w:p w:rsidR="00553CEB" w:rsidRPr="00A834D5"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834D5">
        <w:rPr>
          <w:lang w:val="es-ES"/>
        </w:rPr>
        <w:t>Se limita el coste de la manutención de los miembros de los órganos de gobierno de la Comunidad a 20 euros por comida.</w:t>
      </w:r>
    </w:p>
    <w:p w:rsidR="00553CEB" w:rsidRPr="00DC7045" w:rsidRDefault="00553CEB" w:rsidP="00553CEB">
      <w:pPr>
        <w:pStyle w:val="texto"/>
      </w:pPr>
      <w:r w:rsidRPr="00DC7045">
        <w:t>En definitiva, la tendencia observada e</w:t>
      </w:r>
      <w:r w:rsidR="00034043">
        <w:t>n</w:t>
      </w:r>
      <w:r w:rsidRPr="00DC7045">
        <w:t xml:space="preserve"> la reducción relevante de estos ga</w:t>
      </w:r>
      <w:r w:rsidRPr="00DC7045">
        <w:t>s</w:t>
      </w:r>
      <w:r w:rsidRPr="00DC7045">
        <w:t>tos de atenciones protocolarias así como esta nueva regulación</w:t>
      </w:r>
      <w:r w:rsidR="00034043">
        <w:t xml:space="preserve"> adoptada,</w:t>
      </w:r>
      <w:r w:rsidRPr="00DC7045">
        <w:t xml:space="preserve"> viene a normalizar y acomodar los gastos de esta naturaleza a los principios racion</w:t>
      </w:r>
      <w:r w:rsidRPr="00DC7045">
        <w:t>a</w:t>
      </w:r>
      <w:r w:rsidRPr="00DC7045">
        <w:t xml:space="preserve">lidad y de buena gestión </w:t>
      </w:r>
      <w:r w:rsidR="00037E6D">
        <w:t>exigibles a todas las</w:t>
      </w:r>
      <w:r w:rsidRPr="00DC7045">
        <w:t xml:space="preserve"> administraci</w:t>
      </w:r>
      <w:r w:rsidR="00037E6D">
        <w:t>ones</w:t>
      </w:r>
      <w:r w:rsidRPr="00DC7045">
        <w:t xml:space="preserve"> pública</w:t>
      </w:r>
      <w:r w:rsidR="00037E6D">
        <w:t>s</w:t>
      </w:r>
      <w:r w:rsidRPr="00DC7045">
        <w:t>.</w:t>
      </w:r>
    </w:p>
    <w:p w:rsidR="00553CEB" w:rsidRPr="00DC7045" w:rsidRDefault="00553CEB" w:rsidP="00553CEB">
      <w:pPr>
        <w:pStyle w:val="texto"/>
      </w:pPr>
      <w:r w:rsidRPr="00DC7045">
        <w:t>No obstante, recomendamos:</w:t>
      </w:r>
    </w:p>
    <w:p w:rsidR="00553CEB" w:rsidRDefault="003F4869"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Pr>
          <w:i/>
        </w:rPr>
        <w:t>Estos</w:t>
      </w:r>
      <w:r w:rsidR="00553CEB">
        <w:rPr>
          <w:i/>
        </w:rPr>
        <w:t xml:space="preserve"> </w:t>
      </w:r>
      <w:r w:rsidR="00034043">
        <w:rPr>
          <w:i/>
        </w:rPr>
        <w:t xml:space="preserve">gastos </w:t>
      </w:r>
      <w:r w:rsidR="00553CEB">
        <w:rPr>
          <w:i/>
        </w:rPr>
        <w:t xml:space="preserve">deben motivarse o justificarse en que su </w:t>
      </w:r>
      <w:r w:rsidR="00BE11C7">
        <w:rPr>
          <w:i/>
        </w:rPr>
        <w:t>realización</w:t>
      </w:r>
      <w:r w:rsidR="00553CEB">
        <w:rPr>
          <w:i/>
        </w:rPr>
        <w:t xml:space="preserve"> redunda en beneficio o utilidad para la propia Comunidad</w:t>
      </w:r>
      <w:r w:rsidRPr="003F4869">
        <w:rPr>
          <w:i/>
        </w:rPr>
        <w:t xml:space="preserve"> </w:t>
      </w:r>
      <w:r>
        <w:rPr>
          <w:i/>
        </w:rPr>
        <w:t>y sus cuantías puedan cons</w:t>
      </w:r>
      <w:r>
        <w:rPr>
          <w:i/>
        </w:rPr>
        <w:t>i</w:t>
      </w:r>
      <w:r>
        <w:rPr>
          <w:i/>
        </w:rPr>
        <w:t xml:space="preserve">derarse </w:t>
      </w:r>
      <w:r w:rsidR="008A53E4">
        <w:rPr>
          <w:i/>
        </w:rPr>
        <w:t xml:space="preserve">como </w:t>
      </w:r>
      <w:r>
        <w:rPr>
          <w:i/>
        </w:rPr>
        <w:t>normales u ordinari</w:t>
      </w:r>
      <w:r w:rsidR="008A53E4">
        <w:rPr>
          <w:i/>
        </w:rPr>
        <w:t>as</w:t>
      </w:r>
      <w:r>
        <w:rPr>
          <w:i/>
        </w:rPr>
        <w:t xml:space="preserve"> a tal efecto</w:t>
      </w:r>
      <w:r w:rsidR="00553CEB">
        <w:rPr>
          <w:i/>
        </w:rPr>
        <w:t>.</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360"/>
        <w:ind w:left="0" w:firstLine="289"/>
        <w:rPr>
          <w:i/>
        </w:rPr>
      </w:pPr>
      <w:r>
        <w:rPr>
          <w:i/>
        </w:rPr>
        <w:t>T</w:t>
      </w:r>
      <w:r w:rsidRPr="0066737E">
        <w:rPr>
          <w:i/>
        </w:rPr>
        <w:t xml:space="preserve">odo justificante de gasto </w:t>
      </w:r>
      <w:r>
        <w:rPr>
          <w:i/>
        </w:rPr>
        <w:t>debe acompañarse, en su caso, de</w:t>
      </w:r>
      <w:r w:rsidRPr="0066737E">
        <w:rPr>
          <w:i/>
        </w:rPr>
        <w:t xml:space="preserve"> los </w:t>
      </w:r>
      <w:r>
        <w:rPr>
          <w:i/>
        </w:rPr>
        <w:t>benefici</w:t>
      </w:r>
      <w:r>
        <w:rPr>
          <w:i/>
        </w:rPr>
        <w:t>a</w:t>
      </w:r>
      <w:r>
        <w:rPr>
          <w:i/>
        </w:rPr>
        <w:t>rios de la prestación.</w:t>
      </w:r>
    </w:p>
    <w:p w:rsidR="00553CEB" w:rsidRDefault="00553CEB" w:rsidP="00553CEB">
      <w:pPr>
        <w:pStyle w:val="atitulo2"/>
        <w:rPr>
          <w:lang w:val="es-ES" w:eastAsia="es-ES"/>
        </w:rPr>
      </w:pPr>
      <w:bookmarkStart w:id="48" w:name="_Toc494897116"/>
      <w:r>
        <w:rPr>
          <w:lang w:val="es-ES" w:eastAsia="es-ES"/>
        </w:rPr>
        <w:t>V.2. Indemnizaciones cargos electivos</w:t>
      </w:r>
      <w:bookmarkEnd w:id="48"/>
    </w:p>
    <w:p w:rsidR="00524A11" w:rsidRPr="00524A11" w:rsidRDefault="00553CEB" w:rsidP="00524A11">
      <w:pPr>
        <w:pStyle w:val="texto"/>
        <w:tabs>
          <w:tab w:val="clear" w:pos="2835"/>
          <w:tab w:val="clear" w:pos="3969"/>
          <w:tab w:val="clear" w:pos="5103"/>
          <w:tab w:val="clear" w:pos="6237"/>
          <w:tab w:val="clear" w:pos="7371"/>
        </w:tabs>
        <w:spacing w:after="360"/>
        <w:rPr>
          <w:szCs w:val="26"/>
          <w:lang w:val="es-ES"/>
        </w:rPr>
      </w:pPr>
      <w:r>
        <w:rPr>
          <w:szCs w:val="26"/>
          <w:lang w:val="es-ES"/>
        </w:rPr>
        <w:t>Las indemnizaciones a cargos electivos han supuesto en el periodo 2010 a 2016 un gasto total 560.838 euros. Gráficamente, la evolución anual de dicho gasto se muestra a continuación:</w:t>
      </w:r>
    </w:p>
    <w:p w:rsidR="00524A11" w:rsidRDefault="00524A11" w:rsidP="00524A11">
      <w:pPr>
        <w:pStyle w:val="texto"/>
        <w:jc w:val="center"/>
      </w:pPr>
      <w:r>
        <w:rPr>
          <w:noProof/>
          <w:lang w:val="es-ES" w:eastAsia="es-ES"/>
        </w:rPr>
        <w:drawing>
          <wp:inline distT="0" distB="0" distL="0" distR="0" wp14:anchorId="52917100" wp14:editId="59A9E36A">
            <wp:extent cx="5594350" cy="2743200"/>
            <wp:effectExtent l="0" t="0" r="2540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24A11" w:rsidRDefault="00524A11" w:rsidP="009F7047">
      <w:pPr>
        <w:pStyle w:val="texto"/>
      </w:pPr>
    </w:p>
    <w:p w:rsidR="00553CEB" w:rsidRPr="00BE1FF8" w:rsidRDefault="00553CEB" w:rsidP="009F7047">
      <w:pPr>
        <w:pStyle w:val="texto"/>
      </w:pPr>
      <w:r w:rsidRPr="00BE1FF8">
        <w:lastRenderedPageBreak/>
        <w:t>El valor máximo se alcanza en 2011 con 110.239 euros; posteriormente se va reduciendo de forma progresiva hasta los 70.721 euros de 2016, es decir, un 36 por ciento inferior al importe del citado año 2011.</w:t>
      </w:r>
    </w:p>
    <w:p w:rsidR="00553CEB" w:rsidRPr="00BE1FF8" w:rsidRDefault="00553CEB" w:rsidP="00553CEB">
      <w:pPr>
        <w:pStyle w:val="texto"/>
      </w:pPr>
      <w:r w:rsidRPr="00BE1FF8">
        <w:t xml:space="preserve">Dentro del concepto presupuestario de indemnizaciones de cargos electos se imputan las dietas por asistencia y el gasto derivado del kilometraje </w:t>
      </w:r>
      <w:r w:rsidR="00037E6D">
        <w:t xml:space="preserve">que paga la </w:t>
      </w:r>
      <w:r w:rsidRPr="00BE1FF8">
        <w:t xml:space="preserve"> Comunidad. Del anterior gasto total de 56</w:t>
      </w:r>
      <w:r w:rsidR="00524A11">
        <w:t>0</w:t>
      </w:r>
      <w:r w:rsidRPr="00BE1FF8">
        <w:t xml:space="preserve">.838, el 95 por ciento corresponde propiamente a dietas y el cinco por ciento restante a kilometraje. </w:t>
      </w:r>
    </w:p>
    <w:p w:rsidR="00553CEB" w:rsidRDefault="00553CEB" w:rsidP="003D238F">
      <w:pPr>
        <w:pStyle w:val="texto"/>
      </w:pPr>
      <w:r w:rsidRPr="00BE1FF8">
        <w:t>La regulación de estos conceptos se encuentra en las bases de ejecución pr</w:t>
      </w:r>
      <w:r w:rsidRPr="00BE1FF8">
        <w:t>e</w:t>
      </w:r>
      <w:r w:rsidRPr="00BE1FF8">
        <w:t>supuestarias. Así</w:t>
      </w:r>
      <w:r w:rsidR="00037E6D">
        <w:t>,</w:t>
      </w:r>
      <w:r w:rsidRPr="00BE1FF8">
        <w:t xml:space="preserve"> para el periodo analizado se establece que </w:t>
      </w:r>
      <w:r>
        <w:t>el presidente y</w:t>
      </w:r>
      <w:r w:rsidRPr="00BE1FF8">
        <w:t xml:space="preserve"> miembros de la Junta y </w:t>
      </w:r>
      <w:r>
        <w:t>c</w:t>
      </w:r>
      <w:r w:rsidRPr="00BE1FF8">
        <w:t>omisión permanente</w:t>
      </w:r>
      <w:r>
        <w:t xml:space="preserve"> así como sus asesores</w:t>
      </w:r>
      <w:r w:rsidRPr="00BE1FF8">
        <w:t xml:space="preserve"> percibirán 1</w:t>
      </w:r>
      <w:r w:rsidR="004B587C">
        <w:t xml:space="preserve">50 euros (140 euros desde 2012) </w:t>
      </w:r>
      <w:r w:rsidRPr="00BE1FF8">
        <w:t>por la asistencia a las juntas, comisiones, reuniones de trabajo y actos que acudan en representación de la Comunidad de las Bardenas. La cantidad anterior se suplementará en 100 euros (90 euros de</w:t>
      </w:r>
      <w:r w:rsidRPr="00BE1FF8">
        <w:t>s</w:t>
      </w:r>
      <w:r w:rsidRPr="00BE1FF8">
        <w:t>de 2012)</w:t>
      </w:r>
      <w:r w:rsidR="004B587C">
        <w:t xml:space="preserve"> </w:t>
      </w:r>
      <w:r w:rsidRPr="00BE1FF8">
        <w:t>cuando las reuniones y actos a los que asistan se realicen fuera de la Comunidad Foral</w:t>
      </w:r>
      <w:r>
        <w:t xml:space="preserve"> y la estancia sea superior a un día.</w:t>
      </w:r>
    </w:p>
    <w:p w:rsidR="00F0755F" w:rsidRDefault="00553CEB" w:rsidP="003D238F">
      <w:pPr>
        <w:pStyle w:val="texto"/>
      </w:pPr>
      <w:r>
        <w:t>Es decir</w:t>
      </w:r>
      <w:r w:rsidR="00037E6D">
        <w:t>,</w:t>
      </w:r>
      <w:r>
        <w:t xml:space="preserve"> y tal como se indicaba en el informe de esta Cámara sobre la C</w:t>
      </w:r>
      <w:r>
        <w:t>o</w:t>
      </w:r>
      <w:r>
        <w:t>munidad de 2009</w:t>
      </w:r>
      <w:r w:rsidR="00F0755F">
        <w:t>:</w:t>
      </w:r>
    </w:p>
    <w:p w:rsidR="00F0755F" w:rsidRPr="00F0755F" w:rsidRDefault="00553CEB" w:rsidP="003D238F">
      <w:pPr>
        <w:pStyle w:val="texto"/>
        <w:rPr>
          <w:spacing w:val="4"/>
          <w:sz w:val="22"/>
          <w:szCs w:val="22"/>
        </w:rPr>
      </w:pPr>
      <w:r w:rsidRPr="00F0755F">
        <w:rPr>
          <w:spacing w:val="4"/>
          <w:sz w:val="22"/>
          <w:szCs w:val="22"/>
        </w:rPr>
        <w:t>“</w:t>
      </w:r>
      <w:r w:rsidRPr="00F0755F">
        <w:rPr>
          <w:i/>
          <w:spacing w:val="4"/>
          <w:sz w:val="22"/>
          <w:szCs w:val="22"/>
        </w:rPr>
        <w:t>en la Comunidad, por tanto, el régimen de dietas se ha extendido tanto a las reuniones de los órganos colegiados como a todo tipo de reunión de trabajo o representación. Con ello se pretende compensar, a los miembros de la Junta, por los perjuicios causados, especialmente, el lucro cesante derivado de su especial dedicación a las actividades de la Comunidad</w:t>
      </w:r>
      <w:r w:rsidRPr="00F0755F">
        <w:rPr>
          <w:spacing w:val="4"/>
          <w:sz w:val="22"/>
          <w:szCs w:val="22"/>
        </w:rPr>
        <w:t xml:space="preserve">.” </w:t>
      </w:r>
    </w:p>
    <w:p w:rsidR="00553CEB" w:rsidRPr="00037E6D" w:rsidRDefault="00553CEB" w:rsidP="003D238F">
      <w:pPr>
        <w:pStyle w:val="texto"/>
      </w:pPr>
      <w:r w:rsidRPr="00037E6D">
        <w:t>Igualmente en dicho informe se recomendaba a</w:t>
      </w:r>
      <w:r w:rsidR="00524A11" w:rsidRPr="00037E6D">
        <w:t xml:space="preserve"> l</w:t>
      </w:r>
      <w:r w:rsidRPr="00037E6D">
        <w:t>a Comunidad una reflexión sobre la adecuación</w:t>
      </w:r>
      <w:r w:rsidR="00524A11" w:rsidRPr="00037E6D">
        <w:t>, dada su dedicación,</w:t>
      </w:r>
      <w:r w:rsidRPr="00037E6D">
        <w:t xml:space="preserve"> del sistema de dietas para retribuir a su presidente.</w:t>
      </w:r>
    </w:p>
    <w:p w:rsidR="00553CEB" w:rsidRDefault="00553CEB" w:rsidP="003D238F">
      <w:pPr>
        <w:pStyle w:val="texto"/>
      </w:pPr>
      <w:r w:rsidRPr="00BE1FF8">
        <w:t>Hasta noviembre de 2011, por acuerdo anual de la comisión permanente, se fijaba una exención fiscal sobre estas dietas de un 60 por ciento</w:t>
      </w:r>
      <w:r>
        <w:t>; después de la precitada fecha, desaparece tal exención</w:t>
      </w:r>
      <w:r w:rsidRPr="00BE1FF8">
        <w:t>.</w:t>
      </w:r>
      <w:r>
        <w:t xml:space="preserve"> Asimismo, de acuerdo con la norm</w:t>
      </w:r>
      <w:r>
        <w:t>a</w:t>
      </w:r>
      <w:r>
        <w:t>tiva de IRPF, estas dietas están sujetas a retención, cuyo porcentaje, a lo largo del periodo, ha pasado del 20 hasta el actual 35 por ciento.</w:t>
      </w:r>
    </w:p>
    <w:p w:rsidR="00553CEB" w:rsidRPr="00BE1FF8" w:rsidRDefault="00553CEB" w:rsidP="003D238F">
      <w:pPr>
        <w:pStyle w:val="texto"/>
      </w:pPr>
      <w:r>
        <w:t>En cuanto al kilometraje, se aplica</w:t>
      </w:r>
      <w:r w:rsidR="00037E6D">
        <w:t>n</w:t>
      </w:r>
      <w:r>
        <w:t xml:space="preserve"> las condiciones generales de los funci</w:t>
      </w:r>
      <w:r>
        <w:t>o</w:t>
      </w:r>
      <w:r>
        <w:t xml:space="preserve">narios públicos; es decir, hasta junio de 2010, se indemniza con 0,32 euros por kilómetro; después de esa fecha, 0,30 euros. </w:t>
      </w:r>
    </w:p>
    <w:p w:rsidR="00553CEB" w:rsidRDefault="00553CEB" w:rsidP="003D238F">
      <w:pPr>
        <w:pStyle w:val="texto"/>
      </w:pPr>
      <w:r>
        <w:t>La revisión efectuada se ha centrado básicamente en:</w:t>
      </w:r>
      <w:r w:rsidRPr="00FF0512">
        <w:t xml:space="preserve"> soporte legal, imp</w:t>
      </w:r>
      <w:r w:rsidRPr="00FF0512">
        <w:t>u</w:t>
      </w:r>
      <w:r w:rsidRPr="00FF0512">
        <w:t>tación presupuestaria</w:t>
      </w:r>
      <w:r>
        <w:t xml:space="preserve"> acorde al gasto</w:t>
      </w:r>
      <w:r w:rsidRPr="00FF0512">
        <w:t>, justificación</w:t>
      </w:r>
      <w:r w:rsidR="00524A11">
        <w:t xml:space="preserve"> documental y</w:t>
      </w:r>
      <w:r>
        <w:t xml:space="preserve"> motivación</w:t>
      </w:r>
      <w:r w:rsidRPr="00FF0512">
        <w:t xml:space="preserve">, identificación de los </w:t>
      </w:r>
      <w:r>
        <w:t>perceptores y su derecho a tal indemnización</w:t>
      </w:r>
      <w:r w:rsidRPr="00FF0512">
        <w:t xml:space="preserve"> y razonabil</w:t>
      </w:r>
      <w:r w:rsidRPr="00FF0512">
        <w:t>i</w:t>
      </w:r>
      <w:r w:rsidRPr="00FF0512">
        <w:t>dad de su importe.</w:t>
      </w:r>
    </w:p>
    <w:p w:rsidR="00553CEB" w:rsidRPr="00DC7045" w:rsidRDefault="00553CEB" w:rsidP="003D238F">
      <w:pPr>
        <w:pStyle w:val="texto"/>
      </w:pPr>
      <w:r>
        <w:t>La conclusión de tal revisión es de conformidad.</w:t>
      </w:r>
      <w:r w:rsidRPr="00C157BE">
        <w:t xml:space="preserve"> </w:t>
      </w:r>
      <w:r>
        <w:t>Es decir, t</w:t>
      </w:r>
      <w:r w:rsidRPr="00C157BE">
        <w:t>odos los gastos están debidamente aprobados, justificados</w:t>
      </w:r>
      <w:r>
        <w:t>,</w:t>
      </w:r>
      <w:r w:rsidRPr="00C157BE">
        <w:t xml:space="preserve"> imputados presupuestariamente</w:t>
      </w:r>
      <w:r>
        <w:t xml:space="preserve"> y corresponden efectivamente a cargos electos</w:t>
      </w:r>
      <w:r w:rsidRPr="00DC7045">
        <w:t>. No obstante, en las dietas perc</w:t>
      </w:r>
      <w:r w:rsidRPr="00DC7045">
        <w:t>i</w:t>
      </w:r>
      <w:r w:rsidRPr="00DC7045">
        <w:lastRenderedPageBreak/>
        <w:t xml:space="preserve">bidas por estancias fuera de Navarra, no siempre se </w:t>
      </w:r>
      <w:r>
        <w:t>acota</w:t>
      </w:r>
      <w:r w:rsidRPr="00DC7045">
        <w:t xml:space="preserve"> en la justificación los días concretos </w:t>
      </w:r>
      <w:r>
        <w:t xml:space="preserve">de la estancia </w:t>
      </w:r>
      <w:r w:rsidRPr="00DC7045">
        <w:t xml:space="preserve">para poder percibir la dieta suplementaria. </w:t>
      </w:r>
    </w:p>
    <w:p w:rsidR="00553CEB" w:rsidRPr="00B47A55" w:rsidRDefault="00553CEB" w:rsidP="003D238F">
      <w:pPr>
        <w:pStyle w:val="texto"/>
        <w:spacing w:after="240"/>
      </w:pPr>
      <w:r>
        <w:t>En el siguiente cuadro se refleja tanto el gasto total por dietas como el núm</w:t>
      </w:r>
      <w:r>
        <w:t>e</w:t>
      </w:r>
      <w:r>
        <w:t>ro de éstas; asimismo, se detalla específicamente información sobre las dietas de fuera de Navarra.</w:t>
      </w:r>
    </w:p>
    <w:tbl>
      <w:tblPr>
        <w:tblW w:w="8826" w:type="dxa"/>
        <w:jc w:val="center"/>
        <w:tblLayout w:type="fixed"/>
        <w:tblCellMar>
          <w:left w:w="70" w:type="dxa"/>
          <w:right w:w="70" w:type="dxa"/>
        </w:tblCellMar>
        <w:tblLook w:val="04A0" w:firstRow="1" w:lastRow="0" w:firstColumn="1" w:lastColumn="0" w:noHBand="0" w:noVBand="1"/>
      </w:tblPr>
      <w:tblGrid>
        <w:gridCol w:w="3203"/>
        <w:gridCol w:w="804"/>
        <w:gridCol w:w="804"/>
        <w:gridCol w:w="803"/>
        <w:gridCol w:w="803"/>
        <w:gridCol w:w="803"/>
        <w:gridCol w:w="803"/>
        <w:gridCol w:w="803"/>
      </w:tblGrid>
      <w:tr w:rsidR="00553CEB" w:rsidRPr="003D238F" w:rsidTr="00F0755F">
        <w:trPr>
          <w:trHeight w:val="315"/>
          <w:jc w:val="center"/>
        </w:trPr>
        <w:tc>
          <w:tcPr>
            <w:tcW w:w="2826" w:type="dxa"/>
            <w:tcBorders>
              <w:top w:val="single" w:sz="4" w:space="0" w:color="auto"/>
              <w:bottom w:val="single" w:sz="4" w:space="0" w:color="auto"/>
            </w:tcBorders>
            <w:shd w:val="clear" w:color="000000" w:fill="FABF8F"/>
            <w:noWrap/>
            <w:vAlign w:val="center"/>
            <w:hideMark/>
          </w:tcPr>
          <w:p w:rsidR="00553CEB" w:rsidRPr="003D238F" w:rsidRDefault="00553CEB" w:rsidP="003D238F">
            <w:pPr>
              <w:spacing w:after="0"/>
              <w:ind w:firstLine="0"/>
              <w:jc w:val="left"/>
              <w:rPr>
                <w:rFonts w:ascii="Arial" w:hAnsi="Arial" w:cs="Arial"/>
                <w:bCs/>
                <w:color w:val="000000"/>
                <w:sz w:val="18"/>
                <w:szCs w:val="18"/>
                <w:lang w:val="es-ES" w:eastAsia="es-ES"/>
              </w:rPr>
            </w:pPr>
            <w:r w:rsidRPr="003D238F">
              <w:rPr>
                <w:rFonts w:ascii="Arial" w:hAnsi="Arial" w:cs="Arial"/>
                <w:bCs/>
                <w:color w:val="000000"/>
                <w:sz w:val="18"/>
                <w:szCs w:val="18"/>
                <w:lang w:eastAsia="es-ES"/>
              </w:rPr>
              <w:t xml:space="preserve">Denominación </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2010</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2011</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2012</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2013</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2014</w:t>
            </w:r>
          </w:p>
        </w:tc>
        <w:tc>
          <w:tcPr>
            <w:tcW w:w="709" w:type="dxa"/>
            <w:tcBorders>
              <w:top w:val="single" w:sz="4" w:space="0" w:color="auto"/>
              <w:bottom w:val="single" w:sz="4" w:space="0" w:color="auto"/>
            </w:tcBorders>
            <w:shd w:val="clear" w:color="000000" w:fill="FABF8F"/>
            <w:noWrap/>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2015</w:t>
            </w:r>
          </w:p>
        </w:tc>
        <w:tc>
          <w:tcPr>
            <w:tcW w:w="709" w:type="dxa"/>
            <w:tcBorders>
              <w:top w:val="single" w:sz="4" w:space="0" w:color="auto"/>
              <w:bottom w:val="single" w:sz="4" w:space="0" w:color="auto"/>
            </w:tcBorders>
            <w:shd w:val="clear" w:color="000000" w:fill="FABF8F"/>
            <w:vAlign w:val="center"/>
            <w:hideMark/>
          </w:tcPr>
          <w:p w:rsidR="00553CEB" w:rsidRPr="003D238F" w:rsidRDefault="00553CEB" w:rsidP="00F0755F">
            <w:pPr>
              <w:spacing w:after="0"/>
              <w:ind w:firstLine="0"/>
              <w:jc w:val="right"/>
              <w:rPr>
                <w:rFonts w:ascii="Arial" w:hAnsi="Arial" w:cs="Arial"/>
                <w:bCs/>
                <w:color w:val="000000"/>
                <w:sz w:val="18"/>
                <w:szCs w:val="18"/>
                <w:lang w:val="es-ES" w:eastAsia="es-ES"/>
              </w:rPr>
            </w:pPr>
            <w:r w:rsidRPr="003D238F">
              <w:rPr>
                <w:rFonts w:ascii="Arial" w:hAnsi="Arial" w:cs="Arial"/>
                <w:bCs/>
                <w:color w:val="000000"/>
                <w:sz w:val="18"/>
                <w:szCs w:val="18"/>
                <w:lang w:eastAsia="es-ES"/>
              </w:rPr>
              <w:t>2016</w:t>
            </w:r>
          </w:p>
        </w:tc>
      </w:tr>
      <w:tr w:rsidR="00553CEB" w:rsidRPr="003D238F" w:rsidTr="00F0755F">
        <w:trPr>
          <w:trHeight w:val="284"/>
          <w:jc w:val="center"/>
        </w:trPr>
        <w:tc>
          <w:tcPr>
            <w:tcW w:w="2826" w:type="dxa"/>
            <w:tcBorders>
              <w:top w:val="single" w:sz="4"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lang w:val="es-ES" w:eastAsia="es-ES"/>
              </w:rPr>
            </w:pPr>
            <w:r w:rsidRPr="003D238F">
              <w:rPr>
                <w:rFonts w:ascii="Arial Narrow" w:hAnsi="Arial Narrow"/>
                <w:color w:val="000000"/>
                <w:lang w:val="es-ES" w:eastAsia="es-ES"/>
              </w:rPr>
              <w:t>Gasto total en dietas cargos electos</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80.050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108.700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88.720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61.440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69.410</w:t>
            </w:r>
          </w:p>
        </w:tc>
        <w:tc>
          <w:tcPr>
            <w:tcW w:w="709" w:type="dxa"/>
            <w:tcBorders>
              <w:top w:val="single" w:sz="4"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61.170</w:t>
            </w:r>
          </w:p>
        </w:tc>
        <w:tc>
          <w:tcPr>
            <w:tcW w:w="709" w:type="dxa"/>
            <w:tcBorders>
              <w:top w:val="single" w:sz="4"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68.100</w:t>
            </w:r>
          </w:p>
        </w:tc>
      </w:tr>
      <w:tr w:rsidR="00553CEB"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lang w:eastAsia="es-ES"/>
              </w:rPr>
            </w:pPr>
            <w:r w:rsidRPr="003D238F">
              <w:rPr>
                <w:rFonts w:ascii="Arial Narrow" w:hAnsi="Arial Narrow"/>
                <w:color w:val="000000"/>
                <w:lang w:eastAsia="es-ES"/>
              </w:rPr>
              <w:t>Número total de dietas</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509</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669</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570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428</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491</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435</w:t>
            </w:r>
          </w:p>
        </w:tc>
        <w:tc>
          <w:tcPr>
            <w:tcW w:w="709" w:type="dxa"/>
            <w:tcBorders>
              <w:top w:val="single" w:sz="2"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509</w:t>
            </w:r>
          </w:p>
        </w:tc>
      </w:tr>
      <w:tr w:rsidR="00524A11"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24A11" w:rsidRPr="003D238F" w:rsidRDefault="00524A11" w:rsidP="003D238F">
            <w:pPr>
              <w:spacing w:after="0"/>
              <w:ind w:firstLine="0"/>
              <w:jc w:val="lef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noWrap/>
            <w:vAlign w:val="center"/>
          </w:tcPr>
          <w:p w:rsidR="00524A11" w:rsidRPr="003D238F" w:rsidRDefault="00524A11" w:rsidP="00F0755F">
            <w:pPr>
              <w:spacing w:after="0"/>
              <w:ind w:firstLine="0"/>
              <w:jc w:val="right"/>
              <w:rPr>
                <w:rFonts w:ascii="Arial Narrow" w:hAnsi="Arial Narrow"/>
                <w:color w:val="000000"/>
                <w:lang w:eastAsia="es-ES"/>
              </w:rPr>
            </w:pPr>
          </w:p>
        </w:tc>
        <w:tc>
          <w:tcPr>
            <w:tcW w:w="709" w:type="dxa"/>
            <w:tcBorders>
              <w:top w:val="single" w:sz="2" w:space="0" w:color="auto"/>
              <w:bottom w:val="single" w:sz="2" w:space="0" w:color="auto"/>
            </w:tcBorders>
            <w:shd w:val="clear" w:color="auto" w:fill="auto"/>
            <w:vAlign w:val="center"/>
          </w:tcPr>
          <w:p w:rsidR="00524A11" w:rsidRPr="003D238F" w:rsidRDefault="00524A11" w:rsidP="00F0755F">
            <w:pPr>
              <w:spacing w:after="0"/>
              <w:ind w:firstLine="0"/>
              <w:jc w:val="right"/>
              <w:rPr>
                <w:rFonts w:ascii="Arial Narrow" w:hAnsi="Arial Narrow"/>
                <w:color w:val="000000"/>
                <w:lang w:eastAsia="es-ES"/>
              </w:rPr>
            </w:pPr>
          </w:p>
        </w:tc>
      </w:tr>
      <w:tr w:rsidR="00553CEB" w:rsidRPr="003D238F" w:rsidTr="00F0755F">
        <w:trPr>
          <w:trHeight w:val="284"/>
          <w:jc w:val="center"/>
        </w:trPr>
        <w:tc>
          <w:tcPr>
            <w:tcW w:w="2826" w:type="dxa"/>
            <w:tcBorders>
              <w:top w:val="single" w:sz="2" w:space="0" w:color="auto"/>
              <w:bottom w:val="single" w:sz="2"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lang w:val="es-ES" w:eastAsia="es-ES"/>
              </w:rPr>
            </w:pPr>
            <w:r w:rsidRPr="003D238F">
              <w:rPr>
                <w:rFonts w:ascii="Arial Narrow" w:hAnsi="Arial Narrow"/>
                <w:color w:val="000000"/>
                <w:lang w:val="es-ES" w:eastAsia="es-ES"/>
              </w:rPr>
              <w:t>Gastos en dietas fuera de Navarra</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9.250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25.000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15.320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4.600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2.070</w:t>
            </w:r>
          </w:p>
        </w:tc>
        <w:tc>
          <w:tcPr>
            <w:tcW w:w="709" w:type="dxa"/>
            <w:tcBorders>
              <w:top w:val="single" w:sz="2" w:space="0" w:color="auto"/>
              <w:bottom w:val="single" w:sz="2"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690</w:t>
            </w:r>
          </w:p>
        </w:tc>
        <w:tc>
          <w:tcPr>
            <w:tcW w:w="709" w:type="dxa"/>
            <w:tcBorders>
              <w:top w:val="single" w:sz="2" w:space="0" w:color="auto"/>
              <w:bottom w:val="single" w:sz="2"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2.300</w:t>
            </w:r>
          </w:p>
        </w:tc>
      </w:tr>
      <w:tr w:rsidR="00553CEB" w:rsidRPr="003D238F" w:rsidTr="00F0755F">
        <w:trPr>
          <w:trHeight w:val="284"/>
          <w:jc w:val="center"/>
        </w:trPr>
        <w:tc>
          <w:tcPr>
            <w:tcW w:w="2826" w:type="dxa"/>
            <w:tcBorders>
              <w:top w:val="single" w:sz="2" w:space="0" w:color="auto"/>
              <w:bottom w:val="single" w:sz="4" w:space="0" w:color="auto"/>
            </w:tcBorders>
            <w:shd w:val="clear" w:color="000000" w:fill="FFFFFF"/>
            <w:vAlign w:val="center"/>
          </w:tcPr>
          <w:p w:rsidR="00553CEB" w:rsidRPr="003D238F" w:rsidRDefault="00553CEB" w:rsidP="003D238F">
            <w:pPr>
              <w:spacing w:after="0"/>
              <w:ind w:firstLine="0"/>
              <w:jc w:val="left"/>
              <w:rPr>
                <w:rFonts w:ascii="Arial Narrow" w:hAnsi="Arial Narrow"/>
                <w:color w:val="000000"/>
                <w:lang w:val="es-ES" w:eastAsia="es-ES"/>
              </w:rPr>
            </w:pPr>
            <w:r w:rsidRPr="003D238F">
              <w:rPr>
                <w:rFonts w:ascii="Arial Narrow" w:hAnsi="Arial Narrow"/>
                <w:color w:val="000000"/>
                <w:lang w:val="es-ES" w:eastAsia="es-ES"/>
              </w:rPr>
              <w:t>Número dietas fuera de Navarra</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37</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100</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62</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20</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9</w:t>
            </w:r>
          </w:p>
        </w:tc>
        <w:tc>
          <w:tcPr>
            <w:tcW w:w="709" w:type="dxa"/>
            <w:tcBorders>
              <w:top w:val="single" w:sz="2" w:space="0" w:color="auto"/>
              <w:bottom w:val="single" w:sz="4" w:space="0" w:color="auto"/>
            </w:tcBorders>
            <w:shd w:val="clear" w:color="auto" w:fill="auto"/>
            <w:noWrap/>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3</w:t>
            </w:r>
          </w:p>
        </w:tc>
        <w:tc>
          <w:tcPr>
            <w:tcW w:w="709" w:type="dxa"/>
            <w:tcBorders>
              <w:top w:val="single" w:sz="2" w:space="0" w:color="auto"/>
              <w:bottom w:val="single" w:sz="4" w:space="0" w:color="auto"/>
            </w:tcBorders>
            <w:shd w:val="clear" w:color="auto" w:fill="auto"/>
            <w:vAlign w:val="center"/>
          </w:tcPr>
          <w:p w:rsidR="00553CEB" w:rsidRPr="003D238F" w:rsidRDefault="00553CEB" w:rsidP="00F0755F">
            <w:pPr>
              <w:spacing w:after="0"/>
              <w:ind w:firstLine="0"/>
              <w:jc w:val="right"/>
              <w:rPr>
                <w:rFonts w:ascii="Arial Narrow" w:hAnsi="Arial Narrow"/>
                <w:color w:val="000000"/>
                <w:lang w:eastAsia="es-ES"/>
              </w:rPr>
            </w:pPr>
            <w:r w:rsidRPr="003D238F">
              <w:rPr>
                <w:rFonts w:ascii="Arial Narrow" w:hAnsi="Arial Narrow"/>
                <w:color w:val="000000"/>
                <w:lang w:eastAsia="es-ES"/>
              </w:rPr>
              <w:t>10</w:t>
            </w:r>
          </w:p>
        </w:tc>
      </w:tr>
    </w:tbl>
    <w:p w:rsidR="00524A11" w:rsidRDefault="00524A11" w:rsidP="00B936F9">
      <w:pPr>
        <w:pStyle w:val="texto"/>
        <w:spacing w:after="0"/>
      </w:pPr>
    </w:p>
    <w:p w:rsidR="00553CEB" w:rsidRPr="00443161" w:rsidRDefault="00553CEB" w:rsidP="003D238F">
      <w:pPr>
        <w:pStyle w:val="texto"/>
      </w:pPr>
      <w:r w:rsidRPr="00443161">
        <w:t>Es decir, la Comunidad ha abonado un total de 3.612 dietas que han supuesto un gasto total de 537.740 euros.</w:t>
      </w:r>
    </w:p>
    <w:p w:rsidR="00553CEB" w:rsidRPr="00BC3C99" w:rsidRDefault="00553CEB" w:rsidP="003D238F">
      <w:pPr>
        <w:pStyle w:val="texto"/>
      </w:pPr>
      <w:r w:rsidRPr="00BC3C99">
        <w:t>Como se observa</w:t>
      </w:r>
      <w:r>
        <w:t>,</w:t>
      </w:r>
      <w:r w:rsidRPr="00BC3C99">
        <w:t xml:space="preserve"> </w:t>
      </w:r>
      <w:r w:rsidR="00D71E75">
        <w:t>2011 es e</w:t>
      </w:r>
      <w:r w:rsidRPr="00BC3C99">
        <w:t xml:space="preserve">l ejercicio </w:t>
      </w:r>
      <w:r w:rsidR="00D71E75">
        <w:t>con</w:t>
      </w:r>
      <w:r w:rsidRPr="00BC3C99">
        <w:t xml:space="preserve"> mayor número de dietas</w:t>
      </w:r>
      <w:r w:rsidR="00D71E75">
        <w:t xml:space="preserve"> –</w:t>
      </w:r>
      <w:r w:rsidR="00D71E75" w:rsidRPr="00BC3C99">
        <w:t>669 di</w:t>
      </w:r>
      <w:r w:rsidR="00D71E75" w:rsidRPr="00BC3C99">
        <w:t>e</w:t>
      </w:r>
      <w:r w:rsidR="00D71E75" w:rsidRPr="00BC3C99">
        <w:t>tas</w:t>
      </w:r>
      <w:r w:rsidR="00D71E75">
        <w:t>–</w:t>
      </w:r>
      <w:r w:rsidRPr="00BC3C99">
        <w:t xml:space="preserve"> y de gas</w:t>
      </w:r>
      <w:r w:rsidR="00D71E75">
        <w:t>to -108.700 euros-</w:t>
      </w:r>
      <w:r w:rsidRPr="00BC3C99">
        <w:t>, para luego estabilizarse en torno a 500 dietas.</w:t>
      </w:r>
    </w:p>
    <w:p w:rsidR="00553CEB" w:rsidRPr="00443161" w:rsidRDefault="00553CEB" w:rsidP="003D238F">
      <w:pPr>
        <w:pStyle w:val="texto"/>
      </w:pPr>
      <w:r w:rsidRPr="00443161">
        <w:t>Dentro de lo</w:t>
      </w:r>
      <w:r>
        <w:t xml:space="preserve">s datos anteriores, </w:t>
      </w:r>
      <w:r w:rsidRPr="00443161">
        <w:t>un total de 241 dietas</w:t>
      </w:r>
      <w:r>
        <w:t xml:space="preserve"> son para</w:t>
      </w:r>
      <w:r w:rsidRPr="00443161">
        <w:t xml:space="preserve"> desplazamie</w:t>
      </w:r>
      <w:r w:rsidRPr="00443161">
        <w:t>n</w:t>
      </w:r>
      <w:r w:rsidRPr="00443161">
        <w:t>tos fuera de Navarra</w:t>
      </w:r>
      <w:r>
        <w:t>,</w:t>
      </w:r>
      <w:r w:rsidRPr="00443161">
        <w:t xml:space="preserve"> que han supuesto un gasto de 59.230 euros.</w:t>
      </w:r>
      <w:r>
        <w:t xml:space="preserve"> Corresponden a un total de 79 viajes tanto dentro de España </w:t>
      </w:r>
      <w:r w:rsidR="003D238F">
        <w:t>–</w:t>
      </w:r>
      <w:r>
        <w:t>71 viajes</w:t>
      </w:r>
      <w:r w:rsidR="003D238F">
        <w:t>–</w:t>
      </w:r>
      <w:r>
        <w:t xml:space="preserve"> como al extranjero –ocho viajes</w:t>
      </w:r>
      <w:r w:rsidR="003D238F">
        <w:t>–</w:t>
      </w:r>
      <w:r>
        <w:t>.</w:t>
      </w:r>
    </w:p>
    <w:p w:rsidR="00553CEB" w:rsidRDefault="00553CEB" w:rsidP="00F95E44">
      <w:pPr>
        <w:pStyle w:val="texto"/>
        <w:spacing w:after="240"/>
      </w:pPr>
      <w:r w:rsidRPr="001D31A2">
        <w:t>En el cuadro siguiente</w:t>
      </w:r>
      <w:r>
        <w:t xml:space="preserve"> se muestra </w:t>
      </w:r>
      <w:r w:rsidRPr="001D31A2">
        <w:t>el número de perceptores de dietas y el importe máximo y mínimo</w:t>
      </w:r>
      <w:r>
        <w:t xml:space="preserve"> </w:t>
      </w:r>
      <w:r w:rsidRPr="001D31A2">
        <w:t xml:space="preserve">percibido </w:t>
      </w:r>
      <w:r>
        <w:t xml:space="preserve">por un perceptor </w:t>
      </w:r>
      <w:r w:rsidRPr="001D31A2">
        <w:t>en cada uno de esos años; el 78 por ciento del gasto total se concentra en cinco beneficiarios, que perciben cantidades superiores a 50.000 euros en los seis años.</w:t>
      </w:r>
    </w:p>
    <w:tbl>
      <w:tblPr>
        <w:tblW w:w="8834" w:type="dxa"/>
        <w:jc w:val="center"/>
        <w:tblLayout w:type="fixed"/>
        <w:tblCellMar>
          <w:left w:w="70" w:type="dxa"/>
          <w:right w:w="70" w:type="dxa"/>
        </w:tblCellMar>
        <w:tblLook w:val="04A0" w:firstRow="1" w:lastRow="0" w:firstColumn="1" w:lastColumn="0" w:noHBand="0" w:noVBand="1"/>
      </w:tblPr>
      <w:tblGrid>
        <w:gridCol w:w="3213"/>
        <w:gridCol w:w="803"/>
        <w:gridCol w:w="803"/>
        <w:gridCol w:w="803"/>
        <w:gridCol w:w="803"/>
        <w:gridCol w:w="803"/>
        <w:gridCol w:w="803"/>
        <w:gridCol w:w="803"/>
      </w:tblGrid>
      <w:tr w:rsidR="00553CEB" w:rsidRPr="00542216" w:rsidTr="00F0755F">
        <w:trPr>
          <w:trHeight w:val="315"/>
          <w:jc w:val="center"/>
        </w:trPr>
        <w:tc>
          <w:tcPr>
            <w:tcW w:w="2835"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left"/>
              <w:rPr>
                <w:rFonts w:ascii="Arial" w:hAnsi="Arial" w:cs="Arial"/>
                <w:bCs/>
                <w:color w:val="000000"/>
                <w:sz w:val="18"/>
                <w:szCs w:val="18"/>
                <w:lang w:val="es-ES" w:eastAsia="es-ES"/>
              </w:rPr>
            </w:pPr>
            <w:r w:rsidRPr="00542216">
              <w:rPr>
                <w:rFonts w:ascii="Arial" w:hAnsi="Arial" w:cs="Arial"/>
                <w:bCs/>
                <w:color w:val="000000"/>
                <w:sz w:val="18"/>
                <w:szCs w:val="18"/>
                <w:lang w:eastAsia="es-ES"/>
              </w:rPr>
              <w:t>Dietas</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2010</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2011</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2012</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2013</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2014</w:t>
            </w:r>
          </w:p>
        </w:tc>
        <w:tc>
          <w:tcPr>
            <w:tcW w:w="709" w:type="dxa"/>
            <w:tcBorders>
              <w:top w:val="single" w:sz="4" w:space="0" w:color="auto"/>
              <w:bottom w:val="single" w:sz="4" w:space="0" w:color="auto"/>
            </w:tcBorders>
            <w:shd w:val="clear" w:color="auto" w:fill="FABF8F" w:themeFill="accent6" w:themeFillTint="99"/>
            <w:noWrap/>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2015</w:t>
            </w:r>
          </w:p>
        </w:tc>
        <w:tc>
          <w:tcPr>
            <w:tcW w:w="709" w:type="dxa"/>
            <w:tcBorders>
              <w:top w:val="single" w:sz="4" w:space="0" w:color="auto"/>
              <w:bottom w:val="single" w:sz="4" w:space="0" w:color="auto"/>
            </w:tcBorders>
            <w:shd w:val="clear" w:color="auto" w:fill="FABF8F" w:themeFill="accent6" w:themeFillTint="99"/>
            <w:vAlign w:val="center"/>
            <w:hideMark/>
          </w:tcPr>
          <w:p w:rsidR="00553CEB" w:rsidRPr="00542216" w:rsidRDefault="00553CEB" w:rsidP="00F95E44">
            <w:pPr>
              <w:spacing w:after="0"/>
              <w:ind w:firstLine="0"/>
              <w:jc w:val="right"/>
              <w:rPr>
                <w:rFonts w:ascii="Arial" w:hAnsi="Arial" w:cs="Arial"/>
                <w:bCs/>
                <w:color w:val="000000"/>
                <w:sz w:val="18"/>
                <w:szCs w:val="18"/>
                <w:lang w:val="es-ES" w:eastAsia="es-ES"/>
              </w:rPr>
            </w:pPr>
            <w:r w:rsidRPr="00542216">
              <w:rPr>
                <w:rFonts w:ascii="Arial" w:hAnsi="Arial" w:cs="Arial"/>
                <w:bCs/>
                <w:color w:val="000000"/>
                <w:sz w:val="18"/>
                <w:szCs w:val="18"/>
                <w:lang w:eastAsia="es-ES"/>
              </w:rPr>
              <w:t>2016</w:t>
            </w:r>
          </w:p>
        </w:tc>
      </w:tr>
      <w:tr w:rsidR="00553CEB" w:rsidRPr="00F95E44" w:rsidTr="00F0755F">
        <w:trPr>
          <w:trHeight w:val="284"/>
          <w:jc w:val="center"/>
        </w:trPr>
        <w:tc>
          <w:tcPr>
            <w:tcW w:w="2835" w:type="dxa"/>
            <w:tcBorders>
              <w:top w:val="single" w:sz="4" w:space="0" w:color="auto"/>
              <w:bottom w:val="single" w:sz="2"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lang w:val="es-ES" w:eastAsia="es-ES"/>
              </w:rPr>
            </w:pPr>
            <w:r w:rsidRPr="00F95E44">
              <w:rPr>
                <w:rFonts w:ascii="Arial Narrow" w:hAnsi="Arial Narrow"/>
                <w:color w:val="000000"/>
                <w:lang w:val="es-ES" w:eastAsia="es-ES"/>
              </w:rPr>
              <w:t>Número de perceptores</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15</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10</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10</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11</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8</w:t>
            </w:r>
          </w:p>
        </w:tc>
        <w:tc>
          <w:tcPr>
            <w:tcW w:w="709" w:type="dxa"/>
            <w:tcBorders>
              <w:top w:val="single" w:sz="4"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7</w:t>
            </w:r>
          </w:p>
        </w:tc>
        <w:tc>
          <w:tcPr>
            <w:tcW w:w="709" w:type="dxa"/>
            <w:tcBorders>
              <w:top w:val="single" w:sz="4" w:space="0" w:color="auto"/>
              <w:bottom w:val="single" w:sz="2"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7</w:t>
            </w:r>
          </w:p>
        </w:tc>
      </w:tr>
      <w:tr w:rsidR="00553CEB" w:rsidRPr="00F95E44" w:rsidTr="00F0755F">
        <w:trPr>
          <w:trHeight w:val="284"/>
          <w:jc w:val="center"/>
        </w:trPr>
        <w:tc>
          <w:tcPr>
            <w:tcW w:w="2835" w:type="dxa"/>
            <w:tcBorders>
              <w:top w:val="single" w:sz="2" w:space="0" w:color="auto"/>
              <w:bottom w:val="single" w:sz="2"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lang w:eastAsia="es-ES"/>
              </w:rPr>
            </w:pPr>
            <w:r w:rsidRPr="00F95E44">
              <w:rPr>
                <w:rFonts w:ascii="Arial Narrow" w:hAnsi="Arial Narrow"/>
                <w:color w:val="000000"/>
                <w:lang w:eastAsia="es-ES"/>
              </w:rPr>
              <w:t xml:space="preserve">Importe mínimo </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150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1.950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900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280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1.490</w:t>
            </w:r>
          </w:p>
        </w:tc>
        <w:tc>
          <w:tcPr>
            <w:tcW w:w="709" w:type="dxa"/>
            <w:tcBorders>
              <w:top w:val="single" w:sz="2" w:space="0" w:color="auto"/>
              <w:bottom w:val="single" w:sz="2"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3.920</w:t>
            </w:r>
          </w:p>
        </w:tc>
        <w:tc>
          <w:tcPr>
            <w:tcW w:w="709" w:type="dxa"/>
            <w:tcBorders>
              <w:top w:val="single" w:sz="2" w:space="0" w:color="auto"/>
              <w:bottom w:val="single" w:sz="2"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3.640</w:t>
            </w:r>
          </w:p>
        </w:tc>
      </w:tr>
      <w:tr w:rsidR="00553CEB" w:rsidRPr="00F95E44" w:rsidTr="00F0755F">
        <w:trPr>
          <w:trHeight w:val="284"/>
          <w:jc w:val="center"/>
        </w:trPr>
        <w:tc>
          <w:tcPr>
            <w:tcW w:w="2835" w:type="dxa"/>
            <w:tcBorders>
              <w:top w:val="single" w:sz="2" w:space="0" w:color="auto"/>
              <w:bottom w:val="single" w:sz="4" w:space="0" w:color="auto"/>
            </w:tcBorders>
            <w:shd w:val="clear" w:color="000000" w:fill="FFFFFF"/>
            <w:vAlign w:val="center"/>
          </w:tcPr>
          <w:p w:rsidR="00553CEB" w:rsidRPr="00F95E44" w:rsidRDefault="00553CEB" w:rsidP="00F95E44">
            <w:pPr>
              <w:spacing w:after="0"/>
              <w:ind w:firstLine="0"/>
              <w:jc w:val="left"/>
              <w:rPr>
                <w:rFonts w:ascii="Arial Narrow" w:hAnsi="Arial Narrow"/>
                <w:color w:val="000000"/>
                <w:lang w:val="es-ES" w:eastAsia="es-ES"/>
              </w:rPr>
            </w:pPr>
            <w:r w:rsidRPr="00F95E44">
              <w:rPr>
                <w:rFonts w:ascii="Arial Narrow" w:hAnsi="Arial Narrow"/>
                <w:color w:val="000000"/>
                <w:lang w:val="es-ES" w:eastAsia="es-ES"/>
              </w:rPr>
              <w:t xml:space="preserve">Importe máximo </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45.150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47.100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37.310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15.890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16.090</w:t>
            </w:r>
          </w:p>
        </w:tc>
        <w:tc>
          <w:tcPr>
            <w:tcW w:w="709" w:type="dxa"/>
            <w:tcBorders>
              <w:top w:val="single" w:sz="2" w:space="0" w:color="auto"/>
              <w:bottom w:val="single" w:sz="4" w:space="0" w:color="auto"/>
            </w:tcBorders>
            <w:shd w:val="clear" w:color="auto" w:fill="auto"/>
            <w:noWrap/>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15.680</w:t>
            </w:r>
          </w:p>
        </w:tc>
        <w:tc>
          <w:tcPr>
            <w:tcW w:w="709" w:type="dxa"/>
            <w:tcBorders>
              <w:top w:val="single" w:sz="2" w:space="0" w:color="auto"/>
              <w:bottom w:val="single" w:sz="4" w:space="0" w:color="auto"/>
            </w:tcBorders>
            <w:shd w:val="clear" w:color="auto" w:fill="auto"/>
            <w:vAlign w:val="center"/>
          </w:tcPr>
          <w:p w:rsidR="00553CEB" w:rsidRPr="00F95E44" w:rsidRDefault="00553CEB" w:rsidP="00F95E44">
            <w:pPr>
              <w:spacing w:after="0"/>
              <w:ind w:firstLine="0"/>
              <w:jc w:val="right"/>
              <w:rPr>
                <w:rFonts w:ascii="Arial Narrow" w:hAnsi="Arial Narrow"/>
                <w:color w:val="000000"/>
                <w:lang w:eastAsia="es-ES"/>
              </w:rPr>
            </w:pPr>
            <w:r w:rsidRPr="00F95E44">
              <w:rPr>
                <w:rFonts w:ascii="Arial Narrow" w:hAnsi="Arial Narrow"/>
                <w:color w:val="000000"/>
                <w:lang w:eastAsia="es-ES"/>
              </w:rPr>
              <w:t>14.700</w:t>
            </w:r>
          </w:p>
        </w:tc>
      </w:tr>
    </w:tbl>
    <w:p w:rsidR="00553CEB" w:rsidRDefault="00553CEB" w:rsidP="00F95E44">
      <w:pPr>
        <w:pStyle w:val="texto"/>
        <w:spacing w:after="0"/>
        <w:ind w:firstLine="0"/>
      </w:pPr>
    </w:p>
    <w:p w:rsidR="00553CEB" w:rsidRDefault="00553CEB" w:rsidP="00553CEB">
      <w:pPr>
        <w:pStyle w:val="texto"/>
      </w:pPr>
      <w:r>
        <w:t>Como se aprecia, se ha reducido significativamente tanto el número de ben</w:t>
      </w:r>
      <w:r>
        <w:t>e</w:t>
      </w:r>
      <w:r>
        <w:t>ficiarios como el importe máximo percibido.</w:t>
      </w:r>
    </w:p>
    <w:p w:rsidR="00553CEB" w:rsidRPr="00BC3C99" w:rsidRDefault="00553CEB" w:rsidP="00553CEB">
      <w:pPr>
        <w:pStyle w:val="texto"/>
      </w:pPr>
      <w:r w:rsidRPr="00BC3C99">
        <w:t>Como hecho posterior relevante, indicamos</w:t>
      </w:r>
      <w:r>
        <w:t>, nuevamente,</w:t>
      </w:r>
      <w:r w:rsidRPr="00BC3C99">
        <w:t xml:space="preserve"> que las bases de ejecución de 2017 del presupuesto de la Comunidad modifica</w:t>
      </w:r>
      <w:r w:rsidR="009263BE">
        <w:t>n</w:t>
      </w:r>
      <w:r w:rsidRPr="00BC3C99">
        <w:t xml:space="preserve"> sustancialmente el régimen de dietas anterior. Así</w:t>
      </w:r>
      <w:r w:rsidR="009263BE">
        <w:t>,</w:t>
      </w:r>
      <w:r w:rsidRPr="00BC3C99">
        <w:t xml:space="preserve"> se establece básicamente el siguiente rég</w:t>
      </w:r>
      <w:r w:rsidRPr="00BC3C99">
        <w:t>i</w:t>
      </w:r>
      <w:r w:rsidRPr="00BC3C99">
        <w:t>men:</w:t>
      </w:r>
    </w:p>
    <w:p w:rsidR="00553CEB" w:rsidRPr="00BC3C99" w:rsidRDefault="00553CEB" w:rsidP="00553CEB">
      <w:pPr>
        <w:pStyle w:val="texto"/>
      </w:pPr>
      <w:r>
        <w:t>A.</w:t>
      </w:r>
      <w:r w:rsidRPr="00BC3C99">
        <w:t xml:space="preserve"> Por asistencia de los vocales a las sesiones de la Junta general, comisión permanente, mesas de contratación, mesas de trabajo, etc. un total de 140 euros por sesión.</w:t>
      </w:r>
    </w:p>
    <w:p w:rsidR="00553CEB" w:rsidRPr="00BC3C99" w:rsidRDefault="00553CEB" w:rsidP="00553CEB">
      <w:pPr>
        <w:pStyle w:val="texto"/>
      </w:pPr>
      <w:r w:rsidRPr="00BC3C99">
        <w:lastRenderedPageBreak/>
        <w:t>B. Por asistencia de los vocales en régimen de delegación a asambleas, reuniones con el Gobierno de Navarra u otros organismos públicos nacionales o internacionales, 140 euros por sesión.</w:t>
      </w:r>
    </w:p>
    <w:p w:rsidR="00553CEB" w:rsidRPr="00BC3C99" w:rsidRDefault="00553CEB" w:rsidP="00553CEB">
      <w:pPr>
        <w:pStyle w:val="texto"/>
      </w:pPr>
      <w:r w:rsidRPr="00BC3C99">
        <w:t xml:space="preserve">C. </w:t>
      </w:r>
      <w:r>
        <w:t>P</w:t>
      </w:r>
      <w:r w:rsidRPr="00BC3C99">
        <w:t>or asistencia por los vocales a reuniones que se celebren fuera de Nav</w:t>
      </w:r>
      <w:r w:rsidRPr="00BC3C99">
        <w:t>a</w:t>
      </w:r>
      <w:r w:rsidRPr="00BC3C99">
        <w:t>rra con pernoctación, 200 euros por día.</w:t>
      </w:r>
    </w:p>
    <w:p w:rsidR="00553CEB" w:rsidRPr="00BC3C99" w:rsidRDefault="00553CEB" w:rsidP="00553CEB">
      <w:pPr>
        <w:pStyle w:val="texto"/>
      </w:pPr>
      <w:r w:rsidRPr="00BC3C99">
        <w:t xml:space="preserve">En los anteriores supuestos, corresponderá indemnización siempre y cuando el organismo convocante no </w:t>
      </w:r>
      <w:r w:rsidR="009263BE">
        <w:t xml:space="preserve">la </w:t>
      </w:r>
      <w:r w:rsidRPr="00BC3C99">
        <w:t>tenga establecid</w:t>
      </w:r>
      <w:r w:rsidR="009263BE">
        <w:t>a</w:t>
      </w:r>
      <w:r>
        <w:t>.</w:t>
      </w:r>
    </w:p>
    <w:p w:rsidR="00553CEB" w:rsidRDefault="00553CEB" w:rsidP="00553CEB">
      <w:pPr>
        <w:pStyle w:val="texto"/>
      </w:pPr>
      <w:r w:rsidRPr="00BC3C99">
        <w:t xml:space="preserve">D. </w:t>
      </w:r>
      <w:r>
        <w:t>P</w:t>
      </w:r>
      <w:r w:rsidRPr="00BC3C99">
        <w:t>or asistencia por los vocales a</w:t>
      </w:r>
      <w:r>
        <w:t xml:space="preserve"> reuniones y vistas de obra, trabajos de campo, inspecciones, atención a visitantes que se desarrollen en las Bardenas, 140 euros por día.</w:t>
      </w:r>
    </w:p>
    <w:p w:rsidR="00553CEB" w:rsidRDefault="00553CEB" w:rsidP="00553CEB">
      <w:pPr>
        <w:pStyle w:val="texto"/>
      </w:pPr>
      <w:r>
        <w:t>Para todos estos supuestos se establece un límite máximo anual bruto de 12.000 euros.</w:t>
      </w:r>
    </w:p>
    <w:p w:rsidR="00525BC5" w:rsidRPr="00106739" w:rsidRDefault="00553CEB" w:rsidP="00106739">
      <w:pPr>
        <w:pStyle w:val="texto"/>
      </w:pPr>
      <w:r>
        <w:t xml:space="preserve">Además se regula un régimen optativo para el presidente. Así se indica que podrá ejercer su cargo en régimen de dedicación parcial –con una dedicación mínima de 40 horas mensuales- con una retribución de 18.000 euros anuales. Esta retribución no dará derecho a la percepción de indemnizaciones por </w:t>
      </w:r>
      <w:r w:rsidRPr="00E17A92">
        <w:t>asi</w:t>
      </w:r>
      <w:r w:rsidRPr="00E17A92">
        <w:t>s</w:t>
      </w:r>
      <w:r w:rsidRPr="00E17A92">
        <w:t xml:space="preserve">tencias a reuniones. </w:t>
      </w:r>
    </w:p>
    <w:p w:rsidR="00553CEB" w:rsidRPr="003F4869" w:rsidRDefault="00553CEB" w:rsidP="003F4869">
      <w:pPr>
        <w:pStyle w:val="texto"/>
      </w:pPr>
      <w:r w:rsidRPr="003F4869">
        <w:t>En definitiva, con la nueva regulación se clarifican y normalizan los distintos conceptos retributivos a los que tienen derecho los miembros de los órganos de la Comunidad, estableciéndose unos importes y límites anuales y diseñando un modelo retributivo específico para el presidente de la misma. Debe tenerse en cuenta que el fundamento de estas percepciones es compensar a tales miembros por su dedicación a actividades realizadas a favor de la Comunidad, puesto que su ocupación laboral/profesional principal está fuera del ámbito de la entidad.</w:t>
      </w:r>
    </w:p>
    <w:p w:rsidR="00254BC7" w:rsidRPr="003F4869" w:rsidRDefault="00254BC7" w:rsidP="003F4869">
      <w:pPr>
        <w:pStyle w:val="texto"/>
      </w:pPr>
      <w:r w:rsidRPr="003F4869">
        <w:br w:type="page"/>
      </w:r>
    </w:p>
    <w:p w:rsidR="00553CEB" w:rsidRDefault="00553CEB" w:rsidP="00553CEB">
      <w:pPr>
        <w:pStyle w:val="atitulo2"/>
        <w:rPr>
          <w:lang w:val="es-ES" w:eastAsia="es-ES"/>
        </w:rPr>
      </w:pPr>
      <w:bookmarkStart w:id="49" w:name="_Toc494897117"/>
      <w:r>
        <w:rPr>
          <w:lang w:val="es-ES" w:eastAsia="es-ES"/>
        </w:rPr>
        <w:lastRenderedPageBreak/>
        <w:t>V.3. Asistencia a reuniones y conferencias</w:t>
      </w:r>
      <w:bookmarkEnd w:id="49"/>
    </w:p>
    <w:p w:rsidR="00553CEB" w:rsidRDefault="00553CEB" w:rsidP="00F95E44">
      <w:pPr>
        <w:pStyle w:val="texto"/>
        <w:tabs>
          <w:tab w:val="clear" w:pos="2835"/>
          <w:tab w:val="clear" w:pos="3969"/>
          <w:tab w:val="clear" w:pos="5103"/>
          <w:tab w:val="clear" w:pos="6237"/>
          <w:tab w:val="clear" w:pos="7371"/>
        </w:tabs>
        <w:spacing w:after="240"/>
        <w:rPr>
          <w:szCs w:val="26"/>
          <w:lang w:val="es-ES"/>
        </w:rPr>
      </w:pPr>
      <w:r>
        <w:rPr>
          <w:szCs w:val="26"/>
          <w:lang w:val="es-ES"/>
        </w:rPr>
        <w:t>Los gastos por asistencias a reuniones y conferencias han supuesto en el p</w:t>
      </w:r>
      <w:r>
        <w:rPr>
          <w:szCs w:val="26"/>
          <w:lang w:val="es-ES"/>
        </w:rPr>
        <w:t>e</w:t>
      </w:r>
      <w:r>
        <w:rPr>
          <w:szCs w:val="26"/>
          <w:lang w:val="es-ES"/>
        </w:rPr>
        <w:t>riodo 2010 a 2016 un gasto total 102.028 euros. Gráficamente, la evolución anual de dicho gasto se muestra a continuación:</w:t>
      </w:r>
    </w:p>
    <w:p w:rsidR="00524A11" w:rsidRDefault="00524A11" w:rsidP="008630F5">
      <w:pPr>
        <w:pStyle w:val="texto"/>
        <w:jc w:val="left"/>
      </w:pPr>
      <w:r>
        <w:rPr>
          <w:noProof/>
          <w:lang w:val="es-ES" w:eastAsia="es-ES"/>
        </w:rPr>
        <w:drawing>
          <wp:inline distT="0" distB="0" distL="0" distR="0" wp14:anchorId="44306960" wp14:editId="104765B0">
            <wp:extent cx="5365750" cy="2743200"/>
            <wp:effectExtent l="0" t="0" r="2540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4BC7" w:rsidRDefault="00254BC7" w:rsidP="00254BC7">
      <w:pPr>
        <w:pStyle w:val="texto"/>
        <w:spacing w:after="0"/>
      </w:pPr>
    </w:p>
    <w:p w:rsidR="00553CEB" w:rsidRPr="008D017D" w:rsidRDefault="00553CEB" w:rsidP="00254BC7">
      <w:pPr>
        <w:pStyle w:val="texto"/>
      </w:pPr>
      <w:r w:rsidRPr="008D017D">
        <w:t xml:space="preserve">Como se aprecia, se observa a lo largo de los años analizados una reducción relevante de </w:t>
      </w:r>
      <w:r w:rsidR="008630F5">
        <w:t>estos gastos</w:t>
      </w:r>
      <w:r w:rsidRPr="008D017D">
        <w:t>. Así los tres primeros años, el gasto supera los 20.000 euros</w:t>
      </w:r>
      <w:r>
        <w:t>/año</w:t>
      </w:r>
      <w:r w:rsidRPr="008D017D">
        <w:t>, destacando especialmente el ejercicio de 2011 con 50.172 euros; desde 2013, el gasto se reduce de forma muy relevante al situarse entre 1.000 y 3.000 euros; en el ejercicio de 2016, el gasto fue de 2.952 euros, es decir, un 94 por ciento inferior a la cuantía de 2011.</w:t>
      </w:r>
    </w:p>
    <w:p w:rsidR="00553CEB" w:rsidRPr="00604274" w:rsidRDefault="00553CEB" w:rsidP="00553CEB">
      <w:pPr>
        <w:pStyle w:val="texto"/>
      </w:pPr>
      <w:r w:rsidRPr="00604274">
        <w:t>Se imputan a esta partida los gastos derivados de tales asistencias: locom</w:t>
      </w:r>
      <w:r w:rsidRPr="00604274">
        <w:t>o</w:t>
      </w:r>
      <w:r w:rsidRPr="00604274">
        <w:t>ción, alojamiento, manutención, etc. Entre sus gastos incluye los gastos del vi</w:t>
      </w:r>
      <w:r w:rsidRPr="00604274">
        <w:t>a</w:t>
      </w:r>
      <w:r w:rsidRPr="00604274">
        <w:t xml:space="preserve">je a Costa Rica que se analiza en el epígrafe </w:t>
      </w:r>
      <w:r>
        <w:t>V.4.4.</w:t>
      </w:r>
    </w:p>
    <w:p w:rsidR="00553CEB" w:rsidRDefault="00553CEB" w:rsidP="00553CEB">
      <w:pPr>
        <w:pStyle w:val="texto"/>
      </w:pPr>
      <w:r w:rsidRPr="00604274">
        <w:t>El 92 por ciento del gasto es facturado por una agencia de viajes y el 6,5 por ciento se efectúa a través de las tarjetas de crédito corporativas.</w:t>
      </w:r>
    </w:p>
    <w:p w:rsidR="00553CEB" w:rsidRDefault="00553CEB" w:rsidP="00553CEB">
      <w:pPr>
        <w:pStyle w:val="texto"/>
      </w:pPr>
      <w:r>
        <w:t>Se ha revisado prácticamente el 100 por ciento del gasto imputado a este concepto presupuestario. Como conclusión, los gastos están debidamente aut</w:t>
      </w:r>
      <w:r>
        <w:t>o</w:t>
      </w:r>
      <w:r>
        <w:t>rizados, soportados y contabilizados.</w:t>
      </w:r>
    </w:p>
    <w:p w:rsidR="00553CEB" w:rsidRPr="003F4869" w:rsidRDefault="00553CEB" w:rsidP="00553CEB">
      <w:pPr>
        <w:pStyle w:val="texto"/>
      </w:pPr>
      <w:r>
        <w:t>Del análisis efectuado sobre los gastos imputados por la agencia de viajes observamos que la justificación que se presenta hace referencia a gastos der</w:t>
      </w:r>
      <w:r>
        <w:t>i</w:t>
      </w:r>
      <w:r>
        <w:t xml:space="preserve">vados de viajes organizados dentro y fuera del territorio nacional; el 84 por ciento del gasto se concentra en viajes a Chile, Costa Rica, Israel y Brasil. </w:t>
      </w:r>
      <w:r w:rsidRPr="003F4869">
        <w:t xml:space="preserve">La facturación de la agencia de viajes no siempre aporta la suficiente información para conocer el desglose o detalle del gasto total facturado. </w:t>
      </w:r>
    </w:p>
    <w:p w:rsidR="00553CEB" w:rsidRPr="00604274" w:rsidRDefault="00553CEB" w:rsidP="00F95E44">
      <w:pPr>
        <w:pStyle w:val="texto"/>
        <w:spacing w:after="240"/>
      </w:pPr>
      <w:r>
        <w:lastRenderedPageBreak/>
        <w:t>Por otra parte, en el cuadro siguiente se muestra el importe de la facturación realizada por la citada agencia de viajes en el periodo de 2010 a 2016 que ha ascendido a un total de 93.831 euros:</w:t>
      </w:r>
    </w:p>
    <w:tbl>
      <w:tblPr>
        <w:tblW w:w="8884" w:type="dxa"/>
        <w:jc w:val="center"/>
        <w:tblInd w:w="9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43"/>
        <w:gridCol w:w="1029"/>
        <w:gridCol w:w="992"/>
        <w:gridCol w:w="1009"/>
        <w:gridCol w:w="762"/>
        <w:gridCol w:w="691"/>
        <w:gridCol w:w="629"/>
        <w:gridCol w:w="829"/>
      </w:tblGrid>
      <w:tr w:rsidR="00553CEB" w:rsidRPr="003A3217" w:rsidTr="003A3217">
        <w:trPr>
          <w:trHeight w:val="315"/>
          <w:jc w:val="center"/>
        </w:trPr>
        <w:tc>
          <w:tcPr>
            <w:tcW w:w="2943" w:type="dxa"/>
            <w:shd w:val="clear" w:color="000000" w:fill="FABF8F"/>
            <w:noWrap/>
            <w:vAlign w:val="center"/>
            <w:hideMark/>
          </w:tcPr>
          <w:p w:rsidR="00553CEB" w:rsidRPr="003A3217" w:rsidRDefault="00553CEB" w:rsidP="003A3217">
            <w:pPr>
              <w:spacing w:after="0"/>
              <w:ind w:firstLine="0"/>
              <w:jc w:val="left"/>
              <w:rPr>
                <w:rFonts w:ascii="Arial" w:hAnsi="Arial" w:cs="Arial"/>
                <w:bCs/>
                <w:color w:val="000000"/>
                <w:sz w:val="18"/>
                <w:szCs w:val="18"/>
                <w:lang w:val="es-ES" w:eastAsia="es-ES"/>
              </w:rPr>
            </w:pPr>
            <w:r w:rsidRPr="003A3217">
              <w:rPr>
                <w:rFonts w:ascii="Arial" w:hAnsi="Arial" w:cs="Arial"/>
                <w:bCs/>
                <w:color w:val="000000"/>
                <w:sz w:val="18"/>
                <w:szCs w:val="18"/>
                <w:lang w:eastAsia="es-ES"/>
              </w:rPr>
              <w:t xml:space="preserve">Agencia de Viajes </w:t>
            </w:r>
          </w:p>
        </w:tc>
        <w:tc>
          <w:tcPr>
            <w:tcW w:w="102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2010</w:t>
            </w:r>
          </w:p>
        </w:tc>
        <w:tc>
          <w:tcPr>
            <w:tcW w:w="992"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2011</w:t>
            </w:r>
          </w:p>
        </w:tc>
        <w:tc>
          <w:tcPr>
            <w:tcW w:w="100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2012</w:t>
            </w:r>
          </w:p>
        </w:tc>
        <w:tc>
          <w:tcPr>
            <w:tcW w:w="762"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2013</w:t>
            </w:r>
          </w:p>
        </w:tc>
        <w:tc>
          <w:tcPr>
            <w:tcW w:w="691"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2014</w:t>
            </w:r>
          </w:p>
        </w:tc>
        <w:tc>
          <w:tcPr>
            <w:tcW w:w="629" w:type="dxa"/>
            <w:shd w:val="clear" w:color="000000" w:fill="FABF8F"/>
            <w:noWrap/>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2015</w:t>
            </w:r>
          </w:p>
        </w:tc>
        <w:tc>
          <w:tcPr>
            <w:tcW w:w="829" w:type="dxa"/>
            <w:shd w:val="clear" w:color="000000" w:fill="FABF8F"/>
            <w:vAlign w:val="center"/>
            <w:hideMark/>
          </w:tcPr>
          <w:p w:rsidR="00553CEB" w:rsidRPr="003A3217" w:rsidRDefault="00553CEB" w:rsidP="00F95E44">
            <w:pPr>
              <w:spacing w:after="0"/>
              <w:ind w:firstLine="0"/>
              <w:jc w:val="right"/>
              <w:rPr>
                <w:rFonts w:ascii="Arial" w:hAnsi="Arial" w:cs="Arial"/>
                <w:bCs/>
                <w:color w:val="000000"/>
                <w:sz w:val="18"/>
                <w:szCs w:val="18"/>
                <w:lang w:val="es-ES" w:eastAsia="es-ES"/>
              </w:rPr>
            </w:pPr>
            <w:r w:rsidRPr="003A3217">
              <w:rPr>
                <w:rFonts w:ascii="Arial" w:hAnsi="Arial" w:cs="Arial"/>
                <w:bCs/>
                <w:color w:val="000000"/>
                <w:sz w:val="18"/>
                <w:szCs w:val="18"/>
                <w:lang w:eastAsia="es-ES"/>
              </w:rPr>
              <w:t>2016</w:t>
            </w:r>
          </w:p>
        </w:tc>
      </w:tr>
      <w:tr w:rsidR="00553CEB" w:rsidRPr="00F0755F" w:rsidTr="003A3217">
        <w:trPr>
          <w:trHeight w:val="284"/>
          <w:jc w:val="center"/>
        </w:trPr>
        <w:tc>
          <w:tcPr>
            <w:tcW w:w="2943" w:type="dxa"/>
            <w:shd w:val="clear" w:color="000000" w:fill="FFFFFF"/>
            <w:vAlign w:val="center"/>
          </w:tcPr>
          <w:p w:rsidR="00553CEB" w:rsidRPr="00F0755F" w:rsidRDefault="00553CEB" w:rsidP="003A3217">
            <w:pPr>
              <w:spacing w:after="0"/>
              <w:ind w:firstLine="0"/>
              <w:jc w:val="left"/>
              <w:rPr>
                <w:rFonts w:ascii="Arial Narrow" w:hAnsi="Arial Narrow"/>
                <w:color w:val="000000"/>
                <w:lang w:val="es-ES" w:eastAsia="es-ES"/>
              </w:rPr>
            </w:pPr>
            <w:r w:rsidRPr="00F0755F">
              <w:rPr>
                <w:rFonts w:ascii="Arial Narrow" w:hAnsi="Arial Narrow"/>
                <w:color w:val="000000"/>
                <w:lang w:val="es-ES" w:eastAsia="es-ES"/>
              </w:rPr>
              <w:t>Facturación anual</w:t>
            </w:r>
          </w:p>
        </w:tc>
        <w:tc>
          <w:tcPr>
            <w:tcW w:w="1029"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18.324</w:t>
            </w:r>
          </w:p>
        </w:tc>
        <w:tc>
          <w:tcPr>
            <w:tcW w:w="992"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48.886</w:t>
            </w:r>
          </w:p>
        </w:tc>
        <w:tc>
          <w:tcPr>
            <w:tcW w:w="1009"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21.784</w:t>
            </w:r>
          </w:p>
        </w:tc>
        <w:tc>
          <w:tcPr>
            <w:tcW w:w="762"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589</w:t>
            </w:r>
          </w:p>
        </w:tc>
        <w:tc>
          <w:tcPr>
            <w:tcW w:w="691"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776</w:t>
            </w:r>
          </w:p>
        </w:tc>
        <w:tc>
          <w:tcPr>
            <w:tcW w:w="629" w:type="dxa"/>
            <w:shd w:val="clear" w:color="auto" w:fill="auto"/>
            <w:noWrap/>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740</w:t>
            </w:r>
          </w:p>
        </w:tc>
        <w:tc>
          <w:tcPr>
            <w:tcW w:w="829" w:type="dxa"/>
            <w:shd w:val="clear" w:color="auto" w:fill="auto"/>
            <w:vAlign w:val="center"/>
          </w:tcPr>
          <w:p w:rsidR="00553CEB" w:rsidRPr="00F0755F" w:rsidRDefault="00553CEB" w:rsidP="00F95E44">
            <w:pPr>
              <w:spacing w:after="0"/>
              <w:ind w:firstLine="0"/>
              <w:jc w:val="right"/>
              <w:rPr>
                <w:rFonts w:ascii="Arial Narrow" w:hAnsi="Arial Narrow"/>
                <w:color w:val="000000"/>
                <w:lang w:eastAsia="es-ES"/>
              </w:rPr>
            </w:pPr>
            <w:r w:rsidRPr="00F0755F">
              <w:rPr>
                <w:rFonts w:ascii="Arial Narrow" w:hAnsi="Arial Narrow"/>
                <w:color w:val="000000"/>
                <w:lang w:eastAsia="es-ES"/>
              </w:rPr>
              <w:t>2.732</w:t>
            </w:r>
          </w:p>
        </w:tc>
      </w:tr>
    </w:tbl>
    <w:p w:rsidR="00553CEB" w:rsidRPr="00254BC7" w:rsidRDefault="00553CEB" w:rsidP="003A3217">
      <w:pPr>
        <w:pStyle w:val="texto"/>
        <w:spacing w:before="240"/>
        <w:rPr>
          <w:spacing w:val="2"/>
        </w:rPr>
      </w:pPr>
      <w:r>
        <w:t>No consta en estos años, ni en años anteriores –en el periodo de 2006 a 2009 tal agencia facturó a la Comunidad un total de 232.630 euros</w:t>
      </w:r>
      <w:r w:rsidR="003A3217">
        <w:t>–</w:t>
      </w:r>
      <w:r>
        <w:t xml:space="preserve"> la tramitación de un expediente de contratación a tenor de lo establecido en la normativa de co</w:t>
      </w:r>
      <w:r>
        <w:t>n</w:t>
      </w:r>
      <w:r>
        <w:t>tratación pública.</w:t>
      </w:r>
      <w:r w:rsidRPr="00254BC7">
        <w:rPr>
          <w:spacing w:val="2"/>
        </w:rPr>
        <w:t xml:space="preserve"> No obstante, desde 2013 la cuantía se ha reducido de forma considerable por lo que sería suficiente, por su importe, la presentación de factura.</w:t>
      </w:r>
    </w:p>
    <w:p w:rsidR="003F4869" w:rsidRDefault="003F4869" w:rsidP="003F4869">
      <w:pPr>
        <w:pStyle w:val="texto"/>
      </w:pPr>
      <w:r w:rsidRPr="005859DD">
        <w:t>Los gastos realizados a través de tarje</w:t>
      </w:r>
      <w:r>
        <w:t>tas</w:t>
      </w:r>
      <w:r w:rsidRPr="005859DD">
        <w:t xml:space="preserve"> de crédito corporativas</w:t>
      </w:r>
      <w:r>
        <w:t>, 5.689 e</w:t>
      </w:r>
      <w:r>
        <w:t>u</w:t>
      </w:r>
      <w:r>
        <w:t>ros, se concentran en los años de 2010 a 2013 y hacen referencia a gastos der</w:t>
      </w:r>
      <w:r>
        <w:t>i</w:t>
      </w:r>
      <w:r>
        <w:t>vados fundamentalmente de asistencia a cursos.</w:t>
      </w:r>
    </w:p>
    <w:p w:rsidR="00553CEB" w:rsidRPr="00604274" w:rsidRDefault="00553CEB" w:rsidP="00553CEB">
      <w:pPr>
        <w:pStyle w:val="texto"/>
      </w:pPr>
      <w:r>
        <w:t>Recomendamos:</w:t>
      </w:r>
    </w:p>
    <w:p w:rsidR="00553CEB" w:rsidRPr="00F37113"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lang w:val="es-ES"/>
        </w:rPr>
      </w:pPr>
      <w:r w:rsidRPr="00F37113">
        <w:rPr>
          <w:i/>
          <w:lang w:val="es-ES"/>
        </w:rPr>
        <w:t xml:space="preserve">En el supuesto que se </w:t>
      </w:r>
      <w:r w:rsidR="008630F5">
        <w:rPr>
          <w:i/>
          <w:lang w:val="es-ES"/>
        </w:rPr>
        <w:t xml:space="preserve">presuma que el valor estimado </w:t>
      </w:r>
      <w:r w:rsidRPr="00F37113">
        <w:rPr>
          <w:i/>
          <w:lang w:val="es-ES"/>
        </w:rPr>
        <w:t>super</w:t>
      </w:r>
      <w:r w:rsidR="008630F5">
        <w:rPr>
          <w:i/>
          <w:lang w:val="es-ES"/>
        </w:rPr>
        <w:t>e</w:t>
      </w:r>
      <w:r w:rsidRPr="00F37113">
        <w:rPr>
          <w:i/>
          <w:lang w:val="es-ES"/>
        </w:rPr>
        <w:t xml:space="preserve"> los límites previsto</w:t>
      </w:r>
      <w:r w:rsidR="009263BE">
        <w:rPr>
          <w:i/>
          <w:lang w:val="es-ES"/>
        </w:rPr>
        <w:t xml:space="preserve">s en la legislación, </w:t>
      </w:r>
      <w:r w:rsidRPr="00F37113">
        <w:rPr>
          <w:i/>
          <w:lang w:val="es-ES"/>
        </w:rPr>
        <w:t>tramitar el oportuno expediente de contratación pública para la organización de viajes institucionales.</w:t>
      </w:r>
    </w:p>
    <w:p w:rsidR="00553CEB" w:rsidRDefault="00553CEB" w:rsidP="0054221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i/>
          <w:lang w:val="es-ES"/>
        </w:rPr>
      </w:pPr>
      <w:r w:rsidRPr="00F37113">
        <w:rPr>
          <w:i/>
          <w:lang w:val="es-ES"/>
        </w:rPr>
        <w:t>La factura emitida por la agencia de viajes debe contener la información suficiente para conocer el detalle y desglose de los gastos incurridos.</w:t>
      </w:r>
    </w:p>
    <w:p w:rsidR="00553CEB" w:rsidRDefault="00553CEB" w:rsidP="00553CEB">
      <w:pPr>
        <w:pStyle w:val="atitulo2"/>
        <w:rPr>
          <w:lang w:val="es-ES" w:eastAsia="es-ES"/>
        </w:rPr>
      </w:pPr>
      <w:bookmarkStart w:id="50" w:name="_Toc494897118"/>
      <w:r>
        <w:rPr>
          <w:lang w:val="es-ES" w:eastAsia="es-ES"/>
        </w:rPr>
        <w:t>V.4. Gastos de viaje institucionales</w:t>
      </w:r>
      <w:bookmarkEnd w:id="50"/>
    </w:p>
    <w:p w:rsidR="00553CEB" w:rsidRDefault="00553CEB" w:rsidP="00553CEB">
      <w:pPr>
        <w:pStyle w:val="texto"/>
      </w:pPr>
      <w:r>
        <w:t>De acuerdo con la petición parlamentaria, se han revisado específicamente los siguientes viajes institucionales:</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98639F">
        <w:rPr>
          <w:lang w:val="es-ES"/>
        </w:rPr>
        <w:t>Egipto, abril de 2006</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98639F">
        <w:rPr>
          <w:lang w:val="es-ES"/>
        </w:rPr>
        <w:t>Argentina, septiembre de 2007</w:t>
      </w:r>
    </w:p>
    <w:p w:rsidR="00553CEB" w:rsidRPr="0098639F"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98639F">
        <w:rPr>
          <w:lang w:val="es-ES"/>
        </w:rPr>
        <w:t>Senegal, febrero de 2008</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Costa Rica, febrero de 2012</w:t>
      </w:r>
    </w:p>
    <w:p w:rsidR="00553CEB" w:rsidRPr="00C85F9A" w:rsidRDefault="00553CEB" w:rsidP="003A3217">
      <w:pPr>
        <w:pStyle w:val="texto"/>
        <w:tabs>
          <w:tab w:val="clear" w:pos="2835"/>
          <w:tab w:val="clear" w:pos="3969"/>
          <w:tab w:val="clear" w:pos="5103"/>
          <w:tab w:val="clear" w:pos="6237"/>
          <w:tab w:val="clear" w:pos="7371"/>
        </w:tabs>
        <w:spacing w:after="240"/>
        <w:rPr>
          <w:szCs w:val="26"/>
          <w:lang w:val="es-ES"/>
        </w:rPr>
      </w:pPr>
      <w:r>
        <w:rPr>
          <w:szCs w:val="26"/>
          <w:lang w:val="es-ES"/>
        </w:rPr>
        <w:t>En el cuadro siguiente se presenta un resumen del coste total que tales viajes supusieron a la Comunidad y el número de personas que lo realizaron:</w:t>
      </w:r>
    </w:p>
    <w:tbl>
      <w:tblPr>
        <w:tblW w:w="8737" w:type="dxa"/>
        <w:jc w:val="center"/>
        <w:tblInd w:w="654" w:type="dxa"/>
        <w:tblLayout w:type="fixed"/>
        <w:tblCellMar>
          <w:left w:w="70" w:type="dxa"/>
          <w:right w:w="70" w:type="dxa"/>
        </w:tblCellMar>
        <w:tblLook w:val="00A0" w:firstRow="1" w:lastRow="0" w:firstColumn="1" w:lastColumn="0" w:noHBand="0" w:noVBand="0"/>
      </w:tblPr>
      <w:tblGrid>
        <w:gridCol w:w="3734"/>
        <w:gridCol w:w="1417"/>
        <w:gridCol w:w="2158"/>
        <w:gridCol w:w="1428"/>
      </w:tblGrid>
      <w:tr w:rsidR="00553CEB" w:rsidRPr="003A3217" w:rsidTr="003A3217">
        <w:trPr>
          <w:trHeight w:val="312"/>
          <w:jc w:val="center"/>
        </w:trPr>
        <w:tc>
          <w:tcPr>
            <w:tcW w:w="3734"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sidRPr="003A3217">
              <w:rPr>
                <w:rFonts w:ascii="Arial" w:hAnsi="Arial" w:cs="Arial"/>
                <w:sz w:val="18"/>
                <w:szCs w:val="18"/>
              </w:rPr>
              <w:t>Viajes</w:t>
            </w:r>
          </w:p>
        </w:tc>
        <w:tc>
          <w:tcPr>
            <w:tcW w:w="141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Ejercicio</w:t>
            </w:r>
          </w:p>
        </w:tc>
        <w:tc>
          <w:tcPr>
            <w:tcW w:w="215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Número de personas</w:t>
            </w:r>
          </w:p>
        </w:tc>
        <w:tc>
          <w:tcPr>
            <w:tcW w:w="14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Gasto</w:t>
            </w:r>
          </w:p>
        </w:tc>
      </w:tr>
      <w:tr w:rsidR="00553CEB" w:rsidRPr="00B23DBC" w:rsidTr="003A3217">
        <w:trPr>
          <w:trHeight w:val="255"/>
          <w:jc w:val="center"/>
        </w:trPr>
        <w:tc>
          <w:tcPr>
            <w:tcW w:w="3734" w:type="dxa"/>
            <w:tcBorders>
              <w:top w:val="single" w:sz="4" w:space="0" w:color="auto"/>
              <w:bottom w:val="single" w:sz="2" w:space="0" w:color="auto"/>
            </w:tcBorders>
            <w:vAlign w:val="center"/>
          </w:tcPr>
          <w:p w:rsidR="00553CEB" w:rsidRPr="00B23DBC" w:rsidRDefault="00553CEB" w:rsidP="003A3217">
            <w:pPr>
              <w:pStyle w:val="cuatexto"/>
              <w:jc w:val="left"/>
            </w:pPr>
            <w:r>
              <w:t>Egipto</w:t>
            </w:r>
          </w:p>
        </w:tc>
        <w:tc>
          <w:tcPr>
            <w:tcW w:w="1417" w:type="dxa"/>
            <w:tcBorders>
              <w:top w:val="single" w:sz="4" w:space="0" w:color="auto"/>
              <w:bottom w:val="single" w:sz="2" w:space="0" w:color="auto"/>
            </w:tcBorders>
            <w:vAlign w:val="center"/>
          </w:tcPr>
          <w:p w:rsidR="00553CEB" w:rsidRDefault="00553CEB" w:rsidP="003A3217">
            <w:pPr>
              <w:pStyle w:val="cuatexto"/>
              <w:jc w:val="right"/>
            </w:pPr>
            <w:r>
              <w:t>2006</w:t>
            </w:r>
          </w:p>
        </w:tc>
        <w:tc>
          <w:tcPr>
            <w:tcW w:w="2158" w:type="dxa"/>
            <w:tcBorders>
              <w:top w:val="single" w:sz="4" w:space="0" w:color="auto"/>
              <w:bottom w:val="single" w:sz="2" w:space="0" w:color="auto"/>
            </w:tcBorders>
            <w:vAlign w:val="center"/>
          </w:tcPr>
          <w:p w:rsidR="00553CEB" w:rsidRPr="00B23DBC" w:rsidRDefault="00553CEB" w:rsidP="003A3217">
            <w:pPr>
              <w:pStyle w:val="cuatexto"/>
              <w:jc w:val="right"/>
            </w:pPr>
            <w:r>
              <w:t>34</w:t>
            </w:r>
          </w:p>
        </w:tc>
        <w:tc>
          <w:tcPr>
            <w:tcW w:w="1428" w:type="dxa"/>
            <w:tcBorders>
              <w:top w:val="single" w:sz="4" w:space="0" w:color="auto"/>
              <w:bottom w:val="single" w:sz="2" w:space="0" w:color="auto"/>
            </w:tcBorders>
            <w:vAlign w:val="center"/>
          </w:tcPr>
          <w:p w:rsidR="00553CEB" w:rsidRPr="00B23DBC" w:rsidRDefault="00553CEB" w:rsidP="003A3217">
            <w:pPr>
              <w:pStyle w:val="cuatexto"/>
              <w:jc w:val="right"/>
            </w:pPr>
            <w:r>
              <w:t>64.843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Argentina</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2007</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6</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32.473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Senegal</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2008</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29</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72.003</w:t>
            </w:r>
          </w:p>
        </w:tc>
      </w:tr>
      <w:tr w:rsidR="00553CEB" w:rsidRPr="00B23DBC" w:rsidTr="003A3217">
        <w:trPr>
          <w:trHeight w:val="255"/>
          <w:jc w:val="center"/>
        </w:trPr>
        <w:tc>
          <w:tcPr>
            <w:tcW w:w="3734" w:type="dxa"/>
            <w:tcBorders>
              <w:top w:val="single" w:sz="2" w:space="0" w:color="auto"/>
              <w:bottom w:val="single" w:sz="4" w:space="0" w:color="auto"/>
            </w:tcBorders>
            <w:vAlign w:val="center"/>
          </w:tcPr>
          <w:p w:rsidR="00553CEB" w:rsidRPr="00B23DBC" w:rsidRDefault="00553CEB" w:rsidP="003A3217">
            <w:pPr>
              <w:pStyle w:val="cuatexto"/>
              <w:jc w:val="left"/>
            </w:pPr>
            <w:r>
              <w:t>Costa Rica</w:t>
            </w:r>
          </w:p>
        </w:tc>
        <w:tc>
          <w:tcPr>
            <w:tcW w:w="1417" w:type="dxa"/>
            <w:tcBorders>
              <w:top w:val="single" w:sz="2" w:space="0" w:color="auto"/>
              <w:bottom w:val="single" w:sz="4" w:space="0" w:color="auto"/>
            </w:tcBorders>
            <w:vAlign w:val="center"/>
          </w:tcPr>
          <w:p w:rsidR="00553CEB" w:rsidRDefault="00553CEB" w:rsidP="003A3217">
            <w:pPr>
              <w:pStyle w:val="cuatexto"/>
              <w:jc w:val="right"/>
            </w:pPr>
            <w:r>
              <w:t>2012</w:t>
            </w:r>
          </w:p>
        </w:tc>
        <w:tc>
          <w:tcPr>
            <w:tcW w:w="2158" w:type="dxa"/>
            <w:tcBorders>
              <w:top w:val="single" w:sz="2" w:space="0" w:color="auto"/>
              <w:bottom w:val="single" w:sz="4" w:space="0" w:color="auto"/>
            </w:tcBorders>
            <w:vAlign w:val="center"/>
          </w:tcPr>
          <w:p w:rsidR="00553CEB" w:rsidRPr="00B23DBC" w:rsidRDefault="00553CEB" w:rsidP="003A3217">
            <w:pPr>
              <w:pStyle w:val="cuatexto"/>
              <w:jc w:val="right"/>
            </w:pPr>
            <w:r>
              <w:t>5</w:t>
            </w:r>
          </w:p>
        </w:tc>
        <w:tc>
          <w:tcPr>
            <w:tcW w:w="1428" w:type="dxa"/>
            <w:tcBorders>
              <w:top w:val="single" w:sz="2" w:space="0" w:color="auto"/>
              <w:bottom w:val="single" w:sz="4" w:space="0" w:color="auto"/>
            </w:tcBorders>
            <w:vAlign w:val="center"/>
          </w:tcPr>
          <w:p w:rsidR="00553CEB" w:rsidRPr="00B23DBC" w:rsidRDefault="00553CEB" w:rsidP="003A3217">
            <w:pPr>
              <w:pStyle w:val="cuatexto"/>
              <w:jc w:val="right"/>
            </w:pPr>
            <w:r>
              <w:t>34.324</w:t>
            </w:r>
          </w:p>
        </w:tc>
      </w:tr>
      <w:tr w:rsidR="00553CEB" w:rsidRPr="003A3217" w:rsidTr="003A3217">
        <w:trPr>
          <w:trHeight w:val="284"/>
          <w:jc w:val="center"/>
        </w:trPr>
        <w:tc>
          <w:tcPr>
            <w:tcW w:w="3734"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sidRPr="003A3217">
              <w:rPr>
                <w:rFonts w:ascii="Arial" w:hAnsi="Arial" w:cs="Arial"/>
                <w:sz w:val="18"/>
                <w:szCs w:val="18"/>
              </w:rPr>
              <w:t>Total</w:t>
            </w:r>
          </w:p>
        </w:tc>
        <w:tc>
          <w:tcPr>
            <w:tcW w:w="141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p>
        </w:tc>
        <w:tc>
          <w:tcPr>
            <w:tcW w:w="215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p>
        </w:tc>
        <w:tc>
          <w:tcPr>
            <w:tcW w:w="14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203.643</w:t>
            </w:r>
          </w:p>
        </w:tc>
      </w:tr>
    </w:tbl>
    <w:p w:rsidR="00553CEB" w:rsidRDefault="00553CEB" w:rsidP="003A3217">
      <w:pPr>
        <w:pStyle w:val="texto"/>
        <w:tabs>
          <w:tab w:val="clear" w:pos="2835"/>
          <w:tab w:val="clear" w:pos="3969"/>
          <w:tab w:val="clear" w:pos="5103"/>
          <w:tab w:val="clear" w:pos="6237"/>
          <w:tab w:val="clear" w:pos="7371"/>
        </w:tabs>
        <w:spacing w:before="120" w:after="0"/>
      </w:pPr>
      <w:r>
        <w:t>Para cada uno de estos viajes se ha analizado su autorización, motivación, justificación documental y contable, asistentes y evaluación del viaje.</w:t>
      </w:r>
    </w:p>
    <w:p w:rsidR="00553CEB" w:rsidRDefault="00553CEB" w:rsidP="00553CEB">
      <w:pPr>
        <w:pStyle w:val="atitulo3"/>
      </w:pPr>
      <w:r>
        <w:lastRenderedPageBreak/>
        <w:t>V.4.1. Viaje a Egipto (2006)</w:t>
      </w:r>
    </w:p>
    <w:p w:rsidR="00553CEB" w:rsidRPr="00556006" w:rsidRDefault="00553CEB" w:rsidP="00553CEB">
      <w:pPr>
        <w:pStyle w:val="texto"/>
      </w:pPr>
      <w:r>
        <w:t>Por acuerdo de la comisión permanente de enero de 2006,</w:t>
      </w:r>
      <w:r w:rsidRPr="00556006">
        <w:t xml:space="preserve"> se autoriza la re</w:t>
      </w:r>
      <w:r w:rsidRPr="00556006">
        <w:t>a</w:t>
      </w:r>
      <w:r w:rsidRPr="00556006">
        <w:t>lización de un viaje institucional a Egipto con la finalidad de conocer las infr</w:t>
      </w:r>
      <w:r w:rsidRPr="00556006">
        <w:t>a</w:t>
      </w:r>
      <w:r w:rsidRPr="00556006">
        <w:t>estructuras y modelos de gestión para que sirvan como base del desarrollo de</w:t>
      </w:r>
      <w:r>
        <w:t>l Centro de</w:t>
      </w:r>
      <w:r w:rsidRPr="00556006">
        <w:t xml:space="preserve"> Aguilares.</w:t>
      </w:r>
      <w:r>
        <w:t xml:space="preserve"> El viaje</w:t>
      </w:r>
      <w:r w:rsidRPr="00556006">
        <w:t xml:space="preserve"> consiste en la visita de cuatro parques naturales y una reserva de la Biosfera que contiene la singularidad de que alberga una zona desértica parecida a Bardenas </w:t>
      </w:r>
      <w:r>
        <w:t xml:space="preserve">y </w:t>
      </w:r>
      <w:r w:rsidRPr="00556006">
        <w:t>que está dotada de una infraestructura que p</w:t>
      </w:r>
      <w:r w:rsidRPr="00556006">
        <w:t>u</w:t>
      </w:r>
      <w:r w:rsidRPr="00556006">
        <w:t>diera ser parecida al proyecto de Aguilares.</w:t>
      </w:r>
    </w:p>
    <w:p w:rsidR="00553CEB" w:rsidRDefault="00553CEB" w:rsidP="00553CEB">
      <w:pPr>
        <w:pStyle w:val="texto"/>
      </w:pPr>
      <w:r w:rsidRPr="004B53FE">
        <w:t xml:space="preserve">El viaje se </w:t>
      </w:r>
      <w:r>
        <w:t>realizará en el mes de abril</w:t>
      </w:r>
      <w:r w:rsidRPr="004B53FE">
        <w:t xml:space="preserve"> y será sufragado por la Comunidad e incluiría un representante por entidad congonzante así como los miembros del </w:t>
      </w:r>
      <w:r w:rsidR="009263BE">
        <w:t>C</w:t>
      </w:r>
      <w:r w:rsidRPr="004B53FE">
        <w:t>onsejo de Aguilares.</w:t>
      </w:r>
      <w:r>
        <w:t xml:space="preserve"> Este consejo está integrado por ocho representantes de la comisión permanente y tres representantes de la Junta General.</w:t>
      </w:r>
    </w:p>
    <w:p w:rsidR="00553CEB" w:rsidRPr="00F0755F" w:rsidRDefault="00553CEB" w:rsidP="00D0054E">
      <w:pPr>
        <w:pStyle w:val="atitulo40"/>
        <w:spacing w:before="240" w:after="120"/>
        <w:rPr>
          <w:rFonts w:ascii="Arial" w:hAnsi="Arial" w:cs="Arial"/>
        </w:rPr>
      </w:pPr>
      <w:r w:rsidRPr="00F0755F">
        <w:rPr>
          <w:rFonts w:ascii="Arial" w:hAnsi="Arial" w:cs="Arial"/>
        </w:rPr>
        <w:t>Objetivos del viaje</w:t>
      </w:r>
    </w:p>
    <w:p w:rsidR="00553CEB" w:rsidRPr="003A3217" w:rsidRDefault="00553CEB" w:rsidP="00553CEB">
      <w:pPr>
        <w:pStyle w:val="texto"/>
        <w:rPr>
          <w:spacing w:val="-4"/>
        </w:rPr>
      </w:pPr>
      <w:r w:rsidRPr="003A3217">
        <w:rPr>
          <w:spacing w:val="-4"/>
        </w:rPr>
        <w:t>Además de la finalidad señalada en el acuerdo de la comisión permanente, el info</w:t>
      </w:r>
      <w:r w:rsidRPr="003A3217">
        <w:rPr>
          <w:spacing w:val="-4"/>
        </w:rPr>
        <w:t>r</w:t>
      </w:r>
      <w:r w:rsidRPr="003A3217">
        <w:rPr>
          <w:spacing w:val="-4"/>
        </w:rPr>
        <w:t>me de evaluación elaborado al final del viaje incluye los siguientes objetivos del viaje:</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Facilitar un acercamiento global (político, social, cultural, económico, pa</w:t>
      </w:r>
      <w:r w:rsidRPr="004B7D2C">
        <w:rPr>
          <w:lang w:val="es-ES"/>
        </w:rPr>
        <w:t>i</w:t>
      </w:r>
      <w:r w:rsidRPr="004B7D2C">
        <w:rPr>
          <w:lang w:val="es-ES"/>
        </w:rPr>
        <w:t xml:space="preserve">sajístico…) de la situación actual de Egipto. </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 xml:space="preserve">Participar en un programa que combine conocimiento, acercamiento y comprensión de otras culturas diferentes a la que pertenecemos. </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Extraer experiencias de turismo rural gestionado por colectivos organiz</w:t>
      </w:r>
      <w:r w:rsidRPr="004B7D2C">
        <w:rPr>
          <w:lang w:val="es-ES"/>
        </w:rPr>
        <w:t>a</w:t>
      </w:r>
      <w:r w:rsidRPr="004B7D2C">
        <w:rPr>
          <w:lang w:val="es-ES"/>
        </w:rPr>
        <w:t>dos, en el marco de un intento por diversificar sus fuentes de desarrollo sin abandonar el mundo real.</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Obtener ideas para impla</w:t>
      </w:r>
      <w:r>
        <w:rPr>
          <w:lang w:val="es-ES"/>
        </w:rPr>
        <w:t>ntar</w:t>
      </w:r>
      <w:r w:rsidRPr="004B7D2C">
        <w:rPr>
          <w:lang w:val="es-ES"/>
        </w:rPr>
        <w:t xml:space="preserve"> un proyecto educativo, ecoturístico y de ge</w:t>
      </w:r>
      <w:r w:rsidRPr="004B7D2C">
        <w:rPr>
          <w:lang w:val="es-ES"/>
        </w:rPr>
        <w:t>s</w:t>
      </w:r>
      <w:r w:rsidRPr="004B7D2C">
        <w:rPr>
          <w:lang w:val="es-ES"/>
        </w:rPr>
        <w:t>tión ambiental en el Parque Natural de Bardenas, específicamente enfocado al plan constructivo de Aguilares.</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Propiciar encuentros de convivencia y relación entre personas y cargos que representan a la Comunidad de las Bardenas Reales de Navarra</w:t>
      </w:r>
      <w:r>
        <w:rPr>
          <w:lang w:val="es-ES"/>
        </w:rPr>
        <w:t>.</w:t>
      </w:r>
    </w:p>
    <w:p w:rsidR="00553CEB" w:rsidRPr="00D0054E" w:rsidRDefault="00553CEB" w:rsidP="00D0054E">
      <w:pPr>
        <w:pStyle w:val="atitulo40"/>
        <w:spacing w:before="240" w:after="120"/>
        <w:rPr>
          <w:rFonts w:ascii="Arial" w:hAnsi="Arial" w:cs="Arial"/>
        </w:rPr>
      </w:pPr>
      <w:r w:rsidRPr="00D0054E">
        <w:rPr>
          <w:rFonts w:ascii="Arial" w:hAnsi="Arial" w:cs="Arial"/>
        </w:rPr>
        <w:t xml:space="preserve">Personas </w:t>
      </w:r>
    </w:p>
    <w:p w:rsidR="00553CEB" w:rsidRPr="009263BE" w:rsidRDefault="00553CEB" w:rsidP="00553CEB">
      <w:pPr>
        <w:pStyle w:val="texto"/>
      </w:pPr>
      <w:r w:rsidRPr="009263BE">
        <w:t>A partir del citado acuerdo de la comisión permanente por el que se autoriza el viaje, consta en el expediente las comunicaciones entre la Comunidad y sus entes congozantes mediante las cuales se les ofrece la posibilidad de asistir a dicho viaje a Egipto.</w:t>
      </w:r>
    </w:p>
    <w:p w:rsidR="00553CEB" w:rsidRDefault="00553CEB" w:rsidP="00553CEB">
      <w:pPr>
        <w:pStyle w:val="texto"/>
      </w:pPr>
      <w:r w:rsidRPr="00162BEB">
        <w:t xml:space="preserve">De acuerdo con la relación que aporta la agencia de viajes, </w:t>
      </w:r>
      <w:r>
        <w:t xml:space="preserve">realizaron este </w:t>
      </w:r>
      <w:r w:rsidR="009263BE">
        <w:t xml:space="preserve">viaje </w:t>
      </w:r>
      <w:r>
        <w:t>34 personas, de acuerdo con el siguiente detalle:</w:t>
      </w:r>
    </w:p>
    <w:p w:rsidR="00553CEB" w:rsidRPr="00342A08"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342A08">
        <w:rPr>
          <w:lang w:val="es-ES"/>
        </w:rPr>
        <w:t>El presidente</w:t>
      </w:r>
      <w:r>
        <w:rPr>
          <w:lang w:val="es-ES"/>
        </w:rPr>
        <w:t xml:space="preserve"> de la Comunidad</w:t>
      </w:r>
      <w:r w:rsidRPr="00342A08">
        <w:rPr>
          <w:lang w:val="es-ES"/>
        </w:rPr>
        <w:t xml:space="preserve"> y seis vocales de la comisión permanente.</w:t>
      </w:r>
    </w:p>
    <w:p w:rsidR="00553CEB" w:rsidRPr="003D0A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3D0AD4">
        <w:rPr>
          <w:lang w:val="es-ES"/>
        </w:rPr>
        <w:lastRenderedPageBreak/>
        <w:t xml:space="preserve">Un total de 19 representantes de las entidades locales congozantes. </w:t>
      </w:r>
      <w:r w:rsidR="003F4869" w:rsidRPr="003D0AD4">
        <w:rPr>
          <w:lang w:val="es-ES"/>
        </w:rPr>
        <w:t>Así, t</w:t>
      </w:r>
      <w:r w:rsidR="003F4869" w:rsidRPr="003D0AD4">
        <w:rPr>
          <w:lang w:val="es-ES"/>
        </w:rPr>
        <w:t>o</w:t>
      </w:r>
      <w:r w:rsidR="003F4869" w:rsidRPr="003D0AD4">
        <w:rPr>
          <w:lang w:val="es-ES"/>
        </w:rPr>
        <w:t>das ellas envían un representante s</w:t>
      </w:r>
      <w:r w:rsidRPr="003D0AD4">
        <w:rPr>
          <w:lang w:val="es-ES"/>
        </w:rPr>
        <w:t>al</w:t>
      </w:r>
      <w:r w:rsidR="003F4869" w:rsidRPr="003D0AD4">
        <w:rPr>
          <w:lang w:val="es-ES"/>
        </w:rPr>
        <w:t xml:space="preserve">vo </w:t>
      </w:r>
      <w:r w:rsidRPr="003D0AD4">
        <w:rPr>
          <w:lang w:val="es-ES"/>
        </w:rPr>
        <w:t>Arguedas, Cortes, Falces y el Monast</w:t>
      </w:r>
      <w:r w:rsidRPr="003D0AD4">
        <w:rPr>
          <w:lang w:val="es-ES"/>
        </w:rPr>
        <w:t>e</w:t>
      </w:r>
      <w:r w:rsidRPr="003D0AD4">
        <w:rPr>
          <w:lang w:val="es-ES"/>
        </w:rPr>
        <w:t>rio de la Oliva</w:t>
      </w:r>
      <w:r w:rsidR="003F4869" w:rsidRPr="003D0AD4">
        <w:rPr>
          <w:lang w:val="es-ES"/>
        </w:rPr>
        <w:t xml:space="preserve">; por su parte, </w:t>
      </w:r>
      <w:r w:rsidRPr="003D0AD4">
        <w:rPr>
          <w:lang w:val="es-ES"/>
        </w:rPr>
        <w:t xml:space="preserve">Cabanillas y </w:t>
      </w:r>
      <w:proofErr w:type="spellStart"/>
      <w:r w:rsidRPr="003D0AD4">
        <w:rPr>
          <w:lang w:val="es-ES"/>
        </w:rPr>
        <w:t>Fustiñana</w:t>
      </w:r>
      <w:proofErr w:type="spellEnd"/>
      <w:r w:rsidR="003F4869" w:rsidRPr="003D0AD4">
        <w:rPr>
          <w:lang w:val="es-ES"/>
        </w:rPr>
        <w:t>, aportaron</w:t>
      </w:r>
      <w:r w:rsidRPr="003D0AD4">
        <w:rPr>
          <w:lang w:val="es-ES"/>
        </w:rPr>
        <w:t>, cada uno, dos personas.</w:t>
      </w:r>
    </w:p>
    <w:p w:rsidR="00553CEB" w:rsidRPr="00CE608A"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CE608A">
        <w:rPr>
          <w:lang w:val="es-ES"/>
        </w:rPr>
        <w:t>Seis personas en calidad de miembros del jurado del concurso de ideas s</w:t>
      </w:r>
      <w:r w:rsidRPr="00CE608A">
        <w:rPr>
          <w:lang w:val="es-ES"/>
        </w:rPr>
        <w:t>o</w:t>
      </w:r>
      <w:r w:rsidRPr="00CE608A">
        <w:rPr>
          <w:lang w:val="es-ES"/>
        </w:rPr>
        <w:t>bre Aguilares y otras dos más en representación del Consorcio Eder</w:t>
      </w:r>
      <w:r w:rsidR="001634BF" w:rsidRPr="00CE608A">
        <w:rPr>
          <w:lang w:val="es-ES"/>
        </w:rPr>
        <w:t xml:space="preserve"> –consorcio que forma parte del Consejo Asesor del Parque Natural de las Bardenas</w:t>
      </w:r>
      <w:r w:rsidR="00A91334">
        <w:rPr>
          <w:lang w:val="es-ES"/>
        </w:rPr>
        <w:t>–</w:t>
      </w:r>
      <w:r w:rsidRPr="00CE608A">
        <w:rPr>
          <w:lang w:val="es-ES"/>
        </w:rPr>
        <w:t xml:space="preserve"> y de</w:t>
      </w:r>
      <w:r w:rsidR="003D0AD4" w:rsidRPr="00CE608A">
        <w:rPr>
          <w:lang w:val="es-ES"/>
        </w:rPr>
        <w:t xml:space="preserve"> la unidad</w:t>
      </w:r>
      <w:r w:rsidRPr="00CE608A">
        <w:rPr>
          <w:lang w:val="es-ES"/>
        </w:rPr>
        <w:t xml:space="preserve"> de medio ambiente del polígono de tiro</w:t>
      </w:r>
      <w:r w:rsidR="001634BF" w:rsidRPr="00CE608A">
        <w:rPr>
          <w:lang w:val="es-ES"/>
        </w:rPr>
        <w:t xml:space="preserve"> –por sus </w:t>
      </w:r>
      <w:r w:rsidR="00BA4F3C" w:rsidRPr="00CE608A">
        <w:rPr>
          <w:lang w:val="es-ES"/>
        </w:rPr>
        <w:t>repercusiones en la gestión</w:t>
      </w:r>
      <w:r w:rsidR="00CE608A">
        <w:rPr>
          <w:lang w:val="es-ES"/>
        </w:rPr>
        <w:t xml:space="preserve"> </w:t>
      </w:r>
      <w:r w:rsidR="00C03849">
        <w:rPr>
          <w:lang w:val="es-ES"/>
        </w:rPr>
        <w:t>medioambiental</w:t>
      </w:r>
      <w:r w:rsidR="00BA4F3C" w:rsidRPr="00CE608A">
        <w:rPr>
          <w:lang w:val="es-ES"/>
        </w:rPr>
        <w:t xml:space="preserve"> del </w:t>
      </w:r>
      <w:r w:rsidR="00C03849">
        <w:rPr>
          <w:lang w:val="es-ES"/>
        </w:rPr>
        <w:t>parque</w:t>
      </w:r>
      <w:r w:rsidR="00A91334">
        <w:rPr>
          <w:lang w:val="es-ES"/>
        </w:rPr>
        <w:t>–</w:t>
      </w:r>
      <w:r w:rsidR="00CE608A">
        <w:rPr>
          <w:lang w:val="es-ES"/>
        </w:rPr>
        <w:t>.</w:t>
      </w:r>
    </w:p>
    <w:p w:rsidR="00553CEB" w:rsidRDefault="00553CEB" w:rsidP="00553CEB">
      <w:pPr>
        <w:pStyle w:val="texto"/>
      </w:pPr>
      <w:r>
        <w:t>En definitiva, no todos los asistentes al viaje estaban contemplados expres</w:t>
      </w:r>
      <w:r>
        <w:t>a</w:t>
      </w:r>
      <w:r>
        <w:t>mente en la autorización inicial de la comisión permanente.</w:t>
      </w:r>
    </w:p>
    <w:p w:rsidR="00553CEB" w:rsidRPr="00D0054E" w:rsidRDefault="00553CEB" w:rsidP="00D0054E">
      <w:pPr>
        <w:pStyle w:val="atitulo40"/>
        <w:spacing w:before="240" w:after="120"/>
        <w:rPr>
          <w:rFonts w:ascii="Arial" w:hAnsi="Arial" w:cs="Arial"/>
        </w:rPr>
      </w:pPr>
      <w:r w:rsidRPr="00D0054E">
        <w:rPr>
          <w:rFonts w:ascii="Arial" w:hAnsi="Arial" w:cs="Arial"/>
        </w:rPr>
        <w:t>Gastos del viaje</w:t>
      </w:r>
    </w:p>
    <w:p w:rsidR="00553CEB" w:rsidRPr="003A3217" w:rsidRDefault="00553CEB" w:rsidP="00553CEB">
      <w:pPr>
        <w:pStyle w:val="texto"/>
        <w:rPr>
          <w:spacing w:val="-4"/>
        </w:rPr>
      </w:pPr>
      <w:r w:rsidRPr="003A3217">
        <w:rPr>
          <w:spacing w:val="-4"/>
        </w:rPr>
        <w:t>De acuerdo con los registros contables, el gasto total del viaje ascendió a 64.843 e</w:t>
      </w:r>
      <w:r w:rsidRPr="003A3217">
        <w:rPr>
          <w:spacing w:val="-4"/>
        </w:rPr>
        <w:t>u</w:t>
      </w:r>
      <w:r w:rsidRPr="003A3217">
        <w:rPr>
          <w:spacing w:val="-4"/>
        </w:rPr>
        <w:t>ros, incluidas las dietas percibidas por los miembros de la comisión permanente.</w:t>
      </w:r>
    </w:p>
    <w:p w:rsidR="00553CEB" w:rsidRDefault="00553CEB" w:rsidP="00254BC7">
      <w:pPr>
        <w:pStyle w:val="texto"/>
        <w:spacing w:after="240"/>
      </w:pPr>
      <w:r>
        <w:t>En el cuadro siguiente se muestra el gasto anterior así como lo que supuso por persona y por persona/día.</w:t>
      </w:r>
    </w:p>
    <w:tbl>
      <w:tblPr>
        <w:tblW w:w="0" w:type="auto"/>
        <w:jc w:val="center"/>
        <w:tblLayout w:type="fixed"/>
        <w:tblCellMar>
          <w:left w:w="70" w:type="dxa"/>
          <w:right w:w="70" w:type="dxa"/>
        </w:tblCellMar>
        <w:tblLook w:val="00A0" w:firstRow="1" w:lastRow="0" w:firstColumn="1" w:lastColumn="0" w:noHBand="0" w:noVBand="0"/>
      </w:tblPr>
      <w:tblGrid>
        <w:gridCol w:w="7057"/>
        <w:gridCol w:w="1828"/>
      </w:tblGrid>
      <w:tr w:rsidR="00553CEB" w:rsidRPr="003A3217" w:rsidTr="003A3217">
        <w:trPr>
          <w:trHeight w:val="255"/>
          <w:jc w:val="center"/>
        </w:trPr>
        <w:tc>
          <w:tcPr>
            <w:tcW w:w="7057"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left"/>
              <w:rPr>
                <w:rFonts w:ascii="Arial" w:hAnsi="Arial" w:cs="Arial"/>
                <w:sz w:val="18"/>
                <w:szCs w:val="18"/>
              </w:rPr>
            </w:pPr>
            <w:r w:rsidRPr="003A3217">
              <w:rPr>
                <w:rFonts w:ascii="Arial" w:hAnsi="Arial" w:cs="Arial"/>
                <w:sz w:val="18"/>
                <w:szCs w:val="18"/>
              </w:rPr>
              <w:t>Viaje a Egipto</w:t>
            </w:r>
          </w:p>
        </w:tc>
        <w:tc>
          <w:tcPr>
            <w:tcW w:w="1828" w:type="dxa"/>
            <w:tcBorders>
              <w:top w:val="single" w:sz="4" w:space="0" w:color="auto"/>
              <w:bottom w:val="single" w:sz="4" w:space="0" w:color="auto"/>
            </w:tcBorders>
            <w:shd w:val="clear" w:color="auto" w:fill="FABF8F" w:themeFill="accent6" w:themeFillTint="99"/>
            <w:vAlign w:val="center"/>
          </w:tcPr>
          <w:p w:rsidR="00553CEB" w:rsidRPr="003A3217" w:rsidRDefault="00553CEB" w:rsidP="003A3217">
            <w:pPr>
              <w:pStyle w:val="cuatexto"/>
              <w:ind w:right="-6"/>
              <w:jc w:val="right"/>
              <w:rPr>
                <w:rFonts w:ascii="Arial" w:hAnsi="Arial" w:cs="Arial"/>
                <w:sz w:val="18"/>
                <w:szCs w:val="18"/>
              </w:rPr>
            </w:pPr>
            <w:r w:rsidRPr="003A3217">
              <w:rPr>
                <w:rFonts w:ascii="Arial" w:hAnsi="Arial" w:cs="Arial"/>
                <w:sz w:val="18"/>
                <w:szCs w:val="18"/>
              </w:rPr>
              <w:t>Importe</w:t>
            </w:r>
          </w:p>
        </w:tc>
      </w:tr>
      <w:tr w:rsidR="00553CEB" w:rsidRPr="00B23DBC" w:rsidTr="003A3217">
        <w:trPr>
          <w:trHeight w:val="255"/>
          <w:jc w:val="center"/>
        </w:trPr>
        <w:tc>
          <w:tcPr>
            <w:tcW w:w="7057" w:type="dxa"/>
            <w:tcBorders>
              <w:top w:val="single" w:sz="4" w:space="0" w:color="auto"/>
              <w:bottom w:val="single" w:sz="2" w:space="0" w:color="auto"/>
            </w:tcBorders>
            <w:shd w:val="clear" w:color="auto" w:fill="auto"/>
            <w:vAlign w:val="center"/>
          </w:tcPr>
          <w:p w:rsidR="00553CEB" w:rsidRPr="00B23DBC" w:rsidRDefault="00553CEB" w:rsidP="003A3217">
            <w:pPr>
              <w:pStyle w:val="cuatexto"/>
              <w:jc w:val="left"/>
            </w:pPr>
            <w:r>
              <w:t>Gastos del viaje facturados</w:t>
            </w:r>
          </w:p>
        </w:tc>
        <w:tc>
          <w:tcPr>
            <w:tcW w:w="1828" w:type="dxa"/>
            <w:tcBorders>
              <w:top w:val="single" w:sz="4" w:space="0" w:color="auto"/>
              <w:bottom w:val="single" w:sz="2" w:space="0" w:color="auto"/>
            </w:tcBorders>
            <w:shd w:val="clear" w:color="auto" w:fill="auto"/>
            <w:vAlign w:val="center"/>
          </w:tcPr>
          <w:p w:rsidR="00553CEB" w:rsidRPr="00B23DBC" w:rsidRDefault="00553CEB" w:rsidP="00553CEB">
            <w:pPr>
              <w:pStyle w:val="cuatexto"/>
              <w:jc w:val="right"/>
            </w:pPr>
            <w:r>
              <w:t>53.293</w:t>
            </w:r>
          </w:p>
        </w:tc>
      </w:tr>
      <w:tr w:rsidR="00553CEB" w:rsidRPr="00B23DBC" w:rsidTr="003A3217">
        <w:trPr>
          <w:trHeight w:val="255"/>
          <w:jc w:val="center"/>
        </w:trPr>
        <w:tc>
          <w:tcPr>
            <w:tcW w:w="7057" w:type="dxa"/>
            <w:tcBorders>
              <w:top w:val="single" w:sz="2" w:space="0" w:color="auto"/>
              <w:bottom w:val="single" w:sz="4" w:space="0" w:color="auto"/>
            </w:tcBorders>
            <w:shd w:val="clear" w:color="auto" w:fill="auto"/>
            <w:vAlign w:val="center"/>
          </w:tcPr>
          <w:p w:rsidR="00553CEB" w:rsidRPr="00B23DBC" w:rsidRDefault="00553CEB" w:rsidP="003A3217">
            <w:pPr>
              <w:pStyle w:val="cuatexto"/>
              <w:jc w:val="left"/>
            </w:pPr>
            <w:r>
              <w:t>Dieta 7 miembros comisión permanente</w:t>
            </w:r>
          </w:p>
        </w:tc>
        <w:tc>
          <w:tcPr>
            <w:tcW w:w="1828" w:type="dxa"/>
            <w:tcBorders>
              <w:top w:val="single" w:sz="2" w:space="0" w:color="auto"/>
              <w:bottom w:val="single" w:sz="4" w:space="0" w:color="auto"/>
            </w:tcBorders>
            <w:shd w:val="clear" w:color="auto" w:fill="auto"/>
            <w:vAlign w:val="center"/>
          </w:tcPr>
          <w:p w:rsidR="00553CEB" w:rsidRPr="00B23DBC" w:rsidRDefault="00553CEB" w:rsidP="00553CEB">
            <w:pPr>
              <w:pStyle w:val="cuatexto"/>
              <w:jc w:val="right"/>
            </w:pPr>
            <w:r>
              <w:t>11.550</w:t>
            </w:r>
          </w:p>
        </w:tc>
      </w:tr>
      <w:tr w:rsidR="00553CEB" w:rsidRPr="003A3217"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3A3217" w:rsidRDefault="00553CEB" w:rsidP="003A3217">
            <w:pPr>
              <w:pStyle w:val="cuatexto"/>
              <w:ind w:right="-6"/>
              <w:jc w:val="left"/>
              <w:rPr>
                <w:b/>
                <w:i/>
              </w:rPr>
            </w:pPr>
            <w:r w:rsidRPr="003A3217">
              <w:rPr>
                <w:b/>
                <w:i/>
              </w:rPr>
              <w:t>Total viaje Egipto</w:t>
            </w:r>
          </w:p>
        </w:tc>
        <w:tc>
          <w:tcPr>
            <w:tcW w:w="1828" w:type="dxa"/>
            <w:tcBorders>
              <w:top w:val="single" w:sz="4" w:space="0" w:color="auto"/>
              <w:bottom w:val="single" w:sz="4" w:space="0" w:color="auto"/>
            </w:tcBorders>
            <w:shd w:val="clear" w:color="auto" w:fill="auto"/>
            <w:vAlign w:val="center"/>
          </w:tcPr>
          <w:p w:rsidR="00553CEB" w:rsidRPr="003A3217" w:rsidRDefault="00553CEB" w:rsidP="00553CEB">
            <w:pPr>
              <w:pStyle w:val="cuatexto"/>
              <w:ind w:right="-6"/>
              <w:jc w:val="right"/>
              <w:rPr>
                <w:b/>
                <w:i/>
              </w:rPr>
            </w:pPr>
            <w:r w:rsidRPr="003A3217">
              <w:rPr>
                <w:b/>
                <w:i/>
              </w:rPr>
              <w:t>64.843</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F36D69" w:rsidRDefault="00553CEB" w:rsidP="003A3217">
            <w:pPr>
              <w:pStyle w:val="cuatexto"/>
              <w:ind w:right="-6"/>
              <w:jc w:val="left"/>
            </w:pPr>
            <w:r w:rsidRPr="00F36D69">
              <w:t>Número de personas</w:t>
            </w:r>
          </w:p>
        </w:tc>
        <w:tc>
          <w:tcPr>
            <w:tcW w:w="1828" w:type="dxa"/>
            <w:tcBorders>
              <w:top w:val="single" w:sz="4" w:space="0" w:color="auto"/>
              <w:bottom w:val="single" w:sz="4" w:space="0" w:color="auto"/>
            </w:tcBorders>
            <w:shd w:val="clear" w:color="auto" w:fill="auto"/>
            <w:vAlign w:val="center"/>
          </w:tcPr>
          <w:p w:rsidR="00553CEB" w:rsidRPr="00F36D69" w:rsidRDefault="00553CEB" w:rsidP="00553CEB">
            <w:pPr>
              <w:pStyle w:val="cuatexto"/>
              <w:ind w:right="-6"/>
              <w:jc w:val="right"/>
            </w:pPr>
            <w:r w:rsidRPr="00F36D69">
              <w:t>34</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sidRPr="009203F7">
              <w:rPr>
                <w:b/>
                <w:i/>
              </w:rPr>
              <w:t>Total coste por persona con derecho a dieta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sidRPr="009203F7">
              <w:rPr>
                <w:b/>
                <w:i/>
              </w:rPr>
              <w:t>3.217</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sidRPr="009203F7">
              <w:rPr>
                <w:b/>
                <w:i/>
              </w:rPr>
              <w:t>Total coste por persona sin derecho a dieta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sidRPr="009203F7">
              <w:rPr>
                <w:b/>
                <w:i/>
              </w:rPr>
              <w:t>1.567</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F36D69" w:rsidRDefault="00553CEB" w:rsidP="003A3217">
            <w:pPr>
              <w:pStyle w:val="cuatexto"/>
              <w:ind w:right="-6"/>
              <w:jc w:val="left"/>
            </w:pPr>
            <w:r w:rsidRPr="00F36D69">
              <w:t>Número de días</w:t>
            </w:r>
          </w:p>
        </w:tc>
        <w:tc>
          <w:tcPr>
            <w:tcW w:w="1828" w:type="dxa"/>
            <w:tcBorders>
              <w:top w:val="single" w:sz="4" w:space="0" w:color="auto"/>
              <w:bottom w:val="single" w:sz="4" w:space="0" w:color="auto"/>
            </w:tcBorders>
            <w:shd w:val="clear" w:color="auto" w:fill="auto"/>
            <w:vAlign w:val="center"/>
          </w:tcPr>
          <w:p w:rsidR="00553CEB" w:rsidRPr="00F36D69" w:rsidRDefault="00553CEB" w:rsidP="00553CEB">
            <w:pPr>
              <w:pStyle w:val="cuatexto"/>
              <w:ind w:right="-6"/>
              <w:jc w:val="right"/>
            </w:pPr>
            <w:r w:rsidRPr="00F36D69">
              <w:t>8</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sidRPr="009203F7">
              <w:rPr>
                <w:b/>
                <w:i/>
              </w:rPr>
              <w:t>Total coste persona con dieta/día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sidRPr="009203F7">
              <w:rPr>
                <w:b/>
                <w:i/>
              </w:rPr>
              <w:t>402</w:t>
            </w:r>
          </w:p>
        </w:tc>
      </w:tr>
      <w:tr w:rsidR="00553CEB" w:rsidRPr="00B23DBC" w:rsidTr="003A3217">
        <w:trPr>
          <w:trHeight w:val="255"/>
          <w:jc w:val="center"/>
        </w:trPr>
        <w:tc>
          <w:tcPr>
            <w:tcW w:w="7057" w:type="dxa"/>
            <w:tcBorders>
              <w:top w:val="single" w:sz="4" w:space="0" w:color="auto"/>
              <w:bottom w:val="single" w:sz="4" w:space="0" w:color="auto"/>
            </w:tcBorders>
            <w:shd w:val="clear" w:color="auto" w:fill="auto"/>
            <w:vAlign w:val="center"/>
          </w:tcPr>
          <w:p w:rsidR="00553CEB" w:rsidRPr="009203F7" w:rsidRDefault="00553CEB" w:rsidP="003A3217">
            <w:pPr>
              <w:pStyle w:val="cuatexto"/>
              <w:ind w:right="-6"/>
              <w:jc w:val="left"/>
              <w:rPr>
                <w:b/>
                <w:i/>
              </w:rPr>
            </w:pPr>
            <w:r w:rsidRPr="009203F7">
              <w:rPr>
                <w:b/>
                <w:i/>
              </w:rPr>
              <w:t>Total coste persona sin dieta/día</w:t>
            </w:r>
          </w:p>
        </w:tc>
        <w:tc>
          <w:tcPr>
            <w:tcW w:w="1828" w:type="dxa"/>
            <w:tcBorders>
              <w:top w:val="single" w:sz="4" w:space="0" w:color="auto"/>
              <w:bottom w:val="single" w:sz="4" w:space="0" w:color="auto"/>
            </w:tcBorders>
            <w:shd w:val="clear" w:color="auto" w:fill="auto"/>
            <w:vAlign w:val="center"/>
          </w:tcPr>
          <w:p w:rsidR="00553CEB" w:rsidRPr="009203F7" w:rsidRDefault="00553CEB" w:rsidP="00553CEB">
            <w:pPr>
              <w:pStyle w:val="cuatexto"/>
              <w:ind w:right="-6"/>
              <w:jc w:val="right"/>
              <w:rPr>
                <w:b/>
                <w:i/>
              </w:rPr>
            </w:pPr>
            <w:r w:rsidRPr="009203F7">
              <w:rPr>
                <w:b/>
                <w:i/>
              </w:rPr>
              <w:t>196</w:t>
            </w:r>
          </w:p>
        </w:tc>
      </w:tr>
    </w:tbl>
    <w:p w:rsidR="00321FE3" w:rsidRDefault="00321FE3" w:rsidP="00254BC7">
      <w:pPr>
        <w:pStyle w:val="texto"/>
        <w:spacing w:after="0"/>
      </w:pPr>
    </w:p>
    <w:p w:rsidR="00553CEB" w:rsidRDefault="00553CEB" w:rsidP="00553CEB">
      <w:pPr>
        <w:pStyle w:val="texto"/>
      </w:pPr>
      <w:r>
        <w:t>Los gastos de viaje propiamente están documentados en la facturación de la agencia de viajes</w:t>
      </w:r>
      <w:r w:rsidR="003D0AD4">
        <w:t>, haciéndose referencia</w:t>
      </w:r>
      <w:r>
        <w:t xml:space="preserve"> básicamente a los desplazamientos, visados, hoteles, manutención y seguros.</w:t>
      </w:r>
    </w:p>
    <w:p w:rsidR="00553CEB" w:rsidRPr="00D0054E" w:rsidRDefault="00553CEB" w:rsidP="00D0054E">
      <w:pPr>
        <w:pStyle w:val="atitulo40"/>
        <w:spacing w:before="240" w:after="120"/>
        <w:rPr>
          <w:rFonts w:ascii="Arial" w:hAnsi="Arial" w:cs="Arial"/>
        </w:rPr>
      </w:pPr>
      <w:r w:rsidRPr="00D0054E">
        <w:rPr>
          <w:rFonts w:ascii="Arial" w:hAnsi="Arial" w:cs="Arial"/>
        </w:rPr>
        <w:t>Informes de evaluación del viaje</w:t>
      </w:r>
    </w:p>
    <w:p w:rsidR="003D0AD4" w:rsidRDefault="00553CEB" w:rsidP="00553CEB">
      <w:pPr>
        <w:pStyle w:val="texto"/>
      </w:pPr>
      <w:r>
        <w:t>Consta en el expediente un informe de evaluación del viaje realizados por uno de los miembros</w:t>
      </w:r>
      <w:r w:rsidR="003D0AD4">
        <w:t xml:space="preserve"> externo a la Comunidad</w:t>
      </w:r>
      <w:r>
        <w:t xml:space="preserve"> del jurado de la concurso de ideas de Aguilares que asistió al viaje. </w:t>
      </w:r>
    </w:p>
    <w:p w:rsidR="00553CEB" w:rsidRDefault="00553CEB" w:rsidP="00553CEB">
      <w:pPr>
        <w:pStyle w:val="texto"/>
      </w:pPr>
      <w:r>
        <w:t>El informe pa</w:t>
      </w:r>
      <w:r w:rsidR="003A3217">
        <w:t>rte de los objetivos del viaje –</w:t>
      </w:r>
      <w:r>
        <w:t>ya citados en el apartado corre</w:t>
      </w:r>
      <w:r>
        <w:t>s</w:t>
      </w:r>
      <w:r>
        <w:t>pondiente anterior</w:t>
      </w:r>
      <w:r w:rsidR="003A3217">
        <w:t>–</w:t>
      </w:r>
      <w:r>
        <w:t>, el programa del viaje –que incluyó visitas de trabajo a los parques nacionales del Desierto Blanco y del Desierto Negro así como la R</w:t>
      </w:r>
      <w:r>
        <w:t>e</w:t>
      </w:r>
      <w:r>
        <w:t>serva de la Biosfera Wad</w:t>
      </w:r>
      <w:r w:rsidR="00A13AC6">
        <w:t>i Allaqi y el oasis de Bahariya–</w:t>
      </w:r>
      <w:r>
        <w:t xml:space="preserve"> y valoraciones finales.</w:t>
      </w:r>
    </w:p>
    <w:p w:rsidR="00553CEB" w:rsidRDefault="00553CEB" w:rsidP="00553CEB">
      <w:pPr>
        <w:pStyle w:val="texto"/>
      </w:pPr>
      <w:r>
        <w:lastRenderedPageBreak/>
        <w:t>En estas valoraciones, se incluye una descripción de los lugares de trabajo visitados –características, infraestructuras, estrategias…</w:t>
      </w:r>
      <w:r w:rsidR="00A13AC6">
        <w:t>–</w:t>
      </w:r>
      <w:r>
        <w:t>, si bien no constan reuniones de trabajo con sus responsables y realiza, en resumen, las siguientes valoraciones:</w:t>
      </w:r>
    </w:p>
    <w:p w:rsidR="00553CEB" w:rsidRPr="004B7D2C" w:rsidRDefault="00553CEB" w:rsidP="00A91334">
      <w:pPr>
        <w:pStyle w:val="texto"/>
        <w:numPr>
          <w:ilvl w:val="0"/>
          <w:numId w:val="2"/>
        </w:numPr>
        <w:tabs>
          <w:tab w:val="clear" w:pos="2835"/>
          <w:tab w:val="clear" w:pos="3969"/>
          <w:tab w:val="clear" w:pos="5103"/>
          <w:tab w:val="clear" w:pos="6237"/>
          <w:tab w:val="clear" w:pos="7371"/>
          <w:tab w:val="left" w:pos="480"/>
          <w:tab w:val="num" w:pos="600"/>
        </w:tabs>
        <w:ind w:left="0" w:firstLine="289"/>
        <w:rPr>
          <w:lang w:val="es-ES"/>
        </w:rPr>
      </w:pPr>
      <w:r w:rsidRPr="004B7D2C">
        <w:rPr>
          <w:lang w:val="es-ES"/>
        </w:rPr>
        <w:t xml:space="preserve">Todas las personas involucradas en el proyecto </w:t>
      </w:r>
      <w:r>
        <w:rPr>
          <w:lang w:val="es-ES"/>
        </w:rPr>
        <w:t>han asumido</w:t>
      </w:r>
      <w:r w:rsidRPr="004B7D2C">
        <w:rPr>
          <w:lang w:val="es-ES"/>
        </w:rPr>
        <w:t xml:space="preserve"> que el futuro complejo constructivo de Aguilares debe entenderse como un referente educ</w:t>
      </w:r>
      <w:r w:rsidRPr="004B7D2C">
        <w:rPr>
          <w:lang w:val="es-ES"/>
        </w:rPr>
        <w:t>a</w:t>
      </w:r>
      <w:r w:rsidRPr="004B7D2C">
        <w:rPr>
          <w:lang w:val="es-ES"/>
        </w:rPr>
        <w:t xml:space="preserve">tivo, turístico, cultural y de gestión medio ambiental del Parque </w:t>
      </w:r>
      <w:r>
        <w:rPr>
          <w:lang w:val="es-ES"/>
        </w:rPr>
        <w:t>N</w:t>
      </w:r>
      <w:r w:rsidRPr="004B7D2C">
        <w:rPr>
          <w:lang w:val="es-ES"/>
        </w:rPr>
        <w:t>atural de las Bardenas</w:t>
      </w:r>
      <w:r w:rsidR="009263BE">
        <w:rPr>
          <w:lang w:val="es-ES"/>
        </w:rPr>
        <w:t>.</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El proyecto constructivo debe ser funcional, sostenible económicamente, respetuoso con el medio ambiente e integrado en el entorno.</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Estará dotado de una programación permanente en educación medioa</w:t>
      </w:r>
      <w:r w:rsidRPr="004B7D2C">
        <w:rPr>
          <w:lang w:val="es-ES"/>
        </w:rPr>
        <w:t>m</w:t>
      </w:r>
      <w:r w:rsidRPr="004B7D2C">
        <w:rPr>
          <w:lang w:val="es-ES"/>
        </w:rPr>
        <w:t>biental que responda a los objetivos de ofrecer un espacio formativo e inform</w:t>
      </w:r>
      <w:r w:rsidRPr="004B7D2C">
        <w:rPr>
          <w:lang w:val="es-ES"/>
        </w:rPr>
        <w:t>a</w:t>
      </w:r>
      <w:r w:rsidRPr="004B7D2C">
        <w:rPr>
          <w:lang w:val="es-ES"/>
        </w:rPr>
        <w:t>tivo,</w:t>
      </w:r>
      <w:r>
        <w:rPr>
          <w:lang w:val="es-ES"/>
        </w:rPr>
        <w:t xml:space="preserve"> </w:t>
      </w:r>
      <w:r w:rsidRPr="004B7D2C">
        <w:rPr>
          <w:lang w:val="es-ES"/>
        </w:rPr>
        <w:t>además de apoyar procesos de participación e investigación en el campo ambiental.</w:t>
      </w:r>
    </w:p>
    <w:p w:rsidR="00553CEB" w:rsidRPr="00EB2544" w:rsidRDefault="00553CEB" w:rsidP="00553CEB">
      <w:pPr>
        <w:pStyle w:val="texto"/>
      </w:pPr>
      <w:r w:rsidRPr="00EB2544">
        <w:t>Para ello, los objetivos a conseguir serían:</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Acercar a los escolares navarros y foráneos la realidad ambiental, fome</w:t>
      </w:r>
      <w:r w:rsidRPr="004B7D2C">
        <w:rPr>
          <w:lang w:val="es-ES"/>
        </w:rPr>
        <w:t>n</w:t>
      </w:r>
      <w:r w:rsidRPr="004B7D2C">
        <w:rPr>
          <w:lang w:val="es-ES"/>
        </w:rPr>
        <w:t>tando el conocimiento y la valoración del patrimonio natural, cultural artístico e histórico del entorno, con una metodología de trabajo basada en la particip</w:t>
      </w:r>
      <w:r w:rsidRPr="004B7D2C">
        <w:rPr>
          <w:lang w:val="es-ES"/>
        </w:rPr>
        <w:t>a</w:t>
      </w:r>
      <w:r w:rsidRPr="004B7D2C">
        <w:rPr>
          <w:lang w:val="es-ES"/>
        </w:rPr>
        <w:t>ción activa del alumno.</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Consolidar una cultura y una concie</w:t>
      </w:r>
      <w:r>
        <w:rPr>
          <w:lang w:val="es-ES"/>
        </w:rPr>
        <w:t>ncia popular participativa tend</w:t>
      </w:r>
      <w:r w:rsidRPr="004B7D2C">
        <w:rPr>
          <w:lang w:val="es-ES"/>
        </w:rPr>
        <w:t>ente a una armónica interacción  con el medio ambiente y la naturaleza.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Suministrar información y promover actividades que tiendan a generar en la población sensibilidad y conciencia de protección del medioambiente donde habita.</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Prop</w:t>
      </w:r>
      <w:r>
        <w:rPr>
          <w:lang w:val="es-ES"/>
        </w:rPr>
        <w:t>iciar</w:t>
      </w:r>
      <w:r w:rsidRPr="004B7D2C">
        <w:rPr>
          <w:lang w:val="es-ES"/>
        </w:rPr>
        <w:t xml:space="preserve"> la formación de los alumnos y docentes en una concepción co</w:t>
      </w:r>
      <w:r w:rsidRPr="004B7D2C">
        <w:rPr>
          <w:lang w:val="es-ES"/>
        </w:rPr>
        <w:t>n</w:t>
      </w:r>
      <w:r w:rsidRPr="004B7D2C">
        <w:rPr>
          <w:lang w:val="es-ES"/>
        </w:rPr>
        <w:t>servacionista dentro del marco de las nuevas políticas globales de desarrollo sostenible.</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Vinculación con organismos e instituciones nacionales y extranjeras que se encuentren abocados a la impl</w:t>
      </w:r>
      <w:r>
        <w:rPr>
          <w:lang w:val="es-ES"/>
        </w:rPr>
        <w:t>antación</w:t>
      </w:r>
      <w:r w:rsidRPr="004B7D2C">
        <w:rPr>
          <w:lang w:val="es-ES"/>
        </w:rPr>
        <w:t xml:space="preserve"> de una gestión ambiental.</w:t>
      </w:r>
    </w:p>
    <w:p w:rsidR="00553CEB" w:rsidRPr="004B7D2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4B7D2C">
        <w:rPr>
          <w:lang w:val="es-ES"/>
        </w:rPr>
        <w:t>Implantar un sistema de información y gestión ambiental en el centro, a efectos de constituirse en una fuente permanente de información ambiental para la posterior toma de decisiones por parte de los órganos de gestión de la Com</w:t>
      </w:r>
      <w:r w:rsidRPr="004B7D2C">
        <w:rPr>
          <w:lang w:val="es-ES"/>
        </w:rPr>
        <w:t>u</w:t>
      </w:r>
      <w:r w:rsidRPr="004B7D2C">
        <w:rPr>
          <w:lang w:val="es-ES"/>
        </w:rPr>
        <w:t>nidad.</w:t>
      </w:r>
    </w:p>
    <w:p w:rsidR="00553CEB" w:rsidRPr="004B7D2C" w:rsidRDefault="00553CEB" w:rsidP="00A13AC6">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rPr>
          <w:lang w:val="es-ES"/>
        </w:rPr>
      </w:pPr>
      <w:r w:rsidRPr="004B7D2C">
        <w:rPr>
          <w:lang w:val="es-ES"/>
        </w:rPr>
        <w:t xml:space="preserve">Difundir los avances efectuados mediante publicaciones y la generación de un banco de datos e información en la </w:t>
      </w:r>
      <w:r>
        <w:rPr>
          <w:lang w:val="es-ES"/>
        </w:rPr>
        <w:t>web de la Comunidad</w:t>
      </w:r>
      <w:r w:rsidRPr="004B7D2C">
        <w:rPr>
          <w:lang w:val="es-ES"/>
        </w:rPr>
        <w:t>.</w:t>
      </w:r>
    </w:p>
    <w:p w:rsidR="00D0054E" w:rsidRDefault="00D0054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V.4.2. Viaje a Argentina (2007)</w:t>
      </w:r>
    </w:p>
    <w:p w:rsidR="00553CEB" w:rsidRPr="00963242" w:rsidRDefault="00553CEB" w:rsidP="00553CEB">
      <w:pPr>
        <w:pStyle w:val="texto"/>
      </w:pPr>
      <w:r w:rsidRPr="00963242">
        <w:t xml:space="preserve">Por acuerdo de la </w:t>
      </w:r>
      <w:r>
        <w:t>comisión permanente de julio de 2007</w:t>
      </w:r>
      <w:r w:rsidRPr="00963242">
        <w:t xml:space="preserve"> se autoriza la real</w:t>
      </w:r>
      <w:r w:rsidRPr="00963242">
        <w:t>i</w:t>
      </w:r>
      <w:r w:rsidRPr="00963242">
        <w:t>zación de un viaje institucional a Argentina con la finalidad de con</w:t>
      </w:r>
      <w:r>
        <w:t xml:space="preserve">ocer sus parques nacionales y </w:t>
      </w:r>
      <w:r w:rsidRPr="00963242">
        <w:t>sus modelos de gestión.</w:t>
      </w:r>
      <w:r>
        <w:t xml:space="preserve"> </w:t>
      </w:r>
      <w:r w:rsidRPr="00963242">
        <w:t>Asistirían</w:t>
      </w:r>
      <w:r>
        <w:t xml:space="preserve"> al mismo,</w:t>
      </w:r>
      <w:r w:rsidRPr="00963242">
        <w:t xml:space="preserve"> los vocales de la comisión permanente y los asesores de la misma que deseen realizarlo.</w:t>
      </w:r>
    </w:p>
    <w:p w:rsidR="00553CEB" w:rsidRPr="00963242" w:rsidRDefault="00553CEB" w:rsidP="00553CEB">
      <w:pPr>
        <w:pStyle w:val="texto"/>
      </w:pPr>
      <w:r w:rsidRPr="00963242">
        <w:t>En concreto, el viaje se desarrolla</w:t>
      </w:r>
      <w:r>
        <w:t>ría</w:t>
      </w:r>
      <w:r w:rsidRPr="00963242">
        <w:t xml:space="preserve"> </w:t>
      </w:r>
      <w:r>
        <w:t>en septiembre de 2007,</w:t>
      </w:r>
      <w:r w:rsidRPr="00963242">
        <w:t xml:space="preserve"> visita</w:t>
      </w:r>
      <w:r>
        <w:t>ndo</w:t>
      </w:r>
      <w:r w:rsidRPr="00963242">
        <w:t xml:space="preserve"> el parque natural de I</w:t>
      </w:r>
      <w:r>
        <w:t>schigualesto (</w:t>
      </w:r>
      <w:r w:rsidRPr="00963242">
        <w:t>declarado Patrimonio de la Humanidad</w:t>
      </w:r>
      <w:r>
        <w:t>)</w:t>
      </w:r>
      <w:r w:rsidRPr="00963242">
        <w:t>, el parque nacional de Talampaya, el parque nacional de los Glaciares y el parque nacional de Iguazú.</w:t>
      </w:r>
      <w:r>
        <w:t xml:space="preserve"> </w:t>
      </w:r>
      <w:r w:rsidRPr="00963242">
        <w:t xml:space="preserve">El expediente recoge una invitación </w:t>
      </w:r>
      <w:r>
        <w:t>del director (intende</w:t>
      </w:r>
      <w:r>
        <w:t>n</w:t>
      </w:r>
      <w:r>
        <w:t>te) del</w:t>
      </w:r>
      <w:r w:rsidRPr="00963242">
        <w:t xml:space="preserve"> parque nacional de Talampaya.</w:t>
      </w:r>
    </w:p>
    <w:p w:rsidR="00553CEB" w:rsidRPr="00D0054E" w:rsidRDefault="00553CEB" w:rsidP="00D0054E">
      <w:pPr>
        <w:pStyle w:val="atitulo40"/>
        <w:spacing w:before="240" w:after="120"/>
        <w:rPr>
          <w:rFonts w:ascii="Arial" w:hAnsi="Arial" w:cs="Arial"/>
        </w:rPr>
      </w:pPr>
      <w:r w:rsidRPr="00D0054E">
        <w:rPr>
          <w:rFonts w:ascii="Arial" w:hAnsi="Arial" w:cs="Arial"/>
        </w:rPr>
        <w:t>Objetivos del viaje</w:t>
      </w:r>
    </w:p>
    <w:p w:rsidR="00553CEB" w:rsidRPr="0098639F" w:rsidRDefault="00553CEB" w:rsidP="00553CEB">
      <w:pPr>
        <w:pStyle w:val="texto"/>
      </w:pPr>
      <w:r>
        <w:t>Además de la finalidad del acuerdo de la comisión, en uno de los informes de evaluación elaborado al final del viaje, se indica que el objetivo del viaje es</w:t>
      </w:r>
      <w:r w:rsidRPr="00910A22">
        <w:t xml:space="preserve"> conocer los regímenes de gestión y desarrollo de las fórmulas </w:t>
      </w:r>
      <w:r>
        <w:t>para su</w:t>
      </w:r>
      <w:r w:rsidRPr="00910A22">
        <w:t xml:space="preserve"> po</w:t>
      </w:r>
      <w:r>
        <w:t>tenci</w:t>
      </w:r>
      <w:r>
        <w:t>a</w:t>
      </w:r>
      <w:r>
        <w:t xml:space="preserve">ción </w:t>
      </w:r>
      <w:r w:rsidRPr="00910A22">
        <w:t>de los diversos ecosistemas</w:t>
      </w:r>
      <w:r>
        <w:t>, así</w:t>
      </w:r>
      <w:r w:rsidRPr="00910A22">
        <w:t xml:space="preserve"> como de la puesta en valor de los recursos naturales de los parques objeto de la visita a través de las entrevistas per</w:t>
      </w:r>
      <w:r>
        <w:t xml:space="preserve">sonales  con el </w:t>
      </w:r>
      <w:r w:rsidR="009263BE">
        <w:t>m</w:t>
      </w:r>
      <w:r w:rsidRPr="00910A22">
        <w:t xml:space="preserve">inistro de Educación </w:t>
      </w:r>
      <w:r>
        <w:t xml:space="preserve">de Argentina y con los directores </w:t>
      </w:r>
      <w:r w:rsidRPr="00910A22">
        <w:t>de varios esp</w:t>
      </w:r>
      <w:r w:rsidRPr="00910A22">
        <w:t>a</w:t>
      </w:r>
      <w:r w:rsidRPr="00910A22">
        <w:t>cios naturales argentinos.</w:t>
      </w:r>
    </w:p>
    <w:p w:rsidR="00553CEB" w:rsidRPr="00D0054E" w:rsidRDefault="00553CEB" w:rsidP="00D0054E">
      <w:pPr>
        <w:pStyle w:val="atitulo40"/>
        <w:spacing w:before="240" w:after="120"/>
        <w:rPr>
          <w:rFonts w:ascii="Arial" w:hAnsi="Arial" w:cs="Arial"/>
        </w:rPr>
      </w:pPr>
      <w:r w:rsidRPr="00D0054E">
        <w:rPr>
          <w:rFonts w:ascii="Arial" w:hAnsi="Arial" w:cs="Arial"/>
        </w:rPr>
        <w:t xml:space="preserve">Personas </w:t>
      </w:r>
    </w:p>
    <w:p w:rsidR="00553CEB" w:rsidRPr="00BB7BF3" w:rsidRDefault="009263BE" w:rsidP="00553CEB">
      <w:pPr>
        <w:pStyle w:val="texto"/>
      </w:pPr>
      <w:r>
        <w:t xml:space="preserve">Asisten al viaje </w:t>
      </w:r>
      <w:r w:rsidR="00553CEB">
        <w:t>seis personas: cuatro representantes de la comisión perm</w:t>
      </w:r>
      <w:r w:rsidR="00553CEB">
        <w:t>a</w:t>
      </w:r>
      <w:r w:rsidR="00553CEB">
        <w:t xml:space="preserve">nente, un miembro del jurado del concurso de ideas en representación de Funes y un representante de la Fundación de Historia Natural Félix de Azara. </w:t>
      </w:r>
    </w:p>
    <w:p w:rsidR="00553CEB" w:rsidRPr="00D0054E" w:rsidRDefault="00553CEB" w:rsidP="00D0054E">
      <w:pPr>
        <w:pStyle w:val="atitulo40"/>
        <w:spacing w:before="240" w:after="120"/>
        <w:rPr>
          <w:rFonts w:ascii="Arial" w:hAnsi="Arial" w:cs="Arial"/>
        </w:rPr>
      </w:pPr>
      <w:r w:rsidRPr="00D0054E">
        <w:rPr>
          <w:rFonts w:ascii="Arial" w:hAnsi="Arial" w:cs="Arial"/>
        </w:rPr>
        <w:t>Gastos del viaje</w:t>
      </w:r>
    </w:p>
    <w:p w:rsidR="00553CEB" w:rsidRDefault="00553CEB" w:rsidP="00553CEB">
      <w:pPr>
        <w:pStyle w:val="texto"/>
      </w:pPr>
      <w:r>
        <w:t>El viaje organizado a Argentina sufrió importantes alteraciones por incide</w:t>
      </w:r>
      <w:r>
        <w:t>n</w:t>
      </w:r>
      <w:r>
        <w:t>cias en los vuelos de avión, por lo que la propia agencia de viajes solicitó el r</w:t>
      </w:r>
      <w:r>
        <w:t>e</w:t>
      </w:r>
      <w:r>
        <w:t>integro parcial de 3.060 euros; este importe fue reintegrado a la Comunidad.</w:t>
      </w:r>
    </w:p>
    <w:p w:rsidR="00553CEB" w:rsidRPr="00910A22" w:rsidRDefault="00553CEB" w:rsidP="00553CEB">
      <w:pPr>
        <w:pStyle w:val="texto"/>
      </w:pPr>
      <w:r w:rsidRPr="00910A22">
        <w:t xml:space="preserve">La reunión con el ministro </w:t>
      </w:r>
      <w:r>
        <w:t>y la visita</w:t>
      </w:r>
      <w:r w:rsidRPr="00910A22">
        <w:t xml:space="preserve"> </w:t>
      </w:r>
      <w:r>
        <w:t xml:space="preserve">al parque </w:t>
      </w:r>
      <w:r w:rsidRPr="00910A22">
        <w:t>de Ischigualasto</w:t>
      </w:r>
      <w:r>
        <w:t xml:space="preserve"> se cancelan</w:t>
      </w:r>
      <w:r w:rsidRPr="00910A22">
        <w:t xml:space="preserve"> debido a los </w:t>
      </w:r>
      <w:r>
        <w:t xml:space="preserve">citados </w:t>
      </w:r>
      <w:r w:rsidRPr="00910A22">
        <w:t>retrasos</w:t>
      </w:r>
      <w:r>
        <w:t xml:space="preserve"> y aplazamientos</w:t>
      </w:r>
      <w:r w:rsidRPr="00910A22">
        <w:t xml:space="preserve"> de los vuelos</w:t>
      </w:r>
      <w:r>
        <w:t>.</w:t>
      </w:r>
    </w:p>
    <w:p w:rsidR="00553CEB" w:rsidRDefault="00553CEB" w:rsidP="00553CEB">
      <w:pPr>
        <w:pStyle w:val="texto"/>
      </w:pPr>
      <w:r>
        <w:t>De acuerdo con los registros contables, el gasto neto total del viaje ascendió a 32.473 euros, deducido el anterior reintegro e incluidas las dietas percibidas por los miembros de la comisión permanente.</w:t>
      </w:r>
    </w:p>
    <w:p w:rsidR="00D0054E" w:rsidRDefault="00D0054E">
      <w:pPr>
        <w:spacing w:after="0"/>
        <w:ind w:firstLine="0"/>
        <w:jc w:val="left"/>
        <w:rPr>
          <w:spacing w:val="6"/>
          <w:sz w:val="26"/>
          <w:szCs w:val="24"/>
        </w:rPr>
      </w:pPr>
      <w:r>
        <w:br w:type="page"/>
      </w:r>
    </w:p>
    <w:p w:rsidR="00553CEB" w:rsidRDefault="00553CEB" w:rsidP="00A13AC6">
      <w:pPr>
        <w:pStyle w:val="texto"/>
        <w:spacing w:after="240"/>
      </w:pPr>
      <w:r>
        <w:lastRenderedPageBreak/>
        <w:t>En el cuadro siguiente se muestra el gasto anterior así como lo que supuso por persona y por persona/día.</w:t>
      </w:r>
    </w:p>
    <w:tbl>
      <w:tblPr>
        <w:tblW w:w="0" w:type="auto"/>
        <w:jc w:val="center"/>
        <w:tblLayout w:type="fixed"/>
        <w:tblCellMar>
          <w:left w:w="70" w:type="dxa"/>
          <w:right w:w="70" w:type="dxa"/>
        </w:tblCellMar>
        <w:tblLook w:val="00A0" w:firstRow="1" w:lastRow="0" w:firstColumn="1" w:lastColumn="0" w:noHBand="0" w:noVBand="0"/>
      </w:tblPr>
      <w:tblGrid>
        <w:gridCol w:w="6569"/>
        <w:gridCol w:w="2100"/>
      </w:tblGrid>
      <w:tr w:rsidR="00553CEB" w:rsidRPr="00A13AC6" w:rsidTr="00A13AC6">
        <w:trPr>
          <w:trHeight w:val="284"/>
          <w:jc w:val="center"/>
        </w:trPr>
        <w:tc>
          <w:tcPr>
            <w:tcW w:w="6569"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left"/>
              <w:rPr>
                <w:rFonts w:ascii="Arial" w:hAnsi="Arial" w:cs="Arial"/>
                <w:sz w:val="18"/>
                <w:szCs w:val="18"/>
              </w:rPr>
            </w:pPr>
            <w:r w:rsidRPr="00A13AC6">
              <w:rPr>
                <w:rFonts w:ascii="Arial" w:hAnsi="Arial" w:cs="Arial"/>
                <w:sz w:val="18"/>
                <w:szCs w:val="18"/>
              </w:rPr>
              <w:t>Viaje a Argentina</w:t>
            </w:r>
          </w:p>
        </w:tc>
        <w:tc>
          <w:tcPr>
            <w:tcW w:w="2100"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right"/>
              <w:rPr>
                <w:rFonts w:ascii="Arial" w:hAnsi="Arial" w:cs="Arial"/>
                <w:sz w:val="18"/>
                <w:szCs w:val="18"/>
              </w:rPr>
            </w:pPr>
            <w:r w:rsidRPr="00A13AC6">
              <w:rPr>
                <w:rFonts w:ascii="Arial" w:hAnsi="Arial" w:cs="Arial"/>
                <w:sz w:val="18"/>
                <w:szCs w:val="18"/>
              </w:rPr>
              <w:t>Importe</w:t>
            </w:r>
          </w:p>
        </w:tc>
      </w:tr>
      <w:tr w:rsidR="00553CEB" w:rsidRPr="00B23DBC" w:rsidTr="00A13AC6">
        <w:trPr>
          <w:trHeight w:val="284"/>
          <w:jc w:val="center"/>
        </w:trPr>
        <w:tc>
          <w:tcPr>
            <w:tcW w:w="6569" w:type="dxa"/>
            <w:tcBorders>
              <w:top w:val="single" w:sz="4" w:space="0" w:color="auto"/>
              <w:bottom w:val="single" w:sz="2" w:space="0" w:color="auto"/>
            </w:tcBorders>
            <w:vAlign w:val="center"/>
          </w:tcPr>
          <w:p w:rsidR="00553CEB" w:rsidRPr="00B23DBC" w:rsidRDefault="00553CEB" w:rsidP="00A13AC6">
            <w:pPr>
              <w:pStyle w:val="cuatexto"/>
              <w:jc w:val="left"/>
            </w:pPr>
            <w:r>
              <w:t>Gastos del viaje facturados (deducido el reintegro)</w:t>
            </w:r>
          </w:p>
        </w:tc>
        <w:tc>
          <w:tcPr>
            <w:tcW w:w="2100" w:type="dxa"/>
            <w:tcBorders>
              <w:top w:val="single" w:sz="4" w:space="0" w:color="auto"/>
              <w:bottom w:val="single" w:sz="2" w:space="0" w:color="auto"/>
            </w:tcBorders>
            <w:vAlign w:val="center"/>
          </w:tcPr>
          <w:p w:rsidR="00553CEB" w:rsidRPr="00B23DBC" w:rsidRDefault="00553CEB" w:rsidP="00A13AC6">
            <w:pPr>
              <w:pStyle w:val="cuatexto"/>
              <w:jc w:val="right"/>
            </w:pPr>
            <w:r>
              <w:t>21.323</w:t>
            </w:r>
          </w:p>
        </w:tc>
      </w:tr>
      <w:tr w:rsidR="00553CEB" w:rsidRPr="00B23DBC" w:rsidTr="00A13AC6">
        <w:trPr>
          <w:trHeight w:val="284"/>
          <w:jc w:val="center"/>
        </w:trPr>
        <w:tc>
          <w:tcPr>
            <w:tcW w:w="6569" w:type="dxa"/>
            <w:tcBorders>
              <w:top w:val="single" w:sz="2" w:space="0" w:color="auto"/>
              <w:bottom w:val="single" w:sz="4" w:space="0" w:color="auto"/>
            </w:tcBorders>
            <w:vAlign w:val="center"/>
          </w:tcPr>
          <w:p w:rsidR="00553CEB" w:rsidRPr="00B23DBC" w:rsidRDefault="00553CEB" w:rsidP="00A13AC6">
            <w:pPr>
              <w:pStyle w:val="cuatexto"/>
              <w:jc w:val="left"/>
            </w:pPr>
            <w:r>
              <w:t>Dieta 4 miembros comisión permanente</w:t>
            </w:r>
          </w:p>
        </w:tc>
        <w:tc>
          <w:tcPr>
            <w:tcW w:w="2100" w:type="dxa"/>
            <w:tcBorders>
              <w:top w:val="single" w:sz="2" w:space="0" w:color="auto"/>
              <w:bottom w:val="single" w:sz="4" w:space="0" w:color="auto"/>
            </w:tcBorders>
            <w:vAlign w:val="center"/>
          </w:tcPr>
          <w:p w:rsidR="00553CEB" w:rsidRPr="00B23DBC" w:rsidRDefault="00553CEB" w:rsidP="00A13AC6">
            <w:pPr>
              <w:pStyle w:val="cuatexto"/>
              <w:jc w:val="right"/>
            </w:pPr>
            <w:r>
              <w:t>11.150</w:t>
            </w:r>
          </w:p>
        </w:tc>
      </w:tr>
      <w:tr w:rsidR="00553CEB" w:rsidRPr="00A13AC6" w:rsidTr="00A13AC6">
        <w:trPr>
          <w:trHeight w:val="284"/>
          <w:jc w:val="center"/>
        </w:trPr>
        <w:tc>
          <w:tcPr>
            <w:tcW w:w="6569"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left"/>
              <w:rPr>
                <w:rFonts w:ascii="Arial" w:hAnsi="Arial" w:cs="Arial"/>
                <w:sz w:val="18"/>
                <w:szCs w:val="18"/>
              </w:rPr>
            </w:pPr>
            <w:r w:rsidRPr="00A13AC6">
              <w:rPr>
                <w:rFonts w:ascii="Arial" w:hAnsi="Arial" w:cs="Arial"/>
                <w:sz w:val="18"/>
                <w:szCs w:val="18"/>
              </w:rPr>
              <w:t>Total viaje Argentina</w:t>
            </w:r>
          </w:p>
        </w:tc>
        <w:tc>
          <w:tcPr>
            <w:tcW w:w="2100" w:type="dxa"/>
            <w:tcBorders>
              <w:top w:val="single" w:sz="4" w:space="0" w:color="auto"/>
              <w:bottom w:val="single" w:sz="4" w:space="0" w:color="auto"/>
            </w:tcBorders>
            <w:shd w:val="clear" w:color="auto" w:fill="FABF8F" w:themeFill="accent6" w:themeFillTint="99"/>
            <w:vAlign w:val="center"/>
          </w:tcPr>
          <w:p w:rsidR="00553CEB" w:rsidRPr="00A13AC6" w:rsidRDefault="00553CEB" w:rsidP="00A13AC6">
            <w:pPr>
              <w:pStyle w:val="cuatexto"/>
              <w:ind w:right="-6"/>
              <w:jc w:val="right"/>
              <w:rPr>
                <w:rFonts w:ascii="Arial" w:hAnsi="Arial" w:cs="Arial"/>
                <w:sz w:val="18"/>
                <w:szCs w:val="18"/>
              </w:rPr>
            </w:pPr>
            <w:r w:rsidRPr="00A13AC6">
              <w:rPr>
                <w:rFonts w:ascii="Arial" w:hAnsi="Arial" w:cs="Arial"/>
                <w:sz w:val="18"/>
                <w:szCs w:val="18"/>
              </w:rPr>
              <w:t>32.473</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left"/>
            </w:pPr>
            <w:r w:rsidRPr="00F36D69">
              <w:t>Número de personas</w:t>
            </w:r>
          </w:p>
        </w:tc>
        <w:tc>
          <w:tcPr>
            <w:tcW w:w="2100"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right"/>
            </w:pPr>
            <w:r>
              <w:t>6</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sidRPr="0039308A">
              <w:rPr>
                <w:b/>
                <w:i/>
              </w:rPr>
              <w:t>Total coste por persona con derecho a dieta</w:t>
            </w:r>
          </w:p>
        </w:tc>
        <w:tc>
          <w:tcPr>
            <w:tcW w:w="2100" w:type="dxa"/>
            <w:tcBorders>
              <w:top w:val="single" w:sz="4" w:space="0" w:color="auto"/>
              <w:bottom w:val="single" w:sz="4" w:space="0" w:color="auto"/>
            </w:tcBorders>
            <w:shd w:val="clear" w:color="auto" w:fill="auto"/>
            <w:vAlign w:val="center"/>
          </w:tcPr>
          <w:p w:rsidR="00553CEB" w:rsidRPr="00934550" w:rsidRDefault="00553CEB" w:rsidP="00A13AC6">
            <w:pPr>
              <w:pStyle w:val="cuatexto"/>
              <w:ind w:right="-6"/>
              <w:jc w:val="right"/>
              <w:rPr>
                <w:b/>
                <w:i/>
              </w:rPr>
            </w:pPr>
            <w:r>
              <w:rPr>
                <w:b/>
                <w:i/>
              </w:rPr>
              <w:t>6.342</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sidRPr="0039308A">
              <w:rPr>
                <w:b/>
                <w:i/>
              </w:rPr>
              <w:t>Total coste por persona sin derecho a dieta</w:t>
            </w:r>
          </w:p>
        </w:tc>
        <w:tc>
          <w:tcPr>
            <w:tcW w:w="2100" w:type="dxa"/>
            <w:tcBorders>
              <w:top w:val="single" w:sz="4" w:space="0" w:color="auto"/>
              <w:bottom w:val="single" w:sz="4" w:space="0" w:color="auto"/>
            </w:tcBorders>
            <w:shd w:val="clear" w:color="auto" w:fill="auto"/>
            <w:vAlign w:val="center"/>
          </w:tcPr>
          <w:p w:rsidR="00553CEB" w:rsidRPr="00934550" w:rsidRDefault="00553CEB" w:rsidP="00A13AC6">
            <w:pPr>
              <w:pStyle w:val="cuatexto"/>
              <w:ind w:right="-6"/>
              <w:jc w:val="right"/>
              <w:rPr>
                <w:b/>
                <w:i/>
              </w:rPr>
            </w:pPr>
            <w:r>
              <w:rPr>
                <w:b/>
                <w:i/>
              </w:rPr>
              <w:t>3.554</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left"/>
            </w:pPr>
            <w:r w:rsidRPr="00F36D69">
              <w:t>Número de días</w:t>
            </w:r>
          </w:p>
        </w:tc>
        <w:tc>
          <w:tcPr>
            <w:tcW w:w="2100" w:type="dxa"/>
            <w:tcBorders>
              <w:top w:val="single" w:sz="4" w:space="0" w:color="auto"/>
              <w:bottom w:val="single" w:sz="4" w:space="0" w:color="auto"/>
            </w:tcBorders>
            <w:shd w:val="clear" w:color="auto" w:fill="auto"/>
            <w:vAlign w:val="center"/>
          </w:tcPr>
          <w:p w:rsidR="00553CEB" w:rsidRPr="00F36D69" w:rsidRDefault="00553CEB" w:rsidP="00A13AC6">
            <w:pPr>
              <w:pStyle w:val="cuatexto"/>
              <w:ind w:right="-6"/>
              <w:jc w:val="right"/>
            </w:pPr>
            <w:r>
              <w:t>11</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sidRPr="0039308A">
              <w:rPr>
                <w:b/>
                <w:i/>
              </w:rPr>
              <w:t>Total coste persona con dieta/día</w:t>
            </w:r>
          </w:p>
        </w:tc>
        <w:tc>
          <w:tcPr>
            <w:tcW w:w="2100" w:type="dxa"/>
            <w:tcBorders>
              <w:top w:val="single" w:sz="4" w:space="0" w:color="auto"/>
              <w:bottom w:val="single" w:sz="4" w:space="0" w:color="auto"/>
            </w:tcBorders>
            <w:shd w:val="clear" w:color="auto" w:fill="auto"/>
            <w:vAlign w:val="center"/>
          </w:tcPr>
          <w:p w:rsidR="00553CEB" w:rsidRPr="00BA64F0" w:rsidRDefault="00553CEB" w:rsidP="00A13AC6">
            <w:pPr>
              <w:pStyle w:val="cuatexto"/>
              <w:ind w:right="-6"/>
              <w:jc w:val="right"/>
              <w:rPr>
                <w:b/>
                <w:i/>
              </w:rPr>
            </w:pPr>
            <w:r>
              <w:rPr>
                <w:b/>
                <w:i/>
              </w:rPr>
              <w:t>577</w:t>
            </w:r>
          </w:p>
        </w:tc>
      </w:tr>
      <w:tr w:rsidR="00553CEB" w:rsidRPr="00B23DBC" w:rsidTr="00A13AC6">
        <w:trPr>
          <w:trHeight w:val="284"/>
          <w:jc w:val="center"/>
        </w:trPr>
        <w:tc>
          <w:tcPr>
            <w:tcW w:w="6569" w:type="dxa"/>
            <w:tcBorders>
              <w:top w:val="single" w:sz="4" w:space="0" w:color="auto"/>
              <w:bottom w:val="single" w:sz="4" w:space="0" w:color="auto"/>
            </w:tcBorders>
            <w:shd w:val="clear" w:color="auto" w:fill="auto"/>
            <w:vAlign w:val="center"/>
          </w:tcPr>
          <w:p w:rsidR="00553CEB" w:rsidRPr="0039308A" w:rsidRDefault="00553CEB" w:rsidP="00A13AC6">
            <w:pPr>
              <w:pStyle w:val="cuatexto"/>
              <w:ind w:right="-6"/>
              <w:jc w:val="left"/>
              <w:rPr>
                <w:b/>
                <w:i/>
              </w:rPr>
            </w:pPr>
            <w:r w:rsidRPr="0039308A">
              <w:rPr>
                <w:b/>
                <w:i/>
              </w:rPr>
              <w:t>Total coste persona sin dieta/día</w:t>
            </w:r>
          </w:p>
        </w:tc>
        <w:tc>
          <w:tcPr>
            <w:tcW w:w="2100" w:type="dxa"/>
            <w:tcBorders>
              <w:top w:val="single" w:sz="4" w:space="0" w:color="auto"/>
              <w:bottom w:val="single" w:sz="4" w:space="0" w:color="auto"/>
            </w:tcBorders>
            <w:shd w:val="clear" w:color="auto" w:fill="auto"/>
            <w:vAlign w:val="center"/>
          </w:tcPr>
          <w:p w:rsidR="00553CEB" w:rsidRPr="00BA64F0" w:rsidRDefault="00553CEB" w:rsidP="00A13AC6">
            <w:pPr>
              <w:pStyle w:val="cuatexto"/>
              <w:ind w:right="-6"/>
              <w:jc w:val="right"/>
              <w:rPr>
                <w:b/>
                <w:i/>
              </w:rPr>
            </w:pPr>
            <w:r>
              <w:rPr>
                <w:b/>
                <w:i/>
              </w:rPr>
              <w:t>323</w:t>
            </w:r>
          </w:p>
        </w:tc>
      </w:tr>
    </w:tbl>
    <w:p w:rsidR="00553CEB" w:rsidRDefault="00553CEB" w:rsidP="00A13AC6">
      <w:pPr>
        <w:pStyle w:val="texto"/>
        <w:spacing w:after="0"/>
      </w:pPr>
    </w:p>
    <w:p w:rsidR="00553CEB" w:rsidRDefault="00553CEB" w:rsidP="00A13AC6">
      <w:pPr>
        <w:pStyle w:val="texto"/>
        <w:spacing w:after="240"/>
      </w:pPr>
      <w:r>
        <w:t>Los gastos de viaje propiamente están documentados en la facturación de la agencia de viajes</w:t>
      </w:r>
      <w:r w:rsidR="00FC4DE0">
        <w:t>, haciéndose referencia</w:t>
      </w:r>
      <w:r>
        <w:t xml:space="preserve"> fundamentalmente a los desplazamie</w:t>
      </w:r>
      <w:r>
        <w:t>n</w:t>
      </w:r>
      <w:r>
        <w:t>tos, visados, hoteles, manutención y seguros.</w:t>
      </w:r>
    </w:p>
    <w:p w:rsidR="00553CEB" w:rsidRPr="00D0054E" w:rsidRDefault="00553CEB" w:rsidP="00D0054E">
      <w:pPr>
        <w:pStyle w:val="atitulo40"/>
        <w:spacing w:before="240" w:after="120"/>
        <w:rPr>
          <w:rFonts w:ascii="Arial" w:hAnsi="Arial" w:cs="Arial"/>
        </w:rPr>
      </w:pPr>
      <w:r w:rsidRPr="00D0054E">
        <w:rPr>
          <w:rFonts w:ascii="Arial" w:hAnsi="Arial" w:cs="Arial"/>
        </w:rPr>
        <w:t>Informes de evaluación del viaje</w:t>
      </w:r>
    </w:p>
    <w:p w:rsidR="00553CEB" w:rsidRPr="00EC64B8" w:rsidRDefault="00553CEB" w:rsidP="00553CEB">
      <w:pPr>
        <w:pStyle w:val="texto"/>
      </w:pPr>
      <w:r w:rsidRPr="00EC64B8">
        <w:t>El expediente contiene tres informes de evaluación del viaje:</w:t>
      </w:r>
    </w:p>
    <w:p w:rsidR="00553CEB" w:rsidRPr="006415C1" w:rsidRDefault="00553CEB" w:rsidP="00553CEB">
      <w:pPr>
        <w:pStyle w:val="texto"/>
      </w:pPr>
      <w:r w:rsidRPr="006415C1">
        <w:t>a) Informe, fechado en octubre de 2007, que no identifica al autor/autores del mismo. Adjunta programa previsto, información general de los parques v</w:t>
      </w:r>
      <w:r w:rsidRPr="006415C1">
        <w:t>i</w:t>
      </w:r>
      <w:r w:rsidRPr="006415C1">
        <w:t xml:space="preserve">sitados y resumen de la visita. </w:t>
      </w:r>
    </w:p>
    <w:p w:rsidR="00553CEB" w:rsidRPr="006415C1" w:rsidRDefault="00553CEB" w:rsidP="00553CEB">
      <w:pPr>
        <w:pStyle w:val="texto"/>
      </w:pPr>
      <w:r>
        <w:t xml:space="preserve">b) </w:t>
      </w:r>
      <w:r w:rsidRPr="006415C1">
        <w:t>Informe de un asesor de la comisión permanente que, entre otros aspectos, marca la estrategia en materia de turismo que, en su opinión, debe materializar la Comunidad.</w:t>
      </w:r>
    </w:p>
    <w:p w:rsidR="00553CEB" w:rsidRPr="006415C1" w:rsidRDefault="00553CEB" w:rsidP="00553CEB">
      <w:pPr>
        <w:pStyle w:val="texto"/>
      </w:pPr>
      <w:r>
        <w:t xml:space="preserve">c) </w:t>
      </w:r>
      <w:r w:rsidRPr="006415C1">
        <w:t xml:space="preserve">Informe presentado por tres miembros de la comisión permanente y otra persona sin identificar en el que se analiza el mismo. </w:t>
      </w:r>
    </w:p>
    <w:p w:rsidR="00553CEB" w:rsidRDefault="00553CEB" w:rsidP="00553CEB">
      <w:pPr>
        <w:pStyle w:val="texto"/>
      </w:pPr>
      <w:r>
        <w:t>De l</w:t>
      </w:r>
      <w:r w:rsidRPr="00EE5B7A">
        <w:t>as principales conclusiones que se deducen de la visita destacamos:</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De los tres parques que se visitan, el de Talampaya es el que presenta más similitudes con las Bardenas y en el que se realizan intercambio</w:t>
      </w:r>
      <w:r w:rsidR="009263BE">
        <w:rPr>
          <w:lang w:val="es-ES"/>
        </w:rPr>
        <w:t>s</w:t>
      </w:r>
      <w:r w:rsidRPr="0098639F">
        <w:rPr>
          <w:lang w:val="es-ES"/>
        </w:rPr>
        <w:t xml:space="preserve"> de ideas con sus responsables. De los otros dos parques prácticamente no se mencionan a</w:t>
      </w:r>
      <w:r w:rsidRPr="0098639F">
        <w:rPr>
          <w:lang w:val="es-ES"/>
        </w:rPr>
        <w:t>s</w:t>
      </w:r>
      <w:r w:rsidRPr="0098639F">
        <w:rPr>
          <w:lang w:val="es-ES"/>
        </w:rPr>
        <w:t>pectos técnicos derivados de su vista.</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El hecho de que el parque natural de las Bardenas esté gestionado por una única entidad resulta muy ventajoso a la hora de fijar una política turística, agraria, ganadera común que vaya en consonancia con su protección y conse</w:t>
      </w:r>
      <w:r w:rsidRPr="0098639F">
        <w:rPr>
          <w:lang w:val="es-ES"/>
        </w:rPr>
        <w:t>r</w:t>
      </w:r>
      <w:r w:rsidRPr="0098639F">
        <w:rPr>
          <w:lang w:val="es-ES"/>
        </w:rPr>
        <w:t>vación.</w:t>
      </w:r>
    </w:p>
    <w:p w:rsidR="00553CEB" w:rsidRPr="0098639F"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8639F">
        <w:rPr>
          <w:lang w:val="es-ES"/>
        </w:rPr>
        <w:t xml:space="preserve">La promoción turística de las Bardenas debe ir en consonancia con una oferta de infraestructuras turísticas básicas: señalización, centro de recepción de visitantes, red de senderos e itinerarios, actividades en las naturaleza, etc. </w:t>
      </w:r>
    </w:p>
    <w:p w:rsidR="00553CEB" w:rsidRPr="0098639F" w:rsidRDefault="00553CEB" w:rsidP="00A13AC6">
      <w:pPr>
        <w:pStyle w:val="texto"/>
        <w:spacing w:before="120" w:after="240"/>
        <w:rPr>
          <w:lang w:val="es-ES"/>
        </w:rPr>
      </w:pPr>
      <w:r w:rsidRPr="0098639F">
        <w:rPr>
          <w:lang w:val="es-ES"/>
        </w:rPr>
        <w:lastRenderedPageBreak/>
        <w:t xml:space="preserve">Se </w:t>
      </w:r>
      <w:r w:rsidRPr="00A13AC6">
        <w:t>proponen</w:t>
      </w:r>
      <w:r w:rsidRPr="0098639F">
        <w:rPr>
          <w:lang w:val="es-ES"/>
        </w:rPr>
        <w:t xml:space="preserve"> las siguientes acciones:</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 xml:space="preserve">Dotarse de una </w:t>
      </w:r>
      <w:r w:rsidRPr="00EE5B7A">
        <w:t>normativa básica turística</w:t>
      </w:r>
      <w:r>
        <w:t xml:space="preserve"> que regule esta materia y que complete la existente.</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 xml:space="preserve">Sensibilizar sobre el </w:t>
      </w:r>
      <w:r>
        <w:t>“</w:t>
      </w:r>
      <w:r w:rsidRPr="00EE5B7A">
        <w:t>valor</w:t>
      </w:r>
      <w:r>
        <w:t>”</w:t>
      </w:r>
      <w:r w:rsidRPr="00EE5B7A">
        <w:t xml:space="preserve"> de las Bardenas tanto al visitante como a la población local</w:t>
      </w:r>
      <w:r>
        <w:t>,</w:t>
      </w:r>
      <w:r w:rsidRPr="00EE5B7A">
        <w:t xml:space="preserve"> </w:t>
      </w:r>
      <w:r>
        <w:t>aportándoles</w:t>
      </w:r>
      <w:r w:rsidRPr="00EE5B7A">
        <w:t xml:space="preserve"> la información necesaria mediante la organiz</w:t>
      </w:r>
      <w:r w:rsidRPr="00EE5B7A">
        <w:t>a</w:t>
      </w:r>
      <w:r w:rsidRPr="00EE5B7A">
        <w:t>ción de charlas,</w:t>
      </w:r>
      <w:r>
        <w:t xml:space="preserve"> </w:t>
      </w:r>
      <w:r w:rsidRPr="00EE5B7A">
        <w:t>cursos de formación,</w:t>
      </w:r>
      <w:r>
        <w:t xml:space="preserve"> </w:t>
      </w:r>
      <w:r w:rsidRPr="00EE5B7A">
        <w:t>seminarios,</w:t>
      </w:r>
      <w:r>
        <w:t xml:space="preserve"> </w:t>
      </w:r>
      <w:r w:rsidRPr="00EE5B7A">
        <w:t>etc.</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Potenciar la interpretación de patrimonio,</w:t>
      </w:r>
      <w:r>
        <w:t xml:space="preserve"> </w:t>
      </w:r>
      <w:r w:rsidRPr="00EE5B7A">
        <w:t>ampliar información sobre el término y metodologías existentes.</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Estudiar la posibilidad de establecer el cobro de una tasa/entrada una vez que se configuren los elementos turísticos concretos:</w:t>
      </w:r>
      <w:r>
        <w:t xml:space="preserve"> </w:t>
      </w:r>
      <w:r w:rsidRPr="00EE5B7A">
        <w:t>red de itinerarios,</w:t>
      </w:r>
      <w:r>
        <w:t xml:space="preserve"> </w:t>
      </w:r>
      <w:r w:rsidRPr="00EE5B7A">
        <w:t>oferta de actividades en la naturaleza,</w:t>
      </w:r>
      <w:r>
        <w:t xml:space="preserve"> </w:t>
      </w:r>
      <w:r w:rsidRPr="00EE5B7A">
        <w:t>centro de visitantes,</w:t>
      </w:r>
      <w:r>
        <w:t xml:space="preserve"> </w:t>
      </w:r>
      <w:r w:rsidRPr="00EE5B7A">
        <w:t>elementos de interpret</w:t>
      </w:r>
      <w:r w:rsidRPr="00EE5B7A">
        <w:t>a</w:t>
      </w:r>
      <w:r w:rsidRPr="00EE5B7A">
        <w:t>ción del patrimonio,</w:t>
      </w:r>
      <w:r>
        <w:t xml:space="preserve"> </w:t>
      </w:r>
      <w:r w:rsidRPr="00EE5B7A">
        <w:t>etc.</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t>Potenciar</w:t>
      </w:r>
      <w:r w:rsidRPr="00EE5B7A">
        <w:t xml:space="preserve"> al sector turístico del ámbito de las Bardenas, a fin de vertebrar ofertas</w:t>
      </w:r>
      <w:r>
        <w:t xml:space="preserve"> </w:t>
      </w:r>
      <w:r w:rsidRPr="00EE5B7A">
        <w:t>(paquetes turísticos) que aseguren la estancia de nuestros visitantes en las localidades congozantes.</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Valorar con los técnicos</w:t>
      </w:r>
      <w:r>
        <w:t xml:space="preserve"> una serie de</w:t>
      </w:r>
      <w:r w:rsidRPr="00EE5B7A">
        <w:t xml:space="preserve"> propuestas de estudios y trabajos científicos, ya que en los parques visitados existen equipos científicos específ</w:t>
      </w:r>
      <w:r w:rsidRPr="00EE5B7A">
        <w:t>i</w:t>
      </w:r>
      <w:r w:rsidRPr="00EE5B7A">
        <w:t>cos trabajando. Sus estudios ponen en valor los espacios y dan a conocer al v</w:t>
      </w:r>
      <w:r w:rsidRPr="00EE5B7A">
        <w:t>i</w:t>
      </w:r>
      <w:r w:rsidRPr="00EE5B7A">
        <w:t>sitante su importancia y necesidad de protección.</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89"/>
      </w:pPr>
      <w:r w:rsidRPr="00EE5B7A">
        <w:t>El valor de la historia,</w:t>
      </w:r>
      <w:r>
        <w:t xml:space="preserve"> </w:t>
      </w:r>
      <w:r w:rsidRPr="00EE5B7A">
        <w:t>los usos tradicionales,</w:t>
      </w:r>
      <w:r>
        <w:t xml:space="preserve"> </w:t>
      </w:r>
      <w:r w:rsidRPr="00EE5B7A">
        <w:t>etnografía,</w:t>
      </w:r>
      <w:r>
        <w:t xml:space="preserve"> etc. </w:t>
      </w:r>
      <w:r w:rsidRPr="00EE5B7A">
        <w:t xml:space="preserve">son elementos </w:t>
      </w:r>
      <w:r w:rsidR="009263BE">
        <w:t>que deben estudiarse y ponerse en valor</w:t>
      </w:r>
      <w:r w:rsidRPr="00EE5B7A">
        <w:t>.</w:t>
      </w:r>
    </w:p>
    <w:p w:rsidR="00553CEB" w:rsidRPr="00EE5B7A" w:rsidRDefault="00553CEB" w:rsidP="00A13AC6">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EE5B7A">
        <w:t>Potenciar acercamiento de los estudiantes,</w:t>
      </w:r>
      <w:r>
        <w:t xml:space="preserve"> </w:t>
      </w:r>
      <w:r w:rsidRPr="00EE5B7A">
        <w:t>impl</w:t>
      </w:r>
      <w:r>
        <w:t>antar</w:t>
      </w:r>
      <w:r w:rsidRPr="00EE5B7A">
        <w:t xml:space="preserve"> convenios con centros educativos y </w:t>
      </w:r>
      <w:r>
        <w:t xml:space="preserve">universidades, </w:t>
      </w:r>
      <w:r w:rsidRPr="00EE5B7A">
        <w:t>creando una línea de trabajo junto al Gobierno de Navarra para incluir en líneas de trabajo con escolares</w:t>
      </w:r>
      <w:r>
        <w:t xml:space="preserve"> </w:t>
      </w:r>
      <w:r w:rsidRPr="00EE5B7A">
        <w:t>(clases prácticas).</w:t>
      </w:r>
    </w:p>
    <w:p w:rsidR="00553CEB" w:rsidRDefault="00553CEB" w:rsidP="00254BC7">
      <w:pPr>
        <w:pStyle w:val="texto"/>
        <w:numPr>
          <w:ilvl w:val="0"/>
          <w:numId w:val="2"/>
        </w:numPr>
        <w:tabs>
          <w:tab w:val="clear" w:pos="2835"/>
          <w:tab w:val="clear" w:pos="3969"/>
          <w:tab w:val="clear" w:pos="5103"/>
          <w:tab w:val="clear" w:pos="6237"/>
          <w:tab w:val="clear" w:pos="7371"/>
          <w:tab w:val="left" w:pos="480"/>
          <w:tab w:val="num" w:pos="600"/>
        </w:tabs>
        <w:spacing w:after="300"/>
        <w:ind w:left="0" w:firstLine="289"/>
      </w:pPr>
      <w:r w:rsidRPr="00EE5B7A">
        <w:t>Estudiar los usos agrícolas y ganaderos desde la sostenibilidad.</w:t>
      </w:r>
    </w:p>
    <w:p w:rsidR="00B14FFE" w:rsidRDefault="00B14FF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V.4.3. Viaje a Senegal (2008)</w:t>
      </w:r>
    </w:p>
    <w:p w:rsidR="00553CEB" w:rsidRPr="00260B72" w:rsidRDefault="00553CEB" w:rsidP="00553CEB">
      <w:pPr>
        <w:pStyle w:val="texto"/>
      </w:pPr>
      <w:r w:rsidRPr="00260B72">
        <w:t xml:space="preserve">Por acuerdo de la </w:t>
      </w:r>
      <w:r>
        <w:t>comisión permanente de noviembre de 2007</w:t>
      </w:r>
      <w:r w:rsidRPr="00260B72">
        <w:t xml:space="preserve"> se autoriza la realización de un viaje institucional a Senegal con la finalidad de conocer sus parques nacio</w:t>
      </w:r>
      <w:r>
        <w:t>nales y la Reserva de Biosfera</w:t>
      </w:r>
      <w:r w:rsidRPr="00260B72">
        <w:t>.</w:t>
      </w:r>
      <w:r>
        <w:t xml:space="preserve"> </w:t>
      </w:r>
      <w:r w:rsidRPr="00260B72">
        <w:t>Asistirían los vocales de la com</w:t>
      </w:r>
      <w:r w:rsidRPr="00260B72">
        <w:t>i</w:t>
      </w:r>
      <w:r w:rsidRPr="00260B72">
        <w:t>sión permanente</w:t>
      </w:r>
      <w:r>
        <w:t>, un representante de cada entidad congozante</w:t>
      </w:r>
      <w:r w:rsidRPr="00260B72">
        <w:t xml:space="preserve"> y los asesores de la misma que deseen realizarlo.</w:t>
      </w:r>
    </w:p>
    <w:p w:rsidR="00553CEB" w:rsidRPr="00260B72" w:rsidRDefault="00553CEB" w:rsidP="00553CEB">
      <w:pPr>
        <w:pStyle w:val="texto"/>
      </w:pPr>
      <w:r w:rsidRPr="00260B72">
        <w:t>En concreto, el viaje se desarrollaría entre los días 23 de febrero y 1 de ma</w:t>
      </w:r>
      <w:r w:rsidRPr="00260B72">
        <w:t>r</w:t>
      </w:r>
      <w:r w:rsidRPr="00260B72">
        <w:t>zo</w:t>
      </w:r>
      <w:r>
        <w:t>, visitándose los</w:t>
      </w:r>
      <w:r w:rsidRPr="00260B72">
        <w:t xml:space="preserve"> siguientes espacios naturales:</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 xml:space="preserve">Reserva del lago </w:t>
      </w:r>
      <w:proofErr w:type="spellStart"/>
      <w:r w:rsidRPr="00260B72">
        <w:rPr>
          <w:lang w:val="es-ES"/>
        </w:rPr>
        <w:t>Retba</w:t>
      </w:r>
      <w:proofErr w:type="spellEnd"/>
      <w:r w:rsidRPr="00260B72">
        <w:rPr>
          <w:lang w:val="es-ES"/>
        </w:rPr>
        <w:t>.</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Parque Nacional de las aves de Djoudj.</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Parque Nacional de la Langue de Barbarie.</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 xml:space="preserve">Reserva  </w:t>
      </w:r>
      <w:proofErr w:type="spellStart"/>
      <w:r w:rsidRPr="00260B72">
        <w:rPr>
          <w:lang w:val="es-ES"/>
        </w:rPr>
        <w:t>Joal-Fadiouth</w:t>
      </w:r>
      <w:proofErr w:type="spellEnd"/>
      <w:r>
        <w:rPr>
          <w:lang w:val="es-ES"/>
        </w:rPr>
        <w:t xml:space="preserve"> </w:t>
      </w:r>
      <w:r w:rsidRPr="00260B72">
        <w:rPr>
          <w:lang w:val="es-ES"/>
        </w:rPr>
        <w:t>(Isla de las Conchas).</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Parque Nacional del Delta del río Saloum.</w:t>
      </w:r>
    </w:p>
    <w:p w:rsidR="00553CEB" w:rsidRPr="00260B72"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80"/>
        <w:ind w:left="0" w:firstLine="289"/>
        <w:rPr>
          <w:lang w:val="es-ES"/>
        </w:rPr>
      </w:pPr>
      <w:r w:rsidRPr="00260B72">
        <w:rPr>
          <w:lang w:val="es-ES"/>
        </w:rPr>
        <w:t>Reserva Natural de Bandia.</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260B72">
        <w:rPr>
          <w:lang w:val="es-ES"/>
        </w:rPr>
        <w:t>Isla de Goree.</w:t>
      </w:r>
    </w:p>
    <w:p w:rsidR="00553CEB" w:rsidRPr="00D0054E" w:rsidRDefault="00553CEB" w:rsidP="00D0054E">
      <w:pPr>
        <w:pStyle w:val="atitulo40"/>
        <w:spacing w:before="240" w:after="120"/>
        <w:rPr>
          <w:rFonts w:ascii="Arial" w:hAnsi="Arial" w:cs="Arial"/>
        </w:rPr>
      </w:pPr>
      <w:r w:rsidRPr="00D0054E">
        <w:rPr>
          <w:rFonts w:ascii="Arial" w:hAnsi="Arial" w:cs="Arial"/>
        </w:rPr>
        <w:t>Objetivos del viaje</w:t>
      </w:r>
    </w:p>
    <w:p w:rsidR="00553CEB" w:rsidRPr="00260B72" w:rsidRDefault="00553CEB" w:rsidP="00553CEB">
      <w:pPr>
        <w:pStyle w:val="texto"/>
      </w:pPr>
      <w:r>
        <w:t>Los objetivos del viaje se centran básicamente en visitar esos espacios nat</w:t>
      </w:r>
      <w:r>
        <w:t>u</w:t>
      </w:r>
      <w:r>
        <w:t>rales de Senegal para conocer sus procedimientos de gestión y experiencias y extraer líneas de acción para su aplicación en Bardenas.</w:t>
      </w:r>
    </w:p>
    <w:p w:rsidR="00553CEB" w:rsidRPr="00D0054E" w:rsidRDefault="00553CEB" w:rsidP="00D0054E">
      <w:pPr>
        <w:pStyle w:val="atitulo40"/>
        <w:spacing w:before="240" w:after="120"/>
        <w:rPr>
          <w:rFonts w:ascii="Arial" w:hAnsi="Arial" w:cs="Arial"/>
        </w:rPr>
      </w:pPr>
      <w:r w:rsidRPr="00D0054E">
        <w:rPr>
          <w:rFonts w:ascii="Arial" w:hAnsi="Arial" w:cs="Arial"/>
        </w:rPr>
        <w:t xml:space="preserve">Personas </w:t>
      </w:r>
    </w:p>
    <w:p w:rsidR="00553CEB" w:rsidRPr="00D20BD4" w:rsidRDefault="00553CEB" w:rsidP="00553CEB">
      <w:pPr>
        <w:pStyle w:val="texto"/>
      </w:pPr>
      <w:r w:rsidRPr="00D20BD4">
        <w:t>A partir del citado acuerdo de la comisión permanente por el que se autoriza el viaje, consta en el expediente las comunicaciones entre la Comunidad y</w:t>
      </w:r>
      <w:r w:rsidR="009263BE">
        <w:t xml:space="preserve"> </w:t>
      </w:r>
      <w:r w:rsidRPr="00D20BD4">
        <w:t>sus entes congozantes mediante las cuales se ofrece la posibilidad de asistir a dicho viaje a Senegal.</w:t>
      </w:r>
    </w:p>
    <w:p w:rsidR="00553CEB" w:rsidRPr="00D20BD4" w:rsidRDefault="00553CEB" w:rsidP="00553CEB">
      <w:pPr>
        <w:pStyle w:val="texto"/>
      </w:pPr>
      <w:r w:rsidRPr="00D20BD4">
        <w:t>De acuerdo con la relación que aporta la agencia de viajes, re</w:t>
      </w:r>
      <w:r w:rsidR="009263BE">
        <w:t xml:space="preserve">alizaron este viaje </w:t>
      </w:r>
      <w:r w:rsidRPr="00D20BD4">
        <w:t>29 personas, de acuerdo con el siguiente detalle: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20BD4">
        <w:rPr>
          <w:lang w:val="es-ES"/>
        </w:rPr>
        <w:t>El presidente de la Comunidad y cinco vocales de la comisión permanente.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20BD4">
        <w:rPr>
          <w:lang w:val="es-ES"/>
        </w:rPr>
        <w:t xml:space="preserve">Un total de 15 representantes de las entidades locales congozantes, todas excepto Falces, Funes, Fustiñana, Peralta y Monasterio de la Oliva. </w:t>
      </w:r>
    </w:p>
    <w:p w:rsidR="00553CEB" w:rsidRPr="00D928A6"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D928A6">
        <w:rPr>
          <w:lang w:val="es-ES"/>
        </w:rPr>
        <w:t>Dos de</w:t>
      </w:r>
      <w:r w:rsidR="00E444C2" w:rsidRPr="00D928A6">
        <w:rPr>
          <w:lang w:val="es-ES"/>
        </w:rPr>
        <w:t xml:space="preserve"> los </w:t>
      </w:r>
      <w:r w:rsidRPr="00D928A6">
        <w:rPr>
          <w:lang w:val="es-ES"/>
        </w:rPr>
        <w:t>miembros del jurado del concurso de ideas sobre Aguilares (en representación del Valle del Roncal y de Milagro), dos de</w:t>
      </w:r>
      <w:r w:rsidR="008A53E4" w:rsidRPr="00D928A6">
        <w:rPr>
          <w:lang w:val="es-ES"/>
        </w:rPr>
        <w:t xml:space="preserve"> la unidad</w:t>
      </w:r>
      <w:r w:rsidRPr="00D928A6">
        <w:rPr>
          <w:lang w:val="es-ES"/>
        </w:rPr>
        <w:t xml:space="preserve"> de medio ambiente del polígono de tiro, un representante de la UAGN</w:t>
      </w:r>
      <w:r w:rsidR="001178B8" w:rsidRPr="00D928A6">
        <w:rPr>
          <w:lang w:val="es-ES"/>
        </w:rPr>
        <w:t xml:space="preserve"> y</w:t>
      </w:r>
      <w:r w:rsidRPr="00D928A6">
        <w:rPr>
          <w:lang w:val="es-ES"/>
        </w:rPr>
        <w:t xml:space="preserve"> un representante de la Asociación de Agricultores de Bardenas</w:t>
      </w:r>
      <w:r w:rsidR="001178B8" w:rsidRPr="00D928A6">
        <w:rPr>
          <w:lang w:val="es-ES"/>
        </w:rPr>
        <w:t xml:space="preserve"> (ambos en representación del Consejo Asesor del Parque Natural de las Bardenas)</w:t>
      </w:r>
      <w:r w:rsidR="008A53E4" w:rsidRPr="00D928A6">
        <w:rPr>
          <w:lang w:val="es-ES"/>
        </w:rPr>
        <w:t>, un guía senegalés reside</w:t>
      </w:r>
      <w:r w:rsidR="008A53E4" w:rsidRPr="00D928A6">
        <w:rPr>
          <w:lang w:val="es-ES"/>
        </w:rPr>
        <w:t>n</w:t>
      </w:r>
      <w:r w:rsidR="008A53E4" w:rsidRPr="00D928A6">
        <w:rPr>
          <w:lang w:val="es-ES"/>
        </w:rPr>
        <w:t>te en Tudela</w:t>
      </w:r>
      <w:r w:rsidRPr="00D928A6">
        <w:rPr>
          <w:lang w:val="es-ES"/>
        </w:rPr>
        <w:t xml:space="preserve"> y una persona de seguridad del presidente de la Comunidad.</w:t>
      </w:r>
      <w:r w:rsidRPr="00D928A6">
        <w:t xml:space="preserve"> </w:t>
      </w:r>
    </w:p>
    <w:p w:rsidR="00553CEB" w:rsidRPr="00D20BD4" w:rsidRDefault="00553CEB" w:rsidP="00553CEB">
      <w:pPr>
        <w:pStyle w:val="texto"/>
        <w:tabs>
          <w:tab w:val="num" w:pos="600"/>
        </w:tabs>
      </w:pPr>
      <w:r w:rsidRPr="00D20BD4">
        <w:lastRenderedPageBreak/>
        <w:t>En definitiva, no todos los asistentes al viaje estaban contemplados</w:t>
      </w:r>
      <w:r>
        <w:t xml:space="preserve"> expres</w:t>
      </w:r>
      <w:r>
        <w:t>a</w:t>
      </w:r>
      <w:r>
        <w:t>mente</w:t>
      </w:r>
      <w:r w:rsidRPr="00D20BD4">
        <w:t xml:space="preserve"> en la autorización previa de la comisión permanente.</w:t>
      </w:r>
    </w:p>
    <w:p w:rsidR="00553CEB" w:rsidRPr="00D0054E" w:rsidRDefault="00553CEB" w:rsidP="00D0054E">
      <w:pPr>
        <w:pStyle w:val="atitulo40"/>
        <w:spacing w:before="240" w:after="120"/>
        <w:rPr>
          <w:rFonts w:ascii="Arial" w:hAnsi="Arial" w:cs="Arial"/>
        </w:rPr>
      </w:pPr>
      <w:r w:rsidRPr="00D0054E">
        <w:rPr>
          <w:rFonts w:ascii="Arial" w:hAnsi="Arial" w:cs="Arial"/>
        </w:rPr>
        <w:t>Gastos del viaje</w:t>
      </w:r>
    </w:p>
    <w:p w:rsidR="00553CEB" w:rsidRDefault="00553CEB" w:rsidP="00553CEB">
      <w:pPr>
        <w:pStyle w:val="texto"/>
      </w:pPr>
      <w:r>
        <w:t>De acuerdo con los registros contables, el gasto total del viaje ascendió a 72.003 euros, incluidas las dietas percibidas por los miembros de la comisión permanente.</w:t>
      </w:r>
    </w:p>
    <w:p w:rsidR="00553CEB" w:rsidRDefault="00553CEB" w:rsidP="005759CB">
      <w:pPr>
        <w:pStyle w:val="texto"/>
        <w:spacing w:after="240"/>
      </w:pPr>
      <w:r>
        <w:t>En el cuadro siguiente se muestra el gasto anterior así como lo que supuso por persona y por persona/día.</w:t>
      </w:r>
    </w:p>
    <w:tbl>
      <w:tblPr>
        <w:tblW w:w="0" w:type="auto"/>
        <w:jc w:val="center"/>
        <w:tblLayout w:type="fixed"/>
        <w:tblCellMar>
          <w:left w:w="70" w:type="dxa"/>
          <w:right w:w="70" w:type="dxa"/>
        </w:tblCellMar>
        <w:tblLook w:val="00A0" w:firstRow="1" w:lastRow="0" w:firstColumn="1" w:lastColumn="0" w:noHBand="0" w:noVBand="0"/>
      </w:tblPr>
      <w:tblGrid>
        <w:gridCol w:w="7341"/>
        <w:gridCol w:w="1496"/>
      </w:tblGrid>
      <w:tr w:rsidR="00553CEB" w:rsidRPr="005759CB" w:rsidTr="005759CB">
        <w:trPr>
          <w:trHeight w:val="284"/>
          <w:jc w:val="center"/>
        </w:trPr>
        <w:tc>
          <w:tcPr>
            <w:tcW w:w="7341"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sidRPr="005759CB">
              <w:rPr>
                <w:rFonts w:ascii="Arial" w:hAnsi="Arial" w:cs="Arial"/>
                <w:sz w:val="18"/>
                <w:szCs w:val="18"/>
              </w:rPr>
              <w:t>Viaje a Senegal</w:t>
            </w:r>
          </w:p>
        </w:tc>
        <w:tc>
          <w:tcPr>
            <w:tcW w:w="1496"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sidRPr="005759CB">
              <w:rPr>
                <w:rFonts w:ascii="Arial" w:hAnsi="Arial" w:cs="Arial"/>
                <w:sz w:val="18"/>
                <w:szCs w:val="18"/>
              </w:rPr>
              <w:t>Importe</w:t>
            </w:r>
          </w:p>
        </w:tc>
      </w:tr>
      <w:tr w:rsidR="00553CEB" w:rsidRPr="00B23DBC" w:rsidTr="005759CB">
        <w:trPr>
          <w:trHeight w:val="284"/>
          <w:jc w:val="center"/>
        </w:trPr>
        <w:tc>
          <w:tcPr>
            <w:tcW w:w="7341" w:type="dxa"/>
            <w:tcBorders>
              <w:top w:val="single" w:sz="4" w:space="0" w:color="auto"/>
              <w:bottom w:val="single" w:sz="2" w:space="0" w:color="auto"/>
            </w:tcBorders>
            <w:vAlign w:val="center"/>
          </w:tcPr>
          <w:p w:rsidR="00553CEB" w:rsidRPr="00B23DBC" w:rsidRDefault="00553CEB" w:rsidP="005759CB">
            <w:pPr>
              <w:pStyle w:val="cuatexto"/>
              <w:jc w:val="left"/>
            </w:pPr>
            <w:r>
              <w:t>Gastos del viaje facturados</w:t>
            </w:r>
          </w:p>
        </w:tc>
        <w:tc>
          <w:tcPr>
            <w:tcW w:w="1496" w:type="dxa"/>
            <w:tcBorders>
              <w:top w:val="single" w:sz="4" w:space="0" w:color="auto"/>
              <w:bottom w:val="single" w:sz="2" w:space="0" w:color="auto"/>
            </w:tcBorders>
            <w:vAlign w:val="center"/>
          </w:tcPr>
          <w:p w:rsidR="00553CEB" w:rsidRPr="00B23DBC" w:rsidRDefault="00553CEB" w:rsidP="005759CB">
            <w:pPr>
              <w:pStyle w:val="cuatexto"/>
              <w:jc w:val="right"/>
            </w:pPr>
            <w:r>
              <w:t>62.853</w:t>
            </w:r>
          </w:p>
        </w:tc>
      </w:tr>
      <w:tr w:rsidR="00553CEB" w:rsidRPr="00B23DBC" w:rsidTr="005759CB">
        <w:trPr>
          <w:trHeight w:val="284"/>
          <w:jc w:val="center"/>
        </w:trPr>
        <w:tc>
          <w:tcPr>
            <w:tcW w:w="7341" w:type="dxa"/>
            <w:tcBorders>
              <w:top w:val="single" w:sz="2" w:space="0" w:color="auto"/>
              <w:bottom w:val="single" w:sz="4" w:space="0" w:color="auto"/>
            </w:tcBorders>
            <w:vAlign w:val="center"/>
          </w:tcPr>
          <w:p w:rsidR="00553CEB" w:rsidRPr="00B23DBC" w:rsidRDefault="00553CEB" w:rsidP="005759CB">
            <w:pPr>
              <w:pStyle w:val="cuatexto"/>
              <w:jc w:val="left"/>
            </w:pPr>
            <w:r>
              <w:t>Dieta 6 miembros comisión permanente</w:t>
            </w:r>
          </w:p>
        </w:tc>
        <w:tc>
          <w:tcPr>
            <w:tcW w:w="1496" w:type="dxa"/>
            <w:tcBorders>
              <w:top w:val="single" w:sz="2" w:space="0" w:color="auto"/>
              <w:bottom w:val="single" w:sz="4" w:space="0" w:color="auto"/>
            </w:tcBorders>
            <w:vAlign w:val="center"/>
          </w:tcPr>
          <w:p w:rsidR="00553CEB" w:rsidRPr="00B23DBC" w:rsidRDefault="00553CEB" w:rsidP="005759CB">
            <w:pPr>
              <w:pStyle w:val="cuatexto"/>
              <w:jc w:val="right"/>
            </w:pPr>
            <w:r>
              <w:t>9.150</w:t>
            </w:r>
          </w:p>
        </w:tc>
      </w:tr>
      <w:tr w:rsidR="00553CEB" w:rsidRPr="005759CB" w:rsidTr="005759CB">
        <w:trPr>
          <w:trHeight w:val="284"/>
          <w:jc w:val="center"/>
        </w:trPr>
        <w:tc>
          <w:tcPr>
            <w:tcW w:w="7341"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sidRPr="005759CB">
              <w:rPr>
                <w:rFonts w:ascii="Arial" w:hAnsi="Arial" w:cs="Arial"/>
                <w:sz w:val="18"/>
                <w:szCs w:val="18"/>
              </w:rPr>
              <w:t>Total viaje Senegal</w:t>
            </w:r>
          </w:p>
        </w:tc>
        <w:tc>
          <w:tcPr>
            <w:tcW w:w="1496"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sidRPr="005759CB">
              <w:rPr>
                <w:rFonts w:ascii="Arial" w:hAnsi="Arial" w:cs="Arial"/>
                <w:sz w:val="18"/>
                <w:szCs w:val="18"/>
              </w:rPr>
              <w:t>72.003</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left"/>
            </w:pPr>
            <w:r w:rsidRPr="00F36D69">
              <w:t>Número de personas</w:t>
            </w:r>
          </w:p>
        </w:tc>
        <w:tc>
          <w:tcPr>
            <w:tcW w:w="1496"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right"/>
            </w:pPr>
            <w:r>
              <w:t>29</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sidRPr="00CB537F">
              <w:rPr>
                <w:b/>
                <w:i/>
              </w:rPr>
              <w:t>Total coste por persona con derecho a dieta</w:t>
            </w:r>
          </w:p>
        </w:tc>
        <w:tc>
          <w:tcPr>
            <w:tcW w:w="1496" w:type="dxa"/>
            <w:tcBorders>
              <w:top w:val="single" w:sz="4" w:space="0" w:color="auto"/>
              <w:bottom w:val="single" w:sz="4" w:space="0" w:color="auto"/>
            </w:tcBorders>
            <w:shd w:val="clear" w:color="auto" w:fill="auto"/>
            <w:vAlign w:val="center"/>
          </w:tcPr>
          <w:p w:rsidR="00553CEB" w:rsidRPr="00934550" w:rsidRDefault="00553CEB" w:rsidP="005759CB">
            <w:pPr>
              <w:pStyle w:val="cuatexto"/>
              <w:ind w:right="-6"/>
              <w:jc w:val="right"/>
              <w:rPr>
                <w:b/>
                <w:i/>
              </w:rPr>
            </w:pPr>
            <w:r>
              <w:rPr>
                <w:b/>
                <w:i/>
              </w:rPr>
              <w:t>3.692</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sidRPr="00CB537F">
              <w:rPr>
                <w:b/>
                <w:i/>
              </w:rPr>
              <w:t>Total coste por persona sin derecho a dieta</w:t>
            </w:r>
          </w:p>
        </w:tc>
        <w:tc>
          <w:tcPr>
            <w:tcW w:w="1496" w:type="dxa"/>
            <w:tcBorders>
              <w:top w:val="single" w:sz="4" w:space="0" w:color="auto"/>
              <w:bottom w:val="single" w:sz="4" w:space="0" w:color="auto"/>
            </w:tcBorders>
            <w:shd w:val="clear" w:color="auto" w:fill="auto"/>
            <w:vAlign w:val="center"/>
          </w:tcPr>
          <w:p w:rsidR="00553CEB" w:rsidRPr="00934550" w:rsidRDefault="00553CEB" w:rsidP="005759CB">
            <w:pPr>
              <w:pStyle w:val="cuatexto"/>
              <w:ind w:right="-6"/>
              <w:jc w:val="right"/>
              <w:rPr>
                <w:b/>
                <w:i/>
              </w:rPr>
            </w:pPr>
            <w:r>
              <w:rPr>
                <w:b/>
                <w:i/>
              </w:rPr>
              <w:t>2.167</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left"/>
            </w:pPr>
            <w:r w:rsidRPr="00F36D69">
              <w:t>Número de días</w:t>
            </w:r>
          </w:p>
        </w:tc>
        <w:tc>
          <w:tcPr>
            <w:tcW w:w="1496" w:type="dxa"/>
            <w:tcBorders>
              <w:top w:val="single" w:sz="4" w:space="0" w:color="auto"/>
              <w:bottom w:val="single" w:sz="4" w:space="0" w:color="auto"/>
            </w:tcBorders>
            <w:shd w:val="clear" w:color="auto" w:fill="auto"/>
            <w:vAlign w:val="center"/>
          </w:tcPr>
          <w:p w:rsidR="00553CEB" w:rsidRPr="00F36D69" w:rsidRDefault="00553CEB" w:rsidP="005759CB">
            <w:pPr>
              <w:pStyle w:val="cuatexto"/>
              <w:ind w:right="-6"/>
              <w:jc w:val="right"/>
            </w:pPr>
            <w:r>
              <w:t>6</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sidRPr="00CB537F">
              <w:rPr>
                <w:b/>
                <w:i/>
              </w:rPr>
              <w:t>Total coste persona con dieta/día</w:t>
            </w:r>
          </w:p>
        </w:tc>
        <w:tc>
          <w:tcPr>
            <w:tcW w:w="1496" w:type="dxa"/>
            <w:tcBorders>
              <w:top w:val="single" w:sz="4"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615</w:t>
            </w:r>
          </w:p>
        </w:tc>
      </w:tr>
      <w:tr w:rsidR="00553CEB" w:rsidRPr="00B23DBC" w:rsidTr="005759CB">
        <w:trPr>
          <w:trHeight w:val="284"/>
          <w:jc w:val="center"/>
        </w:trPr>
        <w:tc>
          <w:tcPr>
            <w:tcW w:w="7341" w:type="dxa"/>
            <w:tcBorders>
              <w:top w:val="single" w:sz="4" w:space="0" w:color="auto"/>
              <w:bottom w:val="single" w:sz="4" w:space="0" w:color="auto"/>
            </w:tcBorders>
            <w:shd w:val="clear" w:color="auto" w:fill="auto"/>
            <w:vAlign w:val="center"/>
          </w:tcPr>
          <w:p w:rsidR="00553CEB" w:rsidRPr="00CB537F" w:rsidRDefault="00553CEB" w:rsidP="005759CB">
            <w:pPr>
              <w:pStyle w:val="cuatexto"/>
              <w:ind w:right="-6"/>
              <w:jc w:val="left"/>
              <w:rPr>
                <w:b/>
                <w:i/>
              </w:rPr>
            </w:pPr>
            <w:r w:rsidRPr="00CB537F">
              <w:rPr>
                <w:b/>
                <w:i/>
              </w:rPr>
              <w:t>Total coste persona sin dieta/día</w:t>
            </w:r>
          </w:p>
        </w:tc>
        <w:tc>
          <w:tcPr>
            <w:tcW w:w="1496" w:type="dxa"/>
            <w:tcBorders>
              <w:top w:val="single" w:sz="4"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361</w:t>
            </w:r>
          </w:p>
        </w:tc>
      </w:tr>
    </w:tbl>
    <w:p w:rsidR="00553CEB" w:rsidRDefault="00553CEB" w:rsidP="005759CB">
      <w:pPr>
        <w:pStyle w:val="texto"/>
        <w:spacing w:after="0"/>
        <w:ind w:firstLine="0"/>
      </w:pPr>
    </w:p>
    <w:p w:rsidR="00553CEB" w:rsidRDefault="00553CEB" w:rsidP="00553CEB">
      <w:pPr>
        <w:pStyle w:val="texto"/>
      </w:pPr>
      <w:r>
        <w:t>Los gastos de viaje propiamente están documentados en la facturación de la agencia de viajes</w:t>
      </w:r>
      <w:r w:rsidR="00FC4DE0">
        <w:t>, haciéndose referencia</w:t>
      </w:r>
      <w:r>
        <w:t xml:space="preserve"> principalmente a los desplazamientos, visados, hoteles, manutención y seguros.</w:t>
      </w:r>
    </w:p>
    <w:p w:rsidR="00553CEB" w:rsidRPr="00D0054E" w:rsidRDefault="00553CEB" w:rsidP="00B14FFE">
      <w:pPr>
        <w:pStyle w:val="atitulo40"/>
        <w:spacing w:before="240" w:after="240"/>
        <w:rPr>
          <w:rFonts w:ascii="Arial" w:hAnsi="Arial" w:cs="Arial"/>
        </w:rPr>
      </w:pPr>
      <w:r w:rsidRPr="00D0054E">
        <w:rPr>
          <w:rFonts w:ascii="Arial" w:hAnsi="Arial" w:cs="Arial"/>
        </w:rPr>
        <w:t>Informes de evaluación del viaje</w:t>
      </w:r>
    </w:p>
    <w:p w:rsidR="00553CEB" w:rsidRPr="00D84E64" w:rsidRDefault="00553CEB" w:rsidP="00553CEB">
      <w:pPr>
        <w:pStyle w:val="texto"/>
      </w:pPr>
      <w:r w:rsidRPr="00EC64B8">
        <w:t>El expediente contiene tres informes de evaluación del viaje</w:t>
      </w:r>
      <w:r>
        <w:t>, si bien solo uno de está identificado el autor (un vocal de la comisión permanente). De estos i</w:t>
      </w:r>
      <w:r>
        <w:t>n</w:t>
      </w:r>
      <w:r>
        <w:t>formes, destacamos:</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La mayoría de los parques visitados cuentan con una gestión pública y la visita guiada es su prin</w:t>
      </w:r>
      <w:r>
        <w:rPr>
          <w:lang w:val="es-ES"/>
        </w:rPr>
        <w:t>cipal forma de explotación</w:t>
      </w:r>
      <w:r w:rsidRPr="00D84E64">
        <w:rPr>
          <w:lang w:val="es-ES"/>
        </w:rPr>
        <w:t>.</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Casi todos cuentan con un servicio de guarderío y en general se detecta fa</w:t>
      </w:r>
      <w:r w:rsidRPr="00D84E64">
        <w:rPr>
          <w:lang w:val="es-ES"/>
        </w:rPr>
        <w:t>l</w:t>
      </w:r>
      <w:r w:rsidRPr="00D84E64">
        <w:rPr>
          <w:lang w:val="es-ES"/>
        </w:rPr>
        <w:t>ta de especialización y formación técnica de su personal.</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Los planes de gestión en algun</w:t>
      </w:r>
      <w:r>
        <w:rPr>
          <w:lang w:val="es-ES"/>
        </w:rPr>
        <w:t xml:space="preserve">os casos están desactualizados </w:t>
      </w:r>
      <w:r w:rsidRPr="00D84E64">
        <w:rPr>
          <w:lang w:val="es-ES"/>
        </w:rPr>
        <w:t>y no respo</w:t>
      </w:r>
      <w:r w:rsidRPr="00D84E64">
        <w:rPr>
          <w:lang w:val="es-ES"/>
        </w:rPr>
        <w:t>n</w:t>
      </w:r>
      <w:r w:rsidRPr="00D84E64">
        <w:rPr>
          <w:lang w:val="es-ES"/>
        </w:rPr>
        <w:t>den a las necesidades actuales de gestión.</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Los gestores y personal consultados durante las visitas perciben una nec</w:t>
      </w:r>
      <w:r w:rsidRPr="00D84E64">
        <w:rPr>
          <w:lang w:val="es-ES"/>
        </w:rPr>
        <w:t>e</w:t>
      </w:r>
      <w:r w:rsidRPr="00D84E64">
        <w:rPr>
          <w:lang w:val="es-ES"/>
        </w:rPr>
        <w:t>sidad de aumentar los recursos destinados al conocimiento de ecosistemas, así como un aumento de la inversión en infraestructuras de acogida de visitantes.</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Tanto las estaciones biológicas (centros de acogida de los equipos científ</w:t>
      </w:r>
      <w:r w:rsidRPr="00D84E64">
        <w:rPr>
          <w:lang w:val="es-ES"/>
        </w:rPr>
        <w:t>i</w:t>
      </w:r>
      <w:r w:rsidRPr="00D84E64">
        <w:rPr>
          <w:lang w:val="es-ES"/>
        </w:rPr>
        <w:t>cos) como los centros de acogida de los visitantes presentan problemas de ma</w:t>
      </w:r>
      <w:r w:rsidRPr="00D84E64">
        <w:rPr>
          <w:lang w:val="es-ES"/>
        </w:rPr>
        <w:t>n</w:t>
      </w:r>
      <w:r w:rsidRPr="00D84E64">
        <w:rPr>
          <w:lang w:val="es-ES"/>
        </w:rPr>
        <w:t>tenimiento  o se han quedado obsoletos por falta de recursos económicos.</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lastRenderedPageBreak/>
        <w:t>En todos los casos se pone de manifiesto la gran vinculación de las pobl</w:t>
      </w:r>
      <w:r w:rsidRPr="00D84E64">
        <w:rPr>
          <w:lang w:val="es-ES"/>
        </w:rPr>
        <w:t>a</w:t>
      </w:r>
      <w:r w:rsidRPr="00D84E64">
        <w:rPr>
          <w:lang w:val="es-ES"/>
        </w:rPr>
        <w:t>ciones locales con los espacios naturales a través de los usos tradicionales exi</w:t>
      </w:r>
      <w:r w:rsidRPr="00D84E64">
        <w:rPr>
          <w:lang w:val="es-ES"/>
        </w:rPr>
        <w:t>s</w:t>
      </w:r>
      <w:r w:rsidRPr="00D84E64">
        <w:rPr>
          <w:lang w:val="es-ES"/>
        </w:rPr>
        <w:t>tentes, lo que además de un atractivo turístico añadido</w:t>
      </w:r>
      <w:r>
        <w:rPr>
          <w:lang w:val="es-ES"/>
        </w:rPr>
        <w:t>,</w:t>
      </w:r>
      <w:r w:rsidRPr="00D84E64">
        <w:rPr>
          <w:lang w:val="es-ES"/>
        </w:rPr>
        <w:t xml:space="preserve"> supone un reto para la gestión de cada caso en particular.</w:t>
      </w:r>
    </w:p>
    <w:p w:rsidR="00553CEB" w:rsidRPr="00D84E6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D84E64">
        <w:rPr>
          <w:lang w:val="es-ES"/>
        </w:rPr>
        <w:t>No se ha detectado una sensibilización ambiental clara entre los habitantes de las zonas protegidas pero s</w:t>
      </w:r>
      <w:r w:rsidR="009263BE">
        <w:rPr>
          <w:lang w:val="es-ES"/>
        </w:rPr>
        <w:t>í</w:t>
      </w:r>
      <w:r w:rsidRPr="00D84E64">
        <w:rPr>
          <w:lang w:val="es-ES"/>
        </w:rPr>
        <w:t xml:space="preserve"> han mencionado su intención de promover una mayor educación, formación y sensibilización de la población del entorno pr</w:t>
      </w:r>
      <w:r w:rsidRPr="00D84E64">
        <w:rPr>
          <w:lang w:val="es-ES"/>
        </w:rPr>
        <w:t>o</w:t>
      </w:r>
      <w:r w:rsidRPr="00D84E64">
        <w:rPr>
          <w:lang w:val="es-ES"/>
        </w:rPr>
        <w:t>tegido así como de los visitantes.</w:t>
      </w:r>
    </w:p>
    <w:p w:rsidR="00553CEB" w:rsidRPr="00911B50" w:rsidRDefault="00553CEB" w:rsidP="00553CEB">
      <w:pPr>
        <w:pStyle w:val="texto"/>
      </w:pPr>
      <w:r w:rsidRPr="00D84E64">
        <w:t xml:space="preserve">En definitiva, </w:t>
      </w:r>
      <w:r>
        <w:t>l</w:t>
      </w:r>
      <w:r w:rsidRPr="00D84E64">
        <w:t>a mejora de la dotación en infraestructuras es una necesidad real si se pretende sensibilizar tanto al visitante ocasional como al habitante de las entidades congozantes. Se trata de buscar un equilibrio entre el uso trad</w:t>
      </w:r>
      <w:r w:rsidRPr="00D84E64">
        <w:t>i</w:t>
      </w:r>
      <w:r w:rsidRPr="00D84E64">
        <w:t>cional y sus objetivos de conse</w:t>
      </w:r>
      <w:r>
        <w:t>r</w:t>
      </w:r>
      <w:r w:rsidR="009263BE">
        <w:t>vación</w:t>
      </w:r>
      <w:r>
        <w:t xml:space="preserve"> y</w:t>
      </w:r>
      <w:r w:rsidR="009263BE">
        <w:t>,</w:t>
      </w:r>
      <w:r w:rsidRPr="00D84E64">
        <w:t xml:space="preserve"> por ello, se debe concienciar en esta tarea a los ganaderos, agricultores, cazadores, pescadores de la Comunidad.</w:t>
      </w:r>
      <w:r>
        <w:t xml:space="preserve"> P</w:t>
      </w:r>
      <w:r>
        <w:t>a</w:t>
      </w:r>
      <w:r>
        <w:t>ra ello se debe contar con infraestructuras integradas en el entorno sobre:</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Una e</w:t>
      </w:r>
      <w:r w:rsidRPr="00911B50">
        <w:rPr>
          <w:lang w:val="es-ES"/>
        </w:rPr>
        <w:t>stación biológica que permita un</w:t>
      </w:r>
      <w:r>
        <w:rPr>
          <w:lang w:val="es-ES"/>
        </w:rPr>
        <w:t>a</w:t>
      </w:r>
      <w:r w:rsidRPr="00911B50">
        <w:rPr>
          <w:lang w:val="es-ES"/>
        </w:rPr>
        <w:t xml:space="preserve"> mayor</w:t>
      </w:r>
      <w:r>
        <w:rPr>
          <w:lang w:val="es-ES"/>
        </w:rPr>
        <w:t xml:space="preserve"> actividad de</w:t>
      </w:r>
      <w:r w:rsidRPr="00911B50">
        <w:rPr>
          <w:lang w:val="es-ES"/>
        </w:rPr>
        <w:t xml:space="preserve"> científicos y una mayor inversión en estudios.</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Un c</w:t>
      </w:r>
      <w:r w:rsidRPr="00911B50">
        <w:rPr>
          <w:lang w:val="es-ES"/>
        </w:rPr>
        <w:t>entro de acogida al visitante</w:t>
      </w:r>
      <w:r>
        <w:rPr>
          <w:lang w:val="es-ES"/>
        </w:rPr>
        <w:t xml:space="preserve"> y </w:t>
      </w:r>
      <w:r w:rsidRPr="00911B50">
        <w:rPr>
          <w:lang w:val="es-ES"/>
        </w:rPr>
        <w:t>centro de interpretación donde el vis</w:t>
      </w:r>
      <w:r w:rsidRPr="00911B50">
        <w:rPr>
          <w:lang w:val="es-ES"/>
        </w:rPr>
        <w:t>i</w:t>
      </w:r>
      <w:r w:rsidRPr="00911B50">
        <w:rPr>
          <w:lang w:val="es-ES"/>
        </w:rPr>
        <w:t xml:space="preserve">tante tenga un lugar de referencia </w:t>
      </w:r>
      <w:r w:rsidR="009263BE">
        <w:rPr>
          <w:lang w:val="es-ES"/>
        </w:rPr>
        <w:t>que</w:t>
      </w:r>
      <w:r w:rsidRPr="00911B50">
        <w:rPr>
          <w:lang w:val="es-ES"/>
        </w:rPr>
        <w:t xml:space="preserve"> le proporcione información</w:t>
      </w:r>
      <w:r>
        <w:rPr>
          <w:lang w:val="es-ES"/>
        </w:rPr>
        <w:t xml:space="preserve"> general, r</w:t>
      </w:r>
      <w:r>
        <w:rPr>
          <w:lang w:val="es-ES"/>
        </w:rPr>
        <w:t>i</w:t>
      </w:r>
      <w:r>
        <w:rPr>
          <w:lang w:val="es-ES"/>
        </w:rPr>
        <w:t>queza ecológica del parque</w:t>
      </w:r>
      <w:r w:rsidRPr="00911B50">
        <w:rPr>
          <w:lang w:val="es-ES"/>
        </w:rPr>
        <w:t>,</w:t>
      </w:r>
      <w:r>
        <w:rPr>
          <w:lang w:val="es-ES"/>
        </w:rPr>
        <w:t xml:space="preserve"> </w:t>
      </w:r>
      <w:r w:rsidRPr="00911B50">
        <w:rPr>
          <w:lang w:val="es-ES"/>
        </w:rPr>
        <w:t>servicios públicos…</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Un a</w:t>
      </w:r>
      <w:r w:rsidRPr="00911B50">
        <w:rPr>
          <w:lang w:val="es-ES"/>
        </w:rPr>
        <w:t>ula de la naturaleza</w:t>
      </w:r>
      <w:r>
        <w:rPr>
          <w:lang w:val="es-ES"/>
        </w:rPr>
        <w:t xml:space="preserve"> o </w:t>
      </w:r>
      <w:r w:rsidRPr="00911B50">
        <w:rPr>
          <w:lang w:val="es-ES"/>
        </w:rPr>
        <w:t>centro de educación donde se realizarán las act</w:t>
      </w:r>
      <w:r w:rsidRPr="00911B50">
        <w:rPr>
          <w:lang w:val="es-ES"/>
        </w:rPr>
        <w:t>i</w:t>
      </w:r>
      <w:r w:rsidRPr="00911B50">
        <w:rPr>
          <w:lang w:val="es-ES"/>
        </w:rPr>
        <w:t>vidades y talleres previstos,</w:t>
      </w:r>
      <w:r>
        <w:rPr>
          <w:lang w:val="es-ES"/>
        </w:rPr>
        <w:t xml:space="preserve"> </w:t>
      </w:r>
      <w:r w:rsidRPr="00911B50">
        <w:rPr>
          <w:lang w:val="es-ES"/>
        </w:rPr>
        <w:t>incluso la posibilidad de alojamiento y manute</w:t>
      </w:r>
      <w:r w:rsidRPr="00911B50">
        <w:rPr>
          <w:lang w:val="es-ES"/>
        </w:rPr>
        <w:t>n</w:t>
      </w:r>
      <w:r w:rsidRPr="00911B50">
        <w:rPr>
          <w:lang w:val="es-ES"/>
        </w:rPr>
        <w:t>ción.</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Una zona</w:t>
      </w:r>
      <w:r w:rsidRPr="00911B50">
        <w:rPr>
          <w:lang w:val="es-ES"/>
        </w:rPr>
        <w:t xml:space="preserve"> de restauración exclusivo para estudiantes o incluso ofertarse al público en general.</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rFonts w:ascii="Perpetua" w:hAnsi="Perpetua"/>
          <w:i/>
          <w:szCs w:val="26"/>
        </w:rPr>
      </w:pPr>
      <w:r w:rsidRPr="00911B50">
        <w:rPr>
          <w:lang w:val="es-ES"/>
        </w:rPr>
        <w:t>Otras infraestructuras turísticas: miradore</w:t>
      </w:r>
      <w:r>
        <w:rPr>
          <w:lang w:val="es-ES"/>
        </w:rPr>
        <w:t xml:space="preserve">s </w:t>
      </w:r>
      <w:r w:rsidRPr="00911B50">
        <w:rPr>
          <w:lang w:val="es-ES"/>
        </w:rPr>
        <w:t>paisajísticos,</w:t>
      </w:r>
      <w:r>
        <w:rPr>
          <w:lang w:val="es-ES"/>
        </w:rPr>
        <w:t xml:space="preserve"> </w:t>
      </w:r>
      <w:r w:rsidRPr="00911B50">
        <w:rPr>
          <w:lang w:val="es-ES"/>
        </w:rPr>
        <w:t>señalización,</w:t>
      </w:r>
      <w:r>
        <w:rPr>
          <w:lang w:val="es-ES"/>
        </w:rPr>
        <w:t xml:space="preserve"> </w:t>
      </w:r>
      <w:r w:rsidRPr="00911B50">
        <w:rPr>
          <w:lang w:val="es-ES"/>
        </w:rPr>
        <w:t>o</w:t>
      </w:r>
      <w:r w:rsidRPr="00911B50">
        <w:rPr>
          <w:lang w:val="es-ES"/>
        </w:rPr>
        <w:t>b</w:t>
      </w:r>
      <w:r w:rsidRPr="00911B50">
        <w:rPr>
          <w:lang w:val="es-ES"/>
        </w:rPr>
        <w:t>servatorio de aves…</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11B50">
        <w:rPr>
          <w:lang w:val="es-ES"/>
        </w:rPr>
        <w:t xml:space="preserve">Identificar la </w:t>
      </w:r>
      <w:r>
        <w:rPr>
          <w:lang w:val="es-ES"/>
        </w:rPr>
        <w:t>Bardenas</w:t>
      </w:r>
      <w:r w:rsidRPr="00911B50">
        <w:rPr>
          <w:lang w:val="es-ES"/>
        </w:rPr>
        <w:t xml:space="preserve"> con algún sello, logotipo...</w:t>
      </w:r>
    </w:p>
    <w:p w:rsidR="00553CEB" w:rsidRPr="00911B50"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911B50">
        <w:rPr>
          <w:lang w:val="es-ES"/>
        </w:rPr>
        <w:t>Crear un paquete turístico</w:t>
      </w:r>
      <w:r>
        <w:rPr>
          <w:lang w:val="es-ES"/>
        </w:rPr>
        <w:t xml:space="preserve"> de al menos una semana tanto para los</w:t>
      </w:r>
      <w:r w:rsidRPr="00911B50">
        <w:rPr>
          <w:lang w:val="es-ES"/>
        </w:rPr>
        <w:t xml:space="preserve"> visitantes especializados </w:t>
      </w:r>
      <w:r>
        <w:rPr>
          <w:lang w:val="es-ES"/>
        </w:rPr>
        <w:t>como los</w:t>
      </w:r>
      <w:r w:rsidRPr="00911B50">
        <w:rPr>
          <w:lang w:val="es-ES"/>
        </w:rPr>
        <w:t xml:space="preserve"> interesados en </w:t>
      </w:r>
      <w:r>
        <w:rPr>
          <w:lang w:val="es-ES"/>
        </w:rPr>
        <w:t>visitar</w:t>
      </w:r>
      <w:r w:rsidRPr="00911B50">
        <w:rPr>
          <w:lang w:val="es-ES"/>
        </w:rPr>
        <w:t xml:space="preserve"> </w:t>
      </w:r>
      <w:r>
        <w:rPr>
          <w:lang w:val="es-ES"/>
        </w:rPr>
        <w:t>el parque.</w:t>
      </w:r>
    </w:p>
    <w:p w:rsidR="00553CEB" w:rsidRPr="00911B50" w:rsidRDefault="00553CEB" w:rsidP="00D0054E">
      <w:pPr>
        <w:pStyle w:val="texto"/>
        <w:tabs>
          <w:tab w:val="num" w:pos="600"/>
        </w:tabs>
        <w:spacing w:after="360"/>
      </w:pPr>
      <w:r w:rsidRPr="00911B50">
        <w:t>Además de estas infraestructuras básicas se propone la creación,</w:t>
      </w:r>
      <w:r>
        <w:t xml:space="preserve"> </w:t>
      </w:r>
      <w:r w:rsidRPr="00911B50">
        <w:t>formación y capacitación  de un equipo de guarderío que pueda supervisar,</w:t>
      </w:r>
      <w:r>
        <w:t xml:space="preserve"> </w:t>
      </w:r>
      <w:r w:rsidRPr="00911B50">
        <w:t>controlar y vig</w:t>
      </w:r>
      <w:r w:rsidRPr="00911B50">
        <w:t>i</w:t>
      </w:r>
      <w:r w:rsidRPr="00911B50">
        <w:t xml:space="preserve">lar de manera eficiente toda </w:t>
      </w:r>
      <w:r>
        <w:t>el parque natural de Bardenas</w:t>
      </w:r>
      <w:r w:rsidRPr="00911B50">
        <w:t xml:space="preserve"> además de realizar una función docente inculcando los valores ambientales de conservación y re</w:t>
      </w:r>
      <w:r w:rsidRPr="00911B50">
        <w:t>s</w:t>
      </w:r>
      <w:r w:rsidRPr="00911B50">
        <w:t>peto.</w:t>
      </w:r>
      <w:r>
        <w:t xml:space="preserve"> </w:t>
      </w:r>
      <w:r w:rsidRPr="00911B50">
        <w:t>También se insta a valor</w:t>
      </w:r>
      <w:r w:rsidR="009263BE">
        <w:t xml:space="preserve">ar la posibilidad de establecer en el futuro </w:t>
      </w:r>
      <w:r w:rsidRPr="00911B50">
        <w:t>s</w:t>
      </w:r>
      <w:r w:rsidR="009263BE">
        <w:t>erv</w:t>
      </w:r>
      <w:r w:rsidR="009263BE">
        <w:t>i</w:t>
      </w:r>
      <w:r w:rsidR="009263BE">
        <w:t>cios</w:t>
      </w:r>
      <w:r w:rsidRPr="00911B50">
        <w:t xml:space="preserve"> de vi</w:t>
      </w:r>
      <w:r>
        <w:t xml:space="preserve">sita guiada </w:t>
      </w:r>
      <w:r w:rsidRPr="00911B50">
        <w:t>creando un colectivo de “guías especializados”</w:t>
      </w:r>
      <w:r>
        <w:t>,</w:t>
      </w:r>
      <w:r w:rsidRPr="00911B50">
        <w:t xml:space="preserve"> bien de carácter público o privado</w:t>
      </w:r>
      <w:r>
        <w:t>, y la posibilidad de</w:t>
      </w:r>
      <w:r w:rsidRPr="00911B50">
        <w:t xml:space="preserve"> cobrar una entrada en el acceso a</w:t>
      </w:r>
      <w:r>
        <w:t>l parque.</w:t>
      </w:r>
    </w:p>
    <w:p w:rsidR="00D0054E" w:rsidRDefault="00D0054E">
      <w:pPr>
        <w:spacing w:after="0"/>
        <w:ind w:firstLine="0"/>
        <w:jc w:val="left"/>
        <w:rPr>
          <w:rFonts w:ascii="Arial" w:hAnsi="Arial"/>
          <w:i/>
          <w:iCs/>
          <w:color w:val="000000"/>
          <w:spacing w:val="10"/>
          <w:kern w:val="28"/>
          <w:sz w:val="25"/>
          <w:szCs w:val="26"/>
        </w:rPr>
      </w:pPr>
      <w:r>
        <w:br w:type="page"/>
      </w:r>
    </w:p>
    <w:p w:rsidR="00553CEB" w:rsidRDefault="00553CEB" w:rsidP="00553CEB">
      <w:pPr>
        <w:pStyle w:val="atitulo3"/>
      </w:pPr>
      <w:r>
        <w:lastRenderedPageBreak/>
        <w:t>V.4.4. Viaje a Costa Rica (2012)</w:t>
      </w:r>
    </w:p>
    <w:p w:rsidR="00553CEB" w:rsidRPr="00A5480E" w:rsidRDefault="00553CEB" w:rsidP="00553CEB">
      <w:pPr>
        <w:pStyle w:val="texto"/>
      </w:pPr>
      <w:r w:rsidRPr="00A5480E">
        <w:t>In</w:t>
      </w:r>
      <w:r>
        <w:t>i</w:t>
      </w:r>
      <w:r w:rsidRPr="00A5480E">
        <w:t>cialmente este viaje estaba previsto para</w:t>
      </w:r>
      <w:r>
        <w:t xml:space="preserve"> febrero</w:t>
      </w:r>
      <w:r w:rsidRPr="00A5480E">
        <w:t xml:space="preserve"> 2010; sin embargo, la comisión permanente </w:t>
      </w:r>
      <w:r>
        <w:t xml:space="preserve">en enero de 2010 </w:t>
      </w:r>
      <w:r w:rsidRPr="00A5480E">
        <w:t>acordó su aplazamiento ante los acont</w:t>
      </w:r>
      <w:r w:rsidRPr="00A5480E">
        <w:t>e</w:t>
      </w:r>
      <w:r w:rsidRPr="00A5480E">
        <w:t>cimientos acontecidos en Hait</w:t>
      </w:r>
      <w:r>
        <w:t>í</w:t>
      </w:r>
      <w:r w:rsidRPr="00A5480E">
        <w:t xml:space="preserve"> (un terremoto) y la situación económica general</w:t>
      </w:r>
      <w:r>
        <w:t xml:space="preserve"> así como realizar una donación como ayuda humanitaria al citado país de 15.000 euros. Este aplazamiento supuso unos gastos</w:t>
      </w:r>
      <w:r w:rsidRPr="00A5480E">
        <w:t xml:space="preserve"> de cancelación de 5.250 euros.</w:t>
      </w:r>
    </w:p>
    <w:p w:rsidR="00553CEB" w:rsidRDefault="00553CEB" w:rsidP="00553CEB">
      <w:pPr>
        <w:pStyle w:val="texto"/>
      </w:pPr>
      <w:r>
        <w:t>Posteriormente se autoriza la realización del viaje institucional entre el 22 de febrero y el 3 de marzo de 2012, visitando fundamentalmente las siguientes r</w:t>
      </w:r>
      <w:r>
        <w:t>e</w:t>
      </w:r>
      <w:r>
        <w:t>servas de la biosfera de Costa Rica:</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5480E">
        <w:rPr>
          <w:lang w:val="es-ES"/>
        </w:rPr>
        <w:t>Parque Nacional Agua y Paz.</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A5480E">
        <w:rPr>
          <w:lang w:val="es-ES"/>
        </w:rPr>
        <w:t>Cordillera Volcánica Central.</w:t>
      </w:r>
    </w:p>
    <w:p w:rsidR="00553CEB" w:rsidRPr="00A5480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Reserva de la Amistad</w:t>
      </w:r>
    </w:p>
    <w:p w:rsidR="00553CEB" w:rsidRDefault="00553CEB" w:rsidP="005759CB">
      <w:pPr>
        <w:pStyle w:val="texto"/>
        <w:spacing w:after="240"/>
      </w:pPr>
      <w:r>
        <w:t>Igualmente destacamos que en la elaboración del programa del viaje partic</w:t>
      </w:r>
      <w:r>
        <w:t>i</w:t>
      </w:r>
      <w:r>
        <w:t>pó personal técnico de dos reservas visitadas.</w:t>
      </w:r>
    </w:p>
    <w:p w:rsidR="00553CEB" w:rsidRPr="00D0054E" w:rsidRDefault="00553CEB" w:rsidP="00D0054E">
      <w:pPr>
        <w:pStyle w:val="atitulo40"/>
        <w:spacing w:before="240" w:after="120"/>
        <w:rPr>
          <w:rFonts w:ascii="Arial" w:hAnsi="Arial" w:cs="Arial"/>
        </w:rPr>
      </w:pPr>
      <w:r w:rsidRPr="00D0054E">
        <w:rPr>
          <w:rFonts w:ascii="Arial" w:hAnsi="Arial" w:cs="Arial"/>
        </w:rPr>
        <w:t>Objetivos del viaje</w:t>
      </w:r>
    </w:p>
    <w:p w:rsidR="00553CEB" w:rsidRDefault="00553CEB" w:rsidP="005759CB">
      <w:pPr>
        <w:pStyle w:val="texto"/>
        <w:spacing w:after="240"/>
      </w:pPr>
      <w:r>
        <w:t>El objetivo central de este viaje se enmarca dentro de la política de colabor</w:t>
      </w:r>
      <w:r>
        <w:t>a</w:t>
      </w:r>
      <w:r>
        <w:t xml:space="preserve">ción e intercambio de conocimientos y experiencias </w:t>
      </w:r>
      <w:r w:rsidRPr="00313531">
        <w:t xml:space="preserve">en todos aquellos temas relacionados con las tres funciones encomendadas a </w:t>
      </w:r>
      <w:r>
        <w:t>las reservas de la Biosfera declaradas por la</w:t>
      </w:r>
      <w:r w:rsidRPr="00313531">
        <w:t xml:space="preserve"> UNESCO</w:t>
      </w:r>
      <w:r>
        <w:t xml:space="preserve"> </w:t>
      </w:r>
      <w:r w:rsidRPr="00313531">
        <w:t>(conservación, desarrollo y apoyo logístico)</w:t>
      </w:r>
      <w:r>
        <w:t>.</w:t>
      </w:r>
    </w:p>
    <w:p w:rsidR="00553CEB" w:rsidRPr="00D0054E" w:rsidRDefault="00553CEB" w:rsidP="00D0054E">
      <w:pPr>
        <w:pStyle w:val="atitulo40"/>
        <w:spacing w:before="240" w:after="120"/>
        <w:rPr>
          <w:rFonts w:ascii="Arial" w:hAnsi="Arial" w:cs="Arial"/>
        </w:rPr>
      </w:pPr>
      <w:r w:rsidRPr="00D0054E">
        <w:rPr>
          <w:rFonts w:ascii="Arial" w:hAnsi="Arial" w:cs="Arial"/>
        </w:rPr>
        <w:t xml:space="preserve">Personas </w:t>
      </w:r>
    </w:p>
    <w:p w:rsidR="00553CEB" w:rsidRDefault="00553CEB" w:rsidP="00553CEB">
      <w:pPr>
        <w:pStyle w:val="texto"/>
      </w:pPr>
      <w:r>
        <w:t>A</w:t>
      </w:r>
      <w:r w:rsidR="009263BE">
        <w:t xml:space="preserve"> este viaje asisten </w:t>
      </w:r>
      <w:r>
        <w:t>cinco personas, de acuerdo con el siguiente detalle: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Tres</w:t>
      </w:r>
      <w:r w:rsidRPr="00D20BD4">
        <w:rPr>
          <w:lang w:val="es-ES"/>
        </w:rPr>
        <w:t xml:space="preserve"> vocales de la comisión permanente.</w:t>
      </w:r>
    </w:p>
    <w:p w:rsidR="00553CEB" w:rsidRPr="00D20BD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Dos alcaldes en representación de las entidades congozantes (Milagro y Peralta)</w:t>
      </w:r>
      <w:r w:rsidRPr="00D20BD4">
        <w:rPr>
          <w:lang w:val="es-ES"/>
        </w:rPr>
        <w:t xml:space="preserve">. </w:t>
      </w:r>
    </w:p>
    <w:p w:rsidR="00553CEB" w:rsidRPr="00D0054E" w:rsidRDefault="00553CEB" w:rsidP="00D0054E">
      <w:pPr>
        <w:pStyle w:val="atitulo40"/>
        <w:spacing w:before="240" w:after="120"/>
        <w:rPr>
          <w:rFonts w:ascii="Arial" w:hAnsi="Arial" w:cs="Arial"/>
        </w:rPr>
      </w:pPr>
      <w:r w:rsidRPr="00D0054E">
        <w:rPr>
          <w:rFonts w:ascii="Arial" w:hAnsi="Arial" w:cs="Arial"/>
        </w:rPr>
        <w:t>Gastos del viaje</w:t>
      </w:r>
    </w:p>
    <w:p w:rsidR="00553CEB" w:rsidRDefault="00553CEB" w:rsidP="00553CEB">
      <w:pPr>
        <w:pStyle w:val="texto"/>
      </w:pPr>
      <w:r>
        <w:t>De acuerdo con los registros contables, el gasto total del viaje ascendió a 34.324 euros, incluidos los 5.250 euros de la cancelación y las dietas percibidas por los miembros de la comisión permanente.</w:t>
      </w:r>
    </w:p>
    <w:p w:rsidR="00D0054E" w:rsidRDefault="00D0054E">
      <w:pPr>
        <w:spacing w:after="0"/>
        <w:ind w:firstLine="0"/>
        <w:jc w:val="left"/>
        <w:rPr>
          <w:spacing w:val="6"/>
          <w:sz w:val="26"/>
          <w:szCs w:val="24"/>
        </w:rPr>
      </w:pPr>
      <w:r>
        <w:br w:type="page"/>
      </w:r>
    </w:p>
    <w:p w:rsidR="005759CB" w:rsidRDefault="00553CEB" w:rsidP="00254BC7">
      <w:pPr>
        <w:pStyle w:val="texto"/>
        <w:spacing w:after="240"/>
      </w:pPr>
      <w:r>
        <w:lastRenderedPageBreak/>
        <w:t>En el cuadro siguiente se muestra el gasto anterior así como lo que supuso por persona y por persona/día.</w:t>
      </w:r>
    </w:p>
    <w:tbl>
      <w:tblPr>
        <w:tblW w:w="0" w:type="auto"/>
        <w:jc w:val="center"/>
        <w:tblLayout w:type="fixed"/>
        <w:tblCellMar>
          <w:left w:w="70" w:type="dxa"/>
          <w:right w:w="70" w:type="dxa"/>
        </w:tblCellMar>
        <w:tblLook w:val="00A0" w:firstRow="1" w:lastRow="0" w:firstColumn="1" w:lastColumn="0" w:noHBand="0" w:noVBand="0"/>
      </w:tblPr>
      <w:tblGrid>
        <w:gridCol w:w="7023"/>
        <w:gridCol w:w="1797"/>
      </w:tblGrid>
      <w:tr w:rsidR="00553CEB" w:rsidRPr="005759CB" w:rsidTr="005759CB">
        <w:trPr>
          <w:trHeight w:val="284"/>
          <w:jc w:val="center"/>
        </w:trPr>
        <w:tc>
          <w:tcPr>
            <w:tcW w:w="7023"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sidRPr="005759CB">
              <w:rPr>
                <w:rFonts w:ascii="Arial" w:hAnsi="Arial" w:cs="Arial"/>
                <w:sz w:val="18"/>
                <w:szCs w:val="18"/>
              </w:rPr>
              <w:t>Viaje a Costa Rica</w:t>
            </w:r>
          </w:p>
        </w:tc>
        <w:tc>
          <w:tcPr>
            <w:tcW w:w="1797" w:type="dxa"/>
            <w:tcBorders>
              <w:top w:val="single" w:sz="4" w:space="0" w:color="auto"/>
              <w:bottom w:val="single" w:sz="4"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sidRPr="005759CB">
              <w:rPr>
                <w:rFonts w:ascii="Arial" w:hAnsi="Arial" w:cs="Arial"/>
                <w:sz w:val="18"/>
                <w:szCs w:val="18"/>
              </w:rPr>
              <w:t>Importe</w:t>
            </w:r>
          </w:p>
        </w:tc>
      </w:tr>
      <w:tr w:rsidR="00553CEB" w:rsidRPr="00B23DBC" w:rsidTr="005759CB">
        <w:trPr>
          <w:trHeight w:val="284"/>
          <w:jc w:val="center"/>
        </w:trPr>
        <w:tc>
          <w:tcPr>
            <w:tcW w:w="7023" w:type="dxa"/>
            <w:tcBorders>
              <w:top w:val="single" w:sz="4" w:space="0" w:color="auto"/>
              <w:bottom w:val="single" w:sz="2" w:space="0" w:color="auto"/>
            </w:tcBorders>
            <w:vAlign w:val="center"/>
          </w:tcPr>
          <w:p w:rsidR="00553CEB" w:rsidRPr="00B23DBC" w:rsidRDefault="00553CEB" w:rsidP="005759CB">
            <w:pPr>
              <w:pStyle w:val="cuatexto"/>
              <w:jc w:val="left"/>
            </w:pPr>
            <w:r>
              <w:t>Gastos del viaje facturados (incluidos gastos de cancelación)</w:t>
            </w:r>
          </w:p>
        </w:tc>
        <w:tc>
          <w:tcPr>
            <w:tcW w:w="1797" w:type="dxa"/>
            <w:tcBorders>
              <w:top w:val="single" w:sz="4" w:space="0" w:color="auto"/>
              <w:bottom w:val="single" w:sz="2" w:space="0" w:color="auto"/>
            </w:tcBorders>
            <w:vAlign w:val="center"/>
          </w:tcPr>
          <w:p w:rsidR="00553CEB" w:rsidRPr="00B23DBC" w:rsidRDefault="00553CEB" w:rsidP="005759CB">
            <w:pPr>
              <w:pStyle w:val="cuatexto"/>
              <w:jc w:val="right"/>
            </w:pPr>
            <w:r>
              <w:t>27.424</w:t>
            </w:r>
          </w:p>
        </w:tc>
      </w:tr>
      <w:tr w:rsidR="00553CEB" w:rsidRPr="00B23DBC" w:rsidTr="005759CB">
        <w:trPr>
          <w:trHeight w:val="284"/>
          <w:jc w:val="center"/>
        </w:trPr>
        <w:tc>
          <w:tcPr>
            <w:tcW w:w="7023" w:type="dxa"/>
            <w:tcBorders>
              <w:top w:val="single" w:sz="2" w:space="0" w:color="auto"/>
              <w:bottom w:val="single" w:sz="4" w:space="0" w:color="auto"/>
            </w:tcBorders>
            <w:vAlign w:val="center"/>
          </w:tcPr>
          <w:p w:rsidR="00553CEB" w:rsidRPr="00B23DBC" w:rsidRDefault="00553CEB" w:rsidP="005759CB">
            <w:pPr>
              <w:pStyle w:val="cuatexto"/>
              <w:jc w:val="left"/>
            </w:pPr>
            <w:r>
              <w:t>Dieta 3 miembros comisión permanente</w:t>
            </w:r>
          </w:p>
        </w:tc>
        <w:tc>
          <w:tcPr>
            <w:tcW w:w="1797" w:type="dxa"/>
            <w:tcBorders>
              <w:top w:val="single" w:sz="2" w:space="0" w:color="auto"/>
              <w:bottom w:val="single" w:sz="4" w:space="0" w:color="auto"/>
            </w:tcBorders>
            <w:vAlign w:val="center"/>
          </w:tcPr>
          <w:p w:rsidR="00553CEB" w:rsidRPr="00B23DBC" w:rsidRDefault="00553CEB" w:rsidP="005759CB">
            <w:pPr>
              <w:pStyle w:val="cuatexto"/>
              <w:jc w:val="right"/>
            </w:pPr>
            <w:r>
              <w:t>6.900</w:t>
            </w:r>
          </w:p>
        </w:tc>
      </w:tr>
      <w:tr w:rsidR="00553CEB" w:rsidRPr="005759CB" w:rsidTr="005759CB">
        <w:trPr>
          <w:trHeight w:val="284"/>
          <w:jc w:val="center"/>
        </w:trPr>
        <w:tc>
          <w:tcPr>
            <w:tcW w:w="7023" w:type="dxa"/>
            <w:tcBorders>
              <w:top w:val="single" w:sz="4" w:space="0" w:color="auto"/>
              <w:bottom w:val="single" w:sz="2" w:space="0" w:color="auto"/>
            </w:tcBorders>
            <w:shd w:val="clear" w:color="auto" w:fill="FABF8F" w:themeFill="accent6" w:themeFillTint="99"/>
            <w:vAlign w:val="center"/>
          </w:tcPr>
          <w:p w:rsidR="00553CEB" w:rsidRPr="005759CB" w:rsidRDefault="00553CEB" w:rsidP="005759CB">
            <w:pPr>
              <w:pStyle w:val="cuatexto"/>
              <w:ind w:right="-6"/>
              <w:jc w:val="left"/>
              <w:rPr>
                <w:rFonts w:ascii="Arial" w:hAnsi="Arial" w:cs="Arial"/>
                <w:sz w:val="18"/>
                <w:szCs w:val="18"/>
              </w:rPr>
            </w:pPr>
            <w:r w:rsidRPr="005759CB">
              <w:rPr>
                <w:rFonts w:ascii="Arial" w:hAnsi="Arial" w:cs="Arial"/>
                <w:sz w:val="18"/>
                <w:szCs w:val="18"/>
              </w:rPr>
              <w:t>Total viaje Costa Rica</w:t>
            </w:r>
          </w:p>
        </w:tc>
        <w:tc>
          <w:tcPr>
            <w:tcW w:w="1797" w:type="dxa"/>
            <w:tcBorders>
              <w:top w:val="single" w:sz="4" w:space="0" w:color="auto"/>
              <w:bottom w:val="single" w:sz="2" w:space="0" w:color="auto"/>
            </w:tcBorders>
            <w:shd w:val="clear" w:color="auto" w:fill="FABF8F" w:themeFill="accent6" w:themeFillTint="99"/>
            <w:vAlign w:val="center"/>
          </w:tcPr>
          <w:p w:rsidR="00553CEB" w:rsidRPr="005759CB" w:rsidRDefault="00553CEB" w:rsidP="005759CB">
            <w:pPr>
              <w:pStyle w:val="cuatexto"/>
              <w:ind w:right="-6"/>
              <w:jc w:val="right"/>
              <w:rPr>
                <w:rFonts w:ascii="Arial" w:hAnsi="Arial" w:cs="Arial"/>
                <w:sz w:val="18"/>
                <w:szCs w:val="18"/>
              </w:rPr>
            </w:pPr>
            <w:r w:rsidRPr="005759CB">
              <w:rPr>
                <w:rFonts w:ascii="Arial" w:hAnsi="Arial" w:cs="Arial"/>
                <w:sz w:val="18"/>
                <w:szCs w:val="18"/>
              </w:rPr>
              <w:t>34.324</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left"/>
            </w:pPr>
            <w:r w:rsidRPr="00F36D69">
              <w:t>Número de personas</w:t>
            </w:r>
          </w:p>
        </w:tc>
        <w:tc>
          <w:tcPr>
            <w:tcW w:w="1797"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right"/>
            </w:pPr>
            <w:r>
              <w:t>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sidRPr="008F2DC5">
              <w:rPr>
                <w:b/>
                <w:i/>
              </w:rPr>
              <w:t>Total coste por persona con derecho a dieta</w:t>
            </w:r>
          </w:p>
        </w:tc>
        <w:tc>
          <w:tcPr>
            <w:tcW w:w="1797" w:type="dxa"/>
            <w:tcBorders>
              <w:top w:val="single" w:sz="2" w:space="0" w:color="auto"/>
              <w:bottom w:val="single" w:sz="2" w:space="0" w:color="auto"/>
            </w:tcBorders>
            <w:shd w:val="clear" w:color="auto" w:fill="auto"/>
            <w:vAlign w:val="center"/>
          </w:tcPr>
          <w:p w:rsidR="00553CEB" w:rsidRPr="00934550" w:rsidRDefault="00553CEB" w:rsidP="005759CB">
            <w:pPr>
              <w:pStyle w:val="cuatexto"/>
              <w:ind w:right="-6"/>
              <w:jc w:val="right"/>
              <w:rPr>
                <w:b/>
                <w:i/>
              </w:rPr>
            </w:pPr>
            <w:r>
              <w:rPr>
                <w:b/>
                <w:i/>
              </w:rPr>
              <w:t>7.785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sidRPr="008F2DC5">
              <w:rPr>
                <w:b/>
                <w:i/>
              </w:rPr>
              <w:t>Total coste por persona sin derecho a dieta</w:t>
            </w:r>
          </w:p>
        </w:tc>
        <w:tc>
          <w:tcPr>
            <w:tcW w:w="1797" w:type="dxa"/>
            <w:tcBorders>
              <w:top w:val="single" w:sz="2" w:space="0" w:color="auto"/>
              <w:bottom w:val="single" w:sz="2" w:space="0" w:color="auto"/>
            </w:tcBorders>
            <w:shd w:val="clear" w:color="auto" w:fill="auto"/>
            <w:vAlign w:val="center"/>
          </w:tcPr>
          <w:p w:rsidR="00553CEB" w:rsidRPr="00934550" w:rsidRDefault="00553CEB" w:rsidP="005759CB">
            <w:pPr>
              <w:pStyle w:val="cuatexto"/>
              <w:ind w:right="-6"/>
              <w:jc w:val="right"/>
              <w:rPr>
                <w:b/>
                <w:i/>
              </w:rPr>
            </w:pPr>
            <w:r>
              <w:rPr>
                <w:b/>
                <w:i/>
              </w:rPr>
              <w:t>5.485</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left"/>
            </w:pPr>
            <w:r w:rsidRPr="00F36D69">
              <w:t>Número de días</w:t>
            </w:r>
          </w:p>
        </w:tc>
        <w:tc>
          <w:tcPr>
            <w:tcW w:w="1797" w:type="dxa"/>
            <w:tcBorders>
              <w:top w:val="single" w:sz="2" w:space="0" w:color="auto"/>
              <w:bottom w:val="single" w:sz="2" w:space="0" w:color="auto"/>
            </w:tcBorders>
            <w:shd w:val="clear" w:color="auto" w:fill="auto"/>
            <w:vAlign w:val="center"/>
          </w:tcPr>
          <w:p w:rsidR="00553CEB" w:rsidRPr="00F36D69" w:rsidRDefault="00553CEB" w:rsidP="005759CB">
            <w:pPr>
              <w:pStyle w:val="cuatexto"/>
              <w:ind w:right="-6"/>
              <w:jc w:val="right"/>
            </w:pPr>
            <w:r>
              <w:t>9</w:t>
            </w:r>
          </w:p>
        </w:tc>
      </w:tr>
      <w:tr w:rsidR="00553CEB" w:rsidRPr="00B23DBC" w:rsidTr="005759CB">
        <w:trPr>
          <w:trHeight w:val="284"/>
          <w:jc w:val="center"/>
        </w:trPr>
        <w:tc>
          <w:tcPr>
            <w:tcW w:w="7023" w:type="dxa"/>
            <w:tcBorders>
              <w:top w:val="single" w:sz="2" w:space="0" w:color="auto"/>
              <w:bottom w:val="single" w:sz="2" w:space="0" w:color="auto"/>
            </w:tcBorders>
            <w:shd w:val="clear" w:color="auto" w:fill="auto"/>
            <w:vAlign w:val="center"/>
          </w:tcPr>
          <w:p w:rsidR="00553CEB" w:rsidRPr="008F2DC5" w:rsidRDefault="00553CEB" w:rsidP="005759CB">
            <w:pPr>
              <w:pStyle w:val="cuatexto"/>
              <w:ind w:right="-6"/>
              <w:jc w:val="left"/>
              <w:rPr>
                <w:b/>
                <w:i/>
              </w:rPr>
            </w:pPr>
            <w:r w:rsidRPr="008F2DC5">
              <w:rPr>
                <w:b/>
                <w:i/>
              </w:rPr>
              <w:t>Total coste persona con dieta/día</w:t>
            </w:r>
          </w:p>
        </w:tc>
        <w:tc>
          <w:tcPr>
            <w:tcW w:w="1797" w:type="dxa"/>
            <w:tcBorders>
              <w:top w:val="single" w:sz="2" w:space="0" w:color="auto"/>
              <w:bottom w:val="single" w:sz="2" w:space="0" w:color="auto"/>
            </w:tcBorders>
            <w:shd w:val="clear" w:color="auto" w:fill="auto"/>
            <w:vAlign w:val="center"/>
          </w:tcPr>
          <w:p w:rsidR="00553CEB" w:rsidRPr="00BA64F0" w:rsidRDefault="00553CEB" w:rsidP="005759CB">
            <w:pPr>
              <w:pStyle w:val="cuatexto"/>
              <w:ind w:right="-6"/>
              <w:jc w:val="right"/>
              <w:rPr>
                <w:b/>
                <w:i/>
              </w:rPr>
            </w:pPr>
            <w:r>
              <w:rPr>
                <w:b/>
                <w:i/>
              </w:rPr>
              <w:t>865</w:t>
            </w:r>
          </w:p>
        </w:tc>
      </w:tr>
      <w:tr w:rsidR="00553CEB" w:rsidRPr="00B23DBC" w:rsidTr="005759CB">
        <w:trPr>
          <w:trHeight w:val="284"/>
          <w:jc w:val="center"/>
        </w:trPr>
        <w:tc>
          <w:tcPr>
            <w:tcW w:w="7023" w:type="dxa"/>
            <w:tcBorders>
              <w:top w:val="single" w:sz="2" w:space="0" w:color="auto"/>
              <w:bottom w:val="single" w:sz="4" w:space="0" w:color="auto"/>
            </w:tcBorders>
            <w:shd w:val="clear" w:color="auto" w:fill="auto"/>
            <w:vAlign w:val="center"/>
          </w:tcPr>
          <w:p w:rsidR="00553CEB" w:rsidRPr="008F2DC5" w:rsidRDefault="00553CEB" w:rsidP="005759CB">
            <w:pPr>
              <w:pStyle w:val="cuatexto"/>
              <w:ind w:right="-6"/>
              <w:jc w:val="left"/>
              <w:rPr>
                <w:b/>
                <w:i/>
              </w:rPr>
            </w:pPr>
            <w:r w:rsidRPr="008F2DC5">
              <w:rPr>
                <w:b/>
                <w:i/>
              </w:rPr>
              <w:t>Total coste persona sin dieta/día</w:t>
            </w:r>
          </w:p>
        </w:tc>
        <w:tc>
          <w:tcPr>
            <w:tcW w:w="1797" w:type="dxa"/>
            <w:tcBorders>
              <w:top w:val="single" w:sz="2" w:space="0" w:color="auto"/>
              <w:bottom w:val="single" w:sz="4" w:space="0" w:color="auto"/>
            </w:tcBorders>
            <w:shd w:val="clear" w:color="auto" w:fill="auto"/>
            <w:vAlign w:val="center"/>
          </w:tcPr>
          <w:p w:rsidR="00553CEB" w:rsidRPr="00BA64F0" w:rsidRDefault="00553CEB" w:rsidP="005759CB">
            <w:pPr>
              <w:pStyle w:val="cuatexto"/>
              <w:ind w:right="-6"/>
              <w:jc w:val="right"/>
              <w:rPr>
                <w:b/>
                <w:i/>
              </w:rPr>
            </w:pPr>
            <w:r>
              <w:rPr>
                <w:b/>
                <w:i/>
              </w:rPr>
              <w:t>609</w:t>
            </w:r>
          </w:p>
        </w:tc>
      </w:tr>
    </w:tbl>
    <w:p w:rsidR="00553CEB" w:rsidRDefault="00553CEB" w:rsidP="00991B73">
      <w:pPr>
        <w:pStyle w:val="texto"/>
        <w:spacing w:after="0"/>
        <w:ind w:firstLine="0"/>
      </w:pPr>
    </w:p>
    <w:p w:rsidR="00553CEB" w:rsidRDefault="00553CEB" w:rsidP="00553CEB">
      <w:pPr>
        <w:pStyle w:val="texto"/>
      </w:pPr>
      <w:r>
        <w:t>Los gastos de viaje propiamente están documentados en la facturación de la agencia de viajes</w:t>
      </w:r>
      <w:r w:rsidR="00FC4DE0">
        <w:t xml:space="preserve">, haciéndose referencia </w:t>
      </w:r>
      <w:r>
        <w:t>a los desplazamientos, visados, hot</w:t>
      </w:r>
      <w:r>
        <w:t>e</w:t>
      </w:r>
      <w:r>
        <w:t>les, manutención, seguros y a la contratación de un vehículo con conductor-guía local.</w:t>
      </w:r>
    </w:p>
    <w:p w:rsidR="00553CEB" w:rsidRPr="00D0054E" w:rsidRDefault="00553CEB" w:rsidP="00D0054E">
      <w:pPr>
        <w:pStyle w:val="atitulo40"/>
        <w:spacing w:before="240" w:after="120"/>
        <w:rPr>
          <w:rFonts w:ascii="Arial" w:hAnsi="Arial" w:cs="Arial"/>
        </w:rPr>
      </w:pPr>
      <w:r w:rsidRPr="00D0054E">
        <w:rPr>
          <w:rFonts w:ascii="Arial" w:hAnsi="Arial" w:cs="Arial"/>
        </w:rPr>
        <w:t>Informes de evaluación del viaje</w:t>
      </w:r>
    </w:p>
    <w:p w:rsidR="00553CEB" w:rsidRPr="00D84E64" w:rsidRDefault="00553CEB" w:rsidP="00553CEB">
      <w:pPr>
        <w:pStyle w:val="texto"/>
      </w:pPr>
      <w:r w:rsidRPr="00EC64B8">
        <w:t xml:space="preserve">El expediente contiene </w:t>
      </w:r>
      <w:r>
        <w:t>un informe completo de evaluación del viaje. Las conclusiones más relevantes del mismo, se resumen a continuación:</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Costa Rica no cuenta con un modelo de gestión descentralizada para sus áreas de conservación sino que dependen del Ministerio de Ambiente y Ene</w:t>
      </w:r>
      <w:r w:rsidRPr="00053BD9">
        <w:rPr>
          <w:lang w:val="es-ES"/>
        </w:rPr>
        <w:t>r</w:t>
      </w:r>
      <w:r w:rsidRPr="00053BD9">
        <w:rPr>
          <w:lang w:val="es-ES"/>
        </w:rPr>
        <w:t xml:space="preserve">gía. La gestión en </w:t>
      </w:r>
      <w:r>
        <w:rPr>
          <w:lang w:val="es-ES"/>
        </w:rPr>
        <w:t xml:space="preserve">la reserva de </w:t>
      </w:r>
      <w:r w:rsidRPr="00053BD9">
        <w:rPr>
          <w:lang w:val="es-ES"/>
        </w:rPr>
        <w:t>Bardenas resulta más eficiente y sencilla al ser el único órgano gestor del territorio.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 xml:space="preserve">Se observa que </w:t>
      </w:r>
      <w:r w:rsidRPr="00053BD9">
        <w:rPr>
          <w:lang w:val="es-ES"/>
        </w:rPr>
        <w:t>en muy pocos casos se disponen de planes de gestión esp</w:t>
      </w:r>
      <w:r w:rsidRPr="00053BD9">
        <w:rPr>
          <w:lang w:val="es-ES"/>
        </w:rPr>
        <w:t>e</w:t>
      </w:r>
      <w:r w:rsidRPr="00053BD9">
        <w:rPr>
          <w:lang w:val="es-ES"/>
        </w:rPr>
        <w:t>cíficos para cada área de conservación</w:t>
      </w:r>
      <w:r w:rsidR="009263BE">
        <w:rPr>
          <w:lang w:val="es-ES"/>
        </w:rPr>
        <w:t>,</w:t>
      </w:r>
      <w:r w:rsidRPr="00053BD9">
        <w:rPr>
          <w:lang w:val="es-ES"/>
        </w:rPr>
        <w:t xml:space="preserve"> sino que se trata de planes generales de</w:t>
      </w:r>
      <w:r>
        <w:rPr>
          <w:lang w:val="es-ES"/>
        </w:rPr>
        <w:t xml:space="preserve"> ámbito nacional. El PORN en </w:t>
      </w:r>
      <w:r w:rsidRPr="00053BD9">
        <w:rPr>
          <w:lang w:val="es-ES"/>
        </w:rPr>
        <w:t>Bardena</w:t>
      </w:r>
      <w:r>
        <w:rPr>
          <w:lang w:val="es-ES"/>
        </w:rPr>
        <w:t>s</w:t>
      </w:r>
      <w:r w:rsidRPr="00053BD9">
        <w:rPr>
          <w:lang w:val="es-ES"/>
        </w:rPr>
        <w:t xml:space="preserve"> resulta un plan más </w:t>
      </w:r>
      <w:r>
        <w:rPr>
          <w:lang w:val="es-ES"/>
        </w:rPr>
        <w:t>adecuado</w:t>
      </w:r>
      <w:r w:rsidRPr="00053BD9">
        <w:rPr>
          <w:lang w:val="es-ES"/>
        </w:rPr>
        <w:t xml:space="preserve"> siempre que se tenga en cuenta </w:t>
      </w:r>
      <w:r>
        <w:rPr>
          <w:lang w:val="es-ES"/>
        </w:rPr>
        <w:t>su</w:t>
      </w:r>
      <w:r w:rsidRPr="00053BD9">
        <w:rPr>
          <w:lang w:val="es-ES"/>
        </w:rPr>
        <w:t xml:space="preserve"> </w:t>
      </w:r>
      <w:r>
        <w:rPr>
          <w:lang w:val="es-ES"/>
        </w:rPr>
        <w:t>necesaria</w:t>
      </w:r>
      <w:r w:rsidRPr="00053BD9">
        <w:rPr>
          <w:lang w:val="es-ES"/>
        </w:rPr>
        <w:t xml:space="preserve"> actualización y se desarrollen planes esp</w:t>
      </w:r>
      <w:r w:rsidRPr="00053BD9">
        <w:rPr>
          <w:lang w:val="es-ES"/>
        </w:rPr>
        <w:t>e</w:t>
      </w:r>
      <w:r w:rsidRPr="00053BD9">
        <w:rPr>
          <w:lang w:val="es-ES"/>
        </w:rPr>
        <w:t>cíficos. Al igual que se ha realizado con los distritos ganaderos, se debería a</w:t>
      </w:r>
      <w:r w:rsidRPr="00053BD9">
        <w:rPr>
          <w:lang w:val="es-ES"/>
        </w:rPr>
        <w:t>m</w:t>
      </w:r>
      <w:r w:rsidRPr="00053BD9">
        <w:rPr>
          <w:lang w:val="es-ES"/>
        </w:rPr>
        <w:t>pliar este tipo de iniciativas al turismo, agricultura, etc.</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La capacitación del personal, tanto funcionario como privado, que desarr</w:t>
      </w:r>
      <w:r w:rsidRPr="00053BD9">
        <w:rPr>
          <w:lang w:val="es-ES"/>
        </w:rPr>
        <w:t>o</w:t>
      </w:r>
      <w:r w:rsidRPr="00053BD9">
        <w:rPr>
          <w:lang w:val="es-ES"/>
        </w:rPr>
        <w:t>lla labores de gestión, guía, restauración, etc</w:t>
      </w:r>
      <w:r>
        <w:rPr>
          <w:lang w:val="es-ES"/>
        </w:rPr>
        <w:t>.</w:t>
      </w:r>
      <w:r w:rsidRPr="00053BD9">
        <w:rPr>
          <w:lang w:val="es-ES"/>
        </w:rPr>
        <w:t xml:space="preserve"> es un aspecto fundamental a tener en cuenta en el ámbito de las Bardenas.</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 xml:space="preserve">Se recomienda a la Comunidad de las Bardenas continuar con su labor de potenciar las entidades congozantes y </w:t>
      </w:r>
      <w:r>
        <w:rPr>
          <w:lang w:val="es-ES"/>
        </w:rPr>
        <w:t xml:space="preserve">a </w:t>
      </w:r>
      <w:r w:rsidRPr="00053BD9">
        <w:rPr>
          <w:lang w:val="es-ES"/>
        </w:rPr>
        <w:t>sus habitantes, ya sea a través del des</w:t>
      </w:r>
      <w:r w:rsidRPr="00053BD9">
        <w:rPr>
          <w:lang w:val="es-ES"/>
        </w:rPr>
        <w:t>a</w:t>
      </w:r>
      <w:r w:rsidRPr="00053BD9">
        <w:rPr>
          <w:lang w:val="es-ES"/>
        </w:rPr>
        <w:t>rrollo histórico de los usos tradicionales o  bien a través de nue</w:t>
      </w:r>
      <w:r>
        <w:rPr>
          <w:lang w:val="es-ES"/>
        </w:rPr>
        <w:t>vas</w:t>
      </w:r>
      <w:r w:rsidRPr="00053BD9">
        <w:rPr>
          <w:lang w:val="es-ES"/>
        </w:rPr>
        <w:t xml:space="preserve"> iniciativas en un campo de desarrollo como el turístico.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El control y protección a través del guarderío forestal está muy bien estru</w:t>
      </w:r>
      <w:r w:rsidRPr="00053BD9">
        <w:rPr>
          <w:lang w:val="es-ES"/>
        </w:rPr>
        <w:t>c</w:t>
      </w:r>
      <w:r w:rsidRPr="00053BD9">
        <w:rPr>
          <w:lang w:val="es-ES"/>
        </w:rPr>
        <w:t>turado en Costa Rica. Se entiende que las Bardenas presenta una carencia a este respecto por lo que se aconseja subsanarla.</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lastRenderedPageBreak/>
        <w:t>Los espacios naturales visitados cuentan con un servicio de gran calidad de guías locales</w:t>
      </w:r>
      <w:r>
        <w:rPr>
          <w:lang w:val="es-ES"/>
        </w:rPr>
        <w:t>, por lo que sería interesante valorar este tema para Bardenas.</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La</w:t>
      </w:r>
      <w:r>
        <w:rPr>
          <w:lang w:val="es-ES"/>
        </w:rPr>
        <w:t>s</w:t>
      </w:r>
      <w:r w:rsidRPr="00053BD9">
        <w:rPr>
          <w:lang w:val="es-ES"/>
        </w:rPr>
        <w:t xml:space="preserve"> áreas protegidas costarricenses cuentan con red de senderos y una a</w:t>
      </w:r>
      <w:r w:rsidRPr="00053BD9">
        <w:rPr>
          <w:lang w:val="es-ES"/>
        </w:rPr>
        <w:t>m</w:t>
      </w:r>
      <w:r w:rsidRPr="00053BD9">
        <w:rPr>
          <w:lang w:val="es-ES"/>
        </w:rPr>
        <w:t>plia oferta de actividades lo que permite al visitante un contacto a primera mano con el entorno.</w:t>
      </w:r>
    </w:p>
    <w:p w:rsidR="00553CEB" w:rsidRPr="00053BD9"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En todas y cada una de las áreas de conservación visitadas se abona la c</w:t>
      </w:r>
      <w:r w:rsidRPr="00053BD9">
        <w:rPr>
          <w:lang w:val="es-ES"/>
        </w:rPr>
        <w:t>o</w:t>
      </w:r>
      <w:r w:rsidRPr="00053BD9">
        <w:rPr>
          <w:lang w:val="es-ES"/>
        </w:rPr>
        <w:t xml:space="preserve">rrespondiente entrada. El precio diferencia si eres </w:t>
      </w:r>
      <w:r>
        <w:rPr>
          <w:lang w:val="es-ES"/>
        </w:rPr>
        <w:t xml:space="preserve">visitante </w:t>
      </w:r>
      <w:r w:rsidRPr="00053BD9">
        <w:rPr>
          <w:lang w:val="es-ES"/>
        </w:rPr>
        <w:t>nacional o extranj</w:t>
      </w:r>
      <w:r w:rsidRPr="00053BD9">
        <w:rPr>
          <w:lang w:val="es-ES"/>
        </w:rPr>
        <w:t>e</w:t>
      </w:r>
      <w:r w:rsidRPr="00053BD9">
        <w:rPr>
          <w:lang w:val="es-ES"/>
        </w:rPr>
        <w:t xml:space="preserve">ro, por lo que ese podría eximir en caso de ser congozante y así promover la visita y sensibilización de </w:t>
      </w:r>
      <w:r w:rsidR="009263BE">
        <w:rPr>
          <w:lang w:val="es-ES"/>
        </w:rPr>
        <w:t>e</w:t>
      </w:r>
      <w:r w:rsidRPr="00053BD9">
        <w:rPr>
          <w:lang w:val="es-ES"/>
        </w:rPr>
        <w:t>stos.</w:t>
      </w:r>
    </w:p>
    <w:p w:rsidR="00553CEB" w:rsidRPr="004A4D9E"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053BD9">
        <w:rPr>
          <w:lang w:val="es-ES"/>
        </w:rPr>
        <w:t>En todos los parques nacionales existe una prohibición expresa de la aca</w:t>
      </w:r>
      <w:r w:rsidRPr="00053BD9">
        <w:rPr>
          <w:lang w:val="es-ES"/>
        </w:rPr>
        <w:t>m</w:t>
      </w:r>
      <w:r w:rsidRPr="00053BD9">
        <w:rPr>
          <w:lang w:val="es-ES"/>
        </w:rPr>
        <w:t>pada al igual que</w:t>
      </w:r>
      <w:r>
        <w:rPr>
          <w:lang w:val="es-ES"/>
        </w:rPr>
        <w:t xml:space="preserve"> en</w:t>
      </w:r>
      <w:r w:rsidRPr="00053BD9">
        <w:rPr>
          <w:lang w:val="es-ES"/>
        </w:rPr>
        <w:t xml:space="preserve"> Bardenas.</w:t>
      </w:r>
    </w:p>
    <w:p w:rsidR="00553CEB" w:rsidRPr="00E444C2" w:rsidRDefault="00553CEB" w:rsidP="00E444C2">
      <w:pPr>
        <w:pStyle w:val="texto"/>
      </w:pPr>
      <w:r w:rsidRPr="00E444C2">
        <w:t>Como conclusión final, el informe indica que los pasos dados por la Com</w:t>
      </w:r>
      <w:r w:rsidRPr="00E444C2">
        <w:t>u</w:t>
      </w:r>
      <w:r w:rsidRPr="00E444C2">
        <w:t>nidad en el desarrollo de la gestión turística están a un nivel superior que el o</w:t>
      </w:r>
      <w:r w:rsidRPr="00E444C2">
        <w:t>b</w:t>
      </w:r>
      <w:r w:rsidRPr="00E444C2">
        <w:t>servado en territorio costarricense. Solamente se debe mejorar, actualizar y continuar ampliando la oferta turística, siempre de manera racional  y sosten</w:t>
      </w:r>
      <w:r w:rsidRPr="00E444C2">
        <w:t>i</w:t>
      </w:r>
      <w:r w:rsidRPr="00E444C2">
        <w:t>ble.</w:t>
      </w:r>
    </w:p>
    <w:p w:rsidR="00553CEB" w:rsidRPr="00E444C2" w:rsidRDefault="00553CEB" w:rsidP="00E444C2">
      <w:pPr>
        <w:pStyle w:val="texto"/>
      </w:pPr>
      <w:r w:rsidRPr="00E444C2">
        <w:t>Igualmente en el viaje se firman dos convenios con las reservas de la Cord</w:t>
      </w:r>
      <w:r w:rsidRPr="00E444C2">
        <w:t>i</w:t>
      </w:r>
      <w:r w:rsidRPr="00E444C2">
        <w:t>llera Volcánica Central y con la de Agua y Paz, dentro de la política de favor</w:t>
      </w:r>
      <w:r w:rsidRPr="00E444C2">
        <w:t>e</w:t>
      </w:r>
      <w:r w:rsidRPr="00E444C2">
        <w:t>cer la colaboración entre las reservas de la UNESCO.</w:t>
      </w:r>
    </w:p>
    <w:p w:rsidR="00321FE3" w:rsidRDefault="00321FE3">
      <w:pPr>
        <w:spacing w:after="0"/>
        <w:ind w:firstLine="0"/>
        <w:jc w:val="left"/>
        <w:rPr>
          <w:rFonts w:ascii="Arial" w:hAnsi="Arial"/>
          <w:i/>
          <w:iCs/>
          <w:color w:val="000000"/>
          <w:spacing w:val="10"/>
          <w:kern w:val="28"/>
          <w:sz w:val="25"/>
          <w:szCs w:val="26"/>
        </w:rPr>
      </w:pPr>
    </w:p>
    <w:p w:rsidR="00553CEB" w:rsidRDefault="00553CEB" w:rsidP="00553CEB">
      <w:pPr>
        <w:pStyle w:val="atitulo3"/>
      </w:pPr>
      <w:r>
        <w:t>V.4.5. Conclusiones y reflexiones finales sobre los gastos de viaje inst</w:t>
      </w:r>
      <w:r>
        <w:t>i</w:t>
      </w:r>
      <w:r>
        <w:t>tucionales revisados</w:t>
      </w:r>
    </w:p>
    <w:p w:rsidR="00553CEB" w:rsidRPr="001A1B49" w:rsidRDefault="00553CEB" w:rsidP="00553CEB">
      <w:pPr>
        <w:pStyle w:val="texto"/>
      </w:pPr>
      <w:r w:rsidRPr="001A1B49">
        <w:t>De la revisión efectuada, dest</w:t>
      </w:r>
      <w:r>
        <w:t>a</w:t>
      </w:r>
      <w:r w:rsidRPr="001A1B49">
        <w:t>camos las siguientes conclusiones generales</w:t>
      </w:r>
    </w:p>
    <w:p w:rsidR="00553CEB" w:rsidRPr="001A1B49" w:rsidRDefault="00553CEB" w:rsidP="00553CEB">
      <w:pPr>
        <w:pStyle w:val="texto"/>
      </w:pPr>
      <w:r w:rsidRPr="001A1B49">
        <w:t>1</w:t>
      </w:r>
      <w:r w:rsidR="00D0054E">
        <w:t>.</w:t>
      </w:r>
      <w:r w:rsidRPr="001A1B49">
        <w:t>ª Todos los viajes</w:t>
      </w:r>
      <w:r>
        <w:t xml:space="preserve"> institucionales</w:t>
      </w:r>
      <w:r w:rsidRPr="001A1B49">
        <w:t xml:space="preserve"> analizados están autorizados, justificados documentalmente</w:t>
      </w:r>
      <w:r>
        <w:t xml:space="preserve"> con la factura de la agencia de viajes</w:t>
      </w:r>
      <w:r w:rsidRPr="001A1B49">
        <w:t xml:space="preserve"> y contabilizados ad</w:t>
      </w:r>
      <w:r w:rsidRPr="001A1B49">
        <w:t>e</w:t>
      </w:r>
      <w:r w:rsidRPr="001A1B49">
        <w:t>cuadamente.</w:t>
      </w:r>
      <w:r w:rsidR="007E0113">
        <w:t xml:space="preserve"> S</w:t>
      </w:r>
      <w:r w:rsidR="00064E41">
        <w:t>e efectúan en temporada turística baja.</w:t>
      </w:r>
    </w:p>
    <w:p w:rsidR="00553CEB" w:rsidRPr="001A1B49" w:rsidRDefault="00553CEB" w:rsidP="00553CEB">
      <w:pPr>
        <w:pStyle w:val="texto"/>
      </w:pPr>
      <w:r w:rsidRPr="001A1B49">
        <w:t>2</w:t>
      </w:r>
      <w:r w:rsidR="00D0054E">
        <w:t>.</w:t>
      </w:r>
      <w:r w:rsidRPr="001A1B49">
        <w:t xml:space="preserve">ª En cuanto a </w:t>
      </w:r>
      <w:r>
        <w:t>la</w:t>
      </w:r>
      <w:r w:rsidRPr="001A1B49">
        <w:t xml:space="preserve"> motivación del viaje, señalamos:</w:t>
      </w:r>
    </w:p>
    <w:p w:rsidR="00553CEB" w:rsidRPr="001A1B49" w:rsidRDefault="00B8167D"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t xml:space="preserve">No consta </w:t>
      </w:r>
      <w:r w:rsidR="00553CEB" w:rsidRPr="001A1B49">
        <w:rPr>
          <w:lang w:val="es-ES"/>
        </w:rPr>
        <w:t>justifica</w:t>
      </w:r>
      <w:r>
        <w:rPr>
          <w:lang w:val="es-ES"/>
        </w:rPr>
        <w:t>ción documental de la</w:t>
      </w:r>
      <w:r w:rsidR="00553CEB" w:rsidRPr="001A1B49">
        <w:rPr>
          <w:lang w:val="es-ES"/>
        </w:rPr>
        <w:t xml:space="preserve"> elección del país</w:t>
      </w:r>
      <w:r w:rsidR="00243B07">
        <w:rPr>
          <w:lang w:val="es-ES"/>
        </w:rPr>
        <w:t xml:space="preserve"> </w:t>
      </w:r>
      <w:r>
        <w:rPr>
          <w:lang w:val="es-ES"/>
        </w:rPr>
        <w:t>y de</w:t>
      </w:r>
      <w:r w:rsidR="00553CEB">
        <w:rPr>
          <w:lang w:val="es-ES"/>
        </w:rPr>
        <w:t xml:space="preserve"> los esp</w:t>
      </w:r>
      <w:r w:rsidR="00553CEB">
        <w:rPr>
          <w:lang w:val="es-ES"/>
        </w:rPr>
        <w:t>a</w:t>
      </w:r>
      <w:r w:rsidR="00553CEB">
        <w:rPr>
          <w:lang w:val="es-ES"/>
        </w:rPr>
        <w:t>cios naturales a visitar</w:t>
      </w:r>
      <w:r w:rsidR="00553CEB" w:rsidRPr="001A1B49">
        <w:rPr>
          <w:lang w:val="es-ES"/>
        </w:rPr>
        <w:t>.</w:t>
      </w:r>
    </w:p>
    <w:p w:rsidR="00553CEB" w:rsidRPr="001A1B49" w:rsidRDefault="00243B07"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Además, los</w:t>
      </w:r>
      <w:r w:rsidR="00553CEB" w:rsidRPr="001A1B49">
        <w:rPr>
          <w:lang w:val="es-ES"/>
        </w:rPr>
        <w:t xml:space="preserve"> tres primeros </w:t>
      </w:r>
      <w:r w:rsidR="00553CEB">
        <w:rPr>
          <w:lang w:val="es-ES"/>
        </w:rPr>
        <w:t xml:space="preserve">viajes </w:t>
      </w:r>
      <w:r w:rsidR="00553CEB" w:rsidRPr="001A1B49">
        <w:rPr>
          <w:lang w:val="es-ES"/>
        </w:rPr>
        <w:t>(Egipto, Argentina y Senegal) se motivan en la necesidad de analizar otras experiencias para de</w:t>
      </w:r>
      <w:r w:rsidR="00553CEB">
        <w:rPr>
          <w:lang w:val="es-ES"/>
        </w:rPr>
        <w:t>terminar</w:t>
      </w:r>
      <w:r w:rsidR="00553CEB" w:rsidRPr="001A1B49">
        <w:rPr>
          <w:lang w:val="es-ES"/>
        </w:rPr>
        <w:t xml:space="preserve"> y concretar las funciones y actividades a </w:t>
      </w:r>
      <w:r w:rsidR="00553CEB">
        <w:rPr>
          <w:lang w:val="es-ES"/>
        </w:rPr>
        <w:t>implantar en el</w:t>
      </w:r>
      <w:r w:rsidR="00553CEB" w:rsidRPr="001A1B49">
        <w:rPr>
          <w:lang w:val="es-ES"/>
        </w:rPr>
        <w:t xml:space="preserve"> Centro de Aguilares, </w:t>
      </w:r>
      <w:r w:rsidR="00553CEB">
        <w:rPr>
          <w:lang w:val="es-ES"/>
        </w:rPr>
        <w:t xml:space="preserve">proyecto que, </w:t>
      </w:r>
      <w:r w:rsidR="00553CEB" w:rsidRPr="001A1B49">
        <w:rPr>
          <w:lang w:val="es-ES"/>
        </w:rPr>
        <w:t>en es</w:t>
      </w:r>
      <w:r w:rsidR="00553CEB">
        <w:rPr>
          <w:lang w:val="es-ES"/>
        </w:rPr>
        <w:t>os</w:t>
      </w:r>
      <w:r w:rsidR="00553CEB" w:rsidRPr="001A1B49">
        <w:rPr>
          <w:lang w:val="es-ES"/>
        </w:rPr>
        <w:t xml:space="preserve"> momento</w:t>
      </w:r>
      <w:r w:rsidR="00553CEB">
        <w:rPr>
          <w:lang w:val="es-ES"/>
        </w:rPr>
        <w:t>s, estaba en fase de definición</w:t>
      </w:r>
      <w:r w:rsidR="00553CEB" w:rsidRPr="001A1B49">
        <w:rPr>
          <w:lang w:val="es-ES"/>
        </w:rPr>
        <w:t>.</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1A1B49">
        <w:t xml:space="preserve">Otra de las motivaciones que se esgrimen hace referencia a la necesidad de fomentar la </w:t>
      </w:r>
      <w:r w:rsidR="00064E41">
        <w:t>concienciación en</w:t>
      </w:r>
      <w:r w:rsidR="00243B07">
        <w:t>tre</w:t>
      </w:r>
      <w:r w:rsidR="00064E41">
        <w:t xml:space="preserve"> los cargos de la Comunidad de las </w:t>
      </w:r>
      <w:r w:rsidR="00C3081E">
        <w:t xml:space="preserve">nuevas </w:t>
      </w:r>
      <w:r w:rsidR="00064E41">
        <w:t>ex</w:t>
      </w:r>
      <w:r w:rsidR="00064E41">
        <w:t>i</w:t>
      </w:r>
      <w:r w:rsidR="00064E41">
        <w:t xml:space="preserve">gencias en la gestión que demanda </w:t>
      </w:r>
      <w:r w:rsidR="00C3081E">
        <w:t>la declaración de</w:t>
      </w:r>
      <w:r w:rsidR="00064E41">
        <w:t xml:space="preserve"> parque natural/reserva de la biosfera.</w:t>
      </w:r>
    </w:p>
    <w:p w:rsidR="00553CEB" w:rsidRPr="001A1B49" w:rsidRDefault="00730C28"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pPr>
      <w:r>
        <w:lastRenderedPageBreak/>
        <w:t>No siempre constan</w:t>
      </w:r>
      <w:r w:rsidR="00243B07">
        <w:t xml:space="preserve"> </w:t>
      </w:r>
      <w:r w:rsidR="00553CEB">
        <w:t>la celebración de reuniones de trabajo en los espacios naturales visitados.</w:t>
      </w:r>
    </w:p>
    <w:p w:rsidR="00553CEB" w:rsidRPr="00735FCC" w:rsidRDefault="00553CEB" w:rsidP="00553CEB">
      <w:pPr>
        <w:pStyle w:val="texto"/>
      </w:pPr>
      <w:r w:rsidRPr="00735FCC">
        <w:t>3</w:t>
      </w:r>
      <w:r w:rsidR="00D0054E">
        <w:t>.</w:t>
      </w:r>
      <w:r w:rsidRPr="00735FCC">
        <w:t>ª En cuanto a las personas que participaron en los citados viajes:</w:t>
      </w:r>
    </w:p>
    <w:p w:rsidR="00553CEB"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735FCC">
        <w:rPr>
          <w:lang w:val="es-ES"/>
        </w:rPr>
        <w:t>No siempre hay coin</w:t>
      </w:r>
      <w:r>
        <w:rPr>
          <w:lang w:val="es-ES"/>
        </w:rPr>
        <w:t>c</w:t>
      </w:r>
      <w:r w:rsidRPr="00735FCC">
        <w:rPr>
          <w:lang w:val="es-ES"/>
        </w:rPr>
        <w:t xml:space="preserve">idencia entre </w:t>
      </w:r>
      <w:r>
        <w:rPr>
          <w:lang w:val="es-ES"/>
        </w:rPr>
        <w:t>las</w:t>
      </w:r>
      <w:r w:rsidRPr="00735FCC">
        <w:rPr>
          <w:lang w:val="es-ES"/>
        </w:rPr>
        <w:t xml:space="preserve"> </w:t>
      </w:r>
      <w:r>
        <w:rPr>
          <w:lang w:val="es-ES"/>
        </w:rPr>
        <w:t>personas autorizadas a viajar que contemplan los acuerdos adoptados inicialmente por</w:t>
      </w:r>
      <w:r w:rsidRPr="00735FCC">
        <w:rPr>
          <w:lang w:val="es-ES"/>
        </w:rPr>
        <w:t xml:space="preserve"> la comisión permane</w:t>
      </w:r>
      <w:r>
        <w:rPr>
          <w:lang w:val="es-ES"/>
        </w:rPr>
        <w:t>n</w:t>
      </w:r>
      <w:r w:rsidRPr="00735FCC">
        <w:rPr>
          <w:lang w:val="es-ES"/>
        </w:rPr>
        <w:t>te</w:t>
      </w:r>
      <w:r>
        <w:rPr>
          <w:lang w:val="es-ES"/>
        </w:rPr>
        <w:t xml:space="preserve"> </w:t>
      </w:r>
      <w:r w:rsidRPr="00735FCC">
        <w:rPr>
          <w:lang w:val="es-ES"/>
        </w:rPr>
        <w:t>y l</w:t>
      </w:r>
      <w:r>
        <w:rPr>
          <w:lang w:val="es-ES"/>
        </w:rPr>
        <w:t>as personas que efectivamente lo realizan.</w:t>
      </w:r>
    </w:p>
    <w:p w:rsidR="00553CEB" w:rsidRPr="002E547B" w:rsidRDefault="007E0113" w:rsidP="007E0113">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sidRPr="002E547B">
        <w:rPr>
          <w:lang w:val="es-ES"/>
        </w:rPr>
        <w:t>En los viajes a Egipto y a Senegal se aprecia, en nuestra opinión, un núm</w:t>
      </w:r>
      <w:r w:rsidRPr="002E547B">
        <w:rPr>
          <w:lang w:val="es-ES"/>
        </w:rPr>
        <w:t>e</w:t>
      </w:r>
      <w:r w:rsidRPr="002E547B">
        <w:rPr>
          <w:lang w:val="es-ES"/>
        </w:rPr>
        <w:t>ro excesivo de personas que lo realizan. Sobre la vinculación de estas personas con la</w:t>
      </w:r>
      <w:r w:rsidR="001634BF" w:rsidRPr="002E547B">
        <w:rPr>
          <w:lang w:val="es-ES"/>
        </w:rPr>
        <w:t xml:space="preserve"> </w:t>
      </w:r>
      <w:r w:rsidRPr="002E547B">
        <w:rPr>
          <w:lang w:val="es-ES"/>
        </w:rPr>
        <w:t>Comunidad señalamos que, además de los cargos electivos y represe</w:t>
      </w:r>
      <w:r w:rsidRPr="002E547B">
        <w:rPr>
          <w:lang w:val="es-ES"/>
        </w:rPr>
        <w:t>n</w:t>
      </w:r>
      <w:r w:rsidRPr="002E547B">
        <w:rPr>
          <w:lang w:val="es-ES"/>
        </w:rPr>
        <w:t>tantes de los entes congozantes</w:t>
      </w:r>
      <w:r w:rsidR="001634BF" w:rsidRPr="002E547B">
        <w:rPr>
          <w:lang w:val="es-ES"/>
        </w:rPr>
        <w:t xml:space="preserve"> de la misma</w:t>
      </w:r>
      <w:r w:rsidRPr="002E547B">
        <w:rPr>
          <w:lang w:val="es-ES"/>
        </w:rPr>
        <w:t>, partic</w:t>
      </w:r>
      <w:r w:rsidR="002C01F4" w:rsidRPr="002E547B">
        <w:rPr>
          <w:lang w:val="es-ES"/>
        </w:rPr>
        <w:t xml:space="preserve">ipan determinados </w:t>
      </w:r>
      <w:r w:rsidRPr="002E547B">
        <w:rPr>
          <w:lang w:val="es-ES"/>
        </w:rPr>
        <w:t>miembros del Consejo Asesor del Parque Natural</w:t>
      </w:r>
      <w:r w:rsidR="001634BF" w:rsidRPr="002E547B">
        <w:rPr>
          <w:lang w:val="es-ES"/>
        </w:rPr>
        <w:t xml:space="preserve"> de</w:t>
      </w:r>
      <w:r w:rsidR="009B1701" w:rsidRPr="002E547B">
        <w:rPr>
          <w:lang w:val="es-ES"/>
        </w:rPr>
        <w:t xml:space="preserve"> las</w:t>
      </w:r>
      <w:r w:rsidR="001634BF" w:rsidRPr="002E547B">
        <w:rPr>
          <w:lang w:val="es-ES"/>
        </w:rPr>
        <w:t xml:space="preserve"> Bardenas</w:t>
      </w:r>
      <w:r w:rsidR="002C01F4" w:rsidRPr="002E547B">
        <w:rPr>
          <w:lang w:val="es-ES"/>
        </w:rPr>
        <w:t xml:space="preserve"> y del jurado del concu</w:t>
      </w:r>
      <w:r w:rsidR="002C01F4" w:rsidRPr="002E547B">
        <w:rPr>
          <w:lang w:val="es-ES"/>
        </w:rPr>
        <w:t>r</w:t>
      </w:r>
      <w:r w:rsidR="002C01F4" w:rsidRPr="002E547B">
        <w:rPr>
          <w:lang w:val="es-ES"/>
        </w:rPr>
        <w:t xml:space="preserve">so de ideas sobre Aguilares </w:t>
      </w:r>
      <w:r w:rsidR="001634BF" w:rsidRPr="002E547B">
        <w:rPr>
          <w:lang w:val="es-ES"/>
        </w:rPr>
        <w:t xml:space="preserve">así como </w:t>
      </w:r>
      <w:r w:rsidR="002C01F4" w:rsidRPr="002E547B">
        <w:rPr>
          <w:lang w:val="es-ES"/>
        </w:rPr>
        <w:t>otras personas no vinculadas directamente con la gestión</w:t>
      </w:r>
      <w:r w:rsidR="001634BF" w:rsidRPr="002E547B">
        <w:rPr>
          <w:lang w:val="es-ES"/>
        </w:rPr>
        <w:t xml:space="preserve"> de la misma.</w:t>
      </w:r>
      <w:r w:rsidRPr="002E547B">
        <w:rPr>
          <w:lang w:val="es-ES"/>
        </w:rPr>
        <w:t xml:space="preserve"> </w:t>
      </w:r>
    </w:p>
    <w:p w:rsidR="00553CEB" w:rsidRPr="00735FCC"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lang w:val="es-ES"/>
        </w:rPr>
      </w:pPr>
      <w:r>
        <w:rPr>
          <w:lang w:val="es-ES"/>
        </w:rPr>
        <w:t xml:space="preserve">En ninguno de los viajes analizados </w:t>
      </w:r>
      <w:r w:rsidRPr="00735FCC">
        <w:rPr>
          <w:lang w:val="es-ES"/>
        </w:rPr>
        <w:t>acude el personal técnico de la Com</w:t>
      </w:r>
      <w:r w:rsidRPr="00735FCC">
        <w:rPr>
          <w:lang w:val="es-ES"/>
        </w:rPr>
        <w:t>u</w:t>
      </w:r>
      <w:r w:rsidRPr="00735FCC">
        <w:rPr>
          <w:lang w:val="es-ES"/>
        </w:rPr>
        <w:t>nidad.</w:t>
      </w:r>
    </w:p>
    <w:p w:rsidR="00553CEB" w:rsidRDefault="00243B07" w:rsidP="00553CEB">
      <w:pPr>
        <w:pStyle w:val="texto"/>
      </w:pPr>
      <w:r>
        <w:t>4</w:t>
      </w:r>
      <w:r w:rsidR="00D0054E">
        <w:t>.</w:t>
      </w:r>
      <w:r w:rsidR="00553CEB" w:rsidRPr="00735FCC">
        <w:t xml:space="preserve">ª </w:t>
      </w:r>
      <w:r w:rsidR="00553CEB">
        <w:t>Todos los viajes incluyen informe o informes de valoración –con mayor o menor rigurosidad</w:t>
      </w:r>
      <w:r w:rsidR="00991B73">
        <w:t>–</w:t>
      </w:r>
      <w:r w:rsidR="00553CEB">
        <w:t xml:space="preserve"> y de sus posibles repercusiones en la gestión de la Com</w:t>
      </w:r>
      <w:r w:rsidR="00553CEB">
        <w:t>u</w:t>
      </w:r>
      <w:r w:rsidR="00553CEB">
        <w:t xml:space="preserve">nidad. </w:t>
      </w:r>
    </w:p>
    <w:p w:rsidR="002C0380" w:rsidRDefault="002C0380" w:rsidP="002C0380">
      <w:pPr>
        <w:pStyle w:val="texto"/>
      </w:pPr>
      <w:r>
        <w:t>En definitiva, en opinión de esta Cámara, la gestión pública debe estar pres</w:t>
      </w:r>
      <w:r>
        <w:t>i</w:t>
      </w:r>
      <w:r>
        <w:t xml:space="preserve">dida por los principios de mesura, prudencia y racionalidad en el gasto público, principios difícilmente presentes en al menos dos de los viajes analizados. </w:t>
      </w:r>
    </w:p>
    <w:p w:rsidR="002C0380" w:rsidRPr="00AE5C13" w:rsidRDefault="002C0380" w:rsidP="002C0380">
      <w:pPr>
        <w:pStyle w:val="texto"/>
      </w:pPr>
      <w:r>
        <w:t>No obstante</w:t>
      </w:r>
      <w:r w:rsidRPr="00AE5C13">
        <w:t>, los resultados de estos viajes s</w:t>
      </w:r>
      <w:r>
        <w:t>í</w:t>
      </w:r>
      <w:r w:rsidRPr="00AE5C13">
        <w:t xml:space="preserve"> han podido justificar y/o r</w:t>
      </w:r>
      <w:r w:rsidRPr="00AE5C13">
        <w:t>e</w:t>
      </w:r>
      <w:r w:rsidRPr="00AE5C13">
        <w:t xml:space="preserve">afirmar las líneas de actuación de la Comunidad desarrolladas desde </w:t>
      </w:r>
      <w:r>
        <w:t xml:space="preserve">el año </w:t>
      </w:r>
      <w:r w:rsidRPr="00AE5C13">
        <w:t>2000 derivadas de las exigencias de su declaración como par</w:t>
      </w:r>
      <w:r>
        <w:t>que natural y r</w:t>
      </w:r>
      <w:r>
        <w:t>e</w:t>
      </w:r>
      <w:r>
        <w:t>serva de la bio</w:t>
      </w:r>
      <w:r w:rsidRPr="00AE5C13">
        <w:t>sfera</w:t>
      </w:r>
      <w:r>
        <w:t xml:space="preserve"> </w:t>
      </w:r>
      <w:r w:rsidRPr="00AE5C13">
        <w:t xml:space="preserve">y </w:t>
      </w:r>
      <w:r>
        <w:t xml:space="preserve">así como favorecer la </w:t>
      </w:r>
      <w:r w:rsidRPr="00AE5C13">
        <w:t xml:space="preserve">participación y concienciación de los </w:t>
      </w:r>
      <w:r>
        <w:t>representantes</w:t>
      </w:r>
      <w:r w:rsidRPr="00AE5C13">
        <w:t xml:space="preserve"> de las entidades </w:t>
      </w:r>
      <w:proofErr w:type="spellStart"/>
      <w:r w:rsidRPr="00AE5C13">
        <w:t>congozantes</w:t>
      </w:r>
      <w:proofErr w:type="spellEnd"/>
      <w:r>
        <w:t xml:space="preserve"> en los cambios a introducir en la gestión tradicional de Bardenas</w:t>
      </w:r>
      <w:r w:rsidRPr="00AE5C13">
        <w:t xml:space="preserve">. </w:t>
      </w:r>
    </w:p>
    <w:p w:rsidR="00553CEB" w:rsidRDefault="00553CEB" w:rsidP="00553CEB">
      <w:pPr>
        <w:pStyle w:val="texto"/>
      </w:pPr>
      <w:r>
        <w:t>Recomendamos para futuros viajes institucionales:</w:t>
      </w:r>
    </w:p>
    <w:p w:rsidR="00553CEB" w:rsidRPr="00D57BB4" w:rsidRDefault="00553CEB" w:rsidP="00553CEB">
      <w:pPr>
        <w:pStyle w:val="texto"/>
        <w:numPr>
          <w:ilvl w:val="0"/>
          <w:numId w:val="2"/>
        </w:numPr>
        <w:tabs>
          <w:tab w:val="clear" w:pos="2835"/>
          <w:tab w:val="clear" w:pos="3969"/>
          <w:tab w:val="clear" w:pos="5103"/>
          <w:tab w:val="clear" w:pos="6237"/>
          <w:tab w:val="clear" w:pos="7371"/>
          <w:tab w:val="left" w:pos="480"/>
          <w:tab w:val="num" w:pos="600"/>
        </w:tabs>
        <w:ind w:left="0" w:firstLine="290"/>
        <w:rPr>
          <w:i/>
          <w:lang w:val="es-ES"/>
        </w:rPr>
      </w:pPr>
      <w:r w:rsidRPr="00D57BB4">
        <w:rPr>
          <w:i/>
          <w:lang w:val="es-ES"/>
        </w:rPr>
        <w:t>Elaborar y aprobar un procedimiento que regule el desarrollo de estos viajes institucionales de la Comunidad.</w:t>
      </w:r>
      <w:r w:rsidR="009B1701" w:rsidRPr="00D57BB4">
        <w:rPr>
          <w:i/>
          <w:lang w:val="es-ES"/>
        </w:rPr>
        <w:t xml:space="preserve"> </w:t>
      </w:r>
      <w:r w:rsidRPr="00D57BB4">
        <w:rPr>
          <w:i/>
          <w:lang w:val="es-ES"/>
        </w:rPr>
        <w:t xml:space="preserve">    </w:t>
      </w:r>
    </w:p>
    <w:p w:rsidR="00553CEB" w:rsidRPr="00D57BB4" w:rsidRDefault="00ED359E" w:rsidP="00435657">
      <w:pPr>
        <w:pStyle w:val="texto"/>
        <w:numPr>
          <w:ilvl w:val="0"/>
          <w:numId w:val="2"/>
        </w:numPr>
        <w:tabs>
          <w:tab w:val="clear" w:pos="2835"/>
          <w:tab w:val="clear" w:pos="3969"/>
          <w:tab w:val="clear" w:pos="5103"/>
          <w:tab w:val="clear" w:pos="6237"/>
          <w:tab w:val="clear" w:pos="7371"/>
          <w:tab w:val="left" w:pos="480"/>
          <w:tab w:val="num" w:pos="600"/>
        </w:tabs>
        <w:ind w:left="0" w:firstLine="290"/>
        <w:rPr>
          <w:i/>
          <w:lang w:val="es-ES"/>
        </w:rPr>
      </w:pPr>
      <w:r w:rsidRPr="00D57BB4">
        <w:rPr>
          <w:i/>
          <w:lang w:val="es-ES"/>
        </w:rPr>
        <w:t>M</w:t>
      </w:r>
      <w:r w:rsidR="00553CEB" w:rsidRPr="00D57BB4">
        <w:rPr>
          <w:i/>
          <w:lang w:val="es-ES"/>
        </w:rPr>
        <w:t>otivar adecuadamente la elección del destino del viaje, sus objetivos y planificación concreta de las visitas de trabajo a realizar.</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lang w:val="es-ES"/>
        </w:rPr>
      </w:pPr>
      <w:r w:rsidRPr="00D57BB4">
        <w:rPr>
          <w:i/>
          <w:lang w:val="es-ES"/>
        </w:rPr>
        <w:t>Que las personas que lo realicen estén involucradas directamente en la a</w:t>
      </w:r>
      <w:r w:rsidRPr="00D57BB4">
        <w:rPr>
          <w:i/>
          <w:lang w:val="es-ES"/>
        </w:rPr>
        <w:t>c</w:t>
      </w:r>
      <w:r w:rsidRPr="00D57BB4">
        <w:rPr>
          <w:i/>
          <w:lang w:val="es-ES"/>
        </w:rPr>
        <w:t>tividad y gestión de la Comunidad.</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lang w:val="es-ES"/>
        </w:rPr>
      </w:pPr>
      <w:r w:rsidRPr="00D57BB4">
        <w:rPr>
          <w:i/>
          <w:lang w:val="es-ES"/>
        </w:rPr>
        <w:t>Que se trate de gastos normales u ordinarios, atendiendo a su importe y circunstancias en que se realicen.</w:t>
      </w:r>
    </w:p>
    <w:p w:rsidR="00553CEB" w:rsidRPr="00D57BB4" w:rsidRDefault="00553CEB" w:rsidP="00435657">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90"/>
        <w:rPr>
          <w:i/>
          <w:lang w:val="es-ES"/>
        </w:rPr>
      </w:pPr>
      <w:r w:rsidRPr="00D57BB4">
        <w:rPr>
          <w:i/>
          <w:lang w:val="es-ES"/>
        </w:rPr>
        <w:t>Que al final de cada viaje se elabore un informe técnico sobre la utilidad del mismo y su potencial aplicación a la gestión estratégica de la Comunidad.</w:t>
      </w:r>
    </w:p>
    <w:p w:rsidR="00553CEB" w:rsidRDefault="00553CEB" w:rsidP="00553CEB">
      <w:pPr>
        <w:pStyle w:val="atitulo2"/>
      </w:pPr>
      <w:bookmarkStart w:id="51" w:name="_Toc494897119"/>
      <w:r>
        <w:lastRenderedPageBreak/>
        <w:t>V.5. Contratación pública</w:t>
      </w:r>
      <w:bookmarkEnd w:id="51"/>
    </w:p>
    <w:p w:rsidR="00553CEB" w:rsidRPr="005F7FF0" w:rsidRDefault="00553CEB" w:rsidP="00991B73">
      <w:pPr>
        <w:pStyle w:val="texto"/>
        <w:spacing w:after="240"/>
      </w:pPr>
      <w:r>
        <w:t>A través de la documentación contable y de los anuncios del Portal de Co</w:t>
      </w:r>
      <w:r>
        <w:t>n</w:t>
      </w:r>
      <w:r>
        <w:t>tratación, se ha revisado la siguiente muestra de contratos imputados fund</w:t>
      </w:r>
      <w:r>
        <w:t>a</w:t>
      </w:r>
      <w:r>
        <w:t>mentalmente al capítulo 6 del presupuesto:</w:t>
      </w:r>
    </w:p>
    <w:tbl>
      <w:tblPr>
        <w:tblW w:w="8807" w:type="dxa"/>
        <w:jc w:val="center"/>
        <w:tblLayout w:type="fixed"/>
        <w:tblCellMar>
          <w:left w:w="70" w:type="dxa"/>
          <w:right w:w="70" w:type="dxa"/>
        </w:tblCellMar>
        <w:tblLook w:val="0000" w:firstRow="0" w:lastRow="0" w:firstColumn="0" w:lastColumn="0" w:noHBand="0" w:noVBand="0"/>
      </w:tblPr>
      <w:tblGrid>
        <w:gridCol w:w="2075"/>
        <w:gridCol w:w="948"/>
        <w:gridCol w:w="1737"/>
        <w:gridCol w:w="942"/>
        <w:gridCol w:w="930"/>
        <w:gridCol w:w="1276"/>
        <w:gridCol w:w="899"/>
      </w:tblGrid>
      <w:tr w:rsidR="00053FF5" w:rsidRPr="00053FF5" w:rsidTr="00D06260">
        <w:trPr>
          <w:trHeight w:val="20"/>
          <w:jc w:val="center"/>
        </w:trPr>
        <w:tc>
          <w:tcPr>
            <w:tcW w:w="2075"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left"/>
              <w:rPr>
                <w:sz w:val="15"/>
                <w:szCs w:val="15"/>
              </w:rPr>
            </w:pPr>
            <w:r w:rsidRPr="00053FF5">
              <w:rPr>
                <w:sz w:val="15"/>
                <w:szCs w:val="15"/>
              </w:rPr>
              <w:t>Denominación</w:t>
            </w:r>
          </w:p>
        </w:tc>
        <w:tc>
          <w:tcPr>
            <w:tcW w:w="948" w:type="dxa"/>
            <w:tcBorders>
              <w:top w:val="single" w:sz="4" w:space="0" w:color="auto"/>
              <w:bottom w:val="single" w:sz="4" w:space="0" w:color="auto"/>
            </w:tcBorders>
            <w:shd w:val="clear" w:color="auto" w:fill="FABF8F" w:themeFill="accent6" w:themeFillTint="99"/>
            <w:vAlign w:val="center"/>
          </w:tcPr>
          <w:p w:rsidR="00053FF5" w:rsidRPr="00053FF5" w:rsidRDefault="00053FF5" w:rsidP="00053FF5">
            <w:pPr>
              <w:pStyle w:val="cuadroCabe"/>
              <w:jc w:val="left"/>
              <w:rPr>
                <w:sz w:val="15"/>
                <w:szCs w:val="15"/>
              </w:rPr>
            </w:pPr>
            <w:r w:rsidRPr="00053FF5">
              <w:rPr>
                <w:sz w:val="15"/>
                <w:szCs w:val="15"/>
              </w:rPr>
              <w:t xml:space="preserve">Tipo </w:t>
            </w:r>
          </w:p>
          <w:p w:rsidR="00553CEB" w:rsidRPr="00053FF5" w:rsidRDefault="00553CEB" w:rsidP="00053FF5">
            <w:pPr>
              <w:pStyle w:val="cuadroCabe"/>
              <w:jc w:val="left"/>
              <w:rPr>
                <w:sz w:val="15"/>
                <w:szCs w:val="15"/>
              </w:rPr>
            </w:pPr>
            <w:r w:rsidRPr="00053FF5">
              <w:rPr>
                <w:sz w:val="15"/>
                <w:szCs w:val="15"/>
              </w:rPr>
              <w:t>Contrato</w:t>
            </w:r>
          </w:p>
        </w:tc>
        <w:tc>
          <w:tcPr>
            <w:tcW w:w="1737"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left"/>
              <w:rPr>
                <w:sz w:val="15"/>
                <w:szCs w:val="15"/>
              </w:rPr>
            </w:pPr>
            <w:r w:rsidRPr="00053FF5">
              <w:rPr>
                <w:sz w:val="15"/>
                <w:szCs w:val="15"/>
              </w:rPr>
              <w:t xml:space="preserve">Procedimiento y </w:t>
            </w:r>
          </w:p>
          <w:p w:rsidR="00553CEB" w:rsidRPr="00053FF5" w:rsidRDefault="00553CEB" w:rsidP="00053FF5">
            <w:pPr>
              <w:pStyle w:val="cuadroCabe"/>
              <w:jc w:val="left"/>
              <w:rPr>
                <w:sz w:val="15"/>
                <w:szCs w:val="15"/>
              </w:rPr>
            </w:pPr>
            <w:r w:rsidRPr="00053FF5">
              <w:rPr>
                <w:sz w:val="15"/>
                <w:szCs w:val="15"/>
              </w:rPr>
              <w:t>criterio adjudicación</w:t>
            </w:r>
          </w:p>
        </w:tc>
        <w:tc>
          <w:tcPr>
            <w:tcW w:w="942"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right"/>
              <w:rPr>
                <w:sz w:val="15"/>
                <w:szCs w:val="15"/>
              </w:rPr>
            </w:pPr>
            <w:r w:rsidRPr="00053FF5">
              <w:rPr>
                <w:sz w:val="15"/>
                <w:szCs w:val="15"/>
              </w:rPr>
              <w:t>Importe</w:t>
            </w:r>
            <w:r w:rsidR="00053FF5" w:rsidRPr="00053FF5">
              <w:rPr>
                <w:sz w:val="15"/>
                <w:szCs w:val="15"/>
              </w:rPr>
              <w:t xml:space="preserve"> </w:t>
            </w:r>
            <w:r w:rsidRPr="00053FF5">
              <w:rPr>
                <w:sz w:val="15"/>
                <w:szCs w:val="15"/>
              </w:rPr>
              <w:t xml:space="preserve">licitación (IVA </w:t>
            </w:r>
            <w:r w:rsidR="00053FF5" w:rsidRPr="00053FF5">
              <w:rPr>
                <w:sz w:val="15"/>
                <w:szCs w:val="15"/>
              </w:rPr>
              <w:t>excl.)</w:t>
            </w:r>
          </w:p>
        </w:tc>
        <w:tc>
          <w:tcPr>
            <w:tcW w:w="930" w:type="dxa"/>
            <w:tcBorders>
              <w:top w:val="single" w:sz="4" w:space="0" w:color="auto"/>
              <w:bottom w:val="single" w:sz="4" w:space="0" w:color="auto"/>
            </w:tcBorders>
            <w:shd w:val="clear" w:color="auto" w:fill="FABF8F" w:themeFill="accent6" w:themeFillTint="99"/>
            <w:vAlign w:val="center"/>
          </w:tcPr>
          <w:p w:rsidR="00553CEB" w:rsidRPr="00053FF5" w:rsidRDefault="00553CEB" w:rsidP="00053FF5">
            <w:pPr>
              <w:pStyle w:val="cuadroCabe"/>
              <w:jc w:val="right"/>
              <w:rPr>
                <w:sz w:val="15"/>
                <w:szCs w:val="15"/>
              </w:rPr>
            </w:pPr>
            <w:r w:rsidRPr="00053FF5">
              <w:rPr>
                <w:sz w:val="15"/>
                <w:szCs w:val="15"/>
              </w:rPr>
              <w:t>N</w:t>
            </w:r>
            <w:r w:rsidR="00053FF5" w:rsidRPr="00053FF5">
              <w:rPr>
                <w:sz w:val="15"/>
                <w:szCs w:val="15"/>
              </w:rPr>
              <w:t xml:space="preserve">º </w:t>
            </w:r>
            <w:r w:rsidRPr="00053FF5">
              <w:rPr>
                <w:sz w:val="15"/>
                <w:szCs w:val="15"/>
              </w:rPr>
              <w:t xml:space="preserve">ofertas </w:t>
            </w:r>
          </w:p>
          <w:p w:rsidR="00553CEB" w:rsidRPr="00053FF5" w:rsidRDefault="00553CEB" w:rsidP="00053FF5">
            <w:pPr>
              <w:pStyle w:val="cuadroCabe"/>
              <w:jc w:val="right"/>
              <w:rPr>
                <w:sz w:val="15"/>
                <w:szCs w:val="15"/>
              </w:rPr>
            </w:pPr>
            <w:r w:rsidRPr="00053FF5">
              <w:rPr>
                <w:sz w:val="15"/>
                <w:szCs w:val="15"/>
              </w:rPr>
              <w:t>admitidas</w:t>
            </w:r>
          </w:p>
        </w:tc>
        <w:tc>
          <w:tcPr>
            <w:tcW w:w="1276"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right"/>
              <w:rPr>
                <w:sz w:val="15"/>
                <w:szCs w:val="15"/>
              </w:rPr>
            </w:pPr>
            <w:r w:rsidRPr="00053FF5">
              <w:rPr>
                <w:sz w:val="15"/>
                <w:szCs w:val="15"/>
              </w:rPr>
              <w:t xml:space="preserve">Importe </w:t>
            </w:r>
          </w:p>
          <w:p w:rsidR="00553CEB" w:rsidRPr="00053FF5" w:rsidRDefault="00553CEB" w:rsidP="00053FF5">
            <w:pPr>
              <w:pStyle w:val="cuadroCabe"/>
              <w:jc w:val="right"/>
              <w:rPr>
                <w:sz w:val="15"/>
                <w:szCs w:val="15"/>
              </w:rPr>
            </w:pPr>
            <w:r w:rsidRPr="00053FF5">
              <w:rPr>
                <w:sz w:val="15"/>
                <w:szCs w:val="15"/>
              </w:rPr>
              <w:t>adjudicación (IVA excluido)</w:t>
            </w:r>
          </w:p>
        </w:tc>
        <w:tc>
          <w:tcPr>
            <w:tcW w:w="899" w:type="dxa"/>
            <w:tcBorders>
              <w:top w:val="single" w:sz="4" w:space="0" w:color="auto"/>
              <w:bottom w:val="single" w:sz="4" w:space="0" w:color="auto"/>
            </w:tcBorders>
            <w:shd w:val="clear" w:color="auto" w:fill="FABF8F" w:themeFill="accent6" w:themeFillTint="99"/>
            <w:vAlign w:val="center"/>
          </w:tcPr>
          <w:p w:rsidR="00053FF5" w:rsidRPr="00053FF5" w:rsidRDefault="00553CEB" w:rsidP="00053FF5">
            <w:pPr>
              <w:pStyle w:val="cuadroCabe"/>
              <w:jc w:val="right"/>
              <w:rPr>
                <w:sz w:val="15"/>
                <w:szCs w:val="15"/>
              </w:rPr>
            </w:pPr>
            <w:r w:rsidRPr="00053FF5">
              <w:rPr>
                <w:sz w:val="15"/>
                <w:szCs w:val="15"/>
              </w:rPr>
              <w:t xml:space="preserve">Año </w:t>
            </w:r>
          </w:p>
          <w:p w:rsidR="00553CEB" w:rsidRPr="00053FF5" w:rsidRDefault="00553CEB" w:rsidP="00053FF5">
            <w:pPr>
              <w:pStyle w:val="cuadroCabe"/>
              <w:jc w:val="right"/>
              <w:rPr>
                <w:sz w:val="15"/>
                <w:szCs w:val="15"/>
              </w:rPr>
            </w:pPr>
            <w:r w:rsidRPr="00053FF5">
              <w:rPr>
                <w:sz w:val="15"/>
                <w:szCs w:val="15"/>
              </w:rPr>
              <w:t>adjudic</w:t>
            </w:r>
            <w:r w:rsidR="00053FF5" w:rsidRPr="00053FF5">
              <w:rPr>
                <w:sz w:val="15"/>
                <w:szCs w:val="15"/>
              </w:rPr>
              <w:t>.</w:t>
            </w:r>
          </w:p>
        </w:tc>
      </w:tr>
      <w:tr w:rsidR="00553CEB" w:rsidRPr="00053FF5" w:rsidTr="00B14FFE">
        <w:trPr>
          <w:trHeight w:val="227"/>
          <w:jc w:val="center"/>
        </w:trPr>
        <w:tc>
          <w:tcPr>
            <w:tcW w:w="2075"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Instalación abrevaderos y suministro de agua</w:t>
            </w:r>
          </w:p>
        </w:tc>
        <w:tc>
          <w:tcPr>
            <w:tcW w:w="948"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Obra</w:t>
            </w:r>
          </w:p>
        </w:tc>
        <w:tc>
          <w:tcPr>
            <w:tcW w:w="1737"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1.398.780</w:t>
            </w:r>
          </w:p>
        </w:tc>
        <w:tc>
          <w:tcPr>
            <w:tcW w:w="930"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12</w:t>
            </w:r>
          </w:p>
        </w:tc>
        <w:tc>
          <w:tcPr>
            <w:tcW w:w="1276"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1.104.197</w:t>
            </w:r>
          </w:p>
        </w:tc>
        <w:tc>
          <w:tcPr>
            <w:tcW w:w="899" w:type="dxa"/>
            <w:tcBorders>
              <w:top w:val="single" w:sz="4"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Reforma y ampliación Centro de Aguilares</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Obra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951.809</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11</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696.723</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2014</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Almacén de maquinaria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Obra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318.065</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12</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298.503</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Gestión Centro de Inform</w:t>
            </w:r>
            <w:r w:rsidRPr="00053FF5">
              <w:rPr>
                <w:rFonts w:ascii="Arial Narrow" w:hAnsi="Arial Narrow"/>
                <w:sz w:val="16"/>
                <w:szCs w:val="16"/>
              </w:rPr>
              <w:t>a</w:t>
            </w:r>
            <w:r w:rsidRPr="00053FF5">
              <w:rPr>
                <w:rFonts w:ascii="Arial Narrow" w:hAnsi="Arial Narrow"/>
                <w:sz w:val="16"/>
                <w:szCs w:val="16"/>
              </w:rPr>
              <w:t>ción Turística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Asistencia</w:t>
            </w:r>
            <w:r w:rsidRPr="00053FF5">
              <w:rPr>
                <w:rFonts w:ascii="Arial Narrow" w:hAnsi="Arial Narrow"/>
                <w:sz w:val="16"/>
                <w:szCs w:val="16"/>
                <w:vertAlign w:val="superscript"/>
              </w:rPr>
              <w:t>(1)</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101.157</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5</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91.041</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2013</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DO y asistencia abrevaderos</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Asistencia</w:t>
            </w:r>
          </w:p>
        </w:tc>
        <w:tc>
          <w:tcPr>
            <w:tcW w:w="1737" w:type="dxa"/>
            <w:tcBorders>
              <w:top w:val="single" w:sz="2" w:space="0" w:color="auto"/>
              <w:bottom w:val="single" w:sz="2" w:space="0" w:color="auto"/>
            </w:tcBorders>
            <w:shd w:val="clear" w:color="auto" w:fill="auto"/>
            <w:vAlign w:val="center"/>
          </w:tcPr>
          <w:p w:rsidR="00553CEB" w:rsidRPr="00053FF5" w:rsidRDefault="00553CEB" w:rsidP="00466036">
            <w:pPr>
              <w:pStyle w:val="cuadroCabe"/>
              <w:jc w:val="left"/>
              <w:rPr>
                <w:rFonts w:ascii="Arial Narrow" w:hAnsi="Arial Narrow"/>
                <w:sz w:val="16"/>
                <w:szCs w:val="16"/>
              </w:rPr>
            </w:pPr>
            <w:r w:rsidRPr="00053FF5">
              <w:rPr>
                <w:rFonts w:ascii="Arial Narrow" w:hAnsi="Arial Narrow"/>
                <w:sz w:val="16"/>
                <w:szCs w:val="16"/>
              </w:rPr>
              <w:t>Negociado sin public</w:t>
            </w:r>
            <w:r w:rsidRPr="00053FF5">
              <w:rPr>
                <w:rFonts w:ascii="Arial Narrow" w:hAnsi="Arial Narrow"/>
                <w:sz w:val="16"/>
                <w:szCs w:val="16"/>
              </w:rPr>
              <w:t>i</w:t>
            </w:r>
            <w:r w:rsidRPr="00053FF5">
              <w:rPr>
                <w:rFonts w:ascii="Arial Narrow" w:hAnsi="Arial Narrow"/>
                <w:sz w:val="16"/>
                <w:szCs w:val="16"/>
              </w:rPr>
              <w:t>dad comun</w:t>
            </w:r>
            <w:r w:rsidR="00466036">
              <w:rPr>
                <w:rFonts w:ascii="Arial Narrow" w:hAnsi="Arial Narrow"/>
                <w:sz w:val="16"/>
                <w:szCs w:val="16"/>
              </w:rPr>
              <w:t>itaria</w:t>
            </w:r>
            <w:r w:rsidRPr="00053FF5">
              <w:rPr>
                <w:rFonts w:ascii="Arial Narrow" w:hAnsi="Arial Narrow"/>
                <w:sz w:val="16"/>
                <w:szCs w:val="16"/>
              </w:rPr>
              <w:t>/oferta más ventajosa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59.000</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4</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29.000</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2015</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Dossier candidatura Turismo Sostenible</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Asistencia</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45.000</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9</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Desierto</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w:t>
            </w:r>
          </w:p>
        </w:tc>
      </w:tr>
      <w:tr w:rsidR="00553CEB" w:rsidRPr="00053FF5" w:rsidTr="00B14FFE">
        <w:trPr>
          <w:trHeight w:val="227"/>
          <w:jc w:val="center"/>
        </w:trPr>
        <w:tc>
          <w:tcPr>
            <w:tcW w:w="2075"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Máquina motoniveladora</w:t>
            </w:r>
          </w:p>
        </w:tc>
        <w:tc>
          <w:tcPr>
            <w:tcW w:w="948"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Suministro</w:t>
            </w:r>
          </w:p>
        </w:tc>
        <w:tc>
          <w:tcPr>
            <w:tcW w:w="1737"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Abierto/oferta más ve</w:t>
            </w:r>
            <w:r w:rsidRPr="00053FF5">
              <w:rPr>
                <w:rFonts w:ascii="Arial Narrow" w:hAnsi="Arial Narrow"/>
                <w:sz w:val="16"/>
                <w:szCs w:val="16"/>
              </w:rPr>
              <w:t>n</w:t>
            </w:r>
            <w:r w:rsidRPr="00053FF5">
              <w:rPr>
                <w:rFonts w:ascii="Arial Narrow" w:hAnsi="Arial Narrow"/>
                <w:sz w:val="16"/>
                <w:szCs w:val="16"/>
              </w:rPr>
              <w:t>tajosa</w:t>
            </w:r>
          </w:p>
        </w:tc>
        <w:tc>
          <w:tcPr>
            <w:tcW w:w="942"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172.414</w:t>
            </w:r>
          </w:p>
        </w:tc>
        <w:tc>
          <w:tcPr>
            <w:tcW w:w="930"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w:t>
            </w:r>
          </w:p>
        </w:tc>
        <w:tc>
          <w:tcPr>
            <w:tcW w:w="1276"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172.414</w:t>
            </w:r>
          </w:p>
        </w:tc>
        <w:tc>
          <w:tcPr>
            <w:tcW w:w="899" w:type="dxa"/>
            <w:tcBorders>
              <w:top w:val="single" w:sz="2" w:space="0" w:color="auto"/>
              <w:bottom w:val="single" w:sz="2"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2010</w:t>
            </w:r>
          </w:p>
        </w:tc>
      </w:tr>
      <w:tr w:rsidR="00553CEB" w:rsidRPr="00053FF5" w:rsidTr="00B14FFE">
        <w:trPr>
          <w:trHeight w:val="227"/>
          <w:jc w:val="center"/>
        </w:trPr>
        <w:tc>
          <w:tcPr>
            <w:tcW w:w="2075"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Remolque</w:t>
            </w:r>
          </w:p>
        </w:tc>
        <w:tc>
          <w:tcPr>
            <w:tcW w:w="948"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left"/>
              <w:rPr>
                <w:rFonts w:ascii="Arial Narrow" w:hAnsi="Arial Narrow"/>
                <w:sz w:val="16"/>
                <w:szCs w:val="16"/>
              </w:rPr>
            </w:pPr>
            <w:r w:rsidRPr="00053FF5">
              <w:rPr>
                <w:rFonts w:ascii="Arial Narrow" w:hAnsi="Arial Narrow"/>
                <w:sz w:val="16"/>
                <w:szCs w:val="16"/>
              </w:rPr>
              <w:t>Suministro</w:t>
            </w:r>
          </w:p>
        </w:tc>
        <w:tc>
          <w:tcPr>
            <w:tcW w:w="1737" w:type="dxa"/>
            <w:tcBorders>
              <w:top w:val="single" w:sz="2" w:space="0" w:color="auto"/>
              <w:bottom w:val="single" w:sz="4" w:space="0" w:color="auto"/>
            </w:tcBorders>
            <w:shd w:val="clear" w:color="auto" w:fill="auto"/>
            <w:vAlign w:val="center"/>
          </w:tcPr>
          <w:p w:rsidR="00553CEB" w:rsidRPr="00053FF5" w:rsidRDefault="00553CEB" w:rsidP="00466036">
            <w:pPr>
              <w:pStyle w:val="cuadroCabe"/>
              <w:jc w:val="left"/>
              <w:rPr>
                <w:rFonts w:ascii="Arial Narrow" w:hAnsi="Arial Narrow"/>
                <w:sz w:val="16"/>
                <w:szCs w:val="16"/>
              </w:rPr>
            </w:pPr>
            <w:r w:rsidRPr="00053FF5">
              <w:rPr>
                <w:rFonts w:ascii="Arial Narrow" w:hAnsi="Arial Narrow"/>
                <w:sz w:val="16"/>
                <w:szCs w:val="16"/>
              </w:rPr>
              <w:t>Negociado sin public</w:t>
            </w:r>
            <w:r w:rsidRPr="00053FF5">
              <w:rPr>
                <w:rFonts w:ascii="Arial Narrow" w:hAnsi="Arial Narrow"/>
                <w:sz w:val="16"/>
                <w:szCs w:val="16"/>
              </w:rPr>
              <w:t>i</w:t>
            </w:r>
            <w:r w:rsidRPr="00053FF5">
              <w:rPr>
                <w:rFonts w:ascii="Arial Narrow" w:hAnsi="Arial Narrow"/>
                <w:sz w:val="16"/>
                <w:szCs w:val="16"/>
              </w:rPr>
              <w:t xml:space="preserve">dad </w:t>
            </w:r>
            <w:r w:rsidR="00254BC7" w:rsidRPr="00053FF5">
              <w:rPr>
                <w:rFonts w:ascii="Arial Narrow" w:hAnsi="Arial Narrow"/>
                <w:sz w:val="16"/>
                <w:szCs w:val="16"/>
              </w:rPr>
              <w:t>comun</w:t>
            </w:r>
            <w:r w:rsidR="00254BC7">
              <w:rPr>
                <w:rFonts w:ascii="Arial Narrow" w:hAnsi="Arial Narrow"/>
                <w:sz w:val="16"/>
                <w:szCs w:val="16"/>
              </w:rPr>
              <w:t>itaria</w:t>
            </w:r>
            <w:r w:rsidRPr="00053FF5">
              <w:rPr>
                <w:rFonts w:ascii="Arial Narrow" w:hAnsi="Arial Narrow"/>
                <w:sz w:val="16"/>
                <w:szCs w:val="16"/>
              </w:rPr>
              <w:t>/precio</w:t>
            </w:r>
          </w:p>
        </w:tc>
        <w:tc>
          <w:tcPr>
            <w:tcW w:w="942"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26.500</w:t>
            </w:r>
          </w:p>
        </w:tc>
        <w:tc>
          <w:tcPr>
            <w:tcW w:w="930"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3</w:t>
            </w:r>
          </w:p>
        </w:tc>
        <w:tc>
          <w:tcPr>
            <w:tcW w:w="1276"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23.900</w:t>
            </w:r>
          </w:p>
        </w:tc>
        <w:tc>
          <w:tcPr>
            <w:tcW w:w="899" w:type="dxa"/>
            <w:tcBorders>
              <w:top w:val="single" w:sz="2" w:space="0" w:color="auto"/>
              <w:bottom w:val="single" w:sz="4" w:space="0" w:color="auto"/>
            </w:tcBorders>
            <w:shd w:val="clear" w:color="auto" w:fill="auto"/>
            <w:vAlign w:val="center"/>
          </w:tcPr>
          <w:p w:rsidR="00553CEB" w:rsidRPr="00053FF5" w:rsidRDefault="00553CEB" w:rsidP="00053FF5">
            <w:pPr>
              <w:pStyle w:val="cuadroCabe"/>
              <w:jc w:val="right"/>
              <w:rPr>
                <w:rFonts w:ascii="Arial Narrow" w:hAnsi="Arial Narrow"/>
                <w:sz w:val="16"/>
                <w:szCs w:val="16"/>
              </w:rPr>
            </w:pPr>
            <w:r w:rsidRPr="00053FF5">
              <w:rPr>
                <w:rFonts w:ascii="Arial Narrow" w:hAnsi="Arial Narrow"/>
                <w:sz w:val="16"/>
                <w:szCs w:val="16"/>
              </w:rPr>
              <w:t>2016</w:t>
            </w:r>
          </w:p>
        </w:tc>
      </w:tr>
    </w:tbl>
    <w:p w:rsidR="00553CEB" w:rsidRPr="00D06260" w:rsidRDefault="00D06260" w:rsidP="00D06260">
      <w:pPr>
        <w:pStyle w:val="texto"/>
        <w:spacing w:before="60" w:after="0"/>
        <w:ind w:firstLine="0"/>
        <w:rPr>
          <w:rFonts w:ascii="Arial" w:hAnsi="Arial" w:cs="Arial"/>
          <w:spacing w:val="2"/>
          <w:sz w:val="15"/>
          <w:szCs w:val="15"/>
          <w:lang w:val="es-ES" w:eastAsia="es-ES"/>
        </w:rPr>
      </w:pPr>
      <w:r w:rsidRPr="00D06260">
        <w:rPr>
          <w:rFonts w:ascii="Arial" w:hAnsi="Arial" w:cs="Arial"/>
          <w:spacing w:val="2"/>
          <w:sz w:val="15"/>
          <w:szCs w:val="15"/>
          <w:lang w:val="es-ES" w:eastAsia="es-ES"/>
        </w:rPr>
        <w:t xml:space="preserve">(1) </w:t>
      </w:r>
      <w:r w:rsidR="00553CEB" w:rsidRPr="00D06260">
        <w:rPr>
          <w:rFonts w:ascii="Arial" w:hAnsi="Arial" w:cs="Arial"/>
          <w:spacing w:val="2"/>
          <w:sz w:val="15"/>
          <w:szCs w:val="15"/>
          <w:lang w:val="es-ES" w:eastAsia="es-ES"/>
        </w:rPr>
        <w:t>Si bien se denomina en el anuncio como concesión de servicio público, es en realidad un contrato de asistencia</w:t>
      </w:r>
    </w:p>
    <w:p w:rsidR="00553CEB" w:rsidRDefault="00553CEB" w:rsidP="00D06260">
      <w:pPr>
        <w:pStyle w:val="texto"/>
        <w:spacing w:after="0"/>
        <w:rPr>
          <w:lang w:val="es-ES" w:eastAsia="es-ES"/>
        </w:rPr>
      </w:pPr>
    </w:p>
    <w:p w:rsidR="00553CEB" w:rsidRDefault="00553CEB" w:rsidP="00D06260">
      <w:pPr>
        <w:pStyle w:val="texto"/>
        <w:rPr>
          <w:lang w:val="es-ES" w:eastAsia="es-ES"/>
        </w:rPr>
      </w:pPr>
      <w:r>
        <w:rPr>
          <w:lang w:val="es-ES" w:eastAsia="es-ES"/>
        </w:rPr>
        <w:t>Además se ha revisado una muestra de contratos de estudios e investigaci</w:t>
      </w:r>
      <w:r>
        <w:rPr>
          <w:lang w:val="es-ES" w:eastAsia="es-ES"/>
        </w:rPr>
        <w:t>o</w:t>
      </w:r>
      <w:r>
        <w:rPr>
          <w:lang w:val="es-ES" w:eastAsia="es-ES"/>
        </w:rPr>
        <w:t>nes científicas; estos contratos han supuesto un gasto total en el periodo de 1,4 millones, revisándose una muestra por una cuantía de 0,7 millones.</w:t>
      </w:r>
    </w:p>
    <w:p w:rsidR="00553CEB" w:rsidRPr="00D06260" w:rsidRDefault="00553CEB" w:rsidP="00553CEB">
      <w:pPr>
        <w:pStyle w:val="texto"/>
        <w:rPr>
          <w:spacing w:val="4"/>
          <w:lang w:val="es-ES" w:eastAsia="es-ES"/>
        </w:rPr>
      </w:pPr>
      <w:r w:rsidRPr="00D06260">
        <w:rPr>
          <w:spacing w:val="4"/>
          <w:lang w:val="es-ES" w:eastAsia="es-ES"/>
        </w:rPr>
        <w:t>La muestra total revisada supone aproximadamente el 60 por ciento del gasto.</w:t>
      </w:r>
    </w:p>
    <w:p w:rsidR="00D0054E" w:rsidRDefault="00553CEB" w:rsidP="00243B07">
      <w:pPr>
        <w:pStyle w:val="texto"/>
        <w:spacing w:after="240"/>
        <w:rPr>
          <w:lang w:val="es-ES" w:eastAsia="es-ES"/>
        </w:rPr>
      </w:pPr>
      <w:r>
        <w:rPr>
          <w:lang w:val="es-ES" w:eastAsia="es-ES"/>
        </w:rPr>
        <w:t>Las principales conclusiones y comentarios del trabajo realizado se descr</w:t>
      </w:r>
      <w:r>
        <w:rPr>
          <w:lang w:val="es-ES" w:eastAsia="es-ES"/>
        </w:rPr>
        <w:t>i</w:t>
      </w:r>
      <w:r>
        <w:rPr>
          <w:lang w:val="es-ES" w:eastAsia="es-ES"/>
        </w:rPr>
        <w:t>ben a continuación. Con carácter general todos los importes que se detallan en los párrafos siguientes no contemplan el efecto del IVA, salvo que se indique expresamente.</w:t>
      </w:r>
    </w:p>
    <w:p w:rsidR="00553CEB" w:rsidRDefault="00553CEB" w:rsidP="00D06260">
      <w:pPr>
        <w:pStyle w:val="atitulo3"/>
        <w:spacing w:before="120" w:after="120"/>
        <w:rPr>
          <w:lang w:val="es-ES" w:eastAsia="es-ES"/>
        </w:rPr>
      </w:pPr>
      <w:r>
        <w:rPr>
          <w:lang w:val="es-ES" w:eastAsia="es-ES"/>
        </w:rPr>
        <w:t>V.5.1. Contratos de obra</w:t>
      </w:r>
    </w:p>
    <w:p w:rsidR="00553CEB" w:rsidRPr="00677611" w:rsidRDefault="00553CEB" w:rsidP="00B14FFE">
      <w:pPr>
        <w:pStyle w:val="atitulo40"/>
        <w:spacing w:before="240" w:after="240"/>
        <w:rPr>
          <w:rFonts w:ascii="Arial" w:hAnsi="Arial" w:cs="Arial"/>
        </w:rPr>
      </w:pPr>
      <w:r w:rsidRPr="00677611">
        <w:rPr>
          <w:rFonts w:ascii="Arial" w:hAnsi="Arial" w:cs="Arial"/>
        </w:rPr>
        <w:t>Instalación de abrevaderos y suministro de agua</w:t>
      </w:r>
    </w:p>
    <w:p w:rsidR="00553CEB" w:rsidRPr="000A6E66" w:rsidRDefault="00553CEB" w:rsidP="00553CEB">
      <w:pPr>
        <w:pStyle w:val="texto"/>
        <w:rPr>
          <w:lang w:val="es-ES" w:eastAsia="es-ES"/>
        </w:rPr>
      </w:pPr>
      <w:r w:rsidRPr="000A6E66">
        <w:rPr>
          <w:lang w:val="es-ES" w:eastAsia="es-ES"/>
        </w:rPr>
        <w:t>En aplicación del Plan de Ordenación de los Recursos Naturales de Bard</w:t>
      </w:r>
      <w:r w:rsidRPr="000A6E66">
        <w:rPr>
          <w:lang w:val="es-ES" w:eastAsia="es-ES"/>
        </w:rPr>
        <w:t>e</w:t>
      </w:r>
      <w:r w:rsidRPr="000A6E66">
        <w:rPr>
          <w:lang w:val="es-ES" w:eastAsia="es-ES"/>
        </w:rPr>
        <w:t>nas, se efectúa la zonificación del territorio en 87 distritos agroganaderos al o</w:t>
      </w:r>
      <w:r w:rsidRPr="000A6E66">
        <w:rPr>
          <w:lang w:val="es-ES" w:eastAsia="es-ES"/>
        </w:rPr>
        <w:t>b</w:t>
      </w:r>
      <w:r w:rsidRPr="000A6E66">
        <w:rPr>
          <w:lang w:val="es-ES" w:eastAsia="es-ES"/>
        </w:rPr>
        <w:t>jeto de optimizar los usos económicos tradicionales del territorio desde una perspectiva de protección medio ambiental. Esta nueva ordenación supone un hito relevante en la gestión y protección del parque natural.</w:t>
      </w:r>
    </w:p>
    <w:p w:rsidR="00553CEB" w:rsidRPr="000A6E66" w:rsidRDefault="00553CEB" w:rsidP="00553CEB">
      <w:pPr>
        <w:pStyle w:val="texto"/>
        <w:rPr>
          <w:lang w:val="es-ES" w:eastAsia="es-ES"/>
        </w:rPr>
      </w:pPr>
      <w:r w:rsidRPr="000A6E66">
        <w:rPr>
          <w:lang w:val="es-ES" w:eastAsia="es-ES"/>
        </w:rPr>
        <w:t>Con esta finalidad, se prevé la construcción de una infraestructura ganadera en cada distrito consistente en abrevadero y suministro de agua soterrado al o</w:t>
      </w:r>
      <w:r w:rsidRPr="000A6E66">
        <w:rPr>
          <w:lang w:val="es-ES" w:eastAsia="es-ES"/>
        </w:rPr>
        <w:t>b</w:t>
      </w:r>
      <w:r w:rsidRPr="000A6E66">
        <w:rPr>
          <w:lang w:val="es-ES" w:eastAsia="es-ES"/>
        </w:rPr>
        <w:t>jeto de evitar el uso directo de las balsas, minimizando, entre otros factores, el riesgo sanitario que conllevaba tal uso tanto para el ganado como para las pe</w:t>
      </w:r>
      <w:r w:rsidRPr="000A6E66">
        <w:rPr>
          <w:lang w:val="es-ES" w:eastAsia="es-ES"/>
        </w:rPr>
        <w:t>r</w:t>
      </w:r>
      <w:r w:rsidRPr="000A6E66">
        <w:rPr>
          <w:lang w:val="es-ES" w:eastAsia="es-ES"/>
        </w:rPr>
        <w:lastRenderedPageBreak/>
        <w:t>sonas. Igualmente se incluye el suministro de agua para las instalaciones co</w:t>
      </w:r>
      <w:r w:rsidRPr="000A6E66">
        <w:rPr>
          <w:lang w:val="es-ES" w:eastAsia="es-ES"/>
        </w:rPr>
        <w:t>n</w:t>
      </w:r>
      <w:r w:rsidRPr="000A6E66">
        <w:rPr>
          <w:lang w:val="es-ES" w:eastAsia="es-ES"/>
        </w:rPr>
        <w:t>traincendios.</w:t>
      </w:r>
    </w:p>
    <w:p w:rsidR="00553CEB" w:rsidRPr="000A6E66" w:rsidRDefault="00553CEB" w:rsidP="00553CEB">
      <w:pPr>
        <w:pStyle w:val="texto"/>
        <w:rPr>
          <w:lang w:val="es-ES" w:eastAsia="es-ES"/>
        </w:rPr>
      </w:pPr>
      <w:r w:rsidRPr="000A6E66">
        <w:rPr>
          <w:lang w:val="es-ES" w:eastAsia="es-ES"/>
        </w:rPr>
        <w:t>En diciembre de 2012, se firma un convenio de colaboración entre la Com</w:t>
      </w:r>
      <w:r w:rsidRPr="000A6E66">
        <w:rPr>
          <w:lang w:val="es-ES" w:eastAsia="es-ES"/>
        </w:rPr>
        <w:t>u</w:t>
      </w:r>
      <w:r w:rsidRPr="000A6E66">
        <w:rPr>
          <w:lang w:val="es-ES" w:eastAsia="es-ES"/>
        </w:rPr>
        <w:t>nidad de Bardenas y la Comunidad de Regantes del Ferial. Esta comunidad de regantes está integrada en la Comunidad General de Regantes del Canal de Bardenas, corporación de derecho público adscrita a la Confederación Hidr</w:t>
      </w:r>
      <w:r w:rsidRPr="000A6E66">
        <w:rPr>
          <w:lang w:val="es-ES" w:eastAsia="es-ES"/>
        </w:rPr>
        <w:t>o</w:t>
      </w:r>
      <w:r w:rsidRPr="000A6E66">
        <w:rPr>
          <w:lang w:val="es-ES" w:eastAsia="es-ES"/>
        </w:rPr>
        <w:t>gráfica del Ebro.</w:t>
      </w:r>
      <w:r w:rsidR="00ED359E" w:rsidRPr="000A6E66">
        <w:rPr>
          <w:lang w:val="es-ES" w:eastAsia="es-ES"/>
        </w:rPr>
        <w:t xml:space="preserve"> Por este </w:t>
      </w:r>
      <w:r w:rsidR="004E0C86">
        <w:rPr>
          <w:lang w:val="es-ES" w:eastAsia="es-ES"/>
        </w:rPr>
        <w:t>c</w:t>
      </w:r>
      <w:r w:rsidR="00ED359E" w:rsidRPr="000A6E66">
        <w:rPr>
          <w:lang w:val="es-ES" w:eastAsia="es-ES"/>
        </w:rPr>
        <w:t>onvenio, la Comunidad del Ferial asume la gestión de las obras, siendo su financiación aportada por</w:t>
      </w:r>
      <w:r w:rsidR="004E0C86">
        <w:rPr>
          <w:lang w:val="es-ES" w:eastAsia="es-ES"/>
        </w:rPr>
        <w:t xml:space="preserve"> la Comunidad de</w:t>
      </w:r>
      <w:r w:rsidR="00ED359E" w:rsidRPr="000A6E66">
        <w:rPr>
          <w:lang w:val="es-ES" w:eastAsia="es-ES"/>
        </w:rPr>
        <w:t xml:space="preserve"> Bardenas</w:t>
      </w:r>
      <w:r w:rsidR="00243B07">
        <w:rPr>
          <w:lang w:val="es-ES" w:eastAsia="es-ES"/>
        </w:rPr>
        <w:t>; igualmente, la Comunida</w:t>
      </w:r>
      <w:r w:rsidR="00B14FFE">
        <w:rPr>
          <w:lang w:val="es-ES" w:eastAsia="es-ES"/>
        </w:rPr>
        <w:t>d del Ferial asume por 25 años –</w:t>
      </w:r>
      <w:r w:rsidR="00243B07">
        <w:rPr>
          <w:lang w:val="es-ES" w:eastAsia="es-ES"/>
        </w:rPr>
        <w:t>prorrogables por otros 25 más</w:t>
      </w:r>
      <w:r w:rsidR="00B14FFE">
        <w:rPr>
          <w:lang w:val="es-ES" w:eastAsia="es-ES"/>
        </w:rPr>
        <w:t>–</w:t>
      </w:r>
      <w:r w:rsidR="00243B07">
        <w:rPr>
          <w:lang w:val="es-ES" w:eastAsia="es-ES"/>
        </w:rPr>
        <w:t xml:space="preserve"> el suministro de agua y el mantenimiento de las infraestructuras con</w:t>
      </w:r>
      <w:r w:rsidR="00243B07">
        <w:rPr>
          <w:lang w:val="es-ES" w:eastAsia="es-ES"/>
        </w:rPr>
        <w:t>s</w:t>
      </w:r>
      <w:r w:rsidR="00243B07">
        <w:rPr>
          <w:lang w:val="es-ES" w:eastAsia="es-ES"/>
        </w:rPr>
        <w:t>truidas.</w:t>
      </w:r>
    </w:p>
    <w:p w:rsidR="00ED359E" w:rsidRPr="000A6E66" w:rsidRDefault="00ED359E" w:rsidP="00ED359E">
      <w:pPr>
        <w:pStyle w:val="texto"/>
        <w:rPr>
          <w:lang w:val="es-ES" w:eastAsia="es-ES"/>
        </w:rPr>
      </w:pPr>
      <w:r w:rsidRPr="000A6E66">
        <w:rPr>
          <w:lang w:val="es-ES" w:eastAsia="es-ES"/>
        </w:rPr>
        <w:t>El proyecto inicial de las obras de captación del embalse se redacta en mar</w:t>
      </w:r>
      <w:r w:rsidR="000A6E66">
        <w:rPr>
          <w:lang w:val="es-ES" w:eastAsia="es-ES"/>
        </w:rPr>
        <w:t>zo de 2013</w:t>
      </w:r>
      <w:r w:rsidR="004E0C86">
        <w:rPr>
          <w:lang w:val="es-ES" w:eastAsia="es-ES"/>
        </w:rPr>
        <w:t>. D</w:t>
      </w:r>
      <w:r w:rsidR="000A6E66">
        <w:rPr>
          <w:lang w:val="es-ES" w:eastAsia="es-ES"/>
        </w:rPr>
        <w:t>e acuerdo con el c</w:t>
      </w:r>
      <w:r w:rsidRPr="000A6E66">
        <w:rPr>
          <w:lang w:val="es-ES" w:eastAsia="es-ES"/>
        </w:rPr>
        <w:t>onvenio, dicho encargo es realizado por la Com</w:t>
      </w:r>
      <w:r w:rsidRPr="000A6E66">
        <w:rPr>
          <w:lang w:val="es-ES" w:eastAsia="es-ES"/>
        </w:rPr>
        <w:t>u</w:t>
      </w:r>
      <w:r w:rsidRPr="000A6E66">
        <w:rPr>
          <w:lang w:val="es-ES" w:eastAsia="es-ES"/>
        </w:rPr>
        <w:t>nidad de Regantes, entidad responsable de la ejecución de las mismas. El coste estimado de las obras que contiene ese proyecto asciende a un total de 1.017.541 euros.</w:t>
      </w:r>
    </w:p>
    <w:p w:rsidR="00553CEB" w:rsidRPr="000A6E66" w:rsidRDefault="00553CEB" w:rsidP="00ED359E">
      <w:pPr>
        <w:pStyle w:val="texto"/>
        <w:rPr>
          <w:lang w:val="es-ES" w:eastAsia="es-ES"/>
        </w:rPr>
      </w:pPr>
      <w:r w:rsidRPr="000A6E66">
        <w:rPr>
          <w:lang w:val="es-ES" w:eastAsia="es-ES"/>
        </w:rPr>
        <w:t xml:space="preserve">Posteriormente, a finales de 2013, la comisión permanente de Bardenas acuerda la segregación de ese proyecto en dos independientes: </w:t>
      </w:r>
    </w:p>
    <w:p w:rsidR="00553CEB" w:rsidRPr="000A6E66" w:rsidRDefault="00D06260" w:rsidP="00D06260">
      <w:pPr>
        <w:pStyle w:val="texto"/>
        <w:rPr>
          <w:lang w:val="es-ES" w:eastAsia="es-ES"/>
        </w:rPr>
      </w:pPr>
      <w:r w:rsidRPr="000A6E66">
        <w:rPr>
          <w:lang w:val="es-ES" w:eastAsia="es-ES"/>
        </w:rPr>
        <w:t xml:space="preserve">a) </w:t>
      </w:r>
      <w:r w:rsidR="00553CEB" w:rsidRPr="000A6E66">
        <w:rPr>
          <w:lang w:val="es-ES" w:eastAsia="es-ES"/>
        </w:rPr>
        <w:t>Conexión con la toma de fondo del Embalse de El Ferial, estación de bombeo y filtrado y primer tramo de la impulsión hasta los caminos. Estas obras las eje</w:t>
      </w:r>
      <w:r w:rsidR="00ED359E" w:rsidRPr="000A6E66">
        <w:rPr>
          <w:lang w:val="es-ES" w:eastAsia="es-ES"/>
        </w:rPr>
        <w:t>cutará la Comunidad de Regantes y serán financiadas íntegramente por la Comunidad de Bardenas.</w:t>
      </w:r>
    </w:p>
    <w:p w:rsidR="00553CEB" w:rsidRPr="000A6E66" w:rsidRDefault="00D06260" w:rsidP="00D06260">
      <w:pPr>
        <w:pStyle w:val="texto"/>
        <w:rPr>
          <w:lang w:val="es-ES" w:eastAsia="es-ES"/>
        </w:rPr>
      </w:pPr>
      <w:r w:rsidRPr="000A6E66">
        <w:rPr>
          <w:lang w:val="es-ES" w:eastAsia="es-ES"/>
        </w:rPr>
        <w:t xml:space="preserve">b) </w:t>
      </w:r>
      <w:r w:rsidR="00553CEB" w:rsidRPr="000A6E66">
        <w:rPr>
          <w:lang w:val="es-ES" w:eastAsia="es-ES"/>
        </w:rPr>
        <w:t>Red de distribución y abrevaderos. Las ejecutará directamente la Comun</w:t>
      </w:r>
      <w:r w:rsidR="00553CEB" w:rsidRPr="000A6E66">
        <w:rPr>
          <w:lang w:val="es-ES" w:eastAsia="es-ES"/>
        </w:rPr>
        <w:t>i</w:t>
      </w:r>
      <w:r w:rsidR="00553CEB" w:rsidRPr="000A6E66">
        <w:rPr>
          <w:lang w:val="es-ES" w:eastAsia="es-ES"/>
        </w:rPr>
        <w:t>dad de Bardenas.</w:t>
      </w:r>
    </w:p>
    <w:p w:rsidR="00553CEB" w:rsidRPr="000A6E66" w:rsidRDefault="00553CEB" w:rsidP="00553CEB">
      <w:pPr>
        <w:pStyle w:val="texto"/>
        <w:rPr>
          <w:lang w:val="es-ES" w:eastAsia="es-ES"/>
        </w:rPr>
      </w:pPr>
      <w:r w:rsidRPr="000A6E66">
        <w:rPr>
          <w:lang w:val="es-ES" w:eastAsia="es-ES"/>
        </w:rPr>
        <w:t xml:space="preserve">En abril de 2014, se redacta una </w:t>
      </w:r>
      <w:r w:rsidRPr="000A6E66">
        <w:rPr>
          <w:b/>
          <w:lang w:val="es-ES" w:eastAsia="es-ES"/>
        </w:rPr>
        <w:t>separata</w:t>
      </w:r>
      <w:r w:rsidRPr="000A6E66">
        <w:rPr>
          <w:lang w:val="es-ES" w:eastAsia="es-ES"/>
        </w:rPr>
        <w:t xml:space="preserve"> al proyecto inicial correspondiente a las obras en el embalse y un </w:t>
      </w:r>
      <w:r w:rsidRPr="000A6E66">
        <w:rPr>
          <w:b/>
          <w:lang w:val="es-ES" w:eastAsia="es-ES"/>
        </w:rPr>
        <w:t>modificado</w:t>
      </w:r>
      <w:r w:rsidRPr="000A6E66">
        <w:rPr>
          <w:lang w:val="es-ES" w:eastAsia="es-ES"/>
        </w:rPr>
        <w:t xml:space="preserve"> con los nuevos trazados de las tub</w:t>
      </w:r>
      <w:r w:rsidRPr="000A6E66">
        <w:rPr>
          <w:lang w:val="es-ES" w:eastAsia="es-ES"/>
        </w:rPr>
        <w:t>e</w:t>
      </w:r>
      <w:r w:rsidRPr="000A6E66">
        <w:rPr>
          <w:lang w:val="es-ES" w:eastAsia="es-ES"/>
        </w:rPr>
        <w:t xml:space="preserve">rías y abrevaderos. Este modificado conlleva un incremento relevante del coste </w:t>
      </w:r>
      <w:r w:rsidR="00D06260" w:rsidRPr="000A6E66">
        <w:rPr>
          <w:lang w:val="es-ES" w:eastAsia="es-ES"/>
        </w:rPr>
        <w:t>–</w:t>
      </w:r>
      <w:r w:rsidRPr="000A6E66">
        <w:rPr>
          <w:lang w:val="es-ES" w:eastAsia="es-ES"/>
        </w:rPr>
        <w:t>0,63 millones</w:t>
      </w:r>
      <w:r w:rsidR="00D06260" w:rsidRPr="000A6E66">
        <w:rPr>
          <w:lang w:val="es-ES" w:eastAsia="es-ES"/>
        </w:rPr>
        <w:t>–</w:t>
      </w:r>
      <w:r w:rsidRPr="000A6E66">
        <w:rPr>
          <w:lang w:val="es-ES" w:eastAsia="es-ES"/>
        </w:rPr>
        <w:t xml:space="preserve"> como resultado básicamente de la exigencia del Gobierno de Navarra de no permitir el paso de las tuberías por las cañadas. </w:t>
      </w:r>
    </w:p>
    <w:p w:rsidR="000A6E66" w:rsidRDefault="00553CEB" w:rsidP="000A6E66">
      <w:pPr>
        <w:pStyle w:val="texto"/>
        <w:rPr>
          <w:lang w:val="es-ES" w:eastAsia="es-ES"/>
        </w:rPr>
      </w:pPr>
      <w:r w:rsidRPr="000A6E66">
        <w:rPr>
          <w:lang w:val="es-ES" w:eastAsia="es-ES"/>
        </w:rPr>
        <w:t xml:space="preserve">Finalmente, recogiendo el nuevo trazado, en noviembre de 2014 se aprueba una </w:t>
      </w:r>
      <w:r w:rsidRPr="000A6E66">
        <w:rPr>
          <w:b/>
          <w:lang w:val="es-ES" w:eastAsia="es-ES"/>
        </w:rPr>
        <w:t>adenda</w:t>
      </w:r>
      <w:r w:rsidRPr="000A6E66">
        <w:rPr>
          <w:lang w:val="es-ES" w:eastAsia="es-ES"/>
        </w:rPr>
        <w:t xml:space="preserve"> al proyecto modificado de las instalaciones y conducción de agua a los abrevaderos. </w:t>
      </w:r>
    </w:p>
    <w:p w:rsidR="00553CEB" w:rsidRDefault="00553CEB" w:rsidP="00553CEB">
      <w:pPr>
        <w:pStyle w:val="texto"/>
        <w:numPr>
          <w:ilvl w:val="0"/>
          <w:numId w:val="26"/>
        </w:numPr>
        <w:rPr>
          <w:lang w:val="es-ES" w:eastAsia="es-ES"/>
        </w:rPr>
      </w:pPr>
      <w:r>
        <w:rPr>
          <w:lang w:val="es-ES" w:eastAsia="es-ES"/>
        </w:rPr>
        <w:t>Obras ejecutadas por la Comunidad de las Bardenas</w:t>
      </w:r>
    </w:p>
    <w:p w:rsidR="00553CEB" w:rsidRDefault="00553CEB" w:rsidP="00553CEB">
      <w:pPr>
        <w:pStyle w:val="texto"/>
        <w:rPr>
          <w:lang w:val="es-ES" w:eastAsia="es-ES"/>
        </w:rPr>
      </w:pPr>
      <w:r>
        <w:rPr>
          <w:lang w:val="es-ES" w:eastAsia="es-ES"/>
        </w:rPr>
        <w:t>En la citada adenda se indica que el presupuesto de la obra asciende a 1.398.780 euros, importe que se corresponde con el de licitación de las obras. Estas obras se refieren a la instalación de 39 abrevaderos en otros tantos distr</w:t>
      </w:r>
      <w:r>
        <w:rPr>
          <w:lang w:val="es-ES" w:eastAsia="es-ES"/>
        </w:rPr>
        <w:t>i</w:t>
      </w:r>
      <w:r>
        <w:rPr>
          <w:lang w:val="es-ES" w:eastAsia="es-ES"/>
        </w:rPr>
        <w:t>tos agroganaderos.</w:t>
      </w:r>
    </w:p>
    <w:p w:rsidR="00553CEB" w:rsidRDefault="00553CEB" w:rsidP="00553CEB">
      <w:pPr>
        <w:pStyle w:val="texto"/>
        <w:rPr>
          <w:lang w:val="es-ES" w:eastAsia="es-ES"/>
        </w:rPr>
      </w:pPr>
      <w:r>
        <w:rPr>
          <w:lang w:val="es-ES" w:eastAsia="es-ES"/>
        </w:rPr>
        <w:lastRenderedPageBreak/>
        <w:t>Como procedimiento de adjudicación se aplica el abierto, con el criterio de oferta más ventajosa y un plazo de ejecución de 180 días sometido a la paral</w:t>
      </w:r>
      <w:r>
        <w:rPr>
          <w:lang w:val="es-ES" w:eastAsia="es-ES"/>
        </w:rPr>
        <w:t>i</w:t>
      </w:r>
      <w:r>
        <w:rPr>
          <w:lang w:val="es-ES" w:eastAsia="es-ES"/>
        </w:rPr>
        <w:t>zación que proceda en los días de veda biológica, que se descontarán del plazo.</w:t>
      </w:r>
    </w:p>
    <w:p w:rsidR="00553CEB" w:rsidRDefault="00553CEB" w:rsidP="00553CEB">
      <w:pPr>
        <w:pStyle w:val="texto"/>
        <w:rPr>
          <w:lang w:val="es-ES" w:eastAsia="es-ES"/>
        </w:rPr>
      </w:pPr>
      <w:r>
        <w:rPr>
          <w:lang w:val="es-ES" w:eastAsia="es-ES"/>
        </w:rPr>
        <w:t>Los pliegos definen y cuantifican la valora</w:t>
      </w:r>
      <w:r w:rsidR="004E0C86">
        <w:rPr>
          <w:lang w:val="es-ES" w:eastAsia="es-ES"/>
        </w:rPr>
        <w:t>ción asignando</w:t>
      </w:r>
      <w:r>
        <w:rPr>
          <w:lang w:val="es-ES" w:eastAsia="es-ES"/>
        </w:rPr>
        <w:t xml:space="preserve"> a los distintos cr</w:t>
      </w:r>
      <w:r>
        <w:rPr>
          <w:lang w:val="es-ES" w:eastAsia="es-ES"/>
        </w:rPr>
        <w:t>i</w:t>
      </w:r>
      <w:r>
        <w:rPr>
          <w:lang w:val="es-ES" w:eastAsia="es-ES"/>
        </w:rPr>
        <w:t>terios: precio, oferta técnica, plazo de ejecución, servicio postconstrucción y ampliación de plazo de garantía.</w:t>
      </w:r>
    </w:p>
    <w:p w:rsidR="00553CEB" w:rsidRDefault="00553CEB" w:rsidP="00553CEB">
      <w:pPr>
        <w:pStyle w:val="texto"/>
        <w:rPr>
          <w:lang w:val="es-ES" w:eastAsia="es-ES"/>
        </w:rPr>
      </w:pPr>
      <w:r>
        <w:rPr>
          <w:lang w:val="es-ES" w:eastAsia="es-ES"/>
        </w:rPr>
        <w:t>El anuncio de licitación se publica en enero de 2015. En febrero de dicho año, se constituye la mesa de contratación y se constata que se han recibido 13 ofertas, cumpliendo todas ellas los requisitos y documentación exigida; igua</w:t>
      </w:r>
      <w:r>
        <w:rPr>
          <w:lang w:val="es-ES" w:eastAsia="es-ES"/>
        </w:rPr>
        <w:t>l</w:t>
      </w:r>
      <w:r>
        <w:rPr>
          <w:lang w:val="es-ES" w:eastAsia="es-ES"/>
        </w:rPr>
        <w:t>mente, se indica en esta reunión que el redactor del proyecto, como asesor de la mesa para la valoración ofertas técnicas, no intervendrá en el proceso alegando “razones personales”.</w:t>
      </w:r>
    </w:p>
    <w:p w:rsidR="00553CEB" w:rsidRDefault="00553CEB" w:rsidP="00553CEB">
      <w:pPr>
        <w:pStyle w:val="texto"/>
        <w:rPr>
          <w:lang w:val="es-ES" w:eastAsia="es-ES"/>
        </w:rPr>
      </w:pPr>
      <w:r>
        <w:rPr>
          <w:lang w:val="es-ES" w:eastAsia="es-ES"/>
        </w:rPr>
        <w:t>Este hecho hace que se retrase la tramitación y programación de la adjudic</w:t>
      </w:r>
      <w:r>
        <w:rPr>
          <w:lang w:val="es-ES" w:eastAsia="es-ES"/>
        </w:rPr>
        <w:t>a</w:t>
      </w:r>
      <w:r>
        <w:rPr>
          <w:lang w:val="es-ES" w:eastAsia="es-ES"/>
        </w:rPr>
        <w:t>ción y</w:t>
      </w:r>
      <w:r w:rsidR="004E0C86">
        <w:rPr>
          <w:lang w:val="es-ES" w:eastAsia="es-ES"/>
        </w:rPr>
        <w:t>,</w:t>
      </w:r>
      <w:r>
        <w:rPr>
          <w:lang w:val="es-ES" w:eastAsia="es-ES"/>
        </w:rPr>
        <w:t xml:space="preserve"> por ende</w:t>
      </w:r>
      <w:r w:rsidR="004E0C86">
        <w:rPr>
          <w:lang w:val="es-ES" w:eastAsia="es-ES"/>
        </w:rPr>
        <w:t>,</w:t>
      </w:r>
      <w:r>
        <w:rPr>
          <w:lang w:val="es-ES" w:eastAsia="es-ES"/>
        </w:rPr>
        <w:t xml:space="preserve"> la ejecución de la obra, ya que hasta noviembre de 2015 no se adjudica la dirección de obra y asistencia técnica de la misma (ver esta adjud</w:t>
      </w:r>
      <w:r>
        <w:rPr>
          <w:lang w:val="es-ES" w:eastAsia="es-ES"/>
        </w:rPr>
        <w:t>i</w:t>
      </w:r>
      <w:r>
        <w:rPr>
          <w:lang w:val="es-ES" w:eastAsia="es-ES"/>
        </w:rPr>
        <w:t>cación en el siguiente apartado de contratos de asistencia V.5.2)</w:t>
      </w:r>
    </w:p>
    <w:p w:rsidR="00553CEB" w:rsidRDefault="00553CEB" w:rsidP="00553CEB">
      <w:pPr>
        <w:pStyle w:val="texto"/>
        <w:rPr>
          <w:lang w:val="es-ES" w:eastAsia="es-ES"/>
        </w:rPr>
      </w:pPr>
      <w:r>
        <w:rPr>
          <w:lang w:val="es-ES" w:eastAsia="es-ES"/>
        </w:rPr>
        <w:t>En diciembre de 2015, se reúne la mesa y acuerda excluir una de las ofertas presentadas dado que la empresa ha entrado en concurso de acreedores. Así mismo, la dirección de obra elabora un informe valorando las restantes pr</w:t>
      </w:r>
      <w:r>
        <w:rPr>
          <w:lang w:val="es-ES" w:eastAsia="es-ES"/>
        </w:rPr>
        <w:t>o</w:t>
      </w:r>
      <w:r>
        <w:rPr>
          <w:lang w:val="es-ES" w:eastAsia="es-ES"/>
        </w:rPr>
        <w:t>puestas técnicas. Se adjudica a la empresa mejor valorada en el conjunto de cr</w:t>
      </w:r>
      <w:r>
        <w:rPr>
          <w:lang w:val="es-ES" w:eastAsia="es-ES"/>
        </w:rPr>
        <w:t>i</w:t>
      </w:r>
      <w:r>
        <w:rPr>
          <w:lang w:val="es-ES" w:eastAsia="es-ES"/>
        </w:rPr>
        <w:t>terios, por un importe de 1.104.197 euros, con una baja del 21,06 por ciento y un plazo de ejecución de 143 días.</w:t>
      </w:r>
    </w:p>
    <w:p w:rsidR="00553CEB" w:rsidRDefault="00553CEB" w:rsidP="00553CEB">
      <w:pPr>
        <w:pStyle w:val="texto"/>
        <w:rPr>
          <w:lang w:val="es-ES" w:eastAsia="es-ES"/>
        </w:rPr>
      </w:pPr>
      <w:r>
        <w:rPr>
          <w:lang w:val="es-ES" w:eastAsia="es-ES"/>
        </w:rPr>
        <w:t xml:space="preserve">Sobre el tema de los plazos, </w:t>
      </w:r>
      <w:r w:rsidR="000A6E66">
        <w:rPr>
          <w:lang w:val="es-ES" w:eastAsia="es-ES"/>
        </w:rPr>
        <w:t>se observa una contradicción</w:t>
      </w:r>
      <w:r>
        <w:rPr>
          <w:lang w:val="es-ES" w:eastAsia="es-ES"/>
        </w:rPr>
        <w:t xml:space="preserve"> entre la cláusula 3ª “plazo de ejecución” que se refiere a 180 días –sin mencionar si son laborables o naturales, si bien por las aclaraciones emitidas por la mesa se debería ente</w:t>
      </w:r>
      <w:r>
        <w:rPr>
          <w:lang w:val="es-ES" w:eastAsia="es-ES"/>
        </w:rPr>
        <w:t>n</w:t>
      </w:r>
      <w:r>
        <w:rPr>
          <w:lang w:val="es-ES" w:eastAsia="es-ES"/>
        </w:rPr>
        <w:t>derse como naturales</w:t>
      </w:r>
      <w:r w:rsidR="00D06260">
        <w:rPr>
          <w:lang w:val="es-ES" w:eastAsia="es-ES"/>
        </w:rPr>
        <w:t>–</w:t>
      </w:r>
      <w:r>
        <w:rPr>
          <w:lang w:val="es-ES" w:eastAsia="es-ES"/>
        </w:rPr>
        <w:t xml:space="preserve"> y la cláusula 8.2.B. que se refiere a días efectivos de obra. La empresa adjudicataria oferta un total de 143 días laborables, que sup</w:t>
      </w:r>
      <w:r>
        <w:rPr>
          <w:lang w:val="es-ES" w:eastAsia="es-ES"/>
        </w:rPr>
        <w:t>o</w:t>
      </w:r>
      <w:r w:rsidR="004E0C86">
        <w:rPr>
          <w:lang w:val="es-ES" w:eastAsia="es-ES"/>
        </w:rPr>
        <w:t xml:space="preserve">nen </w:t>
      </w:r>
      <w:r>
        <w:rPr>
          <w:lang w:val="es-ES" w:eastAsia="es-ES"/>
        </w:rPr>
        <w:t xml:space="preserve">199 días naturales </w:t>
      </w:r>
      <w:r w:rsidR="00D06260">
        <w:rPr>
          <w:lang w:val="es-ES" w:eastAsia="es-ES"/>
        </w:rPr>
        <w:t>–</w:t>
      </w:r>
      <w:r>
        <w:rPr>
          <w:lang w:val="es-ES" w:eastAsia="es-ES"/>
        </w:rPr>
        <w:t>plazo que se refleja expresamente en el contrato firm</w:t>
      </w:r>
      <w:r>
        <w:rPr>
          <w:lang w:val="es-ES" w:eastAsia="es-ES"/>
        </w:rPr>
        <w:t>a</w:t>
      </w:r>
      <w:r>
        <w:rPr>
          <w:lang w:val="es-ES" w:eastAsia="es-ES"/>
        </w:rPr>
        <w:t>do</w:t>
      </w:r>
      <w:r w:rsidR="00D06260">
        <w:rPr>
          <w:lang w:val="es-ES" w:eastAsia="es-ES"/>
        </w:rPr>
        <w:t>–</w:t>
      </w:r>
      <w:r>
        <w:rPr>
          <w:lang w:val="es-ES" w:eastAsia="es-ES"/>
        </w:rPr>
        <w:t xml:space="preserve">, superando por tanto lo señalado en los pliegos en la cláusula 3ª; el resto de ofertantes proponen 144 días, por lo que todas </w:t>
      </w:r>
      <w:r w:rsidR="00D06260">
        <w:rPr>
          <w:lang w:val="es-ES" w:eastAsia="es-ES"/>
        </w:rPr>
        <w:t>–</w:t>
      </w:r>
      <w:r>
        <w:rPr>
          <w:lang w:val="es-ES" w:eastAsia="es-ES"/>
        </w:rPr>
        <w:t>incluida la adjudicataria</w:t>
      </w:r>
      <w:r w:rsidR="00D06260">
        <w:rPr>
          <w:lang w:val="es-ES" w:eastAsia="es-ES"/>
        </w:rPr>
        <w:t>–</w:t>
      </w:r>
      <w:r>
        <w:rPr>
          <w:lang w:val="es-ES" w:eastAsia="es-ES"/>
        </w:rPr>
        <w:t xml:space="preserve"> han obtenido, de acuerdo con los pliegos, la misma puntuación.</w:t>
      </w:r>
    </w:p>
    <w:p w:rsidR="00553CEB" w:rsidRDefault="00553CEB" w:rsidP="00553CEB">
      <w:pPr>
        <w:pStyle w:val="texto"/>
        <w:rPr>
          <w:lang w:val="es-ES" w:eastAsia="es-ES"/>
        </w:rPr>
      </w:pPr>
      <w:r>
        <w:rPr>
          <w:lang w:val="es-ES" w:eastAsia="es-ES"/>
        </w:rPr>
        <w:t>En marzo de 2016 se firma el inicio de la obra. Sin embargo, en mayo de d</w:t>
      </w:r>
      <w:r>
        <w:rPr>
          <w:lang w:val="es-ES" w:eastAsia="es-ES"/>
        </w:rPr>
        <w:t>i</w:t>
      </w:r>
      <w:r>
        <w:rPr>
          <w:lang w:val="es-ES" w:eastAsia="es-ES"/>
        </w:rPr>
        <w:t>cho año, se conoce que la empresa adjudicataria ha presentado un pre-concurso de acreedores  y en julio es declarada en situación de concurso de acreedores.</w:t>
      </w:r>
    </w:p>
    <w:p w:rsidR="00553CEB" w:rsidRDefault="00553CEB" w:rsidP="00553CEB">
      <w:pPr>
        <w:pStyle w:val="texto"/>
        <w:rPr>
          <w:lang w:val="es-ES" w:eastAsia="es-ES"/>
        </w:rPr>
      </w:pPr>
      <w:r>
        <w:rPr>
          <w:lang w:val="es-ES" w:eastAsia="es-ES"/>
        </w:rPr>
        <w:t>El 22 de julio de 2016 se realiza un acta de comprobación de las obras ejec</w:t>
      </w:r>
      <w:r>
        <w:rPr>
          <w:lang w:val="es-ES" w:eastAsia="es-ES"/>
        </w:rPr>
        <w:t>u</w:t>
      </w:r>
      <w:r>
        <w:rPr>
          <w:lang w:val="es-ES" w:eastAsia="es-ES"/>
        </w:rPr>
        <w:t>tadas hasta la fecha y se elabora un informe con el fin de conocer la situación real de la obra así como lo pendiente de ejecutar. En resumen, a es</w:t>
      </w:r>
      <w:r w:rsidR="004E0C86">
        <w:rPr>
          <w:lang w:val="es-ES" w:eastAsia="es-ES"/>
        </w:rPr>
        <w:t>a</w:t>
      </w:r>
      <w:r>
        <w:rPr>
          <w:lang w:val="es-ES" w:eastAsia="es-ES"/>
        </w:rPr>
        <w:t xml:space="preserve"> fecha se había ejecutado obras formalizadas en cuatro certificaciones por un total de 631.474 euros, es decir, el 57 por ciento del importe adjudicado; este importe es aceptado por el adjudicatario.</w:t>
      </w:r>
    </w:p>
    <w:p w:rsidR="00553CEB" w:rsidRDefault="00553CEB" w:rsidP="00553CEB">
      <w:pPr>
        <w:pStyle w:val="texto"/>
        <w:rPr>
          <w:lang w:val="es-ES" w:eastAsia="es-ES"/>
        </w:rPr>
      </w:pPr>
      <w:r>
        <w:rPr>
          <w:lang w:val="es-ES" w:eastAsia="es-ES"/>
        </w:rPr>
        <w:lastRenderedPageBreak/>
        <w:t>En septiembre de 2016, el adjudicatario –autorizado por el administrador concursal</w:t>
      </w:r>
      <w:r w:rsidR="00D06260">
        <w:rPr>
          <w:lang w:val="es-ES" w:eastAsia="es-ES"/>
        </w:rPr>
        <w:t>–</w:t>
      </w:r>
      <w:r>
        <w:rPr>
          <w:lang w:val="es-ES" w:eastAsia="es-ES"/>
        </w:rPr>
        <w:t xml:space="preserve"> manifiesta su intención de ceder el contrato a otra empresa. Inte</w:t>
      </w:r>
      <w:r>
        <w:rPr>
          <w:lang w:val="es-ES" w:eastAsia="es-ES"/>
        </w:rPr>
        <w:t>n</w:t>
      </w:r>
      <w:r>
        <w:rPr>
          <w:lang w:val="es-ES" w:eastAsia="es-ES"/>
        </w:rPr>
        <w:t>ción que es aprobada por la comisión permanente tras comprobar que la nueva empresa cumple con los requisitos señalados en los pliegos. El 20 de septie</w:t>
      </w:r>
      <w:r>
        <w:rPr>
          <w:lang w:val="es-ES" w:eastAsia="es-ES"/>
        </w:rPr>
        <w:t>m</w:t>
      </w:r>
      <w:r>
        <w:rPr>
          <w:lang w:val="es-ES" w:eastAsia="es-ES"/>
        </w:rPr>
        <w:t>bre se firma el nuevo contrato entre la Comunidad y la empresa por un importe de 472.723 euros.</w:t>
      </w:r>
    </w:p>
    <w:p w:rsidR="00553CEB" w:rsidRDefault="00553CEB" w:rsidP="00553CEB">
      <w:pPr>
        <w:pStyle w:val="texto"/>
        <w:rPr>
          <w:lang w:val="es-ES" w:eastAsia="es-ES"/>
        </w:rPr>
      </w:pPr>
      <w:r>
        <w:rPr>
          <w:lang w:val="es-ES" w:eastAsia="es-ES"/>
        </w:rPr>
        <w:t>La tramitación de esta cesión se efectuó de acuerdo con una versión no v</w:t>
      </w:r>
      <w:r>
        <w:rPr>
          <w:lang w:val="es-ES" w:eastAsia="es-ES"/>
        </w:rPr>
        <w:t>i</w:t>
      </w:r>
      <w:r>
        <w:rPr>
          <w:lang w:val="es-ES" w:eastAsia="es-ES"/>
        </w:rPr>
        <w:t xml:space="preserve">gente del art. 111 de la Ley </w:t>
      </w:r>
      <w:r w:rsidR="004E0C86">
        <w:rPr>
          <w:lang w:val="es-ES" w:eastAsia="es-ES"/>
        </w:rPr>
        <w:t xml:space="preserve">Foral de Contratos. Así, la </w:t>
      </w:r>
      <w:r>
        <w:rPr>
          <w:lang w:val="es-ES" w:eastAsia="es-ES"/>
        </w:rPr>
        <w:t>Ley Foral 32/2013</w:t>
      </w:r>
      <w:r>
        <w:rPr>
          <w:rStyle w:val="Refdenotaalpie"/>
          <w:lang w:val="es-ES" w:eastAsia="es-ES"/>
        </w:rPr>
        <w:footnoteReference w:id="1"/>
      </w:r>
      <w:r>
        <w:rPr>
          <w:lang w:val="es-ES" w:eastAsia="es-ES"/>
        </w:rPr>
        <w:t xml:space="preserve"> m</w:t>
      </w:r>
      <w:r>
        <w:rPr>
          <w:lang w:val="es-ES" w:eastAsia="es-ES"/>
        </w:rPr>
        <w:t>o</w:t>
      </w:r>
      <w:r w:rsidR="004E0C86">
        <w:rPr>
          <w:lang w:val="es-ES" w:eastAsia="es-ES"/>
        </w:rPr>
        <w:t xml:space="preserve">difica tal artículo y </w:t>
      </w:r>
      <w:r>
        <w:rPr>
          <w:lang w:val="es-ES" w:eastAsia="es-ES"/>
        </w:rPr>
        <w:t xml:space="preserve">establece que, en situación de concurso, el adjudicatario debe comunicar a la administración </w:t>
      </w:r>
      <w:r w:rsidRPr="003448C1">
        <w:rPr>
          <w:lang w:val="es-ES" w:eastAsia="es-ES"/>
        </w:rPr>
        <w:t>su intención de ceder el contrato</w:t>
      </w:r>
      <w:r>
        <w:rPr>
          <w:lang w:val="es-ES" w:eastAsia="es-ES"/>
        </w:rPr>
        <w:t>,</w:t>
      </w:r>
      <w:r w:rsidRPr="003448C1">
        <w:rPr>
          <w:lang w:val="es-ES" w:eastAsia="es-ES"/>
        </w:rPr>
        <w:t xml:space="preserve"> para que </w:t>
      </w:r>
      <w:r w:rsidR="004E0C86">
        <w:rPr>
          <w:lang w:val="es-ES" w:eastAsia="es-ES"/>
        </w:rPr>
        <w:t>e</w:t>
      </w:r>
      <w:r w:rsidRPr="003448C1">
        <w:rPr>
          <w:lang w:val="es-ES" w:eastAsia="es-ES"/>
        </w:rPr>
        <w:t>sta ofertase la cesión a los restantes participantes en la licitación y por su o</w:t>
      </w:r>
      <w:r w:rsidRPr="003448C1">
        <w:rPr>
          <w:lang w:val="es-ES" w:eastAsia="es-ES"/>
        </w:rPr>
        <w:t>r</w:t>
      </w:r>
      <w:r w:rsidRPr="003448C1">
        <w:rPr>
          <w:lang w:val="es-ES" w:eastAsia="es-ES"/>
        </w:rPr>
        <w:t>den de clasificación. S</w:t>
      </w:r>
      <w:r w:rsidR="004E0C86">
        <w:rPr>
          <w:lang w:val="es-ES" w:eastAsia="es-ES"/>
        </w:rPr>
        <w:t>i</w:t>
      </w:r>
      <w:r w:rsidRPr="003448C1">
        <w:rPr>
          <w:lang w:val="es-ES" w:eastAsia="es-ES"/>
        </w:rPr>
        <w:t xml:space="preserve"> </w:t>
      </w:r>
      <w:r>
        <w:rPr>
          <w:lang w:val="es-ES" w:eastAsia="es-ES"/>
        </w:rPr>
        <w:t>el resto de ofertantes rechazaran est</w:t>
      </w:r>
      <w:r w:rsidR="00CF0D5A">
        <w:rPr>
          <w:lang w:val="es-ES" w:eastAsia="es-ES"/>
        </w:rPr>
        <w:t>a</w:t>
      </w:r>
      <w:r>
        <w:rPr>
          <w:lang w:val="es-ES" w:eastAsia="es-ES"/>
        </w:rPr>
        <w:t xml:space="preserve"> posibilidad,</w:t>
      </w:r>
      <w:r w:rsidRPr="003448C1">
        <w:rPr>
          <w:lang w:val="es-ES" w:eastAsia="es-ES"/>
        </w:rPr>
        <w:t xml:space="preserve"> podrá el cedente escoger libremente al cesionario.</w:t>
      </w:r>
    </w:p>
    <w:p w:rsidR="00045AEB" w:rsidRDefault="00553CEB" w:rsidP="00553CEB">
      <w:pPr>
        <w:pStyle w:val="texto"/>
        <w:rPr>
          <w:lang w:val="es-ES" w:eastAsia="es-ES"/>
        </w:rPr>
      </w:pPr>
      <w:r>
        <w:rPr>
          <w:lang w:val="es-ES" w:eastAsia="es-ES"/>
        </w:rPr>
        <w:t xml:space="preserve">En caso analizado, la elección del nuevo adjudicatario lo hizo directamente la empresa en concurso de acreedores, de acuerdo </w:t>
      </w:r>
      <w:r w:rsidR="00CF0D5A">
        <w:rPr>
          <w:lang w:val="es-ES" w:eastAsia="es-ES"/>
        </w:rPr>
        <w:t xml:space="preserve">tanto </w:t>
      </w:r>
      <w:r>
        <w:rPr>
          <w:lang w:val="es-ES" w:eastAsia="es-ES"/>
        </w:rPr>
        <w:t>con la versión anterior del citado artículo</w:t>
      </w:r>
      <w:r w:rsidR="00045AEB">
        <w:rPr>
          <w:lang w:val="es-ES" w:eastAsia="es-ES"/>
        </w:rPr>
        <w:t xml:space="preserve"> </w:t>
      </w:r>
      <w:r w:rsidR="00CF0D5A">
        <w:rPr>
          <w:lang w:val="es-ES" w:eastAsia="es-ES"/>
        </w:rPr>
        <w:t>como con lo señalado en los pliegos reguladores de la obra</w:t>
      </w:r>
      <w:r>
        <w:rPr>
          <w:lang w:val="es-ES" w:eastAsia="es-ES"/>
        </w:rPr>
        <w:t xml:space="preserve">. </w:t>
      </w:r>
    </w:p>
    <w:p w:rsidR="00553CEB" w:rsidRDefault="00553CEB" w:rsidP="00553CEB">
      <w:pPr>
        <w:pStyle w:val="texto"/>
        <w:rPr>
          <w:lang w:eastAsia="es-ES"/>
        </w:rPr>
      </w:pPr>
      <w:r>
        <w:rPr>
          <w:lang w:eastAsia="es-ES"/>
        </w:rPr>
        <w:t>En marzo de 2017 se firma el acta de recepción de las obras, cumpliéndose, a pesar de las anteriores incidencias, el plazo previsto en el primer contrato.</w:t>
      </w:r>
    </w:p>
    <w:p w:rsidR="00553CEB" w:rsidRDefault="00553CEB" w:rsidP="00553CEB">
      <w:pPr>
        <w:pStyle w:val="texto"/>
        <w:rPr>
          <w:lang w:eastAsia="es-ES"/>
        </w:rPr>
      </w:pPr>
      <w:r>
        <w:rPr>
          <w:lang w:eastAsia="es-ES"/>
        </w:rPr>
        <w:t>En este segundo periodo de las obras, el nuevo adjudicatario presentó tres certificaciones, incluida la final, por importe total de 561.759 euros.</w:t>
      </w:r>
    </w:p>
    <w:p w:rsidR="00553CEB" w:rsidRDefault="00553CEB" w:rsidP="00553CEB">
      <w:pPr>
        <w:pStyle w:val="texto"/>
        <w:rPr>
          <w:lang w:eastAsia="es-ES"/>
        </w:rPr>
      </w:pPr>
      <w:r>
        <w:rPr>
          <w:lang w:eastAsia="es-ES"/>
        </w:rPr>
        <w:t xml:space="preserve">En abril de 2017, la dirección de obra elabora el informe final sobre las obras realizadas, analizándose las ejecutadas, las certificaciones emitidas y las desviaciones observadas. En resumen, la obra certificada asciende a 1.193.233 euros, desviándose, sobre el precio de licitación, en un ocho por ciento. </w:t>
      </w:r>
    </w:p>
    <w:p w:rsidR="00553CEB" w:rsidRDefault="00553CEB" w:rsidP="00553CEB">
      <w:pPr>
        <w:pStyle w:val="texto"/>
        <w:rPr>
          <w:lang w:eastAsia="es-ES"/>
        </w:rPr>
      </w:pPr>
      <w:r>
        <w:rPr>
          <w:lang w:eastAsia="es-ES"/>
        </w:rPr>
        <w:t>Este incremento de la ejecución se justifica fundamentalmente en cuatro m</w:t>
      </w:r>
      <w:r>
        <w:rPr>
          <w:lang w:eastAsia="es-ES"/>
        </w:rPr>
        <w:t>o</w:t>
      </w:r>
      <w:r>
        <w:rPr>
          <w:lang w:eastAsia="es-ES"/>
        </w:rPr>
        <w:t>dificaciones –por importe total de 39.017 euros y respaldadas con informes de justificación, valoración y los precios contradictorios aprobados entre la C</w:t>
      </w:r>
      <w:r>
        <w:rPr>
          <w:lang w:eastAsia="es-ES"/>
        </w:rPr>
        <w:t>o</w:t>
      </w:r>
      <w:r>
        <w:rPr>
          <w:lang w:eastAsia="es-ES"/>
        </w:rPr>
        <w:t>munidad y la empresa</w:t>
      </w:r>
      <w:r w:rsidR="00D06260">
        <w:rPr>
          <w:lang w:eastAsia="es-ES"/>
        </w:rPr>
        <w:t>–</w:t>
      </w:r>
      <w:r w:rsidR="00254BC7">
        <w:rPr>
          <w:lang w:eastAsia="es-ES"/>
        </w:rPr>
        <w:t xml:space="preserve"> </w:t>
      </w:r>
      <w:r>
        <w:rPr>
          <w:lang w:eastAsia="es-ES"/>
        </w:rPr>
        <w:t>y en una mayor excavación efectuada –nueva unidad de obra valorada en 80.928 euros</w:t>
      </w:r>
      <w:r w:rsidR="00D06260">
        <w:rPr>
          <w:lang w:eastAsia="es-ES"/>
        </w:rPr>
        <w:t xml:space="preserve">– </w:t>
      </w:r>
      <w:r>
        <w:rPr>
          <w:lang w:eastAsia="es-ES"/>
        </w:rPr>
        <w:t>realizada a propuesta del Guarderío del G</w:t>
      </w:r>
      <w:r>
        <w:rPr>
          <w:lang w:eastAsia="es-ES"/>
        </w:rPr>
        <w:t>o</w:t>
      </w:r>
      <w:r>
        <w:rPr>
          <w:lang w:eastAsia="es-ES"/>
        </w:rPr>
        <w:t>bierno de Navarra y del biólogo de la Comunidad para mejorar la nidificación de las aves.</w:t>
      </w:r>
      <w:r w:rsidRPr="008B52E9">
        <w:rPr>
          <w:lang w:eastAsia="es-ES"/>
        </w:rPr>
        <w:t xml:space="preserve"> </w:t>
      </w:r>
      <w:r>
        <w:rPr>
          <w:lang w:eastAsia="es-ES"/>
        </w:rPr>
        <w:t xml:space="preserve">Formalmente, sin embargo, no consta resolución previa del órgano de contratación autorizando y aprobando tales modificaciones.  </w:t>
      </w:r>
    </w:p>
    <w:p w:rsidR="00553CEB" w:rsidRDefault="00553CEB" w:rsidP="00553CEB">
      <w:pPr>
        <w:pStyle w:val="texto"/>
        <w:numPr>
          <w:ilvl w:val="0"/>
          <w:numId w:val="26"/>
        </w:numPr>
        <w:rPr>
          <w:lang w:val="es-ES" w:eastAsia="es-ES"/>
        </w:rPr>
      </w:pPr>
      <w:r>
        <w:rPr>
          <w:lang w:val="es-ES" w:eastAsia="es-ES"/>
        </w:rPr>
        <w:t>Obras ejecutadas por la Comunidad de Regantes</w:t>
      </w:r>
    </w:p>
    <w:p w:rsidR="00553CEB" w:rsidRDefault="00553CEB" w:rsidP="009C69F5">
      <w:pPr>
        <w:pStyle w:val="texto"/>
        <w:ind w:firstLine="0"/>
        <w:rPr>
          <w:lang w:eastAsia="es-ES"/>
        </w:rPr>
      </w:pPr>
      <w:r>
        <w:rPr>
          <w:lang w:eastAsia="es-ES"/>
        </w:rPr>
        <w:t>Atendiendo al convenio firmado, las obras realizadas por la Comunidad de R</w:t>
      </w:r>
      <w:r>
        <w:rPr>
          <w:lang w:eastAsia="es-ES"/>
        </w:rPr>
        <w:t>e</w:t>
      </w:r>
      <w:r>
        <w:rPr>
          <w:lang w:eastAsia="es-ES"/>
        </w:rPr>
        <w:t>gantes del Ferial fueron adjudicadas por la misma y, en diciembre de 2016, pr</w:t>
      </w:r>
      <w:r>
        <w:rPr>
          <w:lang w:eastAsia="es-ES"/>
        </w:rPr>
        <w:t>e</w:t>
      </w:r>
      <w:r>
        <w:rPr>
          <w:lang w:eastAsia="es-ES"/>
        </w:rPr>
        <w:t xml:space="preserve">senta a la Comunidad de Bardenas la liquidación final de las obras ejecutadas, </w:t>
      </w:r>
      <w:r>
        <w:rPr>
          <w:lang w:eastAsia="es-ES"/>
        </w:rPr>
        <w:lastRenderedPageBreak/>
        <w:t>los justificantes de gastos realizados en los distintos proyectos así como el sa</w:t>
      </w:r>
      <w:r>
        <w:rPr>
          <w:lang w:eastAsia="es-ES"/>
        </w:rPr>
        <w:t>l</w:t>
      </w:r>
      <w:r>
        <w:rPr>
          <w:lang w:eastAsia="es-ES"/>
        </w:rPr>
        <w:t>do de la cuenta corriente.</w:t>
      </w:r>
    </w:p>
    <w:p w:rsidR="00553CEB" w:rsidRDefault="00553CEB" w:rsidP="001127E4">
      <w:pPr>
        <w:pStyle w:val="texto"/>
        <w:spacing w:after="240"/>
        <w:rPr>
          <w:lang w:eastAsia="es-ES"/>
        </w:rPr>
      </w:pPr>
      <w:r>
        <w:rPr>
          <w:lang w:eastAsia="es-ES"/>
        </w:rPr>
        <w:t xml:space="preserve">Así el importe presentado asciende a 1,74 millones </w:t>
      </w:r>
      <w:r w:rsidRPr="008B52E9">
        <w:rPr>
          <w:lang w:eastAsia="es-ES"/>
        </w:rPr>
        <w:t xml:space="preserve">(IVA incluido) </w:t>
      </w:r>
      <w:r w:rsidRPr="00CC5D0E">
        <w:rPr>
          <w:lang w:eastAsia="es-ES"/>
        </w:rPr>
        <w:t>y se de</w:t>
      </w:r>
      <w:r w:rsidRPr="00CC5D0E">
        <w:rPr>
          <w:lang w:eastAsia="es-ES"/>
        </w:rPr>
        <w:t>s</w:t>
      </w:r>
      <w:r w:rsidRPr="00CC5D0E">
        <w:rPr>
          <w:lang w:eastAsia="es-ES"/>
        </w:rPr>
        <w:t>glosa en los siguientes ocho proyectos ejecutados:</w:t>
      </w:r>
    </w:p>
    <w:tbl>
      <w:tblPr>
        <w:tblW w:w="8730" w:type="dxa"/>
        <w:jc w:val="center"/>
        <w:tblInd w:w="-317" w:type="dxa"/>
        <w:tblBorders>
          <w:top w:val="single" w:sz="4" w:space="0" w:color="auto"/>
          <w:bottom w:val="single" w:sz="4" w:space="0" w:color="auto"/>
          <w:insideH w:val="single" w:sz="4" w:space="0" w:color="auto"/>
        </w:tblBorders>
        <w:tblLook w:val="01E0" w:firstRow="1" w:lastRow="1" w:firstColumn="1" w:lastColumn="1" w:noHBand="0" w:noVBand="0"/>
      </w:tblPr>
      <w:tblGrid>
        <w:gridCol w:w="5781"/>
        <w:gridCol w:w="2949"/>
      </w:tblGrid>
      <w:tr w:rsidR="00553CEB" w:rsidRPr="007B043B" w:rsidTr="00CD5371">
        <w:trPr>
          <w:trHeight w:hRule="exact" w:val="284"/>
          <w:jc w:val="center"/>
        </w:trPr>
        <w:tc>
          <w:tcPr>
            <w:tcW w:w="5781" w:type="dxa"/>
            <w:shd w:val="clear" w:color="auto" w:fill="FABF8F" w:themeFill="accent6" w:themeFillTint="99"/>
            <w:vAlign w:val="center"/>
          </w:tcPr>
          <w:p w:rsidR="00553CEB" w:rsidRPr="007B043B" w:rsidRDefault="00553CEB" w:rsidP="00553CEB">
            <w:pPr>
              <w:pStyle w:val="cuadroCabe"/>
              <w:rPr>
                <w:rFonts w:cs="Arial"/>
              </w:rPr>
            </w:pPr>
            <w:r>
              <w:rPr>
                <w:rFonts w:cs="Arial"/>
              </w:rPr>
              <w:t>Proyecto</w:t>
            </w:r>
          </w:p>
        </w:tc>
        <w:tc>
          <w:tcPr>
            <w:tcW w:w="2949" w:type="dxa"/>
            <w:tcBorders>
              <w:left w:val="nil"/>
              <w:right w:val="nil"/>
            </w:tcBorders>
            <w:shd w:val="clear" w:color="auto" w:fill="FABF8F" w:themeFill="accent6" w:themeFillTint="99"/>
            <w:vAlign w:val="center"/>
          </w:tcPr>
          <w:p w:rsidR="00553CEB" w:rsidRPr="007B043B" w:rsidRDefault="00553CEB" w:rsidP="001127E4">
            <w:pPr>
              <w:pStyle w:val="cuadroCabe"/>
              <w:ind w:right="132"/>
              <w:jc w:val="right"/>
              <w:rPr>
                <w:rFonts w:cs="Arial"/>
              </w:rPr>
            </w:pPr>
            <w:r>
              <w:rPr>
                <w:rFonts w:cs="Arial"/>
              </w:rPr>
              <w:t>Importe</w:t>
            </w:r>
          </w:p>
        </w:tc>
      </w:tr>
      <w:tr w:rsidR="00553CEB" w:rsidRPr="0093411D" w:rsidTr="00CD5371">
        <w:trPr>
          <w:trHeight w:hRule="exact" w:val="284"/>
          <w:jc w:val="center"/>
        </w:trPr>
        <w:tc>
          <w:tcPr>
            <w:tcW w:w="5781" w:type="dxa"/>
            <w:tcBorders>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Talud presa</w:t>
            </w:r>
          </w:p>
        </w:tc>
        <w:tc>
          <w:tcPr>
            <w:tcW w:w="2949" w:type="dxa"/>
            <w:tcBorders>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160.862</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Abrevaderos Zona del Ferial</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85.625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Conexión acequia Cinco Villas</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251.943</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Proyecto distribución abrevaderos Cuatro Cabañas</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36.355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Balsa de Cuatro Cabañas</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779.483</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Proyecto abrevaderos Plano y Blanca</w:t>
            </w:r>
          </w:p>
        </w:tc>
        <w:tc>
          <w:tcPr>
            <w:tcW w:w="2949" w:type="dxa"/>
            <w:tcBorders>
              <w:top w:val="single" w:sz="2" w:space="0" w:color="auto"/>
              <w:left w:val="nil"/>
              <w:bottom w:val="single" w:sz="2" w:space="0" w:color="auto"/>
              <w:right w:val="nil"/>
            </w:tcBorders>
            <w:shd w:val="clear" w:color="auto" w:fill="auto"/>
            <w:vAlign w:val="center"/>
          </w:tcPr>
          <w:p w:rsidR="00553CEB"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19.046</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Abrevaderos Plano y Blanca</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401.095</w:t>
            </w:r>
          </w:p>
        </w:tc>
      </w:tr>
      <w:tr w:rsidR="00553CEB" w:rsidRPr="0093411D" w:rsidTr="00CD5371">
        <w:trPr>
          <w:trHeight w:hRule="exact" w:val="284"/>
          <w:jc w:val="center"/>
        </w:trPr>
        <w:tc>
          <w:tcPr>
            <w:tcW w:w="5781"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Obras balsa de Punta del Olmo</w:t>
            </w:r>
          </w:p>
        </w:tc>
        <w:tc>
          <w:tcPr>
            <w:tcW w:w="2949" w:type="dxa"/>
            <w:tcBorders>
              <w:top w:val="single" w:sz="2" w:space="0" w:color="auto"/>
              <w:left w:val="nil"/>
              <w:bottom w:val="single" w:sz="2"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8.534</w:t>
            </w:r>
          </w:p>
        </w:tc>
      </w:tr>
      <w:tr w:rsidR="00553CEB" w:rsidRPr="0093411D" w:rsidTr="00CD5371">
        <w:trPr>
          <w:trHeight w:hRule="exact" w:val="284"/>
          <w:jc w:val="center"/>
        </w:trPr>
        <w:tc>
          <w:tcPr>
            <w:tcW w:w="5781" w:type="dxa"/>
            <w:tcBorders>
              <w:top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Pr>
                <w:rFonts w:ascii="Arial Narrow" w:hAnsi="Arial Narrow" w:cs="Arial"/>
                <w:lang w:val="es-ES" w:eastAsia="es-ES"/>
              </w:rPr>
              <w:t>Gastos bancarios</w:t>
            </w:r>
          </w:p>
        </w:tc>
        <w:tc>
          <w:tcPr>
            <w:tcW w:w="2949" w:type="dxa"/>
            <w:tcBorders>
              <w:top w:val="single" w:sz="2" w:space="0" w:color="auto"/>
              <w:left w:val="nil"/>
              <w:bottom w:val="single" w:sz="4" w:space="0" w:color="auto"/>
              <w:right w:val="nil"/>
            </w:tcBorders>
            <w:shd w:val="clear" w:color="auto" w:fill="auto"/>
            <w:vAlign w:val="center"/>
          </w:tcPr>
          <w:p w:rsidR="00553CEB" w:rsidRPr="0093411D" w:rsidRDefault="00553CEB" w:rsidP="001127E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662</w:t>
            </w:r>
          </w:p>
        </w:tc>
      </w:tr>
      <w:tr w:rsidR="00553CEB" w:rsidRPr="007B043B" w:rsidTr="00CD5371">
        <w:trPr>
          <w:trHeight w:hRule="exact" w:val="284"/>
          <w:jc w:val="center"/>
        </w:trPr>
        <w:tc>
          <w:tcPr>
            <w:tcW w:w="5781" w:type="dxa"/>
            <w:tcBorders>
              <w:top w:val="single" w:sz="4" w:space="0" w:color="auto"/>
            </w:tcBorders>
            <w:shd w:val="clear" w:color="auto" w:fill="FABF8F" w:themeFill="accent6" w:themeFillTint="99"/>
            <w:vAlign w:val="center"/>
          </w:tcPr>
          <w:p w:rsidR="00553CEB" w:rsidRPr="007B043B" w:rsidRDefault="00553CEB" w:rsidP="00553CEB">
            <w:pPr>
              <w:pStyle w:val="cuadroCabe"/>
              <w:rPr>
                <w:lang w:val="es-ES" w:eastAsia="es-ES"/>
              </w:rPr>
            </w:pPr>
            <w:r>
              <w:rPr>
                <w:lang w:val="es-ES" w:eastAsia="es-ES"/>
              </w:rPr>
              <w:t>Total</w:t>
            </w:r>
          </w:p>
        </w:tc>
        <w:tc>
          <w:tcPr>
            <w:tcW w:w="2949" w:type="dxa"/>
            <w:tcBorders>
              <w:top w:val="single" w:sz="4" w:space="0" w:color="auto"/>
              <w:left w:val="nil"/>
              <w:right w:val="nil"/>
            </w:tcBorders>
            <w:shd w:val="clear" w:color="auto" w:fill="FABF8F" w:themeFill="accent6" w:themeFillTint="99"/>
            <w:vAlign w:val="center"/>
          </w:tcPr>
          <w:p w:rsidR="00553CEB" w:rsidRPr="007B043B" w:rsidRDefault="00553CEB" w:rsidP="001127E4">
            <w:pPr>
              <w:pStyle w:val="cuadroCabe"/>
              <w:ind w:right="-10"/>
              <w:jc w:val="right"/>
              <w:rPr>
                <w:lang w:val="es-ES" w:eastAsia="es-ES"/>
              </w:rPr>
            </w:pPr>
            <w:r>
              <w:rPr>
                <w:lang w:val="es-ES" w:eastAsia="es-ES"/>
              </w:rPr>
              <w:t>1.743.703</w:t>
            </w:r>
          </w:p>
        </w:tc>
      </w:tr>
    </w:tbl>
    <w:p w:rsidR="00553CEB" w:rsidRDefault="00553CEB" w:rsidP="001127E4">
      <w:pPr>
        <w:pStyle w:val="texto"/>
        <w:spacing w:after="0"/>
        <w:rPr>
          <w:lang w:eastAsia="es-ES"/>
        </w:rPr>
      </w:pPr>
    </w:p>
    <w:p w:rsidR="00553CEB" w:rsidRDefault="00553CEB" w:rsidP="00553CEB">
      <w:pPr>
        <w:pStyle w:val="texto"/>
        <w:rPr>
          <w:lang w:eastAsia="es-ES"/>
        </w:rPr>
      </w:pPr>
      <w:r>
        <w:rPr>
          <w:lang w:eastAsia="es-ES"/>
        </w:rPr>
        <w:t xml:space="preserve">Para el pago de tales obras, la Comunidad de Bardenas abona 0,9 millones a la firma del Convenio en 2012; en 2013, aporta un millón. En total ha pagado a la Comunidad de Regantes para financiar estas obras un total de 1,9 millones. Estos importes se imputan a la partida del capítulo 6 “Distritos ganaderos-convenio Comunidad de Regantes” de los ejercicios de 2012 y 2013. </w:t>
      </w:r>
    </w:p>
    <w:p w:rsidR="00553CEB" w:rsidRPr="00C156F9" w:rsidRDefault="00553CEB" w:rsidP="00553CEB">
      <w:pPr>
        <w:pStyle w:val="texto"/>
        <w:rPr>
          <w:lang w:eastAsia="es-ES"/>
        </w:rPr>
      </w:pPr>
      <w:r>
        <w:rPr>
          <w:lang w:eastAsia="es-ES"/>
        </w:rPr>
        <w:t xml:space="preserve">La diferencia entre el abono de 1,9 millones y los gastos de 1,74 millones es el saldo existente en </w:t>
      </w:r>
      <w:r w:rsidR="00A6319E">
        <w:rPr>
          <w:lang w:eastAsia="es-ES"/>
        </w:rPr>
        <w:t xml:space="preserve">la cuenta corriente específica </w:t>
      </w:r>
      <w:r w:rsidR="00C52D3F">
        <w:rPr>
          <w:lang w:eastAsia="es-ES"/>
        </w:rPr>
        <w:t>–</w:t>
      </w:r>
      <w:r w:rsidR="00CD5371">
        <w:rPr>
          <w:lang w:eastAsia="es-ES"/>
        </w:rPr>
        <w:t>156.296 euros</w:t>
      </w:r>
      <w:r w:rsidR="00C52D3F">
        <w:rPr>
          <w:lang w:eastAsia="es-ES"/>
        </w:rPr>
        <w:t xml:space="preserve">– </w:t>
      </w:r>
      <w:r w:rsidR="00A6319E">
        <w:rPr>
          <w:lang w:eastAsia="es-ES"/>
        </w:rPr>
        <w:t>que</w:t>
      </w:r>
      <w:r w:rsidR="00CD5371">
        <w:rPr>
          <w:lang w:eastAsia="es-ES"/>
        </w:rPr>
        <w:t xml:space="preserve"> se de</w:t>
      </w:r>
      <w:r w:rsidR="00CD5371">
        <w:rPr>
          <w:lang w:eastAsia="es-ES"/>
        </w:rPr>
        <w:t>s</w:t>
      </w:r>
      <w:r w:rsidR="00CD5371">
        <w:rPr>
          <w:lang w:eastAsia="es-ES"/>
        </w:rPr>
        <w:t xml:space="preserve">tinará </w:t>
      </w:r>
      <w:r>
        <w:rPr>
          <w:lang w:eastAsia="es-ES"/>
        </w:rPr>
        <w:t>a atender posibles gastos derivados de las pruebas y mejoras a realizar en las obras ejecutadas.</w:t>
      </w:r>
    </w:p>
    <w:p w:rsidR="00553CEB" w:rsidRPr="00677611" w:rsidRDefault="00553CEB" w:rsidP="00B14FFE">
      <w:pPr>
        <w:pStyle w:val="atitulo40"/>
        <w:spacing w:before="360" w:after="240"/>
        <w:rPr>
          <w:rFonts w:ascii="Arial" w:hAnsi="Arial" w:cs="Arial"/>
        </w:rPr>
      </w:pPr>
      <w:r w:rsidRPr="00677611">
        <w:rPr>
          <w:rFonts w:ascii="Arial" w:hAnsi="Arial" w:cs="Arial"/>
        </w:rPr>
        <w:t>Reforma y ampliación del Centro de Aguilares</w:t>
      </w:r>
    </w:p>
    <w:p w:rsidR="00553CEB" w:rsidRDefault="00553CEB" w:rsidP="00CD5371">
      <w:pPr>
        <w:pStyle w:val="texto"/>
        <w:spacing w:after="120"/>
        <w:rPr>
          <w:lang w:val="es-ES" w:eastAsia="es-ES"/>
        </w:rPr>
      </w:pPr>
      <w:r w:rsidRPr="006F1F74">
        <w:rPr>
          <w:lang w:val="es-ES" w:eastAsia="es-ES"/>
        </w:rPr>
        <w:t>El Centro</w:t>
      </w:r>
      <w:r>
        <w:rPr>
          <w:lang w:val="es-ES" w:eastAsia="es-ES"/>
        </w:rPr>
        <w:t xml:space="preserve"> d</w:t>
      </w:r>
      <w:r w:rsidRPr="006F1F74">
        <w:rPr>
          <w:lang w:val="es-ES" w:eastAsia="es-ES"/>
        </w:rPr>
        <w:t>e Aguilares</w:t>
      </w:r>
      <w:r>
        <w:rPr>
          <w:lang w:val="es-ES" w:eastAsia="es-ES"/>
        </w:rPr>
        <w:t xml:space="preserve"> se ubica en un antigua corraliza colindante con el parque natural de las Bardenas que fue adquirido por la Comunidad. En 2006 se organizó un concurso de ideas para el diseño del futuro centro de educación ambiental de la Reserva de la Biosfera y Punto de Información Turística. El proyecto ganador del concurso incluía</w:t>
      </w:r>
      <w:r w:rsidR="00A6319E">
        <w:rPr>
          <w:lang w:val="es-ES" w:eastAsia="es-ES"/>
        </w:rPr>
        <w:t>,</w:t>
      </w:r>
      <w:r>
        <w:rPr>
          <w:lang w:val="es-ES" w:eastAsia="es-ES"/>
        </w:rPr>
        <w:t xml:space="preserve"> además del centro y del punto de info</w:t>
      </w:r>
      <w:r>
        <w:rPr>
          <w:lang w:val="es-ES" w:eastAsia="es-ES"/>
        </w:rPr>
        <w:t>r</w:t>
      </w:r>
      <w:r>
        <w:rPr>
          <w:lang w:val="es-ES" w:eastAsia="es-ES"/>
        </w:rPr>
        <w:t xml:space="preserve">mación, los servicios de alojamiento y de restauración, con un coste estimado total en torno a los siete millones de euros. </w:t>
      </w:r>
    </w:p>
    <w:p w:rsidR="00553CEB" w:rsidRDefault="00553CEB" w:rsidP="00CD5371">
      <w:pPr>
        <w:pStyle w:val="texto"/>
        <w:spacing w:after="120"/>
        <w:rPr>
          <w:lang w:val="es-ES" w:eastAsia="es-ES"/>
        </w:rPr>
      </w:pPr>
      <w:r>
        <w:rPr>
          <w:lang w:val="es-ES" w:eastAsia="es-ES"/>
        </w:rPr>
        <w:t>Con carácter previo a las obras previstas en el citado concurso, ya en 2008 se efectúan las primeras obras de adecuación del antiguo corral para punto de i</w:t>
      </w:r>
      <w:r>
        <w:rPr>
          <w:lang w:val="es-ES" w:eastAsia="es-ES"/>
        </w:rPr>
        <w:t>n</w:t>
      </w:r>
      <w:r>
        <w:rPr>
          <w:lang w:val="es-ES" w:eastAsia="es-ES"/>
        </w:rPr>
        <w:t>formación, almacén de maquinaria y lugar de reuniones. El proyecto fue enca</w:t>
      </w:r>
      <w:r>
        <w:rPr>
          <w:lang w:val="es-ES" w:eastAsia="es-ES"/>
        </w:rPr>
        <w:t>r</w:t>
      </w:r>
      <w:r>
        <w:rPr>
          <w:lang w:val="es-ES" w:eastAsia="es-ES"/>
        </w:rPr>
        <w:t>gado de forma directa al equipo asesor que intervino en el citado concurso de ideas, justificándose tal adjudicación en que su asesoramiento fue desinteres</w:t>
      </w:r>
      <w:r>
        <w:rPr>
          <w:lang w:val="es-ES" w:eastAsia="es-ES"/>
        </w:rPr>
        <w:t>a</w:t>
      </w:r>
      <w:r>
        <w:rPr>
          <w:lang w:val="es-ES" w:eastAsia="es-ES"/>
        </w:rPr>
        <w:t>do.</w:t>
      </w:r>
      <w:r w:rsidRPr="00873D50">
        <w:rPr>
          <w:lang w:val="es-ES" w:eastAsia="es-ES"/>
        </w:rPr>
        <w:t xml:space="preserve"> </w:t>
      </w:r>
      <w:r>
        <w:rPr>
          <w:lang w:val="es-ES" w:eastAsia="es-ES"/>
        </w:rPr>
        <w:t>Estos contratos fueron revisados por esta Cámara en su anterior informe s</w:t>
      </w:r>
      <w:r>
        <w:rPr>
          <w:lang w:val="es-ES" w:eastAsia="es-ES"/>
        </w:rPr>
        <w:t>o</w:t>
      </w:r>
      <w:r>
        <w:rPr>
          <w:lang w:val="es-ES" w:eastAsia="es-ES"/>
        </w:rPr>
        <w:t>bre la Comunidad.</w:t>
      </w:r>
    </w:p>
    <w:p w:rsidR="00553CEB" w:rsidRDefault="00553CEB" w:rsidP="00CD5371">
      <w:pPr>
        <w:pStyle w:val="texto"/>
        <w:spacing w:after="120"/>
        <w:rPr>
          <w:lang w:val="es-ES" w:eastAsia="es-ES"/>
        </w:rPr>
      </w:pPr>
      <w:r>
        <w:rPr>
          <w:lang w:val="es-ES" w:eastAsia="es-ES"/>
        </w:rPr>
        <w:lastRenderedPageBreak/>
        <w:t>Posteriormente, la Junta decidió no llevar a cabo el proyecto ganador por su elevado coste y, en su lugar, se aprueba adaptar las instalaciones existentes p</w:t>
      </w:r>
      <w:r>
        <w:rPr>
          <w:lang w:val="es-ES" w:eastAsia="es-ES"/>
        </w:rPr>
        <w:t>a</w:t>
      </w:r>
      <w:r>
        <w:rPr>
          <w:lang w:val="es-ES" w:eastAsia="es-ES"/>
        </w:rPr>
        <w:t xml:space="preserve">ra permitir la acción educativa medioambiental.  </w:t>
      </w:r>
    </w:p>
    <w:p w:rsidR="00553CEB" w:rsidRDefault="000A6E66" w:rsidP="00CD5371">
      <w:pPr>
        <w:pStyle w:val="texto"/>
        <w:spacing w:after="120"/>
        <w:rPr>
          <w:lang w:val="es-ES" w:eastAsia="es-ES"/>
        </w:rPr>
      </w:pPr>
      <w:r>
        <w:rPr>
          <w:lang w:val="es-ES" w:eastAsia="es-ES"/>
        </w:rPr>
        <w:t xml:space="preserve">El contrato que </w:t>
      </w:r>
      <w:r w:rsidR="00553CEB">
        <w:rPr>
          <w:lang w:val="es-ES" w:eastAsia="es-ES"/>
        </w:rPr>
        <w:t>se describe se refiere a la reforma y ampliación del Centro de Información para dotarlo básicamente de una zona destinada a aparcamiento, reconversión del antiguo almacén de maquinaria en una zona polivalente de usos múltiples y actuación en el patio interior del edificio para obtener un esp</w:t>
      </w:r>
      <w:r w:rsidR="00553CEB">
        <w:rPr>
          <w:lang w:val="es-ES" w:eastAsia="es-ES"/>
        </w:rPr>
        <w:t>a</w:t>
      </w:r>
      <w:r w:rsidR="00553CEB">
        <w:rPr>
          <w:lang w:val="es-ES" w:eastAsia="es-ES"/>
        </w:rPr>
        <w:t>cio dedicado a exposiciones (todo ello incluido en la denominada fase I). Se deja para una posterior intervención la urbanización exterior y anfiteatro o fase II. La redacción del proyecto se encarga al equipo ganador del concurso de ideas que consta, a su vez, de dos proyectos, uno para cada fase.</w:t>
      </w:r>
    </w:p>
    <w:p w:rsidR="00553CEB" w:rsidRDefault="00553CEB" w:rsidP="00CD5371">
      <w:pPr>
        <w:pStyle w:val="texto"/>
        <w:spacing w:after="120"/>
        <w:rPr>
          <w:lang w:val="es-ES" w:eastAsia="es-ES"/>
        </w:rPr>
      </w:pPr>
      <w:r>
        <w:rPr>
          <w:lang w:val="es-ES" w:eastAsia="es-ES"/>
        </w:rPr>
        <w:t>Según el proyecto de la fase I, el presupuesto de las obras asciende a 951.809 euros. Este importe es el de licitación del contrato.</w:t>
      </w:r>
    </w:p>
    <w:p w:rsidR="00553CEB" w:rsidRPr="00A6319E" w:rsidRDefault="00553CEB" w:rsidP="00CD5371">
      <w:pPr>
        <w:pStyle w:val="texto"/>
        <w:spacing w:after="120"/>
        <w:rPr>
          <w:lang w:val="es-ES" w:eastAsia="es-ES"/>
        </w:rPr>
      </w:pPr>
      <w:r w:rsidRPr="00A6319E">
        <w:rPr>
          <w:lang w:val="es-ES" w:eastAsia="es-ES"/>
        </w:rPr>
        <w:t>Se adjudica mediante procedimiento abierto y como criterio selectivo, la oferta más ventajosa. Los criterios de adjudicación y la puntuación de los di</w:t>
      </w:r>
      <w:r w:rsidRPr="00A6319E">
        <w:rPr>
          <w:lang w:val="es-ES" w:eastAsia="es-ES"/>
        </w:rPr>
        <w:t>s</w:t>
      </w:r>
      <w:r w:rsidRPr="00A6319E">
        <w:rPr>
          <w:lang w:val="es-ES" w:eastAsia="es-ES"/>
        </w:rPr>
        <w:t>tintos subapartados se contempla</w:t>
      </w:r>
      <w:r w:rsidR="000A6E66" w:rsidRPr="00A6319E">
        <w:rPr>
          <w:lang w:val="es-ES" w:eastAsia="es-ES"/>
        </w:rPr>
        <w:t>n</w:t>
      </w:r>
      <w:r w:rsidRPr="00A6319E">
        <w:rPr>
          <w:lang w:val="es-ES" w:eastAsia="es-ES"/>
        </w:rPr>
        <w:t xml:space="preserve"> en los pliegos y hacen referencia a: precio, oferta técnica, plazo de ejecución, plan de aseguramiento de calidad, servicio postconstrucción y ampliación de plazo de garantía. No obstante</w:t>
      </w:r>
      <w:r w:rsidR="00A6319E">
        <w:rPr>
          <w:lang w:val="es-ES" w:eastAsia="es-ES"/>
        </w:rPr>
        <w:t>,</w:t>
      </w:r>
      <w:r w:rsidRPr="00A6319E">
        <w:rPr>
          <w:lang w:val="es-ES" w:eastAsia="es-ES"/>
        </w:rPr>
        <w:t xml:space="preserve"> no se concr</w:t>
      </w:r>
      <w:r w:rsidRPr="00A6319E">
        <w:rPr>
          <w:lang w:val="es-ES" w:eastAsia="es-ES"/>
        </w:rPr>
        <w:t>e</w:t>
      </w:r>
      <w:r w:rsidRPr="00A6319E">
        <w:rPr>
          <w:lang w:val="es-ES" w:eastAsia="es-ES"/>
        </w:rPr>
        <w:t>ta con detalle en los citados pliegos el reparto de los puntos de la oferta técnica (20 sobre un total de 100 puntos)</w:t>
      </w:r>
      <w:r w:rsidR="00CD5371" w:rsidRPr="00A6319E">
        <w:rPr>
          <w:lang w:val="es-ES" w:eastAsia="es-ES"/>
        </w:rPr>
        <w:t>.</w:t>
      </w:r>
    </w:p>
    <w:p w:rsidR="00553CEB" w:rsidRDefault="00553CEB" w:rsidP="00CD5371">
      <w:pPr>
        <w:pStyle w:val="texto"/>
        <w:spacing w:after="120"/>
        <w:rPr>
          <w:lang w:val="es-ES" w:eastAsia="es-ES"/>
        </w:rPr>
      </w:pPr>
      <w:r>
        <w:rPr>
          <w:lang w:val="es-ES" w:eastAsia="es-ES"/>
        </w:rPr>
        <w:t>La mesa de contratación con el asesoramiento de los redactores del proyecto, propone la adjudicación a la mejor oferta por importe de 696.723 euros, con una baja del 26,80 por ciento.</w:t>
      </w:r>
    </w:p>
    <w:p w:rsidR="00553CEB" w:rsidRDefault="00553CEB" w:rsidP="00CD5371">
      <w:pPr>
        <w:pStyle w:val="texto"/>
        <w:spacing w:after="120"/>
        <w:rPr>
          <w:lang w:val="es-ES" w:eastAsia="es-ES"/>
        </w:rPr>
      </w:pPr>
      <w:r>
        <w:rPr>
          <w:lang w:val="es-ES" w:eastAsia="es-ES"/>
        </w:rPr>
        <w:t>En el expediente no consta la documentación acreditativa de que el adjudic</w:t>
      </w:r>
      <w:r>
        <w:rPr>
          <w:lang w:val="es-ES" w:eastAsia="es-ES"/>
        </w:rPr>
        <w:t>a</w:t>
      </w:r>
      <w:r>
        <w:rPr>
          <w:lang w:val="es-ES" w:eastAsia="es-ES"/>
        </w:rPr>
        <w:t>tario esté al corriente de sus obligaciones fiscales y con la Seguridad Social. La información obrante se limita a una declaración responsable del mismo prese</w:t>
      </w:r>
      <w:r>
        <w:rPr>
          <w:lang w:val="es-ES" w:eastAsia="es-ES"/>
        </w:rPr>
        <w:t>n</w:t>
      </w:r>
      <w:r>
        <w:rPr>
          <w:lang w:val="es-ES" w:eastAsia="es-ES"/>
        </w:rPr>
        <w:t>tada en la fase de licitación.</w:t>
      </w:r>
    </w:p>
    <w:p w:rsidR="00553CEB" w:rsidRDefault="00553CEB" w:rsidP="00CD5371">
      <w:pPr>
        <w:pStyle w:val="texto"/>
        <w:spacing w:after="120"/>
        <w:rPr>
          <w:lang w:val="es-ES" w:eastAsia="es-ES"/>
        </w:rPr>
      </w:pPr>
      <w:r>
        <w:rPr>
          <w:lang w:val="es-ES" w:eastAsia="es-ES"/>
        </w:rPr>
        <w:t>Asimismo, el expediente contiene un “presupuesto de ampliación de la nave para espacio expositivo” por importe de 102.767 euros. Esta modificación está aprobada por la propiedad y admitida por el contratista, pero su tramitación y aprobación expresa por el órgano de contratación no se realizó con carácter previo a su ejecución</w:t>
      </w:r>
      <w:r w:rsidR="00A6319E">
        <w:rPr>
          <w:lang w:val="es-ES" w:eastAsia="es-ES"/>
        </w:rPr>
        <w:t>;</w:t>
      </w:r>
      <w:r>
        <w:rPr>
          <w:lang w:val="es-ES" w:eastAsia="es-ES"/>
        </w:rPr>
        <w:t xml:space="preserve"> tampoco se valoró su repercusión sobre el plazo de ej</w:t>
      </w:r>
      <w:r>
        <w:rPr>
          <w:lang w:val="es-ES" w:eastAsia="es-ES"/>
        </w:rPr>
        <w:t>e</w:t>
      </w:r>
      <w:r>
        <w:rPr>
          <w:lang w:val="es-ES" w:eastAsia="es-ES"/>
        </w:rPr>
        <w:t>cución de la obra en su conjunto.</w:t>
      </w:r>
    </w:p>
    <w:p w:rsidR="00553CEB" w:rsidRDefault="00553CEB" w:rsidP="00553CEB">
      <w:pPr>
        <w:pStyle w:val="texto"/>
        <w:rPr>
          <w:lang w:val="es-ES" w:eastAsia="es-ES"/>
        </w:rPr>
      </w:pPr>
      <w:r>
        <w:rPr>
          <w:lang w:val="es-ES" w:eastAsia="es-ES"/>
        </w:rPr>
        <w:t>En julio de 2015 se presenta la liquidación final por 835.863 euros, es decir, un 19,97 por ciento más que el importe de adjudicación. Si consideramos el importe de la modificación precitada, ese porcentaje es del 5,22 por ciento.</w:t>
      </w:r>
    </w:p>
    <w:p w:rsidR="00525BC5" w:rsidRPr="000A6E66" w:rsidRDefault="00553CEB" w:rsidP="00045AEB">
      <w:pPr>
        <w:pStyle w:val="texto"/>
        <w:rPr>
          <w:lang w:val="es-ES" w:eastAsia="es-ES"/>
        </w:rPr>
      </w:pPr>
      <w:r w:rsidRPr="000A6E66">
        <w:rPr>
          <w:lang w:val="es-ES" w:eastAsia="es-ES"/>
        </w:rPr>
        <w:t>Los honorarios percibidos por los redactores del proyecto</w:t>
      </w:r>
      <w:r w:rsidR="000143C0">
        <w:rPr>
          <w:lang w:val="es-ES" w:eastAsia="es-ES"/>
        </w:rPr>
        <w:t xml:space="preserve"> en sus dos fases</w:t>
      </w:r>
      <w:r w:rsidRPr="000A6E66">
        <w:rPr>
          <w:lang w:val="es-ES" w:eastAsia="es-ES"/>
        </w:rPr>
        <w:t>, la dirección de obra y los servicios de ingeniería han ascendido a 172.448 euros</w:t>
      </w:r>
      <w:r w:rsidR="000143C0">
        <w:rPr>
          <w:lang w:val="es-ES" w:eastAsia="es-ES"/>
        </w:rPr>
        <w:t>.</w:t>
      </w:r>
      <w:r w:rsidRPr="000A6E66">
        <w:rPr>
          <w:lang w:val="es-ES" w:eastAsia="es-ES"/>
        </w:rPr>
        <w:t xml:space="preserve"> </w:t>
      </w:r>
    </w:p>
    <w:p w:rsidR="007908F5" w:rsidRDefault="007908F5" w:rsidP="00677611">
      <w:pPr>
        <w:pStyle w:val="atitulo40"/>
        <w:spacing w:before="240" w:after="120"/>
        <w:rPr>
          <w:rFonts w:ascii="Arial" w:hAnsi="Arial" w:cs="Arial"/>
        </w:rPr>
      </w:pPr>
    </w:p>
    <w:p w:rsidR="00553CEB" w:rsidRPr="00677611" w:rsidRDefault="00553CEB" w:rsidP="007908F5">
      <w:pPr>
        <w:pStyle w:val="atitulo40"/>
        <w:spacing w:before="120" w:after="240"/>
        <w:rPr>
          <w:rFonts w:ascii="Arial" w:hAnsi="Arial" w:cs="Arial"/>
        </w:rPr>
      </w:pPr>
      <w:r w:rsidRPr="00677611">
        <w:rPr>
          <w:rFonts w:ascii="Arial" w:hAnsi="Arial" w:cs="Arial"/>
        </w:rPr>
        <w:lastRenderedPageBreak/>
        <w:t>Almacén de maquinaria</w:t>
      </w:r>
    </w:p>
    <w:p w:rsidR="00553CEB" w:rsidRDefault="00553CEB" w:rsidP="00553CEB">
      <w:pPr>
        <w:pStyle w:val="texto"/>
        <w:rPr>
          <w:lang w:val="es-ES" w:eastAsia="es-ES"/>
        </w:rPr>
      </w:pPr>
      <w:r>
        <w:rPr>
          <w:lang w:val="es-ES" w:eastAsia="es-ES"/>
        </w:rPr>
        <w:t>En la reunión de la comisión permanente de mayo de 2014, se describe la necesidad de dotarse de un nuevo almacén para maquinaria agrícola, dado que el que se utilizaba hasta ese momento se destinará a zona polivalente de usos múltiples, dentro del proyecto de reforma y ampliación de Aguilares, coment</w:t>
      </w:r>
      <w:r>
        <w:rPr>
          <w:lang w:val="es-ES" w:eastAsia="es-ES"/>
        </w:rPr>
        <w:t>a</w:t>
      </w:r>
      <w:r>
        <w:rPr>
          <w:lang w:val="es-ES" w:eastAsia="es-ES"/>
        </w:rPr>
        <w:t>do en el contrato anterior.</w:t>
      </w:r>
    </w:p>
    <w:p w:rsidR="00553CEB" w:rsidRDefault="00553CEB" w:rsidP="00553CEB">
      <w:pPr>
        <w:pStyle w:val="texto"/>
        <w:rPr>
          <w:lang w:val="es-ES" w:eastAsia="es-ES"/>
        </w:rPr>
      </w:pPr>
      <w:r>
        <w:rPr>
          <w:lang w:val="es-ES" w:eastAsia="es-ES"/>
        </w:rPr>
        <w:t>El proyecto de esta obra se aprueba en dicha sesión, así como los pliegos y el inicio del procedimiento de licitación. El importe de licitación -318.065 euros- coincide con el importe del presupuesto de ejecución material contemplado en dicho proyecto.</w:t>
      </w:r>
    </w:p>
    <w:p w:rsidR="00553CEB" w:rsidRDefault="00553CEB" w:rsidP="00553CEB">
      <w:pPr>
        <w:pStyle w:val="texto"/>
        <w:rPr>
          <w:lang w:val="es-ES" w:eastAsia="es-ES"/>
        </w:rPr>
      </w:pPr>
      <w:r>
        <w:rPr>
          <w:lang w:val="es-ES" w:eastAsia="es-ES"/>
        </w:rPr>
        <w:t>Los pliegos def</w:t>
      </w:r>
      <w:r w:rsidR="00A6319E">
        <w:rPr>
          <w:lang w:val="es-ES" w:eastAsia="es-ES"/>
        </w:rPr>
        <w:t xml:space="preserve">inen concretamente los puntos </w:t>
      </w:r>
      <w:r>
        <w:rPr>
          <w:lang w:val="es-ES" w:eastAsia="es-ES"/>
        </w:rPr>
        <w:t>asigna</w:t>
      </w:r>
      <w:r w:rsidR="00A6319E">
        <w:rPr>
          <w:lang w:val="es-ES" w:eastAsia="es-ES"/>
        </w:rPr>
        <w:t>dos</w:t>
      </w:r>
      <w:r>
        <w:rPr>
          <w:lang w:val="es-ES" w:eastAsia="es-ES"/>
        </w:rPr>
        <w:t xml:space="preserve"> a los criterios de v</w:t>
      </w:r>
      <w:r>
        <w:rPr>
          <w:lang w:val="es-ES" w:eastAsia="es-ES"/>
        </w:rPr>
        <w:t>a</w:t>
      </w:r>
      <w:r>
        <w:rPr>
          <w:lang w:val="es-ES" w:eastAsia="es-ES"/>
        </w:rPr>
        <w:t>loración y a los subapartados de los m</w:t>
      </w:r>
      <w:r w:rsidR="00A6319E">
        <w:rPr>
          <w:lang w:val="es-ES" w:eastAsia="es-ES"/>
        </w:rPr>
        <w:t xml:space="preserve">ismos. Se presentan </w:t>
      </w:r>
      <w:r>
        <w:rPr>
          <w:lang w:val="es-ES" w:eastAsia="es-ES"/>
        </w:rPr>
        <w:t>13 ofertas, quedando una inadmitida por no presentar la documentación administrativa exigida.</w:t>
      </w:r>
    </w:p>
    <w:p w:rsidR="00553CEB" w:rsidRDefault="00553CEB" w:rsidP="00553CEB">
      <w:pPr>
        <w:pStyle w:val="texto"/>
        <w:rPr>
          <w:lang w:val="es-ES" w:eastAsia="es-ES"/>
        </w:rPr>
      </w:pPr>
      <w:r>
        <w:rPr>
          <w:lang w:val="es-ES" w:eastAsia="es-ES"/>
        </w:rPr>
        <w:t>En marzo de 2015 se adjudica por importe de 298.503 euros, con una baja del 6,15 por ciento sobre el importe de licitación.</w:t>
      </w:r>
    </w:p>
    <w:p w:rsidR="00553CEB" w:rsidRDefault="00DA4F64" w:rsidP="00553CEB">
      <w:pPr>
        <w:pStyle w:val="texto"/>
        <w:rPr>
          <w:lang w:val="es-ES" w:eastAsia="es-ES"/>
        </w:rPr>
      </w:pPr>
      <w:r>
        <w:rPr>
          <w:lang w:val="es-ES" w:eastAsia="es-ES"/>
        </w:rPr>
        <w:t>En julio de 2015, la comisión permanente aprueba una modificación del co</w:t>
      </w:r>
      <w:r>
        <w:rPr>
          <w:lang w:val="es-ES" w:eastAsia="es-ES"/>
        </w:rPr>
        <w:t>n</w:t>
      </w:r>
      <w:r>
        <w:rPr>
          <w:lang w:val="es-ES" w:eastAsia="es-ES"/>
        </w:rPr>
        <w:t xml:space="preserve">trato justificándose –mediante el oportuno informe técnico– en imprevistos de la cimentación no detectados en el estudio geotécnico. </w:t>
      </w:r>
      <w:r w:rsidR="00553CEB">
        <w:rPr>
          <w:lang w:val="es-ES" w:eastAsia="es-ES"/>
        </w:rPr>
        <w:t>El aumento de coste d</w:t>
      </w:r>
      <w:r w:rsidR="00553CEB">
        <w:rPr>
          <w:lang w:val="es-ES" w:eastAsia="es-ES"/>
        </w:rPr>
        <w:t>e</w:t>
      </w:r>
      <w:r w:rsidR="00553CEB">
        <w:rPr>
          <w:lang w:val="es-ES" w:eastAsia="es-ES"/>
        </w:rPr>
        <w:t xml:space="preserve">rivado de la misma asciende a 38.764 euros. </w:t>
      </w:r>
    </w:p>
    <w:p w:rsidR="00553CEB" w:rsidRDefault="00553CEB" w:rsidP="00553CEB">
      <w:pPr>
        <w:pStyle w:val="texto"/>
        <w:rPr>
          <w:lang w:val="es-ES" w:eastAsia="es-ES"/>
        </w:rPr>
      </w:pPr>
      <w:r>
        <w:rPr>
          <w:lang w:val="es-ES" w:eastAsia="es-ES"/>
        </w:rPr>
        <w:t xml:space="preserve">El gasto total certificado asciende a 346.125 euros, un 16 por ciento superior al de adjudicación; si consideramos el importe de la modificación contractual aprobada, esa desviación es del tres por ciento. </w:t>
      </w:r>
    </w:p>
    <w:p w:rsidR="00553CEB" w:rsidRDefault="00553CEB" w:rsidP="007908F5">
      <w:pPr>
        <w:pStyle w:val="texto"/>
        <w:spacing w:after="0"/>
        <w:rPr>
          <w:lang w:val="es-ES" w:eastAsia="es-ES"/>
        </w:rPr>
      </w:pPr>
      <w:r>
        <w:rPr>
          <w:lang w:val="es-ES" w:eastAsia="es-ES"/>
        </w:rPr>
        <w:t>No se ha formalizado el acta de recepción de la obra, si bien si consta la d</w:t>
      </w:r>
      <w:r>
        <w:rPr>
          <w:lang w:val="es-ES" w:eastAsia="es-ES"/>
        </w:rPr>
        <w:t>o</w:t>
      </w:r>
      <w:r>
        <w:rPr>
          <w:lang w:val="es-ES" w:eastAsia="es-ES"/>
        </w:rPr>
        <w:t>cumentación de fin de obra y el certificado de fin de obra firmado por la dire</w:t>
      </w:r>
      <w:r>
        <w:rPr>
          <w:lang w:val="es-ES" w:eastAsia="es-ES"/>
        </w:rPr>
        <w:t>c</w:t>
      </w:r>
      <w:r>
        <w:rPr>
          <w:lang w:val="es-ES" w:eastAsia="es-ES"/>
        </w:rPr>
        <w:t>ción de obra.</w:t>
      </w:r>
    </w:p>
    <w:p w:rsidR="007908F5" w:rsidRDefault="007908F5" w:rsidP="007908F5">
      <w:pPr>
        <w:pStyle w:val="texto"/>
        <w:spacing w:after="0"/>
        <w:rPr>
          <w:lang w:val="es-ES" w:eastAsia="es-ES"/>
        </w:rPr>
      </w:pPr>
    </w:p>
    <w:p w:rsidR="00553CEB" w:rsidRDefault="00553CEB" w:rsidP="00553CEB">
      <w:pPr>
        <w:pStyle w:val="atitulo3"/>
        <w:rPr>
          <w:lang w:val="es-ES" w:eastAsia="es-ES"/>
        </w:rPr>
      </w:pPr>
      <w:r>
        <w:rPr>
          <w:lang w:val="es-ES" w:eastAsia="es-ES"/>
        </w:rPr>
        <w:t>V.5.2. Contratos asistencia</w:t>
      </w:r>
    </w:p>
    <w:p w:rsidR="00553CEB" w:rsidRPr="00677611" w:rsidRDefault="00553CEB" w:rsidP="007908F5">
      <w:pPr>
        <w:pStyle w:val="atitulo40"/>
        <w:spacing w:before="240" w:after="240"/>
        <w:rPr>
          <w:rFonts w:ascii="Arial" w:hAnsi="Arial" w:cs="Arial"/>
        </w:rPr>
      </w:pPr>
      <w:r w:rsidRPr="00677611">
        <w:rPr>
          <w:rFonts w:ascii="Arial" w:hAnsi="Arial" w:cs="Arial"/>
        </w:rPr>
        <w:t>Gestión del Centro de Información Turística</w:t>
      </w:r>
    </w:p>
    <w:p w:rsidR="00553CEB" w:rsidRDefault="00553CEB" w:rsidP="00553CEB">
      <w:pPr>
        <w:pStyle w:val="texto"/>
        <w:rPr>
          <w:lang w:val="es-ES" w:eastAsia="es-ES"/>
        </w:rPr>
      </w:pPr>
      <w:r>
        <w:rPr>
          <w:lang w:val="es-ES" w:eastAsia="es-ES"/>
        </w:rPr>
        <w:t>El objeto del contrato es la gestión de atención al turista en el centro de Aguilares. Para ello, se dispondrá de personal técnico preciso –tres personas</w:t>
      </w:r>
      <w:r w:rsidR="00B14FFE">
        <w:rPr>
          <w:lang w:val="es-ES" w:eastAsia="es-ES"/>
        </w:rPr>
        <w:t>–</w:t>
      </w:r>
      <w:r>
        <w:rPr>
          <w:lang w:val="es-ES" w:eastAsia="es-ES"/>
        </w:rPr>
        <w:t xml:space="preserve"> y se ocupara del mantenimiento y limpieza de dicho centro. Este servicio se venía prestando desde 2010 y vencía ese contrato en 2013.</w:t>
      </w:r>
    </w:p>
    <w:p w:rsidR="00553CEB" w:rsidRDefault="00553CEB" w:rsidP="00553CEB">
      <w:pPr>
        <w:pStyle w:val="texto"/>
        <w:rPr>
          <w:lang w:val="es-ES" w:eastAsia="es-ES"/>
        </w:rPr>
      </w:pPr>
      <w:r>
        <w:rPr>
          <w:lang w:val="es-ES" w:eastAsia="es-ES"/>
        </w:rPr>
        <w:t>Destacamos los siguientes aspectos:</w:t>
      </w:r>
    </w:p>
    <w:p w:rsidR="00553CEB" w:rsidRPr="007908F5" w:rsidRDefault="00553CEB" w:rsidP="007908F5">
      <w:pPr>
        <w:pStyle w:val="texto"/>
        <w:numPr>
          <w:ilvl w:val="0"/>
          <w:numId w:val="2"/>
        </w:numPr>
        <w:tabs>
          <w:tab w:val="clear" w:pos="644"/>
          <w:tab w:val="clear" w:pos="2835"/>
          <w:tab w:val="clear" w:pos="3969"/>
          <w:tab w:val="clear" w:pos="5103"/>
          <w:tab w:val="clear" w:pos="6237"/>
          <w:tab w:val="clear" w:pos="7371"/>
          <w:tab w:val="left" w:pos="480"/>
          <w:tab w:val="num" w:pos="600"/>
        </w:tabs>
        <w:ind w:left="0" w:firstLine="289"/>
        <w:rPr>
          <w:spacing w:val="0"/>
        </w:rPr>
      </w:pPr>
      <w:r w:rsidRPr="007D148D">
        <w:t xml:space="preserve">En el anuncio de licitación y para la determinación del valor estimado del contrato, solo se tiene en consideración el primer año de vigencia del mismo </w:t>
      </w:r>
      <w:r w:rsidR="001127E4" w:rsidRPr="007D148D">
        <w:t>–</w:t>
      </w:r>
      <w:r w:rsidRPr="007D148D">
        <w:t>2014</w:t>
      </w:r>
      <w:r w:rsidR="001127E4" w:rsidRPr="007D148D">
        <w:t>–</w:t>
      </w:r>
      <w:r w:rsidRPr="007D148D">
        <w:t xml:space="preserve"> por importe de 101.157 euros. Sin embargo, los pliegos contemplan la posibilidad de prorrogar el mismo hasta en tres años –hasta 2017</w:t>
      </w:r>
      <w:r w:rsidR="001127E4" w:rsidRPr="007D148D">
        <w:t>–</w:t>
      </w:r>
      <w:r w:rsidRPr="007D148D">
        <w:t xml:space="preserve">, tal como efectivamente ha sucedido; el valor estimado del contrato hubiera ascendido a </w:t>
      </w:r>
      <w:r w:rsidRPr="007D148D">
        <w:lastRenderedPageBreak/>
        <w:t xml:space="preserve">404.628 euros. </w:t>
      </w:r>
      <w:r w:rsidRPr="007908F5">
        <w:rPr>
          <w:spacing w:val="0"/>
        </w:rPr>
        <w:t>De acuerdo con la normativa vigente, este último importe es el que debería haber constado en el anuncio de licitación</w:t>
      </w:r>
      <w:r w:rsidR="005335AA" w:rsidRPr="007908F5">
        <w:rPr>
          <w:spacing w:val="0"/>
        </w:rPr>
        <w:t xml:space="preserve"> y que hubiera dado lugar, en r</w:t>
      </w:r>
      <w:r w:rsidR="005335AA" w:rsidRPr="007908F5">
        <w:rPr>
          <w:spacing w:val="0"/>
        </w:rPr>
        <w:t>a</w:t>
      </w:r>
      <w:r w:rsidR="005335AA" w:rsidRPr="007908F5">
        <w:rPr>
          <w:spacing w:val="0"/>
        </w:rPr>
        <w:t>zón de ese importe, a un procedimiento abierto superior al umbral comunitario</w:t>
      </w:r>
      <w:r w:rsidRPr="007908F5">
        <w:rPr>
          <w:spacing w:val="0"/>
        </w:rPr>
        <w:t>.</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Respecto a la valoración del precio, se elimina automáticamente, de acue</w:t>
      </w:r>
      <w:r w:rsidRPr="007D148D">
        <w:t>r</w:t>
      </w:r>
      <w:r w:rsidRPr="007D148D">
        <w:t>do con los pliegos, las ofertas que presenten una baja superior al 10 por ciento. Esta eliminación automática es contraria a la normativa; no obstante, no se e</w:t>
      </w:r>
      <w:r w:rsidRPr="007D148D">
        <w:t>x</w:t>
      </w:r>
      <w:r w:rsidRPr="007D148D">
        <w:t>cluye efectivamente ninguna oferta por esta causa, dado que cuatro ofertantes presentan baja del citado 10 por ciento y, el quinto, del 1,14 por ciento.</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La asignación concreta de puntos a los subcriterios de la propuesta técnica se realiza una vez abiertos las ofertas correspondientes.</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Se adjudica en 91.401 euros, con una baja sobre el importe de licitación del 10 por ciento.</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No consta formalmente el acuerdo de prórroga para los ejercicios de 2015 y 2016, si bien los pliegos no lo contemplan expresamente.</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No se ha actualizado con el IPC –valores negativos en ambos ejercicios</w:t>
      </w:r>
      <w:r w:rsidR="00CD5371" w:rsidRPr="007D148D">
        <w:t>–</w:t>
      </w:r>
      <w:r w:rsidRPr="007D148D">
        <w:t xml:space="preserve"> correspondiente la cuantía del contrato de los ejercicios prorrogados, cuando en los pliegos se establece que dicho importe se “incrementará” con el IPC corre</w:t>
      </w:r>
      <w:r w:rsidRPr="007D148D">
        <w:t>s</w:t>
      </w:r>
      <w:r w:rsidRPr="007D148D">
        <w:t>pondiente de cada ejercicio.</w:t>
      </w:r>
    </w:p>
    <w:p w:rsidR="00553CEB" w:rsidRPr="007908F5" w:rsidRDefault="00553CEB" w:rsidP="00553CEB">
      <w:pPr>
        <w:pStyle w:val="texto"/>
        <w:rPr>
          <w:spacing w:val="-4"/>
          <w:lang w:val="es-ES" w:eastAsia="es-ES"/>
        </w:rPr>
      </w:pPr>
      <w:r w:rsidRPr="007908F5">
        <w:rPr>
          <w:spacing w:val="-4"/>
          <w:lang w:val="es-ES" w:eastAsia="es-ES"/>
        </w:rPr>
        <w:t>Por otra parte, en marzo de 2014, por acuerdo de la comisión permanente, se mod</w:t>
      </w:r>
      <w:r w:rsidRPr="007908F5">
        <w:rPr>
          <w:spacing w:val="-4"/>
          <w:lang w:val="es-ES" w:eastAsia="es-ES"/>
        </w:rPr>
        <w:t>i</w:t>
      </w:r>
      <w:r w:rsidRPr="007908F5">
        <w:rPr>
          <w:spacing w:val="-4"/>
          <w:lang w:val="es-ES" w:eastAsia="es-ES"/>
        </w:rPr>
        <w:t>fica el contrato anterior. Como justificación, se señala que, en esos mo</w:t>
      </w:r>
      <w:r w:rsidR="00A6319E" w:rsidRPr="007908F5">
        <w:rPr>
          <w:spacing w:val="-4"/>
          <w:lang w:val="es-ES" w:eastAsia="es-ES"/>
        </w:rPr>
        <w:t xml:space="preserve">mentos, </w:t>
      </w:r>
      <w:r w:rsidRPr="007908F5">
        <w:rPr>
          <w:spacing w:val="-4"/>
          <w:lang w:val="es-ES" w:eastAsia="es-ES"/>
        </w:rPr>
        <w:t>la com</w:t>
      </w:r>
      <w:r w:rsidRPr="007908F5">
        <w:rPr>
          <w:spacing w:val="-4"/>
          <w:lang w:val="es-ES" w:eastAsia="es-ES"/>
        </w:rPr>
        <w:t>i</w:t>
      </w:r>
      <w:r w:rsidRPr="007908F5">
        <w:rPr>
          <w:spacing w:val="-4"/>
          <w:lang w:val="es-ES" w:eastAsia="es-ES"/>
        </w:rPr>
        <w:t>sión de turismo de la Comunidad</w:t>
      </w:r>
      <w:r w:rsidR="00A6319E" w:rsidRPr="007908F5">
        <w:rPr>
          <w:spacing w:val="-4"/>
          <w:lang w:val="es-ES" w:eastAsia="es-ES"/>
        </w:rPr>
        <w:t xml:space="preserve"> está elaborando</w:t>
      </w:r>
      <w:r w:rsidRPr="007908F5">
        <w:rPr>
          <w:spacing w:val="-4"/>
          <w:lang w:val="es-ES" w:eastAsia="es-ES"/>
        </w:rPr>
        <w:t xml:space="preserve"> un Plan Turístico de Bardenas, por lo que es aconsejable la colaboración en el mismo de una técnica que ya trabaja en la e</w:t>
      </w:r>
      <w:r w:rsidRPr="007908F5">
        <w:rPr>
          <w:spacing w:val="-4"/>
          <w:lang w:val="es-ES" w:eastAsia="es-ES"/>
        </w:rPr>
        <w:t>m</w:t>
      </w:r>
      <w:r w:rsidRPr="007908F5">
        <w:rPr>
          <w:spacing w:val="-4"/>
          <w:lang w:val="es-ES" w:eastAsia="es-ES"/>
        </w:rPr>
        <w:t>presa adjudicataria para el Centro por sus conocimientos de gestión turística, zonas pr</w:t>
      </w:r>
      <w:r w:rsidRPr="007908F5">
        <w:rPr>
          <w:spacing w:val="-4"/>
          <w:lang w:val="es-ES" w:eastAsia="es-ES"/>
        </w:rPr>
        <w:t>o</w:t>
      </w:r>
      <w:r w:rsidRPr="007908F5">
        <w:rPr>
          <w:spacing w:val="-4"/>
          <w:lang w:val="es-ES" w:eastAsia="es-ES"/>
        </w:rPr>
        <w:t>tegidas y de educación medioambiental. Resultado de ello, se amplía el contrato al a</w:t>
      </w:r>
      <w:r w:rsidRPr="007908F5">
        <w:rPr>
          <w:spacing w:val="-4"/>
          <w:lang w:val="es-ES" w:eastAsia="es-ES"/>
        </w:rPr>
        <w:t>d</w:t>
      </w:r>
      <w:r w:rsidRPr="007908F5">
        <w:rPr>
          <w:spacing w:val="-4"/>
          <w:lang w:val="es-ES" w:eastAsia="es-ES"/>
        </w:rPr>
        <w:t>judicatario mediante la prestación de los servicios por la citada técnica a la comisión de turismo durante un plazo inicial de tres meses (abril a junio de 2014); asimismo, se a</w:t>
      </w:r>
      <w:r w:rsidRPr="007908F5">
        <w:rPr>
          <w:spacing w:val="-4"/>
          <w:lang w:val="es-ES" w:eastAsia="es-ES"/>
        </w:rPr>
        <w:t>u</w:t>
      </w:r>
      <w:r w:rsidRPr="007908F5">
        <w:rPr>
          <w:spacing w:val="-4"/>
          <w:lang w:val="es-ES" w:eastAsia="es-ES"/>
        </w:rPr>
        <w:t xml:space="preserve">toriza a la empresa a sustituir en el contrato del Centro a esta persona por ese plazo. </w:t>
      </w:r>
    </w:p>
    <w:p w:rsidR="00553CEB" w:rsidRDefault="00553CEB" w:rsidP="00553CEB">
      <w:pPr>
        <w:pStyle w:val="texto"/>
        <w:rPr>
          <w:lang w:val="es-ES" w:eastAsia="es-ES"/>
        </w:rPr>
      </w:pPr>
      <w:r>
        <w:rPr>
          <w:lang w:val="es-ES" w:eastAsia="es-ES"/>
        </w:rPr>
        <w:t>Esa persona trabaja nueve meses en 2014 –inicialmente solo estaba previsto tres meses</w:t>
      </w:r>
      <w:r w:rsidR="001127E4">
        <w:rPr>
          <w:lang w:val="es-ES" w:eastAsia="es-ES"/>
        </w:rPr>
        <w:t>–</w:t>
      </w:r>
      <w:r>
        <w:rPr>
          <w:lang w:val="es-ES" w:eastAsia="es-ES"/>
        </w:rPr>
        <w:t xml:space="preserve"> y en marzo de 2015, la comisión permanente acuerda ampliar el plazo de esta nueva prestación por esa técnica hasta finales de 2015.</w:t>
      </w:r>
    </w:p>
    <w:p w:rsidR="00525BC5" w:rsidRDefault="00553CEB" w:rsidP="00045AEB">
      <w:pPr>
        <w:pStyle w:val="texto"/>
        <w:spacing w:after="240"/>
        <w:rPr>
          <w:lang w:val="es-ES" w:eastAsia="es-ES"/>
        </w:rPr>
      </w:pPr>
      <w:r>
        <w:rPr>
          <w:lang w:val="es-ES" w:eastAsia="es-ES"/>
        </w:rPr>
        <w:t>El gasto que ha supuesto esta contratación no se imputa presupuestariamente al mencionado contrato de asistencia registrado en el capítulo 2, sino que se r</w:t>
      </w:r>
      <w:r>
        <w:rPr>
          <w:lang w:val="es-ES" w:eastAsia="es-ES"/>
        </w:rPr>
        <w:t>e</w:t>
      </w:r>
      <w:r>
        <w:rPr>
          <w:lang w:val="es-ES" w:eastAsia="es-ES"/>
        </w:rPr>
        <w:t>fleja en una partida del capítulo 6 “Proyecto del Plan Turístico”, por un importe total de 51.555 euros (IVA incluido), cuyo desglose por ejercicio, se</w:t>
      </w:r>
      <w:r w:rsidR="00045AEB">
        <w:rPr>
          <w:lang w:val="es-ES" w:eastAsia="es-ES"/>
        </w:rPr>
        <w:t xml:space="preserve"> muestra en el siguiente cuadro</w:t>
      </w:r>
    </w:p>
    <w:tbl>
      <w:tblPr>
        <w:tblW w:w="8746" w:type="dxa"/>
        <w:jc w:val="center"/>
        <w:tblLayout w:type="fixed"/>
        <w:tblCellMar>
          <w:left w:w="70" w:type="dxa"/>
          <w:right w:w="70" w:type="dxa"/>
        </w:tblCellMar>
        <w:tblLook w:val="0000" w:firstRow="0" w:lastRow="0" w:firstColumn="0" w:lastColumn="0" w:noHBand="0" w:noVBand="0"/>
      </w:tblPr>
      <w:tblGrid>
        <w:gridCol w:w="4376"/>
        <w:gridCol w:w="2864"/>
        <w:gridCol w:w="1506"/>
      </w:tblGrid>
      <w:tr w:rsidR="00553CEB" w:rsidRPr="009C3D5C" w:rsidTr="00E52067">
        <w:trPr>
          <w:trHeight w:val="284"/>
          <w:jc w:val="center"/>
        </w:trPr>
        <w:tc>
          <w:tcPr>
            <w:tcW w:w="4376" w:type="dxa"/>
            <w:tcBorders>
              <w:top w:val="single" w:sz="4" w:space="0" w:color="auto"/>
              <w:bottom w:val="single" w:sz="4" w:space="0" w:color="auto"/>
            </w:tcBorders>
            <w:shd w:val="clear" w:color="auto" w:fill="FABF8F" w:themeFill="accent6" w:themeFillTint="99"/>
            <w:vAlign w:val="center"/>
          </w:tcPr>
          <w:p w:rsidR="00553CEB" w:rsidRPr="009C3D5C" w:rsidRDefault="00553CEB" w:rsidP="00553CEB">
            <w:pPr>
              <w:pStyle w:val="cuadroCabe"/>
              <w:rPr>
                <w:szCs w:val="18"/>
              </w:rPr>
            </w:pPr>
            <w:r>
              <w:rPr>
                <w:szCs w:val="18"/>
              </w:rPr>
              <w:t xml:space="preserve">Ejercicio </w:t>
            </w:r>
          </w:p>
        </w:tc>
        <w:tc>
          <w:tcPr>
            <w:tcW w:w="2864" w:type="dxa"/>
            <w:tcBorders>
              <w:top w:val="single" w:sz="4" w:space="0" w:color="auto"/>
              <w:bottom w:val="single" w:sz="4" w:space="0" w:color="auto"/>
            </w:tcBorders>
            <w:shd w:val="clear" w:color="auto" w:fill="FABF8F" w:themeFill="accent6" w:themeFillTint="99"/>
            <w:vAlign w:val="center"/>
          </w:tcPr>
          <w:p w:rsidR="00553CEB" w:rsidRPr="009C3D5C" w:rsidRDefault="00553CEB" w:rsidP="00E52067">
            <w:pPr>
              <w:pStyle w:val="cuadroCabe"/>
              <w:jc w:val="right"/>
              <w:rPr>
                <w:szCs w:val="18"/>
              </w:rPr>
            </w:pPr>
            <w:r>
              <w:rPr>
                <w:szCs w:val="18"/>
              </w:rPr>
              <w:t>Plazo del contrato</w:t>
            </w:r>
          </w:p>
        </w:tc>
        <w:tc>
          <w:tcPr>
            <w:tcW w:w="1506" w:type="dxa"/>
            <w:tcBorders>
              <w:top w:val="single" w:sz="4" w:space="0" w:color="auto"/>
              <w:bottom w:val="single" w:sz="4" w:space="0" w:color="auto"/>
            </w:tcBorders>
            <w:shd w:val="clear" w:color="auto" w:fill="FABF8F" w:themeFill="accent6" w:themeFillTint="99"/>
            <w:vAlign w:val="center"/>
          </w:tcPr>
          <w:p w:rsidR="00553CEB" w:rsidRPr="009C3D5C" w:rsidRDefault="00553CEB" w:rsidP="00E52067">
            <w:pPr>
              <w:pStyle w:val="cuadroCabe"/>
              <w:jc w:val="right"/>
              <w:rPr>
                <w:szCs w:val="18"/>
              </w:rPr>
            </w:pPr>
            <w:r>
              <w:rPr>
                <w:szCs w:val="18"/>
              </w:rPr>
              <w:t>Importe</w:t>
            </w:r>
          </w:p>
        </w:tc>
      </w:tr>
      <w:tr w:rsidR="00553CEB" w:rsidRPr="001127E4" w:rsidTr="00E52067">
        <w:trPr>
          <w:trHeight w:val="284"/>
          <w:jc w:val="center"/>
        </w:trPr>
        <w:tc>
          <w:tcPr>
            <w:tcW w:w="4376" w:type="dxa"/>
            <w:tcBorders>
              <w:top w:val="single" w:sz="4" w:space="0" w:color="auto"/>
              <w:bottom w:val="single" w:sz="2"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sidRPr="001127E4">
              <w:rPr>
                <w:rFonts w:ascii="Arial Narrow" w:hAnsi="Arial Narrow"/>
                <w:sz w:val="20"/>
                <w:szCs w:val="20"/>
              </w:rPr>
              <w:t>2014</w:t>
            </w:r>
          </w:p>
        </w:tc>
        <w:tc>
          <w:tcPr>
            <w:tcW w:w="2864" w:type="dxa"/>
            <w:tcBorders>
              <w:top w:val="single" w:sz="4"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9 meses</w:t>
            </w:r>
          </w:p>
        </w:tc>
        <w:tc>
          <w:tcPr>
            <w:tcW w:w="1506" w:type="dxa"/>
            <w:tcBorders>
              <w:top w:val="single" w:sz="4"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17.274</w:t>
            </w:r>
          </w:p>
        </w:tc>
      </w:tr>
      <w:tr w:rsidR="00553CEB" w:rsidRPr="001127E4" w:rsidTr="00E52067">
        <w:trPr>
          <w:trHeight w:val="284"/>
          <w:jc w:val="center"/>
        </w:trPr>
        <w:tc>
          <w:tcPr>
            <w:tcW w:w="4376" w:type="dxa"/>
            <w:tcBorders>
              <w:top w:val="single" w:sz="2" w:space="0" w:color="auto"/>
              <w:bottom w:val="single" w:sz="2"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sidRPr="001127E4">
              <w:rPr>
                <w:rFonts w:ascii="Arial Narrow" w:hAnsi="Arial Narrow"/>
                <w:sz w:val="20"/>
                <w:szCs w:val="20"/>
              </w:rPr>
              <w:t>2015</w:t>
            </w:r>
          </w:p>
        </w:tc>
        <w:tc>
          <w:tcPr>
            <w:tcW w:w="2864" w:type="dxa"/>
            <w:tcBorders>
              <w:top w:val="single" w:sz="2"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12 meses</w:t>
            </w:r>
          </w:p>
        </w:tc>
        <w:tc>
          <w:tcPr>
            <w:tcW w:w="1506" w:type="dxa"/>
            <w:tcBorders>
              <w:top w:val="single" w:sz="2" w:space="0" w:color="auto"/>
              <w:bottom w:val="single" w:sz="2"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31.644</w:t>
            </w:r>
          </w:p>
        </w:tc>
      </w:tr>
      <w:tr w:rsidR="00553CEB" w:rsidRPr="001127E4" w:rsidTr="00E52067">
        <w:trPr>
          <w:trHeight w:val="284"/>
          <w:jc w:val="center"/>
        </w:trPr>
        <w:tc>
          <w:tcPr>
            <w:tcW w:w="4376" w:type="dxa"/>
            <w:tcBorders>
              <w:top w:val="single" w:sz="2" w:space="0" w:color="auto"/>
              <w:bottom w:val="single" w:sz="4" w:space="0" w:color="auto"/>
            </w:tcBorders>
            <w:shd w:val="clear" w:color="auto" w:fill="auto"/>
            <w:vAlign w:val="center"/>
          </w:tcPr>
          <w:p w:rsidR="00553CEB" w:rsidRPr="001127E4" w:rsidRDefault="00553CEB" w:rsidP="00553CEB">
            <w:pPr>
              <w:pStyle w:val="cuadroCabe"/>
              <w:jc w:val="left"/>
              <w:rPr>
                <w:rFonts w:ascii="Arial Narrow" w:hAnsi="Arial Narrow"/>
                <w:sz w:val="20"/>
                <w:szCs w:val="20"/>
              </w:rPr>
            </w:pPr>
            <w:r w:rsidRPr="001127E4">
              <w:rPr>
                <w:rFonts w:ascii="Arial Narrow" w:hAnsi="Arial Narrow"/>
                <w:sz w:val="20"/>
                <w:szCs w:val="20"/>
              </w:rPr>
              <w:t>2016</w:t>
            </w:r>
          </w:p>
        </w:tc>
        <w:tc>
          <w:tcPr>
            <w:tcW w:w="2864" w:type="dxa"/>
            <w:tcBorders>
              <w:top w:val="single" w:sz="2" w:space="0" w:color="auto"/>
              <w:bottom w:val="single" w:sz="4"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1 mes</w:t>
            </w:r>
          </w:p>
        </w:tc>
        <w:tc>
          <w:tcPr>
            <w:tcW w:w="1506" w:type="dxa"/>
            <w:tcBorders>
              <w:top w:val="single" w:sz="2" w:space="0" w:color="auto"/>
              <w:bottom w:val="single" w:sz="4" w:space="0" w:color="auto"/>
            </w:tcBorders>
            <w:shd w:val="clear" w:color="auto" w:fill="auto"/>
            <w:vAlign w:val="center"/>
          </w:tcPr>
          <w:p w:rsidR="00553CEB" w:rsidRPr="001127E4" w:rsidRDefault="00553CEB" w:rsidP="00E52067">
            <w:pPr>
              <w:pStyle w:val="cuadroCabe"/>
              <w:jc w:val="right"/>
              <w:rPr>
                <w:rFonts w:ascii="Arial Narrow" w:hAnsi="Arial Narrow"/>
                <w:sz w:val="20"/>
                <w:szCs w:val="20"/>
              </w:rPr>
            </w:pPr>
            <w:r w:rsidRPr="001127E4">
              <w:rPr>
                <w:rFonts w:ascii="Arial Narrow" w:hAnsi="Arial Narrow"/>
                <w:sz w:val="20"/>
                <w:szCs w:val="20"/>
              </w:rPr>
              <w:t>2.637</w:t>
            </w:r>
          </w:p>
        </w:tc>
      </w:tr>
    </w:tbl>
    <w:p w:rsidR="00553CEB" w:rsidRDefault="00553CEB" w:rsidP="007908F5">
      <w:pPr>
        <w:pStyle w:val="texto"/>
        <w:tabs>
          <w:tab w:val="clear" w:pos="2835"/>
          <w:tab w:val="clear" w:pos="3969"/>
          <w:tab w:val="clear" w:pos="5103"/>
          <w:tab w:val="clear" w:pos="6237"/>
          <w:tab w:val="clear" w:pos="7371"/>
          <w:tab w:val="left" w:pos="480"/>
        </w:tabs>
        <w:spacing w:after="240"/>
        <w:rPr>
          <w:lang w:val="es-ES" w:eastAsia="es-ES"/>
        </w:rPr>
      </w:pPr>
      <w:r w:rsidRPr="00045AEB">
        <w:rPr>
          <w:lang w:val="es-ES" w:eastAsia="es-ES"/>
        </w:rPr>
        <w:lastRenderedPageBreak/>
        <w:t>En definitiva, en nuestra opinión, por la vía de modificación de un contrato de</w:t>
      </w:r>
      <w:r w:rsidR="005335AA" w:rsidRPr="00045AEB">
        <w:rPr>
          <w:lang w:val="es-ES" w:eastAsia="es-ES"/>
        </w:rPr>
        <w:t xml:space="preserve"> asistencia, </w:t>
      </w:r>
      <w:r w:rsidR="000143C0" w:rsidRPr="00045AEB">
        <w:rPr>
          <w:lang w:val="es-ES" w:eastAsia="es-ES"/>
        </w:rPr>
        <w:t>el adjudicatario ha prestado unas funciones o servicios  no previ</w:t>
      </w:r>
      <w:r w:rsidR="000143C0" w:rsidRPr="00045AEB">
        <w:rPr>
          <w:lang w:val="es-ES" w:eastAsia="es-ES"/>
        </w:rPr>
        <w:t>s</w:t>
      </w:r>
      <w:r w:rsidR="000143C0" w:rsidRPr="00045AEB">
        <w:rPr>
          <w:lang w:val="es-ES" w:eastAsia="es-ES"/>
        </w:rPr>
        <w:t>tas o estipuladas</w:t>
      </w:r>
      <w:r w:rsidRPr="00045AEB">
        <w:rPr>
          <w:lang w:val="es-ES" w:eastAsia="es-ES"/>
        </w:rPr>
        <w:t xml:space="preserve"> en el citado contrato.</w:t>
      </w:r>
    </w:p>
    <w:p w:rsidR="00553CEB" w:rsidRPr="00677611" w:rsidRDefault="00553CEB" w:rsidP="00B14FFE">
      <w:pPr>
        <w:pStyle w:val="atitulo40"/>
        <w:spacing w:before="120" w:after="240"/>
        <w:rPr>
          <w:rFonts w:ascii="Arial" w:hAnsi="Arial" w:cs="Arial"/>
        </w:rPr>
      </w:pPr>
      <w:r w:rsidRPr="00677611">
        <w:rPr>
          <w:rFonts w:ascii="Arial" w:hAnsi="Arial" w:cs="Arial"/>
        </w:rPr>
        <w:t>Dirección de obra y asistencia en el proyecto de abrevaderos</w:t>
      </w:r>
    </w:p>
    <w:p w:rsidR="00553CEB" w:rsidRPr="00050299" w:rsidRDefault="00553CEB" w:rsidP="00553CEB">
      <w:pPr>
        <w:pStyle w:val="texto"/>
        <w:rPr>
          <w:lang w:val="es-ES" w:eastAsia="es-ES"/>
        </w:rPr>
      </w:pPr>
      <w:r w:rsidRPr="00050299">
        <w:rPr>
          <w:lang w:val="es-ES" w:eastAsia="es-ES"/>
        </w:rPr>
        <w:t>En diciembre de 2014, la comisión permanente aprueba el inicio de las a</w:t>
      </w:r>
      <w:r w:rsidRPr="00050299">
        <w:rPr>
          <w:lang w:val="es-ES" w:eastAsia="es-ES"/>
        </w:rPr>
        <w:t>c</w:t>
      </w:r>
      <w:r w:rsidRPr="00050299">
        <w:rPr>
          <w:lang w:val="es-ES" w:eastAsia="es-ES"/>
        </w:rPr>
        <w:t>tuaciones para la contratación de las obras de instalación de abrevaderos. En dicha reunión se comenta igualmente la necesidad de contratar la dirección de la obra; posteriormente, en sesión de febrero de 2015, la citada comisión acue</w:t>
      </w:r>
      <w:r w:rsidRPr="00050299">
        <w:rPr>
          <w:lang w:val="es-ES" w:eastAsia="es-ES"/>
        </w:rPr>
        <w:t>r</w:t>
      </w:r>
      <w:r w:rsidRPr="00050299">
        <w:rPr>
          <w:lang w:val="es-ES" w:eastAsia="es-ES"/>
        </w:rPr>
        <w:t>da el inicio del proceso de contratación.</w:t>
      </w:r>
    </w:p>
    <w:p w:rsidR="00553CEB" w:rsidRPr="00050299" w:rsidRDefault="00553CEB" w:rsidP="00553CEB">
      <w:pPr>
        <w:pStyle w:val="texto"/>
        <w:rPr>
          <w:lang w:val="es-ES" w:eastAsia="es-ES"/>
        </w:rPr>
      </w:pPr>
      <w:r w:rsidRPr="00050299">
        <w:rPr>
          <w:lang w:val="es-ES" w:eastAsia="es-ES"/>
        </w:rPr>
        <w:t>Sin embargo, hasta julio de 2015, la comisión permanente no aprueba fo</w:t>
      </w:r>
      <w:r w:rsidRPr="00050299">
        <w:rPr>
          <w:lang w:val="es-ES" w:eastAsia="es-ES"/>
        </w:rPr>
        <w:t>r</w:t>
      </w:r>
      <w:r w:rsidRPr="00050299">
        <w:rPr>
          <w:lang w:val="es-ES" w:eastAsia="es-ES"/>
        </w:rPr>
        <w:t>malmente  tal expediente, presentándose la carta de invitación a las empresas y el documento de condiciones esenciales del contrato, entre las que destacamos las siguientes:</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Objeto: La dirección de obra de las obras del proyecto de instalación de Abrevaderos, la asistencia técnica a la mesa de contratación de dichas obras y la prestación del servicio de control de seguridad y salud del proyecto y de las obras.</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El presupuesto es de 59.000 euros y la contratación se hace por proced</w:t>
      </w:r>
      <w:r w:rsidRPr="007D148D">
        <w:t>i</w:t>
      </w:r>
      <w:r w:rsidRPr="007D148D">
        <w:t>miento negociado sin publicidad comunitaria, utilizando como criterio la oferta más ventajosa. La negociación se concretará únicamente en el aspecto econ</w:t>
      </w:r>
      <w:r w:rsidRPr="007D148D">
        <w:t>ó</w:t>
      </w:r>
      <w:r w:rsidRPr="007D148D">
        <w:t>mico, comunicando a todos los licitadores el precio más bajo ofertado y dete</w:t>
      </w:r>
      <w:r w:rsidRPr="007D148D">
        <w:t>r</w:t>
      </w:r>
      <w:r w:rsidRPr="007D148D">
        <w:t xml:space="preserve">minando una segunda vuelta de ofertas. </w:t>
      </w:r>
    </w:p>
    <w:p w:rsidR="00553CEB" w:rsidRPr="00AC7CD0" w:rsidRDefault="00553CEB" w:rsidP="00553CEB">
      <w:pPr>
        <w:pStyle w:val="texto"/>
        <w:rPr>
          <w:lang w:val="es-ES" w:eastAsia="es-ES"/>
        </w:rPr>
      </w:pPr>
      <w:r w:rsidRPr="00AC7CD0">
        <w:rPr>
          <w:lang w:val="es-ES" w:eastAsia="es-ES"/>
        </w:rPr>
        <w:t xml:space="preserve">En julio de 2015 se envían las invitaciones para participar a cuatro empresas, </w:t>
      </w:r>
      <w:r>
        <w:rPr>
          <w:lang w:val="es-ES" w:eastAsia="es-ES"/>
        </w:rPr>
        <w:t>remitiendo</w:t>
      </w:r>
      <w:r w:rsidRPr="00AC7CD0">
        <w:rPr>
          <w:lang w:val="es-ES" w:eastAsia="es-ES"/>
        </w:rPr>
        <w:t xml:space="preserve"> ofertas todas ellas.</w:t>
      </w:r>
    </w:p>
    <w:p w:rsidR="00553CEB" w:rsidRPr="00AC7CD0" w:rsidRDefault="00553CEB" w:rsidP="00553CEB">
      <w:pPr>
        <w:pStyle w:val="texto"/>
        <w:rPr>
          <w:lang w:val="es-ES" w:eastAsia="es-ES"/>
        </w:rPr>
      </w:pPr>
      <w:r w:rsidRPr="00AC7CD0">
        <w:rPr>
          <w:lang w:val="es-ES" w:eastAsia="es-ES"/>
        </w:rPr>
        <w:t>La mejor oferta presentada cuantifica su propuesta económica en 29.000 e</w:t>
      </w:r>
      <w:r w:rsidRPr="00AC7CD0">
        <w:rPr>
          <w:lang w:val="es-ES" w:eastAsia="es-ES"/>
        </w:rPr>
        <w:t>u</w:t>
      </w:r>
      <w:r w:rsidRPr="00AC7CD0">
        <w:rPr>
          <w:lang w:val="es-ES" w:eastAsia="es-ES"/>
        </w:rPr>
        <w:t>ros, lo que implica una baja de casi el 50 por ciento sobre el precio de licit</w:t>
      </w:r>
      <w:r w:rsidRPr="00AC7CD0">
        <w:rPr>
          <w:lang w:val="es-ES" w:eastAsia="es-ES"/>
        </w:rPr>
        <w:t>a</w:t>
      </w:r>
      <w:r w:rsidRPr="00AC7CD0">
        <w:rPr>
          <w:lang w:val="es-ES" w:eastAsia="es-ES"/>
        </w:rPr>
        <w:t xml:space="preserve">ción, por lo que podría considerarse como anormalmente baja. Por ello la mesa solicita un nuevo informe técnico que determine si por dicho precio se pueden llevar a cabo los servicios objeto del contrato. </w:t>
      </w:r>
    </w:p>
    <w:p w:rsidR="00553CEB" w:rsidRPr="00AC7CD0" w:rsidRDefault="00553CEB" w:rsidP="00553CEB">
      <w:pPr>
        <w:pStyle w:val="texto"/>
        <w:rPr>
          <w:lang w:val="es-ES" w:eastAsia="es-ES"/>
        </w:rPr>
      </w:pPr>
      <w:r w:rsidRPr="00AC7CD0">
        <w:rPr>
          <w:lang w:val="es-ES" w:eastAsia="es-ES"/>
        </w:rPr>
        <w:t>El contrato se adjudica por acuerdo de la comisión permanente de noviembre de 2015, tras informe técnico positivo y constatar que ninguno de los otros lic</w:t>
      </w:r>
      <w:r w:rsidRPr="00AC7CD0">
        <w:rPr>
          <w:lang w:val="es-ES" w:eastAsia="es-ES"/>
        </w:rPr>
        <w:t>i</w:t>
      </w:r>
      <w:r w:rsidRPr="00AC7CD0">
        <w:rPr>
          <w:lang w:val="es-ES" w:eastAsia="es-ES"/>
        </w:rPr>
        <w:t>tadores ha presentado alegaciones, a la empresa cuya oferta es de 29.000 euros.</w:t>
      </w:r>
    </w:p>
    <w:p w:rsidR="00553CEB" w:rsidRDefault="00553CEB" w:rsidP="00553CEB">
      <w:pPr>
        <w:pStyle w:val="texto"/>
        <w:rPr>
          <w:lang w:val="es-ES" w:eastAsia="es-ES"/>
        </w:rPr>
      </w:pPr>
      <w:r w:rsidRPr="00AC7CD0">
        <w:rPr>
          <w:lang w:val="es-ES" w:eastAsia="es-ES"/>
        </w:rPr>
        <w:t>Destaca</w:t>
      </w:r>
      <w:r>
        <w:rPr>
          <w:lang w:val="es-ES" w:eastAsia="es-ES"/>
        </w:rPr>
        <w:t xml:space="preserve">mos </w:t>
      </w:r>
      <w:r w:rsidRPr="00AC7CD0">
        <w:rPr>
          <w:lang w:val="es-ES" w:eastAsia="es-ES"/>
        </w:rPr>
        <w:t>la tardanza en el inicio de la contratación de esta asistencia té</w:t>
      </w:r>
      <w:r w:rsidRPr="00AC7CD0">
        <w:rPr>
          <w:lang w:val="es-ES" w:eastAsia="es-ES"/>
        </w:rPr>
        <w:t>c</w:t>
      </w:r>
      <w:r w:rsidRPr="00AC7CD0">
        <w:rPr>
          <w:lang w:val="es-ES" w:eastAsia="es-ES"/>
        </w:rPr>
        <w:t xml:space="preserve">nica, teniendo en cuenta que mientras tanto estaba paralizado el proceso de contratación para la realización de la obra, cuyas ofertas se </w:t>
      </w:r>
      <w:r>
        <w:rPr>
          <w:lang w:val="es-ES" w:eastAsia="es-ES"/>
        </w:rPr>
        <w:t>habían presentado ya e</w:t>
      </w:r>
      <w:r w:rsidRPr="00AC7CD0">
        <w:rPr>
          <w:lang w:val="es-ES" w:eastAsia="es-ES"/>
        </w:rPr>
        <w:t xml:space="preserve">n febrero de 2015. </w:t>
      </w:r>
    </w:p>
    <w:p w:rsidR="00553CEB" w:rsidRPr="006857F1" w:rsidRDefault="00553CEB" w:rsidP="00553CEB">
      <w:pPr>
        <w:pStyle w:val="texto"/>
        <w:rPr>
          <w:lang w:val="es-ES" w:eastAsia="es-ES"/>
        </w:rPr>
      </w:pPr>
      <w:r>
        <w:rPr>
          <w:lang w:val="es-ES" w:eastAsia="es-ES"/>
        </w:rPr>
        <w:t>En cuanto a los pagos efectuados, destacamos que en noviembre de 2016 se presenta la liquidación de los honorarios totales contratados, cuando la obra de los abrevaderos concluye efectivamente en marzo de 2017.</w:t>
      </w:r>
    </w:p>
    <w:p w:rsidR="00553CEB" w:rsidRPr="00B14FFE" w:rsidRDefault="00553CEB" w:rsidP="00553CEB">
      <w:pPr>
        <w:pStyle w:val="texto"/>
        <w:rPr>
          <w:spacing w:val="4"/>
          <w:lang w:val="es-ES" w:eastAsia="es-ES"/>
        </w:rPr>
      </w:pPr>
      <w:r w:rsidRPr="00B14FFE">
        <w:rPr>
          <w:spacing w:val="4"/>
          <w:lang w:val="es-ES" w:eastAsia="es-ES"/>
        </w:rPr>
        <w:lastRenderedPageBreak/>
        <w:t>Además de los gastos por este contrato de dirección de obra, el adjudicatario del mismo ha facturado otros servicios correspondientes a la honorarios de r</w:t>
      </w:r>
      <w:r w:rsidRPr="00B14FFE">
        <w:rPr>
          <w:spacing w:val="4"/>
          <w:lang w:val="es-ES" w:eastAsia="es-ES"/>
        </w:rPr>
        <w:t>e</w:t>
      </w:r>
      <w:r w:rsidRPr="00B14FFE">
        <w:rPr>
          <w:spacing w:val="4"/>
          <w:lang w:val="es-ES" w:eastAsia="es-ES"/>
        </w:rPr>
        <w:t xml:space="preserve">dacción del proyecto </w:t>
      </w:r>
      <w:r w:rsidR="005335AA" w:rsidRPr="00B14FFE">
        <w:rPr>
          <w:spacing w:val="4"/>
          <w:lang w:val="es-ES" w:eastAsia="es-ES"/>
        </w:rPr>
        <w:t xml:space="preserve">de </w:t>
      </w:r>
      <w:r w:rsidRPr="00B14FFE">
        <w:rPr>
          <w:spacing w:val="4"/>
          <w:lang w:val="es-ES" w:eastAsia="es-ES"/>
        </w:rPr>
        <w:t xml:space="preserve">obra contratada pendiente de ejecutar a </w:t>
      </w:r>
      <w:r w:rsidR="00B14FFE" w:rsidRPr="00B14FFE">
        <w:rPr>
          <w:spacing w:val="4"/>
          <w:lang w:val="es-ES" w:eastAsia="es-ES"/>
        </w:rPr>
        <w:t>junio de 2016 –</w:t>
      </w:r>
      <w:r w:rsidRPr="00B14FFE">
        <w:rPr>
          <w:spacing w:val="4"/>
          <w:lang w:val="es-ES" w:eastAsia="es-ES"/>
        </w:rPr>
        <w:t xml:space="preserve"> 5.950 euros</w:t>
      </w:r>
      <w:r w:rsidR="00B14FFE" w:rsidRPr="00B14FFE">
        <w:rPr>
          <w:spacing w:val="4"/>
          <w:lang w:val="es-ES" w:eastAsia="es-ES"/>
        </w:rPr>
        <w:t>–</w:t>
      </w:r>
      <w:r w:rsidRPr="00B14FFE">
        <w:rPr>
          <w:spacing w:val="4"/>
          <w:lang w:val="es-ES" w:eastAsia="es-ES"/>
        </w:rPr>
        <w:t xml:space="preserve"> y coste ejecución fichas parcelarias y replanteo in situ </w:t>
      </w:r>
      <w:r w:rsidR="00B14FFE" w:rsidRPr="00B14FFE">
        <w:rPr>
          <w:spacing w:val="4"/>
          <w:lang w:val="es-ES" w:eastAsia="es-ES"/>
        </w:rPr>
        <w:t>–</w:t>
      </w:r>
      <w:r w:rsidRPr="00B14FFE">
        <w:rPr>
          <w:spacing w:val="4"/>
          <w:lang w:val="es-ES" w:eastAsia="es-ES"/>
        </w:rPr>
        <w:t>1.944 e</w:t>
      </w:r>
      <w:r w:rsidRPr="00B14FFE">
        <w:rPr>
          <w:spacing w:val="4"/>
          <w:lang w:val="es-ES" w:eastAsia="es-ES"/>
        </w:rPr>
        <w:t>u</w:t>
      </w:r>
      <w:r w:rsidRPr="00B14FFE">
        <w:rPr>
          <w:spacing w:val="4"/>
          <w:lang w:val="es-ES" w:eastAsia="es-ES"/>
        </w:rPr>
        <w:t>ros</w:t>
      </w:r>
      <w:r w:rsidR="00B14FFE" w:rsidRPr="00B14FFE">
        <w:rPr>
          <w:spacing w:val="4"/>
          <w:lang w:val="es-ES" w:eastAsia="es-ES"/>
        </w:rPr>
        <w:t>–</w:t>
      </w:r>
      <w:r w:rsidR="00A23F08" w:rsidRPr="00B14FFE">
        <w:rPr>
          <w:spacing w:val="4"/>
          <w:lang w:val="es-ES" w:eastAsia="es-ES"/>
        </w:rPr>
        <w:t>; estas facturaciones se justifican fundamentalmente en las incidencias s</w:t>
      </w:r>
      <w:r w:rsidR="00A23F08" w:rsidRPr="00B14FFE">
        <w:rPr>
          <w:spacing w:val="4"/>
          <w:lang w:val="es-ES" w:eastAsia="es-ES"/>
        </w:rPr>
        <w:t>o</w:t>
      </w:r>
      <w:r w:rsidR="00A23F08" w:rsidRPr="00B14FFE">
        <w:rPr>
          <w:spacing w:val="4"/>
          <w:lang w:val="es-ES" w:eastAsia="es-ES"/>
        </w:rPr>
        <w:t>brevenidas por la situación legal del adjudicatario de las obras</w:t>
      </w:r>
      <w:r w:rsidRPr="00B14FFE">
        <w:rPr>
          <w:spacing w:val="4"/>
          <w:lang w:val="es-ES" w:eastAsia="es-ES"/>
        </w:rPr>
        <w:t>. No consta fo</w:t>
      </w:r>
      <w:r w:rsidRPr="00B14FFE">
        <w:rPr>
          <w:spacing w:val="4"/>
          <w:lang w:val="es-ES" w:eastAsia="es-ES"/>
        </w:rPr>
        <w:t>r</w:t>
      </w:r>
      <w:r w:rsidRPr="00B14FFE">
        <w:rPr>
          <w:spacing w:val="4"/>
          <w:lang w:val="es-ES" w:eastAsia="es-ES"/>
        </w:rPr>
        <w:t xml:space="preserve">malmente una modificación del contrato o nuevos expresos encargos de trabajos. </w:t>
      </w:r>
    </w:p>
    <w:p w:rsidR="00553CEB" w:rsidRPr="000754D3" w:rsidRDefault="00553CEB" w:rsidP="00E52067">
      <w:pPr>
        <w:pStyle w:val="texto"/>
        <w:spacing w:after="240"/>
        <w:rPr>
          <w:lang w:val="es-ES" w:eastAsia="es-ES"/>
        </w:rPr>
      </w:pPr>
      <w:r w:rsidRPr="006857F1">
        <w:rPr>
          <w:lang w:val="es-ES" w:eastAsia="es-ES"/>
        </w:rPr>
        <w:t>En total, los gastos facturados</w:t>
      </w:r>
      <w:r>
        <w:rPr>
          <w:lang w:val="es-ES" w:eastAsia="es-ES"/>
        </w:rPr>
        <w:t xml:space="preserve"> ascienden a </w:t>
      </w:r>
      <w:r w:rsidRPr="006857F1">
        <w:rPr>
          <w:lang w:val="es-ES" w:eastAsia="es-ES"/>
        </w:rPr>
        <w:t>37.114</w:t>
      </w:r>
      <w:r>
        <w:rPr>
          <w:lang w:val="es-ES" w:eastAsia="es-ES"/>
        </w:rPr>
        <w:t xml:space="preserve"> euros, que representa un 28 por ciento más que el importe de adjudicación. Este exceso se justifica en los trabajos adicionales citados en el párrafo anterior.</w:t>
      </w:r>
    </w:p>
    <w:p w:rsidR="00553CEB" w:rsidRPr="00B14FFE" w:rsidRDefault="00553CEB" w:rsidP="00B14FFE">
      <w:pPr>
        <w:pStyle w:val="atitulo40"/>
        <w:spacing w:before="360" w:after="240"/>
        <w:rPr>
          <w:rFonts w:ascii="Arial" w:hAnsi="Arial" w:cs="Arial"/>
          <w:spacing w:val="-2"/>
        </w:rPr>
      </w:pPr>
      <w:r w:rsidRPr="00B14FFE">
        <w:rPr>
          <w:rFonts w:ascii="Arial" w:hAnsi="Arial" w:cs="Arial"/>
          <w:spacing w:val="-2"/>
        </w:rPr>
        <w:t>Contrato Dosier de Candidatura a la Carta Europea de Turismo Sostenible</w:t>
      </w:r>
    </w:p>
    <w:p w:rsidR="00553CEB" w:rsidRPr="006B3DCD" w:rsidRDefault="00553CEB" w:rsidP="00553CEB">
      <w:pPr>
        <w:pStyle w:val="texto"/>
        <w:rPr>
          <w:lang w:val="es-ES" w:eastAsia="es-ES"/>
        </w:rPr>
      </w:pPr>
      <w:r>
        <w:rPr>
          <w:lang w:val="es-ES" w:eastAsia="es-ES"/>
        </w:rPr>
        <w:t>El objeto del contrato era</w:t>
      </w:r>
      <w:r w:rsidRPr="006B3DCD">
        <w:rPr>
          <w:lang w:val="es-ES" w:eastAsia="es-ES"/>
        </w:rPr>
        <w:t xml:space="preserve"> de</w:t>
      </w:r>
      <w:r>
        <w:rPr>
          <w:lang w:val="es-ES" w:eastAsia="es-ES"/>
        </w:rPr>
        <w:t xml:space="preserve"> un dossier</w:t>
      </w:r>
      <w:r w:rsidRPr="006B3DCD">
        <w:rPr>
          <w:lang w:val="es-ES" w:eastAsia="es-ES"/>
        </w:rPr>
        <w:t xml:space="preserve"> para presentar ante el organismo e</w:t>
      </w:r>
      <w:r w:rsidRPr="006B3DCD">
        <w:rPr>
          <w:lang w:val="es-ES" w:eastAsia="es-ES"/>
        </w:rPr>
        <w:t>u</w:t>
      </w:r>
      <w:r w:rsidRPr="006B3DCD">
        <w:rPr>
          <w:lang w:val="es-ES" w:eastAsia="es-ES"/>
        </w:rPr>
        <w:t xml:space="preserve">ropeo EUROPARK con objeto de obtener el marchamo de Turismo Sostenible y </w:t>
      </w:r>
      <w:r>
        <w:rPr>
          <w:lang w:val="es-ES" w:eastAsia="es-ES"/>
        </w:rPr>
        <w:t>de diseñar</w:t>
      </w:r>
      <w:r w:rsidRPr="006B3DCD">
        <w:rPr>
          <w:lang w:val="es-ES" w:eastAsia="es-ES"/>
        </w:rPr>
        <w:t xml:space="preserve"> un </w:t>
      </w:r>
      <w:r>
        <w:rPr>
          <w:lang w:val="es-ES" w:eastAsia="es-ES"/>
        </w:rPr>
        <w:t>p</w:t>
      </w:r>
      <w:r w:rsidRPr="006B3DCD">
        <w:rPr>
          <w:lang w:val="es-ES" w:eastAsia="es-ES"/>
        </w:rPr>
        <w:t>lan de acción que se concrete en el Plan de Turismo de las Bardenas Reales.</w:t>
      </w:r>
    </w:p>
    <w:p w:rsidR="00553CEB" w:rsidRPr="00254BC7" w:rsidRDefault="00553CEB" w:rsidP="00553CEB">
      <w:pPr>
        <w:pStyle w:val="texto"/>
        <w:rPr>
          <w:spacing w:val="2"/>
          <w:lang w:val="es-ES" w:eastAsia="es-ES"/>
        </w:rPr>
      </w:pPr>
      <w:r w:rsidRPr="00254BC7">
        <w:rPr>
          <w:spacing w:val="2"/>
          <w:lang w:val="es-ES" w:eastAsia="es-ES"/>
        </w:rPr>
        <w:t>La convocatoria europea es anual y requiere que los planes se presenten en d</w:t>
      </w:r>
      <w:r w:rsidRPr="00254BC7">
        <w:rPr>
          <w:spacing w:val="2"/>
          <w:lang w:val="es-ES" w:eastAsia="es-ES"/>
        </w:rPr>
        <w:t>i</w:t>
      </w:r>
      <w:r w:rsidRPr="00254BC7">
        <w:rPr>
          <w:spacing w:val="2"/>
          <w:lang w:val="es-ES" w:eastAsia="es-ES"/>
        </w:rPr>
        <w:t>ciembre de cada año. Por ello, la contratación se inicia en marzo de 2016 y el pl</w:t>
      </w:r>
      <w:r w:rsidRPr="00254BC7">
        <w:rPr>
          <w:spacing w:val="2"/>
          <w:lang w:val="es-ES" w:eastAsia="es-ES"/>
        </w:rPr>
        <w:t>a</w:t>
      </w:r>
      <w:r w:rsidRPr="00254BC7">
        <w:rPr>
          <w:spacing w:val="2"/>
          <w:lang w:val="es-ES" w:eastAsia="es-ES"/>
        </w:rPr>
        <w:t>zo para la ejecución del estudio finalizaba en 15 de septiembre, al objeto de poder aprobar y presentar el dosier a las autoridades europeas antes de fin de año.</w:t>
      </w:r>
    </w:p>
    <w:p w:rsidR="00553CEB" w:rsidRPr="00254BC7" w:rsidRDefault="00553CEB" w:rsidP="00553CEB">
      <w:pPr>
        <w:pStyle w:val="texto"/>
        <w:rPr>
          <w:spacing w:val="0"/>
          <w:lang w:val="es-ES" w:eastAsia="es-ES"/>
        </w:rPr>
      </w:pPr>
      <w:r w:rsidRPr="00254BC7">
        <w:rPr>
          <w:spacing w:val="0"/>
          <w:lang w:val="es-ES" w:eastAsia="es-ES"/>
        </w:rPr>
        <w:t>El presupuesto de licitación ascendía a 45.000 euros, definiendo los pliegos como oferta anormalmente baja aquella que suponga una baja de más del 15 por ciento.</w:t>
      </w:r>
    </w:p>
    <w:p w:rsidR="00553CEB" w:rsidRPr="006B3DCD" w:rsidRDefault="00553CEB" w:rsidP="00553CEB">
      <w:pPr>
        <w:pStyle w:val="texto"/>
        <w:rPr>
          <w:lang w:val="es-ES" w:eastAsia="es-ES"/>
        </w:rPr>
      </w:pPr>
      <w:r>
        <w:rPr>
          <w:lang w:val="es-ES" w:eastAsia="es-ES"/>
        </w:rPr>
        <w:t>Al procedimiento abierto se</w:t>
      </w:r>
      <w:r w:rsidRPr="006B3DCD">
        <w:rPr>
          <w:lang w:val="es-ES" w:eastAsia="es-ES"/>
        </w:rPr>
        <w:t xml:space="preserve"> presentaron</w:t>
      </w:r>
      <w:r>
        <w:rPr>
          <w:lang w:val="es-ES" w:eastAsia="es-ES"/>
        </w:rPr>
        <w:t xml:space="preserve"> nueve</w:t>
      </w:r>
      <w:r w:rsidRPr="006B3DCD">
        <w:rPr>
          <w:lang w:val="es-ES" w:eastAsia="es-ES"/>
        </w:rPr>
        <w:t xml:space="preserve"> propues</w:t>
      </w:r>
      <w:r>
        <w:rPr>
          <w:lang w:val="es-ES" w:eastAsia="es-ES"/>
        </w:rPr>
        <w:t>tas</w:t>
      </w:r>
      <w:r w:rsidRPr="006B3DCD">
        <w:rPr>
          <w:lang w:val="es-ES" w:eastAsia="es-ES"/>
        </w:rPr>
        <w:t xml:space="preserve">. Cuatro de las ofertas superaban </w:t>
      </w:r>
      <w:r>
        <w:rPr>
          <w:lang w:val="es-ES" w:eastAsia="es-ES"/>
        </w:rPr>
        <w:t>la baja del 15 por ciento</w:t>
      </w:r>
      <w:r w:rsidRPr="006B3DCD">
        <w:rPr>
          <w:lang w:val="es-ES" w:eastAsia="es-ES"/>
        </w:rPr>
        <w:t>, por lo que fueron excluidas de la contratación, previo trámite de alegaciones. Tras el proceso, e</w:t>
      </w:r>
      <w:r>
        <w:rPr>
          <w:lang w:val="es-ES" w:eastAsia="es-ES"/>
        </w:rPr>
        <w:t>n mayo</w:t>
      </w:r>
      <w:r w:rsidRPr="006B3DCD">
        <w:rPr>
          <w:lang w:val="es-ES" w:eastAsia="es-ES"/>
        </w:rPr>
        <w:t xml:space="preserve"> de 2016 la </w:t>
      </w:r>
      <w:r>
        <w:rPr>
          <w:lang w:val="es-ES" w:eastAsia="es-ES"/>
        </w:rPr>
        <w:t>c</w:t>
      </w:r>
      <w:r w:rsidRPr="006B3DCD">
        <w:rPr>
          <w:lang w:val="es-ES" w:eastAsia="es-ES"/>
        </w:rPr>
        <w:t xml:space="preserve">omisión </w:t>
      </w:r>
      <w:r>
        <w:rPr>
          <w:lang w:val="es-ES" w:eastAsia="es-ES"/>
        </w:rPr>
        <w:t>p</w:t>
      </w:r>
      <w:r w:rsidRPr="006B3DCD">
        <w:rPr>
          <w:lang w:val="es-ES" w:eastAsia="es-ES"/>
        </w:rPr>
        <w:t>ermanente acuerda la adjudicación a la empresa mejor valorada en el concurso, por un im</w:t>
      </w:r>
      <w:r>
        <w:rPr>
          <w:lang w:val="es-ES" w:eastAsia="es-ES"/>
        </w:rPr>
        <w:t>porte de 38.250 euros, con una baja del 15 por ciento</w:t>
      </w:r>
      <w:r w:rsidRPr="006B3DCD">
        <w:rPr>
          <w:lang w:val="es-ES" w:eastAsia="es-ES"/>
        </w:rPr>
        <w:t>.</w:t>
      </w:r>
    </w:p>
    <w:p w:rsidR="00553CEB" w:rsidRPr="006B3DCD" w:rsidRDefault="00553CEB" w:rsidP="00553CEB">
      <w:pPr>
        <w:pStyle w:val="texto"/>
        <w:rPr>
          <w:lang w:val="es-ES" w:eastAsia="es-ES"/>
        </w:rPr>
      </w:pPr>
      <w:r>
        <w:rPr>
          <w:lang w:val="es-ES" w:eastAsia="es-ES"/>
        </w:rPr>
        <w:t>D</w:t>
      </w:r>
      <w:r w:rsidRPr="006B3DCD">
        <w:rPr>
          <w:lang w:val="es-ES" w:eastAsia="es-ES"/>
        </w:rPr>
        <w:t>os de las empresas excluidas interpusieron reclamación en materia de co</w:t>
      </w:r>
      <w:r w:rsidRPr="006B3DCD">
        <w:rPr>
          <w:lang w:val="es-ES" w:eastAsia="es-ES"/>
        </w:rPr>
        <w:t>n</w:t>
      </w:r>
      <w:r w:rsidRPr="006B3DCD">
        <w:rPr>
          <w:lang w:val="es-ES" w:eastAsia="es-ES"/>
        </w:rPr>
        <w:t>tratación pública contra</w:t>
      </w:r>
      <w:r>
        <w:rPr>
          <w:lang w:val="es-ES" w:eastAsia="es-ES"/>
        </w:rPr>
        <w:t xml:space="preserve"> su</w:t>
      </w:r>
      <w:r w:rsidRPr="006B3DCD">
        <w:rPr>
          <w:lang w:val="es-ES" w:eastAsia="es-ES"/>
        </w:rPr>
        <w:t xml:space="preserve"> exclu</w:t>
      </w:r>
      <w:r>
        <w:rPr>
          <w:lang w:val="es-ES" w:eastAsia="es-ES"/>
        </w:rPr>
        <w:t>sión</w:t>
      </w:r>
      <w:r w:rsidRPr="006B3DCD">
        <w:rPr>
          <w:lang w:val="es-ES" w:eastAsia="es-ES"/>
        </w:rPr>
        <w:t>, fundamentadas básicamente en que no se habían analizado si las propuestas anormalmente bajas se podían</w:t>
      </w:r>
      <w:r>
        <w:rPr>
          <w:lang w:val="es-ES" w:eastAsia="es-ES"/>
        </w:rPr>
        <w:t xml:space="preserve"> efectivamente</w:t>
      </w:r>
      <w:r w:rsidRPr="006B3DCD">
        <w:rPr>
          <w:lang w:val="es-ES" w:eastAsia="es-ES"/>
        </w:rPr>
        <w:t xml:space="preserve"> cumplir. Las bajas ofertadas por dichas empresas eran del 18,52 y del 15,56</w:t>
      </w:r>
      <w:r>
        <w:rPr>
          <w:lang w:val="es-ES" w:eastAsia="es-ES"/>
        </w:rPr>
        <w:t xml:space="preserve"> por ciento, respectivamente.</w:t>
      </w:r>
    </w:p>
    <w:p w:rsidR="00553CEB" w:rsidRPr="006B3DCD" w:rsidRDefault="00553CEB" w:rsidP="00553CEB">
      <w:pPr>
        <w:pStyle w:val="texto"/>
        <w:rPr>
          <w:lang w:val="es-ES" w:eastAsia="es-ES"/>
        </w:rPr>
      </w:pPr>
      <w:r>
        <w:rPr>
          <w:lang w:val="es-ES" w:eastAsia="es-ES"/>
        </w:rPr>
        <w:t xml:space="preserve">Por Acuerdo </w:t>
      </w:r>
      <w:r w:rsidRPr="006B3DCD">
        <w:rPr>
          <w:lang w:val="es-ES" w:eastAsia="es-ES"/>
        </w:rPr>
        <w:t>del Tribunal de Contratos Públicos de</w:t>
      </w:r>
      <w:r>
        <w:rPr>
          <w:lang w:val="es-ES" w:eastAsia="es-ES"/>
        </w:rPr>
        <w:t xml:space="preserve"> junio de 2016,</w:t>
      </w:r>
      <w:r w:rsidRPr="006B3DCD">
        <w:rPr>
          <w:lang w:val="es-ES" w:eastAsia="es-ES"/>
        </w:rPr>
        <w:t xml:space="preserve"> se estiman parcialmente ambas reclamaciones, anulando su exclusión y ordenando la r</w:t>
      </w:r>
      <w:r w:rsidRPr="006B3DCD">
        <w:rPr>
          <w:lang w:val="es-ES" w:eastAsia="es-ES"/>
        </w:rPr>
        <w:t>e</w:t>
      </w:r>
      <w:r w:rsidRPr="006B3DCD">
        <w:rPr>
          <w:lang w:val="es-ES" w:eastAsia="es-ES"/>
        </w:rPr>
        <w:t xml:space="preserve">troacción del procedimiento al momento de emisión del informe técnico previo al </w:t>
      </w:r>
      <w:r>
        <w:rPr>
          <w:lang w:val="es-ES" w:eastAsia="es-ES"/>
        </w:rPr>
        <w:t>a</w:t>
      </w:r>
      <w:r w:rsidRPr="006B3DCD">
        <w:rPr>
          <w:lang w:val="es-ES" w:eastAsia="es-ES"/>
        </w:rPr>
        <w:t xml:space="preserve">cuerdo de la </w:t>
      </w:r>
      <w:r>
        <w:rPr>
          <w:lang w:val="es-ES" w:eastAsia="es-ES"/>
        </w:rPr>
        <w:t>m</w:t>
      </w:r>
      <w:r w:rsidRPr="006B3DCD">
        <w:rPr>
          <w:lang w:val="es-ES" w:eastAsia="es-ES"/>
        </w:rPr>
        <w:t xml:space="preserve">esa de </w:t>
      </w:r>
      <w:r>
        <w:rPr>
          <w:lang w:val="es-ES" w:eastAsia="es-ES"/>
        </w:rPr>
        <w:t>c</w:t>
      </w:r>
      <w:r w:rsidRPr="006B3DCD">
        <w:rPr>
          <w:lang w:val="es-ES" w:eastAsia="es-ES"/>
        </w:rPr>
        <w:t>ontratación sobre la admisión de las ofertas.</w:t>
      </w:r>
    </w:p>
    <w:p w:rsidR="00553CEB" w:rsidRPr="00254BC7" w:rsidRDefault="00553CEB" w:rsidP="00553CEB">
      <w:pPr>
        <w:pStyle w:val="texto"/>
        <w:rPr>
          <w:spacing w:val="2"/>
          <w:lang w:val="es-ES" w:eastAsia="es-ES"/>
        </w:rPr>
      </w:pPr>
      <w:r w:rsidRPr="00254BC7">
        <w:rPr>
          <w:spacing w:val="2"/>
          <w:lang w:val="es-ES" w:eastAsia="es-ES"/>
        </w:rPr>
        <w:t>En julio de 2016, la comisión permanente acuerda contratar los servicios de una empresa especializada, al objeto de que emita un informe relativo a si las propue</w:t>
      </w:r>
      <w:r w:rsidRPr="00254BC7">
        <w:rPr>
          <w:spacing w:val="2"/>
          <w:lang w:val="es-ES" w:eastAsia="es-ES"/>
        </w:rPr>
        <w:t>s</w:t>
      </w:r>
      <w:r w:rsidRPr="00254BC7">
        <w:rPr>
          <w:spacing w:val="2"/>
          <w:lang w:val="es-ES" w:eastAsia="es-ES"/>
        </w:rPr>
        <w:t xml:space="preserve">tas económicas presentadas por las empresas que quedaron excluidas del concurso </w:t>
      </w:r>
      <w:r w:rsidRPr="00254BC7">
        <w:rPr>
          <w:spacing w:val="2"/>
          <w:lang w:val="es-ES" w:eastAsia="es-ES"/>
        </w:rPr>
        <w:lastRenderedPageBreak/>
        <w:t>por considerarse anormalmente bajas, deben aceptarse y valorarse para en su caso pueda adoptarse por la mesa de contratación la decisión que corresponda.</w:t>
      </w:r>
    </w:p>
    <w:p w:rsidR="00CD5371" w:rsidRDefault="00553CEB" w:rsidP="00553CEB">
      <w:pPr>
        <w:pStyle w:val="texto"/>
        <w:rPr>
          <w:lang w:val="es-ES" w:eastAsia="es-ES"/>
        </w:rPr>
      </w:pPr>
      <w:r>
        <w:rPr>
          <w:lang w:val="es-ES" w:eastAsia="es-ES"/>
        </w:rPr>
        <w:t>En septiembre de 2016, la citada empresa</w:t>
      </w:r>
      <w:r w:rsidRPr="006B3DCD">
        <w:rPr>
          <w:lang w:val="es-ES" w:eastAsia="es-ES"/>
        </w:rPr>
        <w:t xml:space="preserve"> emite informe en el que, una vez analizadas las ofertas económi</w:t>
      </w:r>
      <w:r>
        <w:rPr>
          <w:lang w:val="es-ES" w:eastAsia="es-ES"/>
        </w:rPr>
        <w:t>cas</w:t>
      </w:r>
      <w:r w:rsidRPr="006B3DCD">
        <w:rPr>
          <w:lang w:val="es-ES" w:eastAsia="es-ES"/>
        </w:rPr>
        <w:t xml:space="preserve"> así como las alegaciones presentadas, co</w:t>
      </w:r>
      <w:r w:rsidRPr="006B3DCD">
        <w:rPr>
          <w:lang w:val="es-ES" w:eastAsia="es-ES"/>
        </w:rPr>
        <w:t>n</w:t>
      </w:r>
      <w:r w:rsidRPr="006B3DCD">
        <w:rPr>
          <w:lang w:val="es-ES" w:eastAsia="es-ES"/>
        </w:rPr>
        <w:t>cluye que</w:t>
      </w:r>
      <w:r w:rsidR="00CD5371">
        <w:rPr>
          <w:lang w:val="es-ES" w:eastAsia="es-ES"/>
        </w:rPr>
        <w:t>:</w:t>
      </w:r>
    </w:p>
    <w:p w:rsidR="00553CEB" w:rsidRPr="006B3DCD" w:rsidRDefault="00553CEB" w:rsidP="00553CEB">
      <w:pPr>
        <w:pStyle w:val="texto"/>
        <w:rPr>
          <w:lang w:val="es-ES" w:eastAsia="es-ES"/>
        </w:rPr>
      </w:pPr>
      <w:r w:rsidRPr="00E52067">
        <w:rPr>
          <w:sz w:val="22"/>
          <w:szCs w:val="22"/>
          <w:lang w:val="es-ES" w:eastAsia="es-ES"/>
        </w:rPr>
        <w:t>“</w:t>
      </w:r>
      <w:r w:rsidRPr="00E52067">
        <w:rPr>
          <w:i/>
          <w:sz w:val="22"/>
          <w:szCs w:val="22"/>
          <w:lang w:val="es-ES" w:eastAsia="es-ES"/>
        </w:rPr>
        <w:t>destacar que las ofertas económicas presentadas por las cinco empresas que habían sido excluidas de la licitación al presentar una oferta económica inferior al 15 por ciento del v</w:t>
      </w:r>
      <w:r w:rsidRPr="00E52067">
        <w:rPr>
          <w:i/>
          <w:sz w:val="22"/>
          <w:szCs w:val="22"/>
          <w:lang w:val="es-ES" w:eastAsia="es-ES"/>
        </w:rPr>
        <w:t>a</w:t>
      </w:r>
      <w:r w:rsidRPr="00E52067">
        <w:rPr>
          <w:i/>
          <w:sz w:val="22"/>
          <w:szCs w:val="22"/>
          <w:lang w:val="es-ES" w:eastAsia="es-ES"/>
        </w:rPr>
        <w:t>lor referido al presupuesto máximo del contrato, están dentro de los márgenes del mercado y pueden ser desarrolladas atendiendo a las obligaciones laborales y fiscales establecidas en las diferentes normativas”</w:t>
      </w:r>
      <w:r w:rsidRPr="00E52067">
        <w:rPr>
          <w:sz w:val="22"/>
          <w:szCs w:val="22"/>
          <w:lang w:val="es-ES" w:eastAsia="es-ES"/>
        </w:rPr>
        <w:t xml:space="preserve">. </w:t>
      </w:r>
    </w:p>
    <w:p w:rsidR="00553CEB" w:rsidRPr="006B3DCD" w:rsidRDefault="00553CEB" w:rsidP="00553CEB">
      <w:pPr>
        <w:pStyle w:val="texto"/>
        <w:rPr>
          <w:lang w:val="es-ES" w:eastAsia="es-ES"/>
        </w:rPr>
      </w:pPr>
      <w:r>
        <w:rPr>
          <w:lang w:val="es-ES" w:eastAsia="es-ES"/>
        </w:rPr>
        <w:t>La mesa de contratación, en septiembre de 2016,</w:t>
      </w:r>
      <w:r w:rsidRPr="006B3DCD">
        <w:rPr>
          <w:lang w:val="es-ES" w:eastAsia="es-ES"/>
        </w:rPr>
        <w:t xml:space="preserve"> una vez admitidas todas las propuestas,</w:t>
      </w:r>
      <w:r>
        <w:rPr>
          <w:lang w:val="es-ES" w:eastAsia="es-ES"/>
        </w:rPr>
        <w:t xml:space="preserve"> analiza que la</w:t>
      </w:r>
      <w:r w:rsidRPr="006B3DCD">
        <w:rPr>
          <w:lang w:val="es-ES" w:eastAsia="es-ES"/>
        </w:rPr>
        <w:t xml:space="preserve"> empresa m</w:t>
      </w:r>
      <w:r>
        <w:rPr>
          <w:lang w:val="es-ES" w:eastAsia="es-ES"/>
        </w:rPr>
        <w:t>ejor</w:t>
      </w:r>
      <w:r w:rsidRPr="006B3DCD">
        <w:rPr>
          <w:lang w:val="es-ES" w:eastAsia="es-ES"/>
        </w:rPr>
        <w:t xml:space="preserve"> valorada sería una de las recurren</w:t>
      </w:r>
      <w:r>
        <w:rPr>
          <w:lang w:val="es-ES" w:eastAsia="es-ES"/>
        </w:rPr>
        <w:t xml:space="preserve">tes. </w:t>
      </w:r>
      <w:r w:rsidRPr="006B3DCD">
        <w:rPr>
          <w:lang w:val="es-ES" w:eastAsia="es-ES"/>
        </w:rPr>
        <w:t xml:space="preserve">Sin embargo, la </w:t>
      </w:r>
      <w:r>
        <w:rPr>
          <w:lang w:val="es-ES" w:eastAsia="es-ES"/>
        </w:rPr>
        <w:t>m</w:t>
      </w:r>
      <w:r w:rsidRPr="006B3DCD">
        <w:rPr>
          <w:lang w:val="es-ES" w:eastAsia="es-ES"/>
        </w:rPr>
        <w:t>esa hace notar que, por una parte, la fecha en la que se está decidiendo hace de imposible cumplimiento el plazo límite establecido en la convocatoria (</w:t>
      </w:r>
      <w:r>
        <w:rPr>
          <w:lang w:val="es-ES" w:eastAsia="es-ES"/>
        </w:rPr>
        <w:t>mediados de septiembre de 2016</w:t>
      </w:r>
      <w:r w:rsidRPr="006B3DCD">
        <w:rPr>
          <w:lang w:val="es-ES" w:eastAsia="es-ES"/>
        </w:rPr>
        <w:t>)</w:t>
      </w:r>
      <w:r>
        <w:rPr>
          <w:lang w:val="es-ES" w:eastAsia="es-ES"/>
        </w:rPr>
        <w:t>; p</w:t>
      </w:r>
      <w:r w:rsidRPr="006B3DCD">
        <w:rPr>
          <w:lang w:val="es-ES" w:eastAsia="es-ES"/>
        </w:rPr>
        <w:t>or otra parte, la situación de inseguridad jurídica en que quedan el resto de las licitadoras, que habían real</w:t>
      </w:r>
      <w:r w:rsidRPr="006B3DCD">
        <w:rPr>
          <w:lang w:val="es-ES" w:eastAsia="es-ES"/>
        </w:rPr>
        <w:t>i</w:t>
      </w:r>
      <w:r w:rsidRPr="006B3DCD">
        <w:rPr>
          <w:lang w:val="es-ES" w:eastAsia="es-ES"/>
        </w:rPr>
        <w:t xml:space="preserve">zado su oferta bajo las condiciones establecidas </w:t>
      </w:r>
      <w:r>
        <w:rPr>
          <w:lang w:val="es-ES" w:eastAsia="es-ES"/>
        </w:rPr>
        <w:t>según los pliegos que, en op</w:t>
      </w:r>
      <w:r>
        <w:rPr>
          <w:lang w:val="es-ES" w:eastAsia="es-ES"/>
        </w:rPr>
        <w:t>i</w:t>
      </w:r>
      <w:r>
        <w:rPr>
          <w:lang w:val="es-ES" w:eastAsia="es-ES"/>
        </w:rPr>
        <w:t>nión del</w:t>
      </w:r>
      <w:r w:rsidRPr="006B3DCD">
        <w:rPr>
          <w:lang w:val="es-ES" w:eastAsia="es-ES"/>
        </w:rPr>
        <w:t xml:space="preserve"> Tribunal</w:t>
      </w:r>
      <w:r>
        <w:rPr>
          <w:lang w:val="es-ES" w:eastAsia="es-ES"/>
        </w:rPr>
        <w:t>, resultaban confusas</w:t>
      </w:r>
      <w:r w:rsidRPr="006B3DCD">
        <w:rPr>
          <w:lang w:val="es-ES" w:eastAsia="es-ES"/>
        </w:rPr>
        <w:t>.</w:t>
      </w:r>
    </w:p>
    <w:p w:rsidR="00553CEB" w:rsidRPr="006B3DCD" w:rsidRDefault="00553CEB" w:rsidP="00553CEB">
      <w:pPr>
        <w:pStyle w:val="texto"/>
        <w:rPr>
          <w:lang w:val="es-ES" w:eastAsia="es-ES"/>
        </w:rPr>
      </w:pPr>
      <w:r w:rsidRPr="006B3DCD">
        <w:rPr>
          <w:lang w:val="es-ES" w:eastAsia="es-ES"/>
        </w:rPr>
        <w:t>E</w:t>
      </w:r>
      <w:r>
        <w:rPr>
          <w:lang w:val="es-ES" w:eastAsia="es-ES"/>
        </w:rPr>
        <w:t>l 22 de septiembre de 2016, la comisión permanente</w:t>
      </w:r>
      <w:r w:rsidRPr="006B3DCD">
        <w:rPr>
          <w:lang w:val="es-ES" w:eastAsia="es-ES"/>
        </w:rPr>
        <w:t xml:space="preserve"> acuerda </w:t>
      </w:r>
      <w:r>
        <w:rPr>
          <w:lang w:val="es-ES" w:eastAsia="es-ES"/>
        </w:rPr>
        <w:t>d</w:t>
      </w:r>
      <w:r w:rsidRPr="006B3DCD">
        <w:rPr>
          <w:lang w:val="es-ES" w:eastAsia="es-ES"/>
        </w:rPr>
        <w:t>eclarar d</w:t>
      </w:r>
      <w:r w:rsidRPr="006B3DCD">
        <w:rPr>
          <w:lang w:val="es-ES" w:eastAsia="es-ES"/>
        </w:rPr>
        <w:t>e</w:t>
      </w:r>
      <w:r w:rsidRPr="006B3DCD">
        <w:rPr>
          <w:lang w:val="es-ES" w:eastAsia="es-ES"/>
        </w:rPr>
        <w:t>sierto el concurso por motivos de interés público</w:t>
      </w:r>
      <w:r>
        <w:rPr>
          <w:lang w:val="es-ES" w:eastAsia="es-ES"/>
        </w:rPr>
        <w:t>, argumentados en:</w:t>
      </w:r>
      <w:r w:rsidRPr="006B3DCD">
        <w:rPr>
          <w:lang w:val="es-ES" w:eastAsia="es-ES"/>
        </w:rPr>
        <w:t xml:space="preserve"> </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La imposibilidad de cumplimiento del servicio en el plazo y fechas est</w:t>
      </w:r>
      <w:r w:rsidRPr="007D148D">
        <w:t>a</w:t>
      </w:r>
      <w:r w:rsidRPr="007D148D">
        <w:t>blecidas en el pliego (15 de septiembre de 2016) supone una circunstancia de hecho que por sí sola puede entenderse de interés público que presupone la obligatoriedad de dejar sin adjudicatario al concurso.</w:t>
      </w:r>
    </w:p>
    <w:p w:rsidR="00553CEB" w:rsidRPr="007D148D" w:rsidRDefault="00553CEB" w:rsidP="007D148D">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7D148D">
        <w:t>Igualmente, la circunstancia jurídica relativa a la quiebra del principio de seguridad jurídica y la discriminación que supone para aquellos licitadores que entendieron el límite económico como cláusula de exclusión, y por tal motivo no efectuaron una baja económica por debajo del límite.</w:t>
      </w:r>
    </w:p>
    <w:p w:rsidR="00553CEB" w:rsidRPr="006B3DCD" w:rsidRDefault="00553CEB" w:rsidP="00553CEB">
      <w:pPr>
        <w:pStyle w:val="texto"/>
        <w:rPr>
          <w:lang w:val="es-ES" w:eastAsia="es-ES"/>
        </w:rPr>
      </w:pPr>
      <w:r w:rsidRPr="006B3DCD">
        <w:rPr>
          <w:lang w:val="es-ES" w:eastAsia="es-ES"/>
        </w:rPr>
        <w:t xml:space="preserve">Notificado dicho acuerdo a los licitadores, </w:t>
      </w:r>
      <w:r>
        <w:rPr>
          <w:lang w:val="es-ES" w:eastAsia="es-ES"/>
        </w:rPr>
        <w:t>no se han presentado recursos dentro de los plazos marcados</w:t>
      </w:r>
      <w:r w:rsidRPr="006B3DCD">
        <w:rPr>
          <w:lang w:val="es-ES" w:eastAsia="es-ES"/>
        </w:rPr>
        <w:t>.</w:t>
      </w:r>
    </w:p>
    <w:p w:rsidR="00553CEB" w:rsidRPr="006857F1" w:rsidRDefault="00553CEB" w:rsidP="00CD5371">
      <w:pPr>
        <w:pStyle w:val="texto"/>
        <w:spacing w:after="360"/>
        <w:rPr>
          <w:lang w:val="es-ES" w:eastAsia="es-ES"/>
        </w:rPr>
      </w:pPr>
      <w:r>
        <w:rPr>
          <w:lang w:val="es-ES" w:eastAsia="es-ES"/>
        </w:rPr>
        <w:t>A</w:t>
      </w:r>
      <w:r w:rsidRPr="006B3DCD">
        <w:rPr>
          <w:lang w:val="es-ES" w:eastAsia="es-ES"/>
        </w:rPr>
        <w:t>ctualmente se están preparando las bases de un nuevo concurso para pr</w:t>
      </w:r>
      <w:r w:rsidRPr="006B3DCD">
        <w:rPr>
          <w:lang w:val="es-ES" w:eastAsia="es-ES"/>
        </w:rPr>
        <w:t>e</w:t>
      </w:r>
      <w:r w:rsidRPr="006B3DCD">
        <w:rPr>
          <w:lang w:val="es-ES" w:eastAsia="es-ES"/>
        </w:rPr>
        <w:t>sentar a la nueva convocatoria europea.</w:t>
      </w:r>
    </w:p>
    <w:p w:rsidR="007908F5" w:rsidRDefault="007908F5">
      <w:pPr>
        <w:spacing w:after="0"/>
        <w:ind w:firstLine="0"/>
        <w:jc w:val="left"/>
        <w:rPr>
          <w:rFonts w:ascii="Arial" w:hAnsi="Arial"/>
          <w:i/>
          <w:iCs/>
          <w:color w:val="000000"/>
          <w:spacing w:val="10"/>
          <w:kern w:val="28"/>
          <w:sz w:val="25"/>
          <w:szCs w:val="26"/>
          <w:lang w:val="es-ES" w:eastAsia="es-ES"/>
        </w:rPr>
      </w:pPr>
      <w:r>
        <w:rPr>
          <w:lang w:val="es-ES" w:eastAsia="es-ES"/>
        </w:rPr>
        <w:br w:type="page"/>
      </w:r>
    </w:p>
    <w:p w:rsidR="00553CEB" w:rsidRDefault="00553CEB" w:rsidP="00553CEB">
      <w:pPr>
        <w:pStyle w:val="atitulo3"/>
        <w:rPr>
          <w:lang w:val="es-ES" w:eastAsia="es-ES"/>
        </w:rPr>
      </w:pPr>
      <w:r>
        <w:rPr>
          <w:lang w:val="es-ES" w:eastAsia="es-ES"/>
        </w:rPr>
        <w:lastRenderedPageBreak/>
        <w:t xml:space="preserve">V.5.3. Contratos de suministro </w:t>
      </w:r>
    </w:p>
    <w:p w:rsidR="00553CEB" w:rsidRDefault="00553CEB" w:rsidP="00553CEB">
      <w:pPr>
        <w:pStyle w:val="texto"/>
        <w:rPr>
          <w:lang w:val="es-ES" w:eastAsia="es-ES"/>
        </w:rPr>
      </w:pPr>
      <w:r>
        <w:rPr>
          <w:lang w:val="es-ES" w:eastAsia="es-ES"/>
        </w:rPr>
        <w:t>De la revisión de los dos contratos de suministros –adquisición de una mot</w:t>
      </w:r>
      <w:r>
        <w:rPr>
          <w:lang w:val="es-ES" w:eastAsia="es-ES"/>
        </w:rPr>
        <w:t>o</w:t>
      </w:r>
      <w:r>
        <w:rPr>
          <w:lang w:val="es-ES" w:eastAsia="es-ES"/>
        </w:rPr>
        <w:t>niveladora y de un remolque</w:t>
      </w:r>
      <w:r w:rsidR="00E52067">
        <w:rPr>
          <w:lang w:val="es-ES" w:eastAsia="es-ES"/>
        </w:rPr>
        <w:t>–</w:t>
      </w:r>
      <w:r>
        <w:rPr>
          <w:lang w:val="es-ES" w:eastAsia="es-ES"/>
        </w:rPr>
        <w:t>, destacamos</w:t>
      </w:r>
      <w:r w:rsidR="00F44DDB">
        <w:rPr>
          <w:lang w:val="es-ES" w:eastAsia="es-ES"/>
        </w:rPr>
        <w:t>:</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Consta justificación de la necesidad a cubrir.</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En el adjudicado mediante procedimiento negociado –remolque</w:t>
      </w:r>
      <w:r w:rsidR="00E52067" w:rsidRPr="00F44DDB">
        <w:t>–</w:t>
      </w:r>
      <w:r w:rsidRPr="00F44DDB">
        <w:t xml:space="preserve"> se obse</w:t>
      </w:r>
      <w:r w:rsidRPr="00F44DDB">
        <w:t>r</w:t>
      </w:r>
      <w:r w:rsidRPr="00F44DDB">
        <w:t>va la existencia documental de una efectiva negociación con los licitadores pr</w:t>
      </w:r>
      <w:r w:rsidRPr="00F44DDB">
        <w:t>e</w:t>
      </w:r>
      <w:r w:rsidRPr="00F44DDB">
        <w:t xml:space="preserve">sentados. </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El importe abonado coincide en ambos contratos con el precio de adjudic</w:t>
      </w:r>
      <w:r w:rsidRPr="00F44DDB">
        <w:t>a</w:t>
      </w:r>
      <w:r w:rsidRPr="00F44DDB">
        <w:t>ción.</w:t>
      </w:r>
    </w:p>
    <w:p w:rsidR="00553CEB" w:rsidRDefault="00553CEB" w:rsidP="00553CEB">
      <w:pPr>
        <w:pStyle w:val="texto"/>
        <w:tabs>
          <w:tab w:val="num" w:pos="600"/>
        </w:tabs>
        <w:rPr>
          <w:lang w:val="es-ES" w:eastAsia="es-ES"/>
        </w:rPr>
      </w:pPr>
      <w:r>
        <w:rPr>
          <w:lang w:val="es-ES" w:eastAsia="es-ES"/>
        </w:rPr>
        <w:t>Como defectos formales, señalamos:</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En la adjudicación de la motoniveladora, el plazo de presentación de ofe</w:t>
      </w:r>
      <w:r w:rsidRPr="00F44DDB">
        <w:t>r</w:t>
      </w:r>
      <w:r w:rsidRPr="00F44DDB">
        <w:t>tas es de 14 días, inferior el mínimo de 18 días que establece la normativa.</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No se formalizan los contratos correspondientes.</w:t>
      </w:r>
    </w:p>
    <w:p w:rsidR="00553CEB" w:rsidRPr="00F44DDB" w:rsidRDefault="00553CEB" w:rsidP="00F44DDB">
      <w:pPr>
        <w:pStyle w:val="texto"/>
        <w:numPr>
          <w:ilvl w:val="0"/>
          <w:numId w:val="2"/>
        </w:numPr>
        <w:tabs>
          <w:tab w:val="clear" w:pos="2835"/>
          <w:tab w:val="clear" w:pos="3969"/>
          <w:tab w:val="clear" w:pos="5103"/>
          <w:tab w:val="clear" w:pos="6237"/>
          <w:tab w:val="clear" w:pos="7371"/>
          <w:tab w:val="left" w:pos="480"/>
          <w:tab w:val="num" w:pos="600"/>
        </w:tabs>
        <w:ind w:left="0" w:firstLine="290"/>
      </w:pPr>
      <w:r w:rsidRPr="00F44DDB">
        <w:t>No se formaliza en el acta oportuna de la recepción efectiva de los bienes suministrados.</w:t>
      </w:r>
    </w:p>
    <w:p w:rsidR="00553CEB" w:rsidRPr="00F44DDB" w:rsidRDefault="00553CEB" w:rsidP="007908F5">
      <w:pPr>
        <w:pStyle w:val="texto"/>
        <w:numPr>
          <w:ilvl w:val="0"/>
          <w:numId w:val="2"/>
        </w:numPr>
        <w:tabs>
          <w:tab w:val="clear" w:pos="2835"/>
          <w:tab w:val="clear" w:pos="3969"/>
          <w:tab w:val="clear" w:pos="5103"/>
          <w:tab w:val="clear" w:pos="6237"/>
          <w:tab w:val="clear" w:pos="7371"/>
          <w:tab w:val="left" w:pos="480"/>
          <w:tab w:val="num" w:pos="600"/>
        </w:tabs>
        <w:spacing w:after="240"/>
        <w:ind w:left="0" w:firstLine="289"/>
      </w:pPr>
      <w:r w:rsidRPr="00F44DDB">
        <w:t>En el caso del remolque, no consta la entrega de la fianza definitiva que e</w:t>
      </w:r>
      <w:r w:rsidRPr="00F44DDB">
        <w:t>s</w:t>
      </w:r>
      <w:r w:rsidRPr="00F44DDB">
        <w:t>tablecen los pliegos; en la motoniveladora se devuelve al año de la recepción, cuando el periodo de mantenimiento era de dos años.</w:t>
      </w:r>
    </w:p>
    <w:p w:rsidR="00553CEB" w:rsidRDefault="00553CEB" w:rsidP="00553CEB">
      <w:pPr>
        <w:pStyle w:val="atitulo3"/>
        <w:rPr>
          <w:lang w:val="es-ES" w:eastAsia="es-ES"/>
        </w:rPr>
      </w:pPr>
      <w:r>
        <w:rPr>
          <w:lang w:val="es-ES" w:eastAsia="es-ES"/>
        </w:rPr>
        <w:t xml:space="preserve">V.5.4. Contratos de estudios e investigación científica </w:t>
      </w:r>
    </w:p>
    <w:p w:rsidR="00553CEB" w:rsidRDefault="00553CEB" w:rsidP="00553CEB">
      <w:pPr>
        <w:pStyle w:val="texto"/>
        <w:rPr>
          <w:lang w:val="es-ES" w:eastAsia="es-ES"/>
        </w:rPr>
      </w:pPr>
      <w:r>
        <w:rPr>
          <w:lang w:val="es-ES" w:eastAsia="es-ES"/>
        </w:rPr>
        <w:t>La especial protección de las Bardenas Reales por su consideración como Parque Natural y Reserva de la Biosfera conlleva el fomento de la investig</w:t>
      </w:r>
      <w:r>
        <w:rPr>
          <w:lang w:val="es-ES" w:eastAsia="es-ES"/>
        </w:rPr>
        <w:t>a</w:t>
      </w:r>
      <w:r>
        <w:rPr>
          <w:lang w:val="es-ES" w:eastAsia="es-ES"/>
        </w:rPr>
        <w:t>ción científica de su territorio, vegetación, flora y fauna con el fin de preservar y proteger sus valores naturales. Es una de las exigencias que contempla tales declaraciones.</w:t>
      </w:r>
    </w:p>
    <w:p w:rsidR="00553CEB" w:rsidRPr="00495A9C" w:rsidRDefault="00553CEB" w:rsidP="00E52067">
      <w:pPr>
        <w:pStyle w:val="texto"/>
        <w:spacing w:after="240"/>
        <w:rPr>
          <w:lang w:val="es-ES" w:eastAsia="es-ES"/>
        </w:rPr>
      </w:pPr>
      <w:r>
        <w:rPr>
          <w:lang w:val="es-ES" w:eastAsia="es-ES"/>
        </w:rPr>
        <w:t>Así, entre 2010 y 2016, la Comunidad ha invertido un total de 1,4 millones en estudios de esa naturaleza, de acuerdo con el siguiente desglose anual:</w:t>
      </w:r>
    </w:p>
    <w:tbl>
      <w:tblPr>
        <w:tblW w:w="8831" w:type="dxa"/>
        <w:jc w:val="center"/>
        <w:tblInd w:w="42" w:type="dxa"/>
        <w:tblLayout w:type="fixed"/>
        <w:tblCellMar>
          <w:left w:w="70" w:type="dxa"/>
          <w:right w:w="70" w:type="dxa"/>
        </w:tblCellMar>
        <w:tblLook w:val="00A0" w:firstRow="1" w:lastRow="0" w:firstColumn="1" w:lastColumn="0" w:noHBand="0" w:noVBand="0"/>
      </w:tblPr>
      <w:tblGrid>
        <w:gridCol w:w="4603"/>
        <w:gridCol w:w="4228"/>
      </w:tblGrid>
      <w:tr w:rsidR="00553CEB" w:rsidRPr="00E52067" w:rsidTr="00E52067">
        <w:trPr>
          <w:trHeight w:val="284"/>
          <w:jc w:val="center"/>
        </w:trPr>
        <w:tc>
          <w:tcPr>
            <w:tcW w:w="46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sidRPr="00E52067">
              <w:rPr>
                <w:rFonts w:ascii="Arial" w:hAnsi="Arial" w:cs="Arial"/>
                <w:sz w:val="18"/>
                <w:szCs w:val="18"/>
              </w:rPr>
              <w:t>Ejercicio</w:t>
            </w:r>
          </w:p>
        </w:tc>
        <w:tc>
          <w:tcPr>
            <w:tcW w:w="422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Importe gastado en estudios e investigaciones</w:t>
            </w:r>
          </w:p>
        </w:tc>
      </w:tr>
      <w:tr w:rsidR="00553CEB" w:rsidRPr="00B23DBC" w:rsidTr="00E52067">
        <w:trPr>
          <w:trHeight w:val="284"/>
          <w:jc w:val="center"/>
        </w:trPr>
        <w:tc>
          <w:tcPr>
            <w:tcW w:w="4603" w:type="dxa"/>
            <w:tcBorders>
              <w:top w:val="single" w:sz="4" w:space="0" w:color="auto"/>
              <w:bottom w:val="single" w:sz="2" w:space="0" w:color="auto"/>
            </w:tcBorders>
            <w:vAlign w:val="center"/>
          </w:tcPr>
          <w:p w:rsidR="00553CEB" w:rsidRPr="00B23DBC" w:rsidRDefault="00553CEB" w:rsidP="00E52067">
            <w:pPr>
              <w:pStyle w:val="cuatexto"/>
              <w:jc w:val="left"/>
            </w:pPr>
            <w:r>
              <w:t>2010</w:t>
            </w:r>
          </w:p>
        </w:tc>
        <w:tc>
          <w:tcPr>
            <w:tcW w:w="4228" w:type="dxa"/>
            <w:tcBorders>
              <w:top w:val="single" w:sz="4"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158.787</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2011</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262.351</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2012</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381.637</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2013</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118.050</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2014</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112.596</w:t>
            </w:r>
          </w:p>
        </w:tc>
      </w:tr>
      <w:tr w:rsidR="00553CEB" w:rsidRPr="00B23DBC" w:rsidTr="00E52067">
        <w:trPr>
          <w:trHeight w:val="284"/>
          <w:jc w:val="center"/>
        </w:trPr>
        <w:tc>
          <w:tcPr>
            <w:tcW w:w="4603" w:type="dxa"/>
            <w:tcBorders>
              <w:top w:val="single" w:sz="2" w:space="0" w:color="auto"/>
              <w:bottom w:val="single" w:sz="2" w:space="0" w:color="auto"/>
            </w:tcBorders>
            <w:vAlign w:val="center"/>
          </w:tcPr>
          <w:p w:rsidR="00553CEB" w:rsidRPr="00B23DBC" w:rsidRDefault="00553CEB" w:rsidP="00E52067">
            <w:pPr>
              <w:pStyle w:val="cuatexto"/>
              <w:jc w:val="left"/>
            </w:pPr>
            <w:r>
              <w:t>2015</w:t>
            </w:r>
          </w:p>
        </w:tc>
        <w:tc>
          <w:tcPr>
            <w:tcW w:w="4228" w:type="dxa"/>
            <w:tcBorders>
              <w:top w:val="single" w:sz="2" w:space="0" w:color="auto"/>
              <w:bottom w:val="single" w:sz="2"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240.006</w:t>
            </w:r>
          </w:p>
        </w:tc>
      </w:tr>
      <w:tr w:rsidR="00553CEB" w:rsidRPr="00B23DBC" w:rsidTr="00E52067">
        <w:trPr>
          <w:trHeight w:val="284"/>
          <w:jc w:val="center"/>
        </w:trPr>
        <w:tc>
          <w:tcPr>
            <w:tcW w:w="4603" w:type="dxa"/>
            <w:tcBorders>
              <w:top w:val="single" w:sz="2" w:space="0" w:color="auto"/>
              <w:bottom w:val="single" w:sz="4" w:space="0" w:color="auto"/>
            </w:tcBorders>
            <w:vAlign w:val="center"/>
          </w:tcPr>
          <w:p w:rsidR="00553CEB" w:rsidRDefault="00553CEB" w:rsidP="00E52067">
            <w:pPr>
              <w:pStyle w:val="cuatexto"/>
              <w:jc w:val="left"/>
            </w:pPr>
            <w:r>
              <w:t>2016</w:t>
            </w:r>
          </w:p>
        </w:tc>
        <w:tc>
          <w:tcPr>
            <w:tcW w:w="4228" w:type="dxa"/>
            <w:tcBorders>
              <w:top w:val="single" w:sz="2" w:space="0" w:color="auto"/>
              <w:bottom w:val="single" w:sz="4" w:space="0" w:color="auto"/>
            </w:tcBorders>
            <w:vAlign w:val="center"/>
          </w:tcPr>
          <w:p w:rsidR="00553CEB" w:rsidRPr="00DE260E" w:rsidRDefault="00553CEB" w:rsidP="00E52067">
            <w:pPr>
              <w:tabs>
                <w:tab w:val="left" w:pos="1212"/>
                <w:tab w:val="left" w:pos="1296"/>
              </w:tabs>
              <w:spacing w:after="0"/>
              <w:ind w:firstLine="0"/>
              <w:jc w:val="right"/>
              <w:rPr>
                <w:rFonts w:ascii="Arial Narrow" w:hAnsi="Arial Narrow" w:cs="Arial"/>
                <w:lang w:val="es-ES" w:eastAsia="es-ES"/>
              </w:rPr>
            </w:pPr>
            <w:r w:rsidRPr="00DE260E">
              <w:rPr>
                <w:rFonts w:ascii="Arial Narrow" w:hAnsi="Arial Narrow" w:cs="Arial"/>
                <w:lang w:val="es-ES" w:eastAsia="es-ES"/>
              </w:rPr>
              <w:t>130.650</w:t>
            </w:r>
          </w:p>
        </w:tc>
      </w:tr>
      <w:tr w:rsidR="00553CEB" w:rsidRPr="00E52067" w:rsidTr="00E52067">
        <w:trPr>
          <w:trHeight w:val="284"/>
          <w:jc w:val="center"/>
        </w:trPr>
        <w:tc>
          <w:tcPr>
            <w:tcW w:w="46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sidRPr="00E52067">
              <w:rPr>
                <w:rFonts w:ascii="Arial" w:hAnsi="Arial" w:cs="Arial"/>
                <w:sz w:val="18"/>
                <w:szCs w:val="18"/>
              </w:rPr>
              <w:t>Total</w:t>
            </w:r>
          </w:p>
        </w:tc>
        <w:tc>
          <w:tcPr>
            <w:tcW w:w="422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1.404.077</w:t>
            </w:r>
          </w:p>
        </w:tc>
      </w:tr>
    </w:tbl>
    <w:p w:rsidR="00553CEB" w:rsidRDefault="00553CEB" w:rsidP="007908F5">
      <w:pPr>
        <w:pStyle w:val="texto"/>
        <w:tabs>
          <w:tab w:val="clear" w:pos="2835"/>
          <w:tab w:val="clear" w:pos="3969"/>
          <w:tab w:val="clear" w:pos="5103"/>
          <w:tab w:val="clear" w:pos="6237"/>
          <w:tab w:val="clear" w:pos="7371"/>
          <w:tab w:val="left" w:pos="480"/>
        </w:tabs>
        <w:spacing w:before="120"/>
        <w:rPr>
          <w:lang w:val="es-ES" w:eastAsia="es-ES"/>
        </w:rPr>
      </w:pPr>
      <w:r>
        <w:rPr>
          <w:lang w:val="es-ES" w:eastAsia="es-ES"/>
        </w:rPr>
        <w:lastRenderedPageBreak/>
        <w:t>Estos gastos, hasta 2015, se registran en una partida del capítulo 6; en 2016, se cambia el criterio de acuerdo con la nueva estructura presupuestaria, y se r</w:t>
      </w:r>
      <w:r>
        <w:rPr>
          <w:lang w:val="es-ES" w:eastAsia="es-ES"/>
        </w:rPr>
        <w:t>e</w:t>
      </w:r>
      <w:r>
        <w:rPr>
          <w:lang w:val="es-ES" w:eastAsia="es-ES"/>
        </w:rPr>
        <w:t>gistran en una partida del capítulo 2.</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 xml:space="preserve">El total de gastos responde a encargos a un total de 70 terceros; entre </w:t>
      </w:r>
      <w:r w:rsidR="00A6319E">
        <w:rPr>
          <w:lang w:val="es-ES" w:eastAsia="es-ES"/>
        </w:rPr>
        <w:t>e</w:t>
      </w:r>
      <w:r>
        <w:rPr>
          <w:lang w:val="es-ES" w:eastAsia="es-ES"/>
        </w:rPr>
        <w:t>stos, existen tanto trabajos puntuales como otros de carácter plurianual y se refieren tanto a encargos a personas físicas como a personas jurídicas públicas y/o pr</w:t>
      </w:r>
      <w:r>
        <w:rPr>
          <w:lang w:val="es-ES" w:eastAsia="es-ES"/>
        </w:rPr>
        <w:t>i</w:t>
      </w:r>
      <w:r>
        <w:rPr>
          <w:lang w:val="es-ES" w:eastAsia="es-ES"/>
        </w:rPr>
        <w:t>vadas. Un total de 21 terceros justifican el 97 por ciento del gasto.</w:t>
      </w:r>
    </w:p>
    <w:p w:rsidR="00553CEB" w:rsidRDefault="00553CEB" w:rsidP="00E52067">
      <w:pPr>
        <w:pStyle w:val="texto"/>
        <w:tabs>
          <w:tab w:val="clear" w:pos="2835"/>
          <w:tab w:val="clear" w:pos="3969"/>
          <w:tab w:val="clear" w:pos="5103"/>
          <w:tab w:val="clear" w:pos="6237"/>
          <w:tab w:val="clear" w:pos="7371"/>
          <w:tab w:val="left" w:pos="480"/>
        </w:tabs>
        <w:spacing w:after="240"/>
        <w:rPr>
          <w:lang w:val="es-ES" w:eastAsia="es-ES"/>
        </w:rPr>
      </w:pPr>
      <w:r>
        <w:rPr>
          <w:lang w:val="es-ES" w:eastAsia="es-ES"/>
        </w:rPr>
        <w:t>Las cuatro entidades que concentran el 62 por ciento del gasto total en el p</w:t>
      </w:r>
      <w:r>
        <w:rPr>
          <w:lang w:val="es-ES" w:eastAsia="es-ES"/>
        </w:rPr>
        <w:t>e</w:t>
      </w:r>
      <w:r>
        <w:rPr>
          <w:lang w:val="es-ES" w:eastAsia="es-ES"/>
        </w:rPr>
        <w:t>riodo son las siguientes:</w:t>
      </w:r>
    </w:p>
    <w:tbl>
      <w:tblPr>
        <w:tblW w:w="0" w:type="auto"/>
        <w:jc w:val="center"/>
        <w:tblLayout w:type="fixed"/>
        <w:tblCellMar>
          <w:left w:w="70" w:type="dxa"/>
          <w:right w:w="70" w:type="dxa"/>
        </w:tblCellMar>
        <w:tblLook w:val="00A0" w:firstRow="1" w:lastRow="0" w:firstColumn="1" w:lastColumn="0" w:noHBand="0" w:noVBand="0"/>
      </w:tblPr>
      <w:tblGrid>
        <w:gridCol w:w="4908"/>
        <w:gridCol w:w="3871"/>
      </w:tblGrid>
      <w:tr w:rsidR="00553CEB" w:rsidRPr="00E52067" w:rsidTr="00E52067">
        <w:trPr>
          <w:trHeight w:val="284"/>
          <w:jc w:val="center"/>
        </w:trPr>
        <w:tc>
          <w:tcPr>
            <w:tcW w:w="4908"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sidRPr="00E52067">
              <w:rPr>
                <w:rFonts w:ascii="Arial" w:hAnsi="Arial" w:cs="Arial"/>
                <w:sz w:val="18"/>
                <w:szCs w:val="18"/>
              </w:rPr>
              <w:t>Entidad</w:t>
            </w:r>
          </w:p>
        </w:tc>
        <w:tc>
          <w:tcPr>
            <w:tcW w:w="3871"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Importe por estudios e investigaciones</w:t>
            </w:r>
          </w:p>
        </w:tc>
      </w:tr>
      <w:tr w:rsidR="00553CEB" w:rsidRPr="00DE260E" w:rsidTr="00CD5371">
        <w:trPr>
          <w:trHeight w:val="284"/>
          <w:jc w:val="center"/>
        </w:trPr>
        <w:tc>
          <w:tcPr>
            <w:tcW w:w="4908" w:type="dxa"/>
            <w:tcBorders>
              <w:top w:val="single" w:sz="4" w:space="0" w:color="auto"/>
              <w:bottom w:val="single" w:sz="2" w:space="0" w:color="auto"/>
            </w:tcBorders>
            <w:vAlign w:val="center"/>
          </w:tcPr>
          <w:p w:rsidR="00553CEB" w:rsidRPr="00B23DBC" w:rsidRDefault="00553CEB" w:rsidP="00E52067">
            <w:pPr>
              <w:pStyle w:val="cuatexto"/>
              <w:jc w:val="left"/>
            </w:pPr>
            <w:r>
              <w:t>Universidad Pública de Navarra</w:t>
            </w:r>
          </w:p>
        </w:tc>
        <w:tc>
          <w:tcPr>
            <w:tcW w:w="3871" w:type="dxa"/>
            <w:tcBorders>
              <w:top w:val="single" w:sz="4"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lang w:val="es-ES" w:eastAsia="es-ES"/>
              </w:rPr>
            </w:pPr>
            <w:r w:rsidRPr="0079298A">
              <w:rPr>
                <w:rFonts w:ascii="Arial Narrow" w:hAnsi="Arial Narrow" w:cs="Arial"/>
                <w:lang w:val="es-ES" w:eastAsia="es-ES"/>
              </w:rPr>
              <w:t>290.15</w:t>
            </w:r>
            <w:r w:rsidRPr="003A3B40">
              <w:rPr>
                <w:rFonts w:ascii="Arial Narrow" w:hAnsi="Arial Narrow" w:cs="Arial"/>
                <w:lang w:val="es-ES" w:eastAsia="es-ES"/>
              </w:rPr>
              <w:t>9</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r>
              <w:t>Consejo Superior de Investigaciones Científicas (CSIC)</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lang w:val="es-ES" w:eastAsia="es-ES"/>
              </w:rPr>
            </w:pPr>
            <w:r w:rsidRPr="0079298A">
              <w:rPr>
                <w:rFonts w:ascii="Arial Narrow" w:hAnsi="Arial Narrow" w:cs="Arial"/>
                <w:lang w:val="es-ES" w:eastAsia="es-ES"/>
              </w:rPr>
              <w:t>277.372</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r>
              <w:t>Gestión Ambiental de Navarra, SA</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lang w:val="es-ES" w:eastAsia="es-ES"/>
              </w:rPr>
            </w:pPr>
            <w:r w:rsidRPr="0079298A">
              <w:rPr>
                <w:rFonts w:ascii="Arial Narrow" w:hAnsi="Arial Narrow" w:cs="Arial"/>
                <w:lang w:val="es-ES" w:eastAsia="es-ES"/>
              </w:rPr>
              <w:t>177.521</w:t>
            </w:r>
          </w:p>
        </w:tc>
      </w:tr>
      <w:tr w:rsidR="00553CEB" w:rsidRPr="00DE260E" w:rsidTr="00CD5371">
        <w:trPr>
          <w:trHeight w:val="284"/>
          <w:jc w:val="center"/>
        </w:trPr>
        <w:tc>
          <w:tcPr>
            <w:tcW w:w="4908" w:type="dxa"/>
            <w:tcBorders>
              <w:top w:val="single" w:sz="2" w:space="0" w:color="auto"/>
              <w:bottom w:val="single" w:sz="2" w:space="0" w:color="auto"/>
            </w:tcBorders>
            <w:vAlign w:val="center"/>
          </w:tcPr>
          <w:p w:rsidR="00553CEB" w:rsidRPr="00B23DBC" w:rsidRDefault="00553CEB" w:rsidP="00E52067">
            <w:pPr>
              <w:pStyle w:val="cuatexto"/>
              <w:jc w:val="left"/>
            </w:pPr>
            <w:r>
              <w:t>Universidad del País Vasco</w:t>
            </w:r>
          </w:p>
        </w:tc>
        <w:tc>
          <w:tcPr>
            <w:tcW w:w="3871" w:type="dxa"/>
            <w:tcBorders>
              <w:top w:val="single" w:sz="2" w:space="0" w:color="auto"/>
              <w:bottom w:val="single" w:sz="2" w:space="0" w:color="auto"/>
            </w:tcBorders>
            <w:vAlign w:val="center"/>
          </w:tcPr>
          <w:p w:rsidR="00553CEB" w:rsidRPr="0079298A" w:rsidRDefault="00553CEB" w:rsidP="00553CEB">
            <w:pPr>
              <w:tabs>
                <w:tab w:val="left" w:pos="1212"/>
                <w:tab w:val="left" w:pos="1296"/>
              </w:tabs>
              <w:spacing w:after="0"/>
              <w:ind w:firstLine="0"/>
              <w:jc w:val="right"/>
              <w:rPr>
                <w:rFonts w:ascii="Arial Narrow" w:hAnsi="Arial Narrow" w:cs="Arial"/>
                <w:lang w:val="es-ES" w:eastAsia="es-ES"/>
              </w:rPr>
            </w:pPr>
            <w:r w:rsidRPr="0079298A">
              <w:rPr>
                <w:rFonts w:ascii="Arial Narrow" w:hAnsi="Arial Narrow" w:cs="Arial"/>
                <w:lang w:val="es-ES" w:eastAsia="es-ES"/>
              </w:rPr>
              <w:t>125.547</w:t>
            </w:r>
          </w:p>
        </w:tc>
      </w:tr>
    </w:tbl>
    <w:p w:rsidR="00553CEB" w:rsidRDefault="00553CEB" w:rsidP="00E52067">
      <w:pPr>
        <w:pStyle w:val="texto"/>
        <w:tabs>
          <w:tab w:val="clear" w:pos="2835"/>
          <w:tab w:val="clear" w:pos="3969"/>
          <w:tab w:val="clear" w:pos="5103"/>
          <w:tab w:val="clear" w:pos="6237"/>
          <w:tab w:val="clear" w:pos="7371"/>
          <w:tab w:val="left" w:pos="480"/>
        </w:tabs>
        <w:spacing w:after="0"/>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En cuanto a la financiación de estos trabajos, coexisten tanto estudios fina</w:t>
      </w:r>
      <w:r>
        <w:rPr>
          <w:lang w:val="es-ES" w:eastAsia="es-ES"/>
        </w:rPr>
        <w:t>n</w:t>
      </w:r>
      <w:r>
        <w:rPr>
          <w:lang w:val="es-ES" w:eastAsia="es-ES"/>
        </w:rPr>
        <w:t>ciados exclusivamente por la Comunidad, como otros cofinanciados junto a otras entidades públicas y trabajos en los que la Comunidad solo aporta apoyo logístico.</w:t>
      </w:r>
      <w:r w:rsidRPr="006A3567">
        <w:rPr>
          <w:lang w:val="es-ES" w:eastAsia="es-ES"/>
        </w:rPr>
        <w:t xml:space="preserve"> </w:t>
      </w:r>
      <w:r>
        <w:rPr>
          <w:lang w:val="es-ES" w:eastAsia="es-ES"/>
        </w:rPr>
        <w:t>Igualmente señalamos que concretas actuaciones se realizan a pet</w:t>
      </w:r>
      <w:r>
        <w:rPr>
          <w:lang w:val="es-ES" w:eastAsia="es-ES"/>
        </w:rPr>
        <w:t>i</w:t>
      </w:r>
      <w:r>
        <w:rPr>
          <w:lang w:val="es-ES" w:eastAsia="es-ES"/>
        </w:rPr>
        <w:t>ción de los propios expertos, siempre que la Comunidad considere de interés su realización.</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Los objetos de los estudios son muy variados; así, a modo de ejemplo cit</w:t>
      </w:r>
      <w:r>
        <w:rPr>
          <w:lang w:val="es-ES" w:eastAsia="es-ES"/>
        </w:rPr>
        <w:t>a</w:t>
      </w:r>
      <w:r>
        <w:rPr>
          <w:lang w:val="es-ES" w:eastAsia="es-ES"/>
        </w:rPr>
        <w:t>mos estudios e investigaciones sobre: liebre ibérica, ganga ibérica, tortugas, c</w:t>
      </w:r>
      <w:r>
        <w:rPr>
          <w:lang w:val="es-ES" w:eastAsia="es-ES"/>
        </w:rPr>
        <w:t>a</w:t>
      </w:r>
      <w:r>
        <w:rPr>
          <w:lang w:val="es-ES" w:eastAsia="es-ES"/>
        </w:rPr>
        <w:t>racoles autóctonos, aves esteparias, rapaces rupícolas, introducción del cerníc</w:t>
      </w:r>
      <w:r>
        <w:rPr>
          <w:lang w:val="es-ES" w:eastAsia="es-ES"/>
        </w:rPr>
        <w:t>a</w:t>
      </w:r>
      <w:r>
        <w:rPr>
          <w:lang w:val="es-ES" w:eastAsia="es-ES"/>
        </w:rPr>
        <w:t>lo primilla, equipamiento y seguimiento de diversas aves –especialmente el buitre leonado</w:t>
      </w:r>
      <w:r w:rsidR="00E52067">
        <w:rPr>
          <w:lang w:val="es-ES" w:eastAsia="es-ES"/>
        </w:rPr>
        <w:t>–</w:t>
      </w:r>
      <w:r>
        <w:rPr>
          <w:lang w:val="es-ES" w:eastAsia="es-ES"/>
        </w:rPr>
        <w:t>, disminución de aportes de nitrato en las aguas, efectos del c</w:t>
      </w:r>
      <w:r>
        <w:rPr>
          <w:lang w:val="es-ES" w:eastAsia="es-ES"/>
        </w:rPr>
        <w:t>a</w:t>
      </w:r>
      <w:r>
        <w:rPr>
          <w:lang w:val="es-ES" w:eastAsia="es-ES"/>
        </w:rPr>
        <w:t>lendario de labores agrícolas sobre las aves, ensayos para la consolidación de Casteltierra, geología y paleontología, arqueología, regeneración de hábitats, etc. En la selección de los temas objeto de la investigación participan de forma muy significativa los servicios medioambientales de la Comunidad.</w:t>
      </w:r>
    </w:p>
    <w:p w:rsidR="00E52067" w:rsidRDefault="00553CEB" w:rsidP="005335AA">
      <w:pPr>
        <w:pStyle w:val="texto"/>
        <w:tabs>
          <w:tab w:val="clear" w:pos="2835"/>
          <w:tab w:val="clear" w:pos="3969"/>
          <w:tab w:val="clear" w:pos="5103"/>
          <w:tab w:val="clear" w:pos="6237"/>
          <w:tab w:val="clear" w:pos="7371"/>
          <w:tab w:val="left" w:pos="480"/>
        </w:tabs>
        <w:rPr>
          <w:lang w:val="es-ES" w:eastAsia="es-ES"/>
        </w:rPr>
      </w:pPr>
      <w:r w:rsidRPr="0004129F">
        <w:rPr>
          <w:lang w:val="es-ES" w:eastAsia="es-ES"/>
        </w:rPr>
        <w:t xml:space="preserve">Respecto de la necesidad o el interés de estos trabajos, </w:t>
      </w:r>
      <w:r>
        <w:rPr>
          <w:lang w:val="es-ES" w:eastAsia="es-ES"/>
        </w:rPr>
        <w:t>se justifica en las ya citadas exigencias de preservar el hábitat derivado de su</w:t>
      </w:r>
      <w:r w:rsidRPr="0004129F">
        <w:rPr>
          <w:lang w:val="es-ES" w:eastAsia="es-ES"/>
        </w:rPr>
        <w:t xml:space="preserve"> condición de Parque Natural y Reserva de la Biosfera.</w:t>
      </w:r>
      <w:r>
        <w:rPr>
          <w:lang w:val="es-ES" w:eastAsia="es-ES"/>
        </w:rPr>
        <w:t xml:space="preserve"> En esta línea, los</w:t>
      </w:r>
      <w:r w:rsidRPr="0004129F">
        <w:rPr>
          <w:lang w:val="es-ES" w:eastAsia="es-ES"/>
        </w:rPr>
        <w:t xml:space="preserve"> estudios e investigaciones científicas</w:t>
      </w:r>
      <w:r>
        <w:rPr>
          <w:lang w:val="es-ES" w:eastAsia="es-ES"/>
        </w:rPr>
        <w:t xml:space="preserve"> más relevantes</w:t>
      </w:r>
      <w:r w:rsidRPr="0004129F">
        <w:rPr>
          <w:lang w:val="es-ES" w:eastAsia="es-ES"/>
        </w:rPr>
        <w:t xml:space="preserve"> vienen desarrollándose desde el año 20</w:t>
      </w:r>
      <w:r>
        <w:rPr>
          <w:lang w:val="es-ES" w:eastAsia="es-ES"/>
        </w:rPr>
        <w:t>09</w:t>
      </w:r>
      <w:r w:rsidRPr="0004129F">
        <w:rPr>
          <w:lang w:val="es-ES" w:eastAsia="es-ES"/>
        </w:rPr>
        <w:t>, en el ma</w:t>
      </w:r>
      <w:r w:rsidRPr="0004129F">
        <w:rPr>
          <w:lang w:val="es-ES" w:eastAsia="es-ES"/>
        </w:rPr>
        <w:t>r</w:t>
      </w:r>
      <w:r w:rsidRPr="0004129F">
        <w:rPr>
          <w:lang w:val="es-ES" w:eastAsia="es-ES"/>
        </w:rPr>
        <w:t>co de los Convenios de Colaboración para apoyo a la Gestión de las Reservas de la Biosfera firmados con el Ministerio de Medio Ambiente y Medio Rural y Marino desde 2009.</w:t>
      </w:r>
      <w:r>
        <w:rPr>
          <w:lang w:val="es-ES" w:eastAsia="es-ES"/>
        </w:rPr>
        <w:t xml:space="preserve"> Estos convenios derivan de convocatorias del citado Mini</w:t>
      </w:r>
      <w:r>
        <w:rPr>
          <w:lang w:val="es-ES" w:eastAsia="es-ES"/>
        </w:rPr>
        <w:t>s</w:t>
      </w:r>
      <w:r>
        <w:rPr>
          <w:lang w:val="es-ES" w:eastAsia="es-ES"/>
        </w:rPr>
        <w:t>terio en los que se proponen el conjunto de actuaciones a desarrollar y su pr</w:t>
      </w:r>
      <w:r>
        <w:rPr>
          <w:lang w:val="es-ES" w:eastAsia="es-ES"/>
        </w:rPr>
        <w:t>e</w:t>
      </w:r>
      <w:r>
        <w:rPr>
          <w:lang w:val="es-ES" w:eastAsia="es-ES"/>
        </w:rPr>
        <w:t xml:space="preserve">supuesto. </w:t>
      </w:r>
    </w:p>
    <w:p w:rsidR="007908F5" w:rsidRDefault="007908F5" w:rsidP="005335AA">
      <w:pPr>
        <w:pStyle w:val="texto"/>
        <w:tabs>
          <w:tab w:val="clear" w:pos="2835"/>
          <w:tab w:val="clear" w:pos="3969"/>
          <w:tab w:val="clear" w:pos="5103"/>
          <w:tab w:val="clear" w:pos="6237"/>
          <w:tab w:val="clear" w:pos="7371"/>
          <w:tab w:val="left" w:pos="480"/>
        </w:tabs>
        <w:rPr>
          <w:lang w:val="es-ES" w:eastAsia="es-ES"/>
        </w:rPr>
      </w:pPr>
    </w:p>
    <w:p w:rsidR="00553CEB" w:rsidRDefault="00553CEB" w:rsidP="00E52067">
      <w:pPr>
        <w:pStyle w:val="texto"/>
        <w:tabs>
          <w:tab w:val="clear" w:pos="2835"/>
          <w:tab w:val="clear" w:pos="3969"/>
          <w:tab w:val="clear" w:pos="5103"/>
          <w:tab w:val="clear" w:pos="6237"/>
          <w:tab w:val="clear" w:pos="7371"/>
          <w:tab w:val="left" w:pos="480"/>
        </w:tabs>
        <w:spacing w:after="240"/>
        <w:rPr>
          <w:lang w:val="es-ES" w:eastAsia="es-ES"/>
        </w:rPr>
      </w:pPr>
      <w:r w:rsidRPr="0004129F">
        <w:rPr>
          <w:lang w:val="es-ES" w:eastAsia="es-ES"/>
        </w:rPr>
        <w:lastRenderedPageBreak/>
        <w:t xml:space="preserve">Los convenios firmados han sido </w:t>
      </w:r>
      <w:r>
        <w:rPr>
          <w:lang w:val="es-ES" w:eastAsia="es-ES"/>
        </w:rPr>
        <w:t>tres y el citado Ministerio ha financiado dos tercios del gasto y el resto, lo aporta la Comunidad</w:t>
      </w:r>
      <w:r w:rsidRPr="0004129F">
        <w:rPr>
          <w:lang w:val="es-ES" w:eastAsia="es-ES"/>
        </w:rPr>
        <w:t>:</w:t>
      </w:r>
    </w:p>
    <w:tbl>
      <w:tblPr>
        <w:tblW w:w="8854" w:type="dxa"/>
        <w:jc w:val="center"/>
        <w:tblLayout w:type="fixed"/>
        <w:tblCellMar>
          <w:left w:w="70" w:type="dxa"/>
          <w:right w:w="70" w:type="dxa"/>
        </w:tblCellMar>
        <w:tblLook w:val="00A0" w:firstRow="1" w:lastRow="0" w:firstColumn="1" w:lastColumn="0" w:noHBand="0" w:noVBand="0"/>
      </w:tblPr>
      <w:tblGrid>
        <w:gridCol w:w="2803"/>
        <w:gridCol w:w="2616"/>
        <w:gridCol w:w="3435"/>
      </w:tblGrid>
      <w:tr w:rsidR="00553CEB" w:rsidRPr="00E52067" w:rsidTr="00E52067">
        <w:trPr>
          <w:trHeight w:val="284"/>
          <w:jc w:val="center"/>
        </w:trPr>
        <w:tc>
          <w:tcPr>
            <w:tcW w:w="2803"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left"/>
              <w:rPr>
                <w:rFonts w:ascii="Arial" w:hAnsi="Arial" w:cs="Arial"/>
                <w:sz w:val="18"/>
                <w:szCs w:val="18"/>
              </w:rPr>
            </w:pPr>
            <w:r w:rsidRPr="00E52067">
              <w:rPr>
                <w:rFonts w:ascii="Arial" w:hAnsi="Arial" w:cs="Arial"/>
                <w:sz w:val="18"/>
                <w:szCs w:val="18"/>
              </w:rPr>
              <w:t>Convenio</w:t>
            </w:r>
          </w:p>
        </w:tc>
        <w:tc>
          <w:tcPr>
            <w:tcW w:w="2616"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Vigencia</w:t>
            </w:r>
          </w:p>
        </w:tc>
        <w:tc>
          <w:tcPr>
            <w:tcW w:w="3435" w:type="dxa"/>
            <w:tcBorders>
              <w:top w:val="single" w:sz="4" w:space="0" w:color="auto"/>
              <w:bottom w:val="single" w:sz="4" w:space="0" w:color="auto"/>
            </w:tcBorders>
            <w:shd w:val="clear" w:color="auto" w:fill="FABF8F" w:themeFill="accent6" w:themeFillTint="99"/>
            <w:vAlign w:val="center"/>
          </w:tcPr>
          <w:p w:rsidR="00553CEB" w:rsidRPr="00E52067" w:rsidRDefault="00553CEB" w:rsidP="00E52067">
            <w:pPr>
              <w:pStyle w:val="cuatexto"/>
              <w:ind w:right="-6"/>
              <w:jc w:val="right"/>
              <w:rPr>
                <w:rFonts w:ascii="Arial" w:hAnsi="Arial" w:cs="Arial"/>
                <w:sz w:val="18"/>
                <w:szCs w:val="18"/>
              </w:rPr>
            </w:pPr>
            <w:r w:rsidRPr="00E52067">
              <w:rPr>
                <w:rFonts w:ascii="Arial" w:hAnsi="Arial" w:cs="Arial"/>
                <w:sz w:val="18"/>
                <w:szCs w:val="18"/>
              </w:rPr>
              <w:t>Importe total de actuaciones</w:t>
            </w:r>
          </w:p>
        </w:tc>
      </w:tr>
      <w:tr w:rsidR="00553CEB" w:rsidRPr="00DE260E" w:rsidTr="00CD5371">
        <w:trPr>
          <w:trHeight w:val="284"/>
          <w:jc w:val="center"/>
        </w:trPr>
        <w:tc>
          <w:tcPr>
            <w:tcW w:w="2803" w:type="dxa"/>
            <w:tcBorders>
              <w:top w:val="single" w:sz="4" w:space="0" w:color="auto"/>
              <w:bottom w:val="single" w:sz="2" w:space="0" w:color="auto"/>
            </w:tcBorders>
            <w:shd w:val="clear" w:color="auto" w:fill="auto"/>
            <w:vAlign w:val="center"/>
          </w:tcPr>
          <w:p w:rsidR="00553CEB" w:rsidRPr="00B23DBC" w:rsidRDefault="00553CEB" w:rsidP="00E52067">
            <w:pPr>
              <w:pStyle w:val="cuatexto"/>
              <w:jc w:val="left"/>
            </w:pPr>
            <w:r>
              <w:t>2009</w:t>
            </w:r>
          </w:p>
        </w:tc>
        <w:tc>
          <w:tcPr>
            <w:tcW w:w="2616" w:type="dxa"/>
            <w:tcBorders>
              <w:top w:val="single" w:sz="4"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Hasta marzo de 2011</w:t>
            </w:r>
          </w:p>
        </w:tc>
        <w:tc>
          <w:tcPr>
            <w:tcW w:w="3435" w:type="dxa"/>
            <w:tcBorders>
              <w:top w:val="single" w:sz="4"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2.250.000</w:t>
            </w:r>
          </w:p>
        </w:tc>
      </w:tr>
      <w:tr w:rsidR="00553CEB" w:rsidRPr="00DE260E" w:rsidTr="00CD5371">
        <w:trPr>
          <w:trHeight w:val="284"/>
          <w:jc w:val="center"/>
        </w:trPr>
        <w:tc>
          <w:tcPr>
            <w:tcW w:w="2803" w:type="dxa"/>
            <w:tcBorders>
              <w:top w:val="single" w:sz="2" w:space="0" w:color="auto"/>
              <w:bottom w:val="single" w:sz="2" w:space="0" w:color="auto"/>
            </w:tcBorders>
            <w:shd w:val="clear" w:color="auto" w:fill="auto"/>
            <w:vAlign w:val="center"/>
          </w:tcPr>
          <w:p w:rsidR="00553CEB" w:rsidRPr="00B23DBC" w:rsidRDefault="00553CEB" w:rsidP="00E52067">
            <w:pPr>
              <w:pStyle w:val="cuatexto"/>
              <w:jc w:val="left"/>
            </w:pPr>
            <w:r>
              <w:t>2010</w:t>
            </w:r>
          </w:p>
        </w:tc>
        <w:tc>
          <w:tcPr>
            <w:tcW w:w="2616" w:type="dxa"/>
            <w:tcBorders>
              <w:top w:val="single" w:sz="2"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Hasta diciembre de 2012</w:t>
            </w:r>
          </w:p>
        </w:tc>
        <w:tc>
          <w:tcPr>
            <w:tcW w:w="3435" w:type="dxa"/>
            <w:tcBorders>
              <w:top w:val="single" w:sz="2" w:space="0" w:color="auto"/>
              <w:bottom w:val="single" w:sz="2"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1.625.024</w:t>
            </w:r>
          </w:p>
        </w:tc>
      </w:tr>
      <w:tr w:rsidR="00553CEB" w:rsidRPr="00DE260E" w:rsidTr="00E52067">
        <w:trPr>
          <w:trHeight w:val="284"/>
          <w:jc w:val="center"/>
        </w:trPr>
        <w:tc>
          <w:tcPr>
            <w:tcW w:w="2803" w:type="dxa"/>
            <w:tcBorders>
              <w:top w:val="single" w:sz="2" w:space="0" w:color="auto"/>
              <w:bottom w:val="single" w:sz="4" w:space="0" w:color="auto"/>
            </w:tcBorders>
            <w:shd w:val="clear" w:color="auto" w:fill="auto"/>
            <w:vAlign w:val="center"/>
          </w:tcPr>
          <w:p w:rsidR="00553CEB" w:rsidRPr="00B23DBC" w:rsidRDefault="00553CEB" w:rsidP="00E52067">
            <w:pPr>
              <w:pStyle w:val="cuatexto"/>
              <w:jc w:val="left"/>
            </w:pPr>
            <w:r>
              <w:t>2011</w:t>
            </w:r>
          </w:p>
        </w:tc>
        <w:tc>
          <w:tcPr>
            <w:tcW w:w="2616" w:type="dxa"/>
            <w:tcBorders>
              <w:top w:val="single" w:sz="2" w:space="0" w:color="auto"/>
              <w:bottom w:val="single" w:sz="4"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Hasta diciembre de 2012</w:t>
            </w:r>
          </w:p>
        </w:tc>
        <w:tc>
          <w:tcPr>
            <w:tcW w:w="3435" w:type="dxa"/>
            <w:tcBorders>
              <w:top w:val="single" w:sz="2" w:space="0" w:color="auto"/>
              <w:bottom w:val="single" w:sz="4" w:space="0" w:color="auto"/>
            </w:tcBorders>
            <w:shd w:val="clear" w:color="auto" w:fill="auto"/>
            <w:vAlign w:val="center"/>
          </w:tcPr>
          <w:p w:rsidR="00553CEB" w:rsidRPr="0079298A" w:rsidRDefault="00553CEB" w:rsidP="00E52067">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1.625.463</w:t>
            </w:r>
          </w:p>
        </w:tc>
      </w:tr>
    </w:tbl>
    <w:p w:rsidR="00553CEB" w:rsidRPr="0004129F" w:rsidRDefault="00553CEB" w:rsidP="00E52067">
      <w:pPr>
        <w:pStyle w:val="texto"/>
        <w:tabs>
          <w:tab w:val="clear" w:pos="2835"/>
          <w:tab w:val="clear" w:pos="3969"/>
          <w:tab w:val="clear" w:pos="5103"/>
          <w:tab w:val="clear" w:pos="6237"/>
          <w:tab w:val="clear" w:pos="7371"/>
          <w:tab w:val="left" w:pos="480"/>
        </w:tabs>
        <w:spacing w:after="0"/>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También consta financiación del Gobierno de Navarra para otros trabajos.</w:t>
      </w:r>
    </w:p>
    <w:p w:rsidR="00553CEB" w:rsidRPr="0004129F" w:rsidRDefault="00553CEB" w:rsidP="00553CEB">
      <w:pPr>
        <w:pStyle w:val="texto"/>
        <w:tabs>
          <w:tab w:val="clear" w:pos="2835"/>
          <w:tab w:val="clear" w:pos="3969"/>
          <w:tab w:val="clear" w:pos="5103"/>
          <w:tab w:val="clear" w:pos="6237"/>
          <w:tab w:val="clear" w:pos="7371"/>
          <w:tab w:val="left" w:pos="480"/>
        </w:tabs>
        <w:rPr>
          <w:lang w:val="es-ES" w:eastAsia="es-ES"/>
        </w:rPr>
      </w:pPr>
      <w:r w:rsidRPr="0004129F">
        <w:rPr>
          <w:lang w:val="es-ES" w:eastAsia="es-ES"/>
        </w:rPr>
        <w:t>En cuanto a la selección de la entidad</w:t>
      </w:r>
      <w:r>
        <w:rPr>
          <w:lang w:val="es-ES" w:eastAsia="es-ES"/>
        </w:rPr>
        <w:t xml:space="preserve"> o pe</w:t>
      </w:r>
      <w:r w:rsidR="005335AA">
        <w:rPr>
          <w:lang w:val="es-ES" w:eastAsia="es-ES"/>
        </w:rPr>
        <w:t>rsona física, l</w:t>
      </w:r>
      <w:r w:rsidRPr="0004129F">
        <w:rPr>
          <w:lang w:val="es-ES" w:eastAsia="es-ES"/>
        </w:rPr>
        <w:t>os principales trab</w:t>
      </w:r>
      <w:r w:rsidRPr="0004129F">
        <w:rPr>
          <w:lang w:val="es-ES" w:eastAsia="es-ES"/>
        </w:rPr>
        <w:t>a</w:t>
      </w:r>
      <w:r w:rsidRPr="0004129F">
        <w:rPr>
          <w:lang w:val="es-ES" w:eastAsia="es-ES"/>
        </w:rPr>
        <w:t xml:space="preserve">jos se </w:t>
      </w:r>
      <w:r>
        <w:rPr>
          <w:lang w:val="es-ES" w:eastAsia="es-ES"/>
        </w:rPr>
        <w:t>canalizan</w:t>
      </w:r>
      <w:r w:rsidRPr="0004129F">
        <w:rPr>
          <w:lang w:val="es-ES" w:eastAsia="es-ES"/>
        </w:rPr>
        <w:t xml:space="preserve"> a tra</w:t>
      </w:r>
      <w:r w:rsidR="005335AA">
        <w:rPr>
          <w:lang w:val="es-ES" w:eastAsia="es-ES"/>
        </w:rPr>
        <w:t xml:space="preserve">vés </w:t>
      </w:r>
      <w:r w:rsidRPr="0004129F">
        <w:rPr>
          <w:lang w:val="es-ES" w:eastAsia="es-ES"/>
        </w:rPr>
        <w:t>contratos de investigación</w:t>
      </w:r>
      <w:r w:rsidR="005335AA">
        <w:rPr>
          <w:lang w:val="es-ES" w:eastAsia="es-ES"/>
        </w:rPr>
        <w:t xml:space="preserve"> con instituciones públicas, cuyos</w:t>
      </w:r>
      <w:r w:rsidRPr="0004129F">
        <w:rPr>
          <w:lang w:val="es-ES" w:eastAsia="es-ES"/>
        </w:rPr>
        <w:t xml:space="preserve"> investigadores</w:t>
      </w:r>
      <w:r w:rsidR="006969F0">
        <w:rPr>
          <w:lang w:val="es-ES" w:eastAsia="es-ES"/>
        </w:rPr>
        <w:t xml:space="preserve"> </w:t>
      </w:r>
      <w:r w:rsidRPr="0004129F">
        <w:rPr>
          <w:lang w:val="es-ES" w:eastAsia="es-ES"/>
        </w:rPr>
        <w:t>han realizado trabajos</w:t>
      </w:r>
      <w:r>
        <w:rPr>
          <w:lang w:val="es-ES" w:eastAsia="es-ES"/>
        </w:rPr>
        <w:t xml:space="preserve"> o son especialistas en los distintos temas;</w:t>
      </w:r>
      <w:r w:rsidRPr="0004129F">
        <w:rPr>
          <w:lang w:val="es-ES" w:eastAsia="es-ES"/>
        </w:rPr>
        <w:t xml:space="preserve"> </w:t>
      </w:r>
      <w:r>
        <w:rPr>
          <w:lang w:val="es-ES" w:eastAsia="es-ES"/>
        </w:rPr>
        <w:t>e</w:t>
      </w:r>
      <w:r w:rsidRPr="0004129F">
        <w:rPr>
          <w:lang w:val="es-ES" w:eastAsia="es-ES"/>
        </w:rPr>
        <w:t>n otros casos</w:t>
      </w:r>
      <w:r>
        <w:rPr>
          <w:lang w:val="es-ES" w:eastAsia="es-ES"/>
        </w:rPr>
        <w:t xml:space="preserve">, se contrata directamente, </w:t>
      </w:r>
      <w:r w:rsidRPr="0004129F">
        <w:rPr>
          <w:lang w:val="es-ES" w:eastAsia="es-ES"/>
        </w:rPr>
        <w:t xml:space="preserve">debido a la singularidad de la investigación, con los profesionales especializados en la materia. </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L</w:t>
      </w:r>
      <w:r w:rsidRPr="0004129F">
        <w:rPr>
          <w:lang w:val="es-ES" w:eastAsia="es-ES"/>
        </w:rPr>
        <w:t xml:space="preserve">a utilización de los resultados de los trabajos, </w:t>
      </w:r>
      <w:r>
        <w:rPr>
          <w:lang w:val="es-ES" w:eastAsia="es-ES"/>
        </w:rPr>
        <w:t>además de los derivados de la propia investigación básica, han sido la base para concretar</w:t>
      </w:r>
      <w:r w:rsidRPr="0004129F">
        <w:rPr>
          <w:lang w:val="es-ES" w:eastAsia="es-ES"/>
        </w:rPr>
        <w:t xml:space="preserve"> los conteni</w:t>
      </w:r>
      <w:r>
        <w:rPr>
          <w:lang w:val="es-ES" w:eastAsia="es-ES"/>
        </w:rPr>
        <w:t xml:space="preserve">dos del </w:t>
      </w:r>
      <w:r w:rsidRPr="0004129F">
        <w:rPr>
          <w:lang w:val="es-ES" w:eastAsia="es-ES"/>
        </w:rPr>
        <w:t>material</w:t>
      </w:r>
      <w:r>
        <w:rPr>
          <w:lang w:val="es-ES" w:eastAsia="es-ES"/>
        </w:rPr>
        <w:t>, plasmados en los cuadernos didácticos de la Comunidad,</w:t>
      </w:r>
      <w:r w:rsidRPr="0004129F">
        <w:rPr>
          <w:lang w:val="es-ES" w:eastAsia="es-ES"/>
        </w:rPr>
        <w:t xml:space="preserve"> </w:t>
      </w:r>
      <w:r>
        <w:rPr>
          <w:lang w:val="es-ES" w:eastAsia="es-ES"/>
        </w:rPr>
        <w:t>para</w:t>
      </w:r>
      <w:r w:rsidRPr="0004129F">
        <w:rPr>
          <w:lang w:val="es-ES" w:eastAsia="es-ES"/>
        </w:rPr>
        <w:t xml:space="preserve"> las vis</w:t>
      </w:r>
      <w:r w:rsidRPr="0004129F">
        <w:rPr>
          <w:lang w:val="es-ES" w:eastAsia="es-ES"/>
        </w:rPr>
        <w:t>i</w:t>
      </w:r>
      <w:r w:rsidRPr="0004129F">
        <w:rPr>
          <w:lang w:val="es-ES" w:eastAsia="es-ES"/>
        </w:rPr>
        <w:t xml:space="preserve">tas de grupos </w:t>
      </w:r>
      <w:r>
        <w:rPr>
          <w:lang w:val="es-ES" w:eastAsia="es-ES"/>
        </w:rPr>
        <w:t>de estudiantes al objeto de fomentar la educación medioambie</w:t>
      </w:r>
      <w:r>
        <w:rPr>
          <w:lang w:val="es-ES" w:eastAsia="es-ES"/>
        </w:rPr>
        <w:t>n</w:t>
      </w:r>
      <w:r>
        <w:rPr>
          <w:lang w:val="es-ES" w:eastAsia="es-ES"/>
        </w:rPr>
        <w:t>tal, del material divulgativo editado (</w:t>
      </w:r>
      <w:r w:rsidRPr="0004129F">
        <w:rPr>
          <w:lang w:val="es-ES" w:eastAsia="es-ES"/>
        </w:rPr>
        <w:t>folletos de información turística, public</w:t>
      </w:r>
      <w:r w:rsidRPr="0004129F">
        <w:rPr>
          <w:lang w:val="es-ES" w:eastAsia="es-ES"/>
        </w:rPr>
        <w:t>a</w:t>
      </w:r>
      <w:r w:rsidRPr="0004129F">
        <w:rPr>
          <w:lang w:val="es-ES" w:eastAsia="es-ES"/>
        </w:rPr>
        <w:t xml:space="preserve">ciones sobre el Parque </w:t>
      </w:r>
      <w:r>
        <w:rPr>
          <w:lang w:val="es-ES" w:eastAsia="es-ES"/>
        </w:rPr>
        <w:t>Natural, etc.</w:t>
      </w:r>
      <w:r w:rsidRPr="0004129F">
        <w:rPr>
          <w:lang w:val="es-ES" w:eastAsia="es-ES"/>
        </w:rPr>
        <w:t>)</w:t>
      </w:r>
      <w:r>
        <w:rPr>
          <w:lang w:val="es-ES" w:eastAsia="es-ES"/>
        </w:rPr>
        <w:t xml:space="preserve"> así como para los</w:t>
      </w:r>
      <w:r w:rsidRPr="0004129F">
        <w:rPr>
          <w:lang w:val="es-ES" w:eastAsia="es-ES"/>
        </w:rPr>
        <w:t xml:space="preserve"> contenidos de</w:t>
      </w:r>
      <w:r>
        <w:rPr>
          <w:lang w:val="es-ES" w:eastAsia="es-ES"/>
        </w:rPr>
        <w:t>l espacio de exposiciones del</w:t>
      </w:r>
      <w:r w:rsidRPr="0004129F">
        <w:rPr>
          <w:lang w:val="es-ES" w:eastAsia="es-ES"/>
        </w:rPr>
        <w:t xml:space="preserve"> Centro de información de Aguilares. </w:t>
      </w:r>
    </w:p>
    <w:p w:rsidR="00553CEB" w:rsidRPr="0004129F"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Igualmente</w:t>
      </w:r>
      <w:r w:rsidRPr="0004129F">
        <w:rPr>
          <w:lang w:val="es-ES" w:eastAsia="es-ES"/>
        </w:rPr>
        <w:t xml:space="preserve"> se</w:t>
      </w:r>
      <w:r>
        <w:rPr>
          <w:lang w:val="es-ES" w:eastAsia="es-ES"/>
        </w:rPr>
        <w:t xml:space="preserve"> están utilizando</w:t>
      </w:r>
      <w:r w:rsidRPr="0004129F">
        <w:rPr>
          <w:lang w:val="es-ES" w:eastAsia="es-ES"/>
        </w:rPr>
        <w:t xml:space="preserve"> para la determinación de la normativa de uso y de gestión del Parque Natural</w:t>
      </w:r>
      <w:r>
        <w:rPr>
          <w:lang w:val="es-ES" w:eastAsia="es-ES"/>
        </w:rPr>
        <w:t>, como por ejemplo,</w:t>
      </w:r>
      <w:r w:rsidRPr="0004129F">
        <w:rPr>
          <w:lang w:val="es-ES" w:eastAsia="es-ES"/>
        </w:rPr>
        <w:t xml:space="preserve"> </w:t>
      </w:r>
      <w:r>
        <w:rPr>
          <w:lang w:val="es-ES" w:eastAsia="es-ES"/>
        </w:rPr>
        <w:t xml:space="preserve">las </w:t>
      </w:r>
      <w:r w:rsidRPr="0004129F">
        <w:rPr>
          <w:lang w:val="es-ES" w:eastAsia="es-ES"/>
        </w:rPr>
        <w:t>épocas y zonas de nid</w:t>
      </w:r>
      <w:r w:rsidRPr="0004129F">
        <w:rPr>
          <w:lang w:val="es-ES" w:eastAsia="es-ES"/>
        </w:rPr>
        <w:t>i</w:t>
      </w:r>
      <w:r w:rsidRPr="0004129F">
        <w:rPr>
          <w:lang w:val="es-ES" w:eastAsia="es-ES"/>
        </w:rPr>
        <w:t>ficación que obligan a prohibir el paso por determinadas</w:t>
      </w:r>
      <w:r>
        <w:rPr>
          <w:lang w:val="es-ES" w:eastAsia="es-ES"/>
        </w:rPr>
        <w:t xml:space="preserve"> áreas</w:t>
      </w:r>
      <w:r w:rsidRPr="0004129F">
        <w:rPr>
          <w:lang w:val="es-ES" w:eastAsia="es-ES"/>
        </w:rPr>
        <w:t xml:space="preserve">. </w:t>
      </w:r>
      <w:r>
        <w:rPr>
          <w:lang w:val="es-ES" w:eastAsia="es-ES"/>
        </w:rPr>
        <w:t>También se e</w:t>
      </w:r>
      <w:r>
        <w:rPr>
          <w:lang w:val="es-ES" w:eastAsia="es-ES"/>
        </w:rPr>
        <w:t>s</w:t>
      </w:r>
      <w:r>
        <w:rPr>
          <w:lang w:val="es-ES" w:eastAsia="es-ES"/>
        </w:rPr>
        <w:t>tán considerando para la</w:t>
      </w:r>
      <w:r w:rsidRPr="0004129F">
        <w:rPr>
          <w:lang w:val="es-ES" w:eastAsia="es-ES"/>
        </w:rPr>
        <w:t xml:space="preserve"> definición del Plan Turístico que se está elaborando</w:t>
      </w:r>
      <w:r>
        <w:rPr>
          <w:lang w:val="es-ES" w:eastAsia="es-ES"/>
        </w:rPr>
        <w:t xml:space="preserve"> y que se pretende que tenga la</w:t>
      </w:r>
      <w:r w:rsidRPr="0004129F">
        <w:rPr>
          <w:lang w:val="es-ES" w:eastAsia="es-ES"/>
        </w:rPr>
        <w:t xml:space="preserve"> calificación de turismo sostenible</w:t>
      </w:r>
      <w:r>
        <w:rPr>
          <w:lang w:val="es-ES" w:eastAsia="es-ES"/>
        </w:rPr>
        <w:t>.</w:t>
      </w:r>
    </w:p>
    <w:p w:rsidR="00553CEB" w:rsidRPr="0004129F"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L</w:t>
      </w:r>
      <w:r w:rsidRPr="0004129F">
        <w:rPr>
          <w:lang w:val="es-ES" w:eastAsia="es-ES"/>
        </w:rPr>
        <w:t xml:space="preserve">os resultados de los trabajos </w:t>
      </w:r>
      <w:r>
        <w:rPr>
          <w:lang w:val="es-ES" w:eastAsia="es-ES"/>
        </w:rPr>
        <w:t>se exponen en</w:t>
      </w:r>
      <w:r w:rsidRPr="0004129F">
        <w:rPr>
          <w:lang w:val="es-ES" w:eastAsia="es-ES"/>
        </w:rPr>
        <w:t xml:space="preserve"> las Jornadas Técnicas de la R</w:t>
      </w:r>
      <w:r w:rsidRPr="0004129F">
        <w:rPr>
          <w:lang w:val="es-ES" w:eastAsia="es-ES"/>
        </w:rPr>
        <w:t>e</w:t>
      </w:r>
      <w:r w:rsidRPr="0004129F">
        <w:rPr>
          <w:lang w:val="es-ES" w:eastAsia="es-ES"/>
        </w:rPr>
        <w:t>serva</w:t>
      </w:r>
      <w:r>
        <w:rPr>
          <w:lang w:val="es-ES" w:eastAsia="es-ES"/>
        </w:rPr>
        <w:t>s</w:t>
      </w:r>
      <w:r w:rsidRPr="0004129F">
        <w:rPr>
          <w:lang w:val="es-ES" w:eastAsia="es-ES"/>
        </w:rPr>
        <w:t xml:space="preserve"> de la Biosfera, a cargo de los distintos equipos que desarrollan sus trab</w:t>
      </w:r>
      <w:r w:rsidRPr="0004129F">
        <w:rPr>
          <w:lang w:val="es-ES" w:eastAsia="es-ES"/>
        </w:rPr>
        <w:t>a</w:t>
      </w:r>
      <w:r w:rsidRPr="0004129F">
        <w:rPr>
          <w:lang w:val="es-ES" w:eastAsia="es-ES"/>
        </w:rPr>
        <w:t>jos de investigación en el Parque.</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sidRPr="0004129F">
        <w:rPr>
          <w:lang w:val="es-ES" w:eastAsia="es-ES"/>
        </w:rPr>
        <w:t>Además, las actuaciones realizadas y sus resultados se describen en las m</w:t>
      </w:r>
      <w:r w:rsidRPr="0004129F">
        <w:rPr>
          <w:lang w:val="es-ES" w:eastAsia="es-ES"/>
        </w:rPr>
        <w:t>e</w:t>
      </w:r>
      <w:r w:rsidRPr="0004129F">
        <w:rPr>
          <w:lang w:val="es-ES" w:eastAsia="es-ES"/>
        </w:rPr>
        <w:t xml:space="preserve">morias de actuaciones que se han elaborado para las reuniones del Consejo Asesor del Parque </w:t>
      </w:r>
      <w:r>
        <w:rPr>
          <w:lang w:val="es-ES" w:eastAsia="es-ES"/>
        </w:rPr>
        <w:t>Natural en distintos años.</w:t>
      </w:r>
    </w:p>
    <w:p w:rsidR="00E52067" w:rsidRDefault="00553CEB" w:rsidP="005335AA">
      <w:pPr>
        <w:pStyle w:val="texto"/>
        <w:tabs>
          <w:tab w:val="clear" w:pos="2835"/>
          <w:tab w:val="clear" w:pos="3969"/>
          <w:tab w:val="clear" w:pos="5103"/>
          <w:tab w:val="clear" w:pos="6237"/>
          <w:tab w:val="clear" w:pos="7371"/>
          <w:tab w:val="left" w:pos="480"/>
        </w:tabs>
        <w:rPr>
          <w:lang w:val="es-ES" w:eastAsia="es-ES"/>
        </w:rPr>
      </w:pPr>
      <w:r>
        <w:rPr>
          <w:lang w:val="es-ES" w:eastAsia="es-ES"/>
        </w:rPr>
        <w:t>Para la revisión de estos contratos hemos tomado una muestra de los estudios encargados a cinco entidades con un gasto total de 0,7 millones. Los resultados de la revisión son satisfactorios y todos los gastos están autorizados, justific</w:t>
      </w:r>
      <w:r>
        <w:rPr>
          <w:lang w:val="es-ES" w:eastAsia="es-ES"/>
        </w:rPr>
        <w:t>a</w:t>
      </w:r>
      <w:r>
        <w:rPr>
          <w:lang w:val="es-ES" w:eastAsia="es-ES"/>
        </w:rPr>
        <w:t>dos, contabilizados y existe informe/trabajo sobre los resultados de la invest</w:t>
      </w:r>
      <w:r>
        <w:rPr>
          <w:lang w:val="es-ES" w:eastAsia="es-ES"/>
        </w:rPr>
        <w:t>i</w:t>
      </w:r>
      <w:r>
        <w:rPr>
          <w:lang w:val="es-ES" w:eastAsia="es-ES"/>
        </w:rPr>
        <w:t xml:space="preserve">gación. </w:t>
      </w:r>
    </w:p>
    <w:p w:rsidR="007908F5" w:rsidRDefault="007908F5" w:rsidP="005335AA">
      <w:pPr>
        <w:pStyle w:val="texto"/>
        <w:tabs>
          <w:tab w:val="clear" w:pos="2835"/>
          <w:tab w:val="clear" w:pos="3969"/>
          <w:tab w:val="clear" w:pos="5103"/>
          <w:tab w:val="clear" w:pos="6237"/>
          <w:tab w:val="clear" w:pos="7371"/>
          <w:tab w:val="left" w:pos="480"/>
        </w:tabs>
        <w:rPr>
          <w:lang w:val="es-ES" w:eastAsia="es-ES"/>
        </w:rPr>
      </w:pPr>
    </w:p>
    <w:p w:rsidR="007908F5" w:rsidRDefault="007908F5" w:rsidP="005335AA">
      <w:pPr>
        <w:pStyle w:val="texto"/>
        <w:tabs>
          <w:tab w:val="clear" w:pos="2835"/>
          <w:tab w:val="clear" w:pos="3969"/>
          <w:tab w:val="clear" w:pos="5103"/>
          <w:tab w:val="clear" w:pos="6237"/>
          <w:tab w:val="clear" w:pos="7371"/>
          <w:tab w:val="left" w:pos="480"/>
        </w:tabs>
        <w:rPr>
          <w:lang w:val="es-ES" w:eastAsia="es-ES"/>
        </w:rPr>
      </w:pPr>
    </w:p>
    <w:p w:rsidR="007908F5" w:rsidRDefault="007908F5" w:rsidP="005335AA">
      <w:pPr>
        <w:pStyle w:val="texto"/>
        <w:tabs>
          <w:tab w:val="clear" w:pos="2835"/>
          <w:tab w:val="clear" w:pos="3969"/>
          <w:tab w:val="clear" w:pos="5103"/>
          <w:tab w:val="clear" w:pos="6237"/>
          <w:tab w:val="clear" w:pos="7371"/>
          <w:tab w:val="left" w:pos="480"/>
        </w:tabs>
        <w:rPr>
          <w:lang w:val="es-ES" w:eastAsia="es-ES"/>
        </w:rPr>
      </w:pP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lastRenderedPageBreak/>
        <w:t xml:space="preserve">No obstante recomendamos: </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Desglosar, con mayor detalle, las partidas integrantes del coste total del presupuesto del trabajo a ejecutar y que la justificación aportada del gasto se presente igualmente con ese detalle.</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En los proyectos plurianuales, sería conveniente aportar un informe, al f</w:t>
      </w:r>
      <w:r w:rsidRPr="00514ACB">
        <w:rPr>
          <w:i/>
        </w:rPr>
        <w:t>i</w:t>
      </w:r>
      <w:r w:rsidRPr="00514ACB">
        <w:rPr>
          <w:i/>
        </w:rPr>
        <w:t>nal de cada ejercicio, de los técnicos encargados de su supervisión sobre el grado de cumplimiento de los trabajos realizados.</w:t>
      </w:r>
    </w:p>
    <w:p w:rsidR="00553CEB" w:rsidRDefault="00553CEB" w:rsidP="00553CEB">
      <w:pPr>
        <w:spacing w:after="0"/>
        <w:ind w:firstLine="0"/>
        <w:jc w:val="left"/>
        <w:rPr>
          <w:lang w:val="es-ES" w:eastAsia="es-ES"/>
        </w:rPr>
      </w:pPr>
    </w:p>
    <w:p w:rsidR="00553CEB" w:rsidRDefault="00553CEB" w:rsidP="00553CEB">
      <w:pPr>
        <w:pStyle w:val="atitulo3"/>
        <w:rPr>
          <w:lang w:val="es-ES" w:eastAsia="es-ES"/>
        </w:rPr>
      </w:pPr>
      <w:r>
        <w:rPr>
          <w:lang w:val="es-ES" w:eastAsia="es-ES"/>
        </w:rPr>
        <w:t>V.5.5. Conclusiones finales y recomendaciones generales sobre contr</w:t>
      </w:r>
      <w:r>
        <w:rPr>
          <w:lang w:val="es-ES" w:eastAsia="es-ES"/>
        </w:rPr>
        <w:t>a</w:t>
      </w:r>
      <w:r>
        <w:rPr>
          <w:lang w:val="es-ES" w:eastAsia="es-ES"/>
        </w:rPr>
        <w:t xml:space="preserve">tación pública </w:t>
      </w:r>
    </w:p>
    <w:p w:rsidR="00553CEB" w:rsidRPr="00045A30" w:rsidRDefault="00D005D7"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Teniendo en cuenta l</w:t>
      </w:r>
      <w:r w:rsidR="00525BC5">
        <w:rPr>
          <w:lang w:val="es-ES" w:eastAsia="es-ES"/>
        </w:rPr>
        <w:t>os comentarios anteriores</w:t>
      </w:r>
      <w:r>
        <w:rPr>
          <w:lang w:val="es-ES" w:eastAsia="es-ES"/>
        </w:rPr>
        <w:t>, concluimos que la</w:t>
      </w:r>
      <w:r w:rsidR="00553CEB" w:rsidRPr="00045A30">
        <w:rPr>
          <w:lang w:val="es-ES" w:eastAsia="es-ES"/>
        </w:rPr>
        <w:t xml:space="preserve"> gestión de la contratación pública efectuada por la Comunidad de Bardenas se ha ajustado</w:t>
      </w:r>
      <w:r>
        <w:rPr>
          <w:lang w:val="es-ES" w:eastAsia="es-ES"/>
        </w:rPr>
        <w:t xml:space="preserve"> con</w:t>
      </w:r>
      <w:r w:rsidR="00525BC5">
        <w:rPr>
          <w:lang w:val="es-ES" w:eastAsia="es-ES"/>
        </w:rPr>
        <w:t xml:space="preserve"> </w:t>
      </w:r>
      <w:r>
        <w:rPr>
          <w:lang w:val="es-ES" w:eastAsia="es-ES"/>
        </w:rPr>
        <w:t>excepciones</w:t>
      </w:r>
      <w:r w:rsidR="00525BC5">
        <w:rPr>
          <w:lang w:val="es-ES" w:eastAsia="es-ES"/>
        </w:rPr>
        <w:t xml:space="preserve"> puntuales</w:t>
      </w:r>
      <w:r>
        <w:rPr>
          <w:lang w:val="es-ES" w:eastAsia="es-ES"/>
        </w:rPr>
        <w:t xml:space="preserve"> a la normativa vigente</w:t>
      </w:r>
      <w:r w:rsidR="00045AEB">
        <w:rPr>
          <w:lang w:val="es-ES" w:eastAsia="es-ES"/>
        </w:rPr>
        <w:t xml:space="preserve"> en dicha materia</w:t>
      </w:r>
      <w:r w:rsidR="00553CEB" w:rsidRPr="00045A30">
        <w:rPr>
          <w:lang w:val="es-ES" w:eastAsia="es-ES"/>
        </w:rPr>
        <w:t xml:space="preserve">. </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Así, destacamos que prácticamente la totalidad de los contratos revisados de obra, suministros y asistencia se han tramitado por el procedimiento abierto, lo que ha facilitado la concurrencia de ofertantes y la presentación de ofertas con relevantes bajas sobre el precio de licitación. Igualmente, no se observan de</w:t>
      </w:r>
      <w:r>
        <w:rPr>
          <w:lang w:val="es-ES" w:eastAsia="es-ES"/>
        </w:rPr>
        <w:t>s</w:t>
      </w:r>
      <w:r>
        <w:rPr>
          <w:lang w:val="es-ES" w:eastAsia="es-ES"/>
        </w:rPr>
        <w:t>viaciones significativas entre el precio de adjudicación y el de licitación.</w:t>
      </w:r>
    </w:p>
    <w:p w:rsidR="00553CEB" w:rsidRDefault="00B94E83"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 xml:space="preserve">No obstante, </w:t>
      </w:r>
      <w:r w:rsidR="00553CEB">
        <w:rPr>
          <w:lang w:val="es-ES" w:eastAsia="es-ES"/>
        </w:rPr>
        <w:t>hemos observado la existencia de determinados deficiencias en los procesos revisados, por lo que proponemos las siguientes recomendaciones generales:</w:t>
      </w:r>
    </w:p>
    <w:p w:rsidR="00553CEB" w:rsidRPr="00514ACB" w:rsidRDefault="00122D17"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Sería conveniente m</w:t>
      </w:r>
      <w:r w:rsidR="00553CEB" w:rsidRPr="00514ACB">
        <w:rPr>
          <w:i/>
        </w:rPr>
        <w:t>antener una relación de contratos adjudicados y en v</w:t>
      </w:r>
      <w:r w:rsidR="00553CEB" w:rsidRPr="00514ACB">
        <w:rPr>
          <w:i/>
        </w:rPr>
        <w:t>i</w:t>
      </w:r>
      <w:r w:rsidR="00553CEB" w:rsidRPr="00514ACB">
        <w:rPr>
          <w:i/>
        </w:rPr>
        <w:t>gor, al menos al final de cada ejercicio.</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 xml:space="preserve">Publicar en el Portal de Contratación </w:t>
      </w:r>
      <w:r w:rsidR="00122D17" w:rsidRPr="00514ACB">
        <w:rPr>
          <w:i/>
        </w:rPr>
        <w:t>las adjudicaciones de los corre</w:t>
      </w:r>
      <w:r w:rsidR="00122D17" w:rsidRPr="00514ACB">
        <w:rPr>
          <w:i/>
        </w:rPr>
        <w:t>s</w:t>
      </w:r>
      <w:r w:rsidR="00122D17" w:rsidRPr="00514ACB">
        <w:rPr>
          <w:i/>
        </w:rPr>
        <w:t>pondientes procesos selectivos.</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Las modificacio</w:t>
      </w:r>
      <w:r w:rsidR="00A6319E" w:rsidRPr="00514ACB">
        <w:rPr>
          <w:i/>
        </w:rPr>
        <w:t xml:space="preserve">nes de los contratos deben </w:t>
      </w:r>
      <w:r w:rsidRPr="00514ACB">
        <w:rPr>
          <w:i/>
        </w:rPr>
        <w:t>aprobarse formalmente por el órgano de contratación con carácter previo a su ejecución material.</w:t>
      </w:r>
      <w:r w:rsidR="00C033EC" w:rsidRPr="00514ACB">
        <w:rPr>
          <w:i/>
        </w:rPr>
        <w:t xml:space="preserve"> Igualme</w:t>
      </w:r>
      <w:r w:rsidR="00C033EC" w:rsidRPr="00514ACB">
        <w:rPr>
          <w:i/>
        </w:rPr>
        <w:t>n</w:t>
      </w:r>
      <w:r w:rsidR="00C033EC" w:rsidRPr="00514ACB">
        <w:rPr>
          <w:i/>
        </w:rPr>
        <w:t>te debe reajustarse</w:t>
      </w:r>
      <w:r w:rsidR="00B94E83" w:rsidRPr="00514ACB">
        <w:rPr>
          <w:i/>
        </w:rPr>
        <w:t>, en su caso,</w:t>
      </w:r>
      <w:r w:rsidR="00C033EC" w:rsidRPr="00514ACB">
        <w:rPr>
          <w:i/>
        </w:rPr>
        <w:t xml:space="preserve"> la correspondiente fianza o garantía.</w:t>
      </w:r>
    </w:p>
    <w:p w:rsidR="00553CEB" w:rsidRPr="00514ACB" w:rsidRDefault="005335AA"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 xml:space="preserve">Redactar los pliegos </w:t>
      </w:r>
      <w:r w:rsidR="00553CEB" w:rsidRPr="00514ACB">
        <w:rPr>
          <w:i/>
        </w:rPr>
        <w:t>de forma clara y concreta, evitando interpretaciones por parte de los posibles ofertantes que dificultan posteriormente los pro</w:t>
      </w:r>
      <w:r w:rsidR="00AE7101" w:rsidRPr="00514ACB">
        <w:rPr>
          <w:i/>
        </w:rPr>
        <w:t>cesos selectivos. Asi</w:t>
      </w:r>
      <w:r w:rsidR="00553CEB" w:rsidRPr="00514ACB">
        <w:rPr>
          <w:i/>
        </w:rPr>
        <w:t>mismo, dichos pliegos deben contener de forma detallada la asignación de puntos a los distintos subcriterios.</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La exclusión de ofertantes por presentar una oferta económica anorma</w:t>
      </w:r>
      <w:r w:rsidRPr="00514ACB">
        <w:rPr>
          <w:i/>
        </w:rPr>
        <w:t>l</w:t>
      </w:r>
      <w:r w:rsidRPr="00514ACB">
        <w:rPr>
          <w:i/>
        </w:rPr>
        <w:t>mente baja debe realizarse una vez justificado en informes técnicos la impos</w:t>
      </w:r>
      <w:r w:rsidRPr="00514ACB">
        <w:rPr>
          <w:i/>
        </w:rPr>
        <w:t>i</w:t>
      </w:r>
      <w:r w:rsidRPr="00514ACB">
        <w:rPr>
          <w:i/>
        </w:rPr>
        <w:t>bilidad material de ejecutar el contrato al precio presentado.</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t>Debe contemplarse en los procesos selectivos el valor estimado del contr</w:t>
      </w:r>
      <w:r w:rsidRPr="00514ACB">
        <w:rPr>
          <w:i/>
        </w:rPr>
        <w:t>a</w:t>
      </w:r>
      <w:r w:rsidRPr="00514ACB">
        <w:rPr>
          <w:i/>
        </w:rPr>
        <w:t>to, teniendo en cuenta el importe total del mismo derivado tanto del primer p</w:t>
      </w:r>
      <w:r w:rsidRPr="00514ACB">
        <w:rPr>
          <w:i/>
        </w:rPr>
        <w:t>e</w:t>
      </w:r>
      <w:r w:rsidRPr="00514ACB">
        <w:rPr>
          <w:i/>
        </w:rPr>
        <w:t xml:space="preserve">riodo como de las posibles prórrogas del mismo. </w:t>
      </w:r>
    </w:p>
    <w:p w:rsidR="00553CEB" w:rsidRPr="00514ACB" w:rsidRDefault="00553CEB" w:rsidP="00514ACB">
      <w:pPr>
        <w:pStyle w:val="texto"/>
        <w:numPr>
          <w:ilvl w:val="0"/>
          <w:numId w:val="2"/>
        </w:numPr>
        <w:tabs>
          <w:tab w:val="clear" w:pos="2835"/>
          <w:tab w:val="clear" w:pos="3969"/>
          <w:tab w:val="clear" w:pos="5103"/>
          <w:tab w:val="clear" w:pos="6237"/>
          <w:tab w:val="clear" w:pos="7371"/>
          <w:tab w:val="left" w:pos="480"/>
          <w:tab w:val="num" w:pos="600"/>
        </w:tabs>
        <w:ind w:left="0" w:firstLine="290"/>
        <w:rPr>
          <w:i/>
        </w:rPr>
      </w:pPr>
      <w:r w:rsidRPr="00514ACB">
        <w:rPr>
          <w:i/>
        </w:rPr>
        <w:lastRenderedPageBreak/>
        <w:t>Exigir al adjudicatario</w:t>
      </w:r>
      <w:r w:rsidR="00B9358E" w:rsidRPr="00514ACB">
        <w:rPr>
          <w:i/>
        </w:rPr>
        <w:t>, como paso previo a la firma del contrato,</w:t>
      </w:r>
      <w:r w:rsidRPr="00514ACB">
        <w:rPr>
          <w:i/>
        </w:rPr>
        <w:t xml:space="preserve"> toda la documentación que se contempla en los respectivos pliegos.</w:t>
      </w:r>
    </w:p>
    <w:p w:rsidR="00553CEB"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t>Así mismo destacamos que, en la tramitación de contratos más relevantes r</w:t>
      </w:r>
      <w:r>
        <w:rPr>
          <w:lang w:val="es-ES" w:eastAsia="es-ES"/>
        </w:rPr>
        <w:t>e</w:t>
      </w:r>
      <w:r>
        <w:rPr>
          <w:lang w:val="es-ES" w:eastAsia="es-ES"/>
        </w:rPr>
        <w:t>visados, se observa la existencia de incidencias y retrasos en su planificación que pueden haberse generado, además de por factores externos, también por una insuficiente dotación de recursos o medios humanos para el desarrollo de la gestión de la Comunidad. Es decir, la condición de Parque Natural y de Rese</w:t>
      </w:r>
      <w:r>
        <w:rPr>
          <w:lang w:val="es-ES" w:eastAsia="es-ES"/>
        </w:rPr>
        <w:t>r</w:t>
      </w:r>
      <w:r>
        <w:rPr>
          <w:lang w:val="es-ES" w:eastAsia="es-ES"/>
        </w:rPr>
        <w:t>va de la Biosfera exige la realización de tareas y actividades que exceden de las tradicionales que gestionaba la Comunidad; esta situación no se ha visto aco</w:t>
      </w:r>
      <w:r>
        <w:rPr>
          <w:lang w:val="es-ES" w:eastAsia="es-ES"/>
        </w:rPr>
        <w:t>m</w:t>
      </w:r>
      <w:r>
        <w:rPr>
          <w:lang w:val="es-ES" w:eastAsia="es-ES"/>
        </w:rPr>
        <w:t>pañada de un incremento de personal, dado que su número ha permanecido prácticamente inalterado desde el año 2000. En este sentido, creemos que, de</w:t>
      </w:r>
      <w:r>
        <w:rPr>
          <w:lang w:val="es-ES" w:eastAsia="es-ES"/>
        </w:rPr>
        <w:t>n</w:t>
      </w:r>
      <w:r>
        <w:rPr>
          <w:lang w:val="es-ES" w:eastAsia="es-ES"/>
        </w:rPr>
        <w:t>tro del actual marco legal, debería analizarse la razonabilidad de la actual pla</w:t>
      </w:r>
      <w:r>
        <w:rPr>
          <w:lang w:val="es-ES" w:eastAsia="es-ES"/>
        </w:rPr>
        <w:t>n</w:t>
      </w:r>
      <w:r>
        <w:rPr>
          <w:lang w:val="es-ES" w:eastAsia="es-ES"/>
        </w:rPr>
        <w:t>tilla de la Comunidad a la vista de las actividades a</w:t>
      </w:r>
      <w:r w:rsidR="00A6319E">
        <w:rPr>
          <w:lang w:val="es-ES" w:eastAsia="es-ES"/>
        </w:rPr>
        <w:t>signadas a la misma</w:t>
      </w:r>
      <w:r>
        <w:rPr>
          <w:lang w:val="es-ES" w:eastAsia="es-ES"/>
        </w:rPr>
        <w:t xml:space="preserve">. </w:t>
      </w:r>
    </w:p>
    <w:p w:rsidR="00D358A5" w:rsidRDefault="00D358A5" w:rsidP="00D358A5">
      <w:pPr>
        <w:pStyle w:val="texto"/>
        <w:spacing w:after="280"/>
        <w:rPr>
          <w:rFonts w:cs="Arial"/>
        </w:rPr>
      </w:pPr>
      <w:r w:rsidRPr="0094453B">
        <w:rPr>
          <w:rFonts w:cs="Arial"/>
        </w:rPr>
        <w:t xml:space="preserve">Informe que se emite a propuesta del auditor </w:t>
      </w:r>
      <w:r>
        <w:rPr>
          <w:rFonts w:cs="Arial"/>
        </w:rPr>
        <w:t>Ignacio Cabeza Del Salvador</w:t>
      </w:r>
      <w:r w:rsidRPr="0094453B">
        <w:rPr>
          <w:rFonts w:cs="Arial"/>
        </w:rPr>
        <w:t>, responsable de la realización de este trabajo, una vez cumplimentados los tr</w:t>
      </w:r>
      <w:r w:rsidRPr="0094453B">
        <w:rPr>
          <w:rFonts w:cs="Arial"/>
        </w:rPr>
        <w:t>á</w:t>
      </w:r>
      <w:r w:rsidRPr="0094453B">
        <w:rPr>
          <w:rFonts w:cs="Arial"/>
        </w:rPr>
        <w:t>mites previstos por la normativa vigente.</w:t>
      </w:r>
    </w:p>
    <w:p w:rsidR="00D358A5" w:rsidRPr="00AA7409" w:rsidRDefault="00D358A5" w:rsidP="00D358A5">
      <w:pPr>
        <w:pStyle w:val="texto"/>
        <w:tabs>
          <w:tab w:val="clear" w:pos="2835"/>
          <w:tab w:val="clear" w:pos="3969"/>
          <w:tab w:val="clear" w:pos="5103"/>
          <w:tab w:val="clear" w:pos="6237"/>
          <w:tab w:val="clear" w:pos="7371"/>
        </w:tabs>
        <w:jc w:val="center"/>
        <w:rPr>
          <w:rFonts w:cs="Arial"/>
        </w:rPr>
      </w:pPr>
      <w:r w:rsidRPr="00F80A95">
        <w:rPr>
          <w:rFonts w:cs="Arial"/>
        </w:rPr>
        <w:t>Pam</w:t>
      </w:r>
      <w:r w:rsidRPr="00047CC1">
        <w:rPr>
          <w:rFonts w:cs="Arial"/>
        </w:rPr>
        <w:t>plo</w:t>
      </w:r>
      <w:r w:rsidRPr="00E0231C">
        <w:rPr>
          <w:rFonts w:cs="Arial"/>
        </w:rPr>
        <w:t xml:space="preserve">na, </w:t>
      </w:r>
      <w:r w:rsidR="004653AF">
        <w:rPr>
          <w:rFonts w:cs="Arial"/>
        </w:rPr>
        <w:t>23</w:t>
      </w:r>
      <w:r w:rsidRPr="002F312A">
        <w:rPr>
          <w:rFonts w:cs="Arial"/>
        </w:rPr>
        <w:t xml:space="preserve"> de octubre de 201</w:t>
      </w:r>
      <w:r>
        <w:rPr>
          <w:rFonts w:cs="Arial"/>
        </w:rPr>
        <w:t>7</w:t>
      </w:r>
    </w:p>
    <w:p w:rsidR="00D358A5" w:rsidRPr="00A11C2B" w:rsidRDefault="00CD5371" w:rsidP="00D358A5">
      <w:pPr>
        <w:pStyle w:val="texto"/>
        <w:tabs>
          <w:tab w:val="clear" w:pos="2835"/>
          <w:tab w:val="clear" w:pos="3969"/>
          <w:tab w:val="clear" w:pos="5103"/>
          <w:tab w:val="clear" w:pos="6237"/>
          <w:tab w:val="clear" w:pos="7371"/>
        </w:tabs>
        <w:spacing w:after="0"/>
        <w:jc w:val="center"/>
      </w:pPr>
      <w:r>
        <w:rPr>
          <w:rFonts w:cs="Arial"/>
        </w:rPr>
        <w:t>La presidenta</w:t>
      </w:r>
    </w:p>
    <w:p w:rsidR="00D358A5" w:rsidRPr="008A5252" w:rsidRDefault="00CD5371" w:rsidP="00D358A5">
      <w:pPr>
        <w:pStyle w:val="texto"/>
        <w:tabs>
          <w:tab w:val="clear" w:pos="2835"/>
          <w:tab w:val="clear" w:pos="3969"/>
          <w:tab w:val="clear" w:pos="5103"/>
          <w:tab w:val="clear" w:pos="6237"/>
          <w:tab w:val="clear" w:pos="7371"/>
        </w:tabs>
        <w:jc w:val="center"/>
        <w:rPr>
          <w:rFonts w:cs="Arial"/>
          <w:lang w:val="es-ES"/>
        </w:rPr>
      </w:pPr>
      <w:r>
        <w:rPr>
          <w:rFonts w:cs="Arial"/>
          <w:lang w:val="es-ES"/>
        </w:rPr>
        <w:t>Asunción Olaechea Estanga</w:t>
      </w:r>
    </w:p>
    <w:p w:rsidR="00553CEB" w:rsidRPr="00774DC1" w:rsidRDefault="00553CEB" w:rsidP="00553CEB">
      <w:pPr>
        <w:pStyle w:val="texto"/>
        <w:tabs>
          <w:tab w:val="clear" w:pos="2835"/>
          <w:tab w:val="clear" w:pos="3969"/>
          <w:tab w:val="clear" w:pos="5103"/>
          <w:tab w:val="clear" w:pos="6237"/>
          <w:tab w:val="clear" w:pos="7371"/>
          <w:tab w:val="left" w:pos="480"/>
        </w:tabs>
        <w:rPr>
          <w:lang w:val="es-ES" w:eastAsia="es-ES"/>
        </w:rPr>
      </w:pPr>
      <w:r>
        <w:rPr>
          <w:lang w:val="es-ES" w:eastAsia="es-ES"/>
        </w:rPr>
        <w:br w:type="page"/>
      </w:r>
    </w:p>
    <w:p w:rsidR="00553CEB" w:rsidRDefault="00553CEB" w:rsidP="00553CEB">
      <w:pPr>
        <w:pStyle w:val="atitulo1"/>
        <w:rPr>
          <w:lang w:val="es-ES" w:eastAsia="es-ES"/>
        </w:rPr>
      </w:pPr>
      <w:bookmarkStart w:id="52" w:name="_Toc494897120"/>
      <w:r>
        <w:rPr>
          <w:lang w:val="es-ES" w:eastAsia="es-ES"/>
        </w:rPr>
        <w:lastRenderedPageBreak/>
        <w:t>Anexo. Evolución de la ejecución presupuestaria y principales magnit</w:t>
      </w:r>
      <w:r>
        <w:rPr>
          <w:lang w:val="es-ES" w:eastAsia="es-ES"/>
        </w:rPr>
        <w:t>u</w:t>
      </w:r>
      <w:r>
        <w:rPr>
          <w:lang w:val="es-ES" w:eastAsia="es-ES"/>
        </w:rPr>
        <w:t>des de la Comunidad de Bardenas Reales (2010 a 2016)</w:t>
      </w:r>
      <w:bookmarkEnd w:id="52"/>
    </w:p>
    <w:p w:rsidR="00553CEB" w:rsidRDefault="00553CEB" w:rsidP="00553CEB">
      <w:pPr>
        <w:pStyle w:val="texto"/>
        <w:tabs>
          <w:tab w:val="clear" w:pos="2835"/>
          <w:tab w:val="clear" w:pos="3969"/>
          <w:tab w:val="clear" w:pos="5103"/>
          <w:tab w:val="clear" w:pos="6237"/>
          <w:tab w:val="clear" w:pos="7371"/>
        </w:tabs>
        <w:spacing w:after="240"/>
        <w:rPr>
          <w:szCs w:val="26"/>
          <w:lang w:val="es-ES"/>
        </w:rPr>
      </w:pPr>
      <w:r>
        <w:rPr>
          <w:szCs w:val="26"/>
          <w:lang w:val="es-ES"/>
        </w:rPr>
        <w:t>En este anexo, se muestran, a efectos informativos, la evolución de los ga</w:t>
      </w:r>
      <w:r>
        <w:rPr>
          <w:szCs w:val="26"/>
          <w:lang w:val="es-ES"/>
        </w:rPr>
        <w:t>s</w:t>
      </w:r>
      <w:r>
        <w:rPr>
          <w:szCs w:val="26"/>
          <w:lang w:val="es-ES"/>
        </w:rPr>
        <w:t xml:space="preserve">tos e ingresos presupuestarios de la Comunidad para el periodo de 2010 a 2016 así como de las magnitudes más relevantes y otros datos de interés, al objeto de contextualizar </w:t>
      </w:r>
      <w:r w:rsidR="002078C2">
        <w:rPr>
          <w:szCs w:val="26"/>
          <w:lang w:val="es-ES"/>
        </w:rPr>
        <w:t>el gasto revisado</w:t>
      </w:r>
      <w:r>
        <w:rPr>
          <w:szCs w:val="26"/>
          <w:lang w:val="es-ES"/>
        </w:rPr>
        <w:t>.</w:t>
      </w:r>
    </w:p>
    <w:tbl>
      <w:tblPr>
        <w:tblW w:w="8838" w:type="dxa"/>
        <w:jc w:val="center"/>
        <w:tblInd w:w="99" w:type="dxa"/>
        <w:tblLayout w:type="fixed"/>
        <w:tblCellMar>
          <w:left w:w="70" w:type="dxa"/>
          <w:right w:w="70" w:type="dxa"/>
        </w:tblCellMar>
        <w:tblLook w:val="04A0" w:firstRow="1" w:lastRow="0" w:firstColumn="1" w:lastColumn="0" w:noHBand="0" w:noVBand="1"/>
      </w:tblPr>
      <w:tblGrid>
        <w:gridCol w:w="1801"/>
        <w:gridCol w:w="971"/>
        <w:gridCol w:w="1011"/>
        <w:gridCol w:w="973"/>
        <w:gridCol w:w="948"/>
        <w:gridCol w:w="991"/>
        <w:gridCol w:w="1105"/>
        <w:gridCol w:w="1038"/>
      </w:tblGrid>
      <w:tr w:rsidR="00553CEB" w:rsidRPr="004C1487" w:rsidTr="00982C84">
        <w:trPr>
          <w:trHeight w:val="315"/>
          <w:jc w:val="center"/>
        </w:trPr>
        <w:tc>
          <w:tcPr>
            <w:tcW w:w="1801" w:type="dxa"/>
            <w:tcBorders>
              <w:top w:val="single" w:sz="4" w:space="0" w:color="auto"/>
              <w:bottom w:val="single" w:sz="4" w:space="0" w:color="auto"/>
            </w:tcBorders>
            <w:shd w:val="clear" w:color="000000" w:fill="FABF8F"/>
            <w:noWrap/>
            <w:vAlign w:val="center"/>
            <w:hideMark/>
          </w:tcPr>
          <w:p w:rsidR="00553CEB" w:rsidRPr="004C1487" w:rsidRDefault="00553CEB" w:rsidP="00C52D3F">
            <w:pPr>
              <w:spacing w:after="0"/>
              <w:ind w:firstLine="0"/>
              <w:jc w:val="left"/>
              <w:rPr>
                <w:rFonts w:ascii="Arial" w:hAnsi="Arial" w:cs="Arial"/>
                <w:bCs/>
                <w:color w:val="000000"/>
                <w:sz w:val="16"/>
                <w:szCs w:val="16"/>
                <w:lang w:val="es-ES" w:eastAsia="es-ES"/>
              </w:rPr>
            </w:pPr>
            <w:r w:rsidRPr="004C1487">
              <w:rPr>
                <w:rFonts w:ascii="Arial" w:hAnsi="Arial" w:cs="Arial"/>
                <w:bCs/>
                <w:color w:val="000000"/>
                <w:sz w:val="16"/>
                <w:szCs w:val="16"/>
                <w:lang w:eastAsia="es-ES"/>
              </w:rPr>
              <w:t xml:space="preserve">Denominación </w:t>
            </w:r>
          </w:p>
        </w:tc>
        <w:tc>
          <w:tcPr>
            <w:tcW w:w="97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2010</w:t>
            </w:r>
          </w:p>
        </w:tc>
        <w:tc>
          <w:tcPr>
            <w:tcW w:w="101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2011</w:t>
            </w:r>
          </w:p>
        </w:tc>
        <w:tc>
          <w:tcPr>
            <w:tcW w:w="973"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2012</w:t>
            </w:r>
          </w:p>
        </w:tc>
        <w:tc>
          <w:tcPr>
            <w:tcW w:w="948"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2013</w:t>
            </w:r>
          </w:p>
        </w:tc>
        <w:tc>
          <w:tcPr>
            <w:tcW w:w="991"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2014</w:t>
            </w:r>
          </w:p>
        </w:tc>
        <w:tc>
          <w:tcPr>
            <w:tcW w:w="1105" w:type="dxa"/>
            <w:tcBorders>
              <w:top w:val="single" w:sz="4" w:space="0" w:color="auto"/>
              <w:bottom w:val="single" w:sz="4" w:space="0" w:color="auto"/>
            </w:tcBorders>
            <w:shd w:val="clear" w:color="000000" w:fill="FABF8F"/>
            <w:noWrap/>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2015</w:t>
            </w:r>
          </w:p>
        </w:tc>
        <w:tc>
          <w:tcPr>
            <w:tcW w:w="1038" w:type="dxa"/>
            <w:tcBorders>
              <w:top w:val="single" w:sz="4" w:space="0" w:color="auto"/>
              <w:bottom w:val="single" w:sz="4" w:space="0" w:color="auto"/>
            </w:tcBorders>
            <w:shd w:val="clear" w:color="000000" w:fill="FABF8F"/>
            <w:vAlign w:val="center"/>
            <w:hideMark/>
          </w:tcPr>
          <w:p w:rsidR="00553CEB" w:rsidRPr="004C1487" w:rsidRDefault="00553CEB" w:rsidP="00982C84">
            <w:pPr>
              <w:spacing w:after="0"/>
              <w:ind w:firstLine="0"/>
              <w:jc w:val="right"/>
              <w:rPr>
                <w:rFonts w:ascii="Arial" w:hAnsi="Arial" w:cs="Arial"/>
                <w:bCs/>
                <w:color w:val="000000"/>
                <w:sz w:val="16"/>
                <w:szCs w:val="16"/>
                <w:lang w:val="es-ES" w:eastAsia="es-ES"/>
              </w:rPr>
            </w:pPr>
            <w:r w:rsidRPr="004C1487">
              <w:rPr>
                <w:rFonts w:ascii="Arial" w:hAnsi="Arial" w:cs="Arial"/>
                <w:bCs/>
                <w:color w:val="000000"/>
                <w:sz w:val="16"/>
                <w:szCs w:val="16"/>
                <w:lang w:eastAsia="es-ES"/>
              </w:rPr>
              <w:t>2016</w:t>
            </w:r>
          </w:p>
        </w:tc>
      </w:tr>
      <w:tr w:rsidR="00553CEB" w:rsidRPr="004C1487" w:rsidTr="00982C84">
        <w:trPr>
          <w:trHeight w:val="284"/>
          <w:jc w:val="center"/>
        </w:trPr>
        <w:tc>
          <w:tcPr>
            <w:tcW w:w="1801" w:type="dxa"/>
            <w:tcBorders>
              <w:top w:val="single" w:sz="4"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r w:rsidRPr="004C1487">
              <w:rPr>
                <w:rFonts w:ascii="Arial Narrow" w:hAnsi="Arial Narrow"/>
                <w:color w:val="000000"/>
                <w:sz w:val="18"/>
                <w:szCs w:val="18"/>
                <w:lang w:val="es-ES" w:eastAsia="es-ES"/>
              </w:rPr>
              <w:t>Ingresos presupuestarios</w:t>
            </w:r>
          </w:p>
        </w:tc>
        <w:tc>
          <w:tcPr>
            <w:tcW w:w="97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8.975.450</w:t>
            </w:r>
          </w:p>
        </w:tc>
        <w:tc>
          <w:tcPr>
            <w:tcW w:w="101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11.219.267</w:t>
            </w:r>
          </w:p>
        </w:tc>
        <w:tc>
          <w:tcPr>
            <w:tcW w:w="973"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10.136.357</w:t>
            </w:r>
          </w:p>
        </w:tc>
        <w:tc>
          <w:tcPr>
            <w:tcW w:w="948"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12.208.420</w:t>
            </w:r>
          </w:p>
        </w:tc>
        <w:tc>
          <w:tcPr>
            <w:tcW w:w="991"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9.710.135</w:t>
            </w:r>
          </w:p>
        </w:tc>
        <w:tc>
          <w:tcPr>
            <w:tcW w:w="1105" w:type="dxa"/>
            <w:tcBorders>
              <w:top w:val="single" w:sz="4"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10.174.772</w:t>
            </w:r>
          </w:p>
        </w:tc>
        <w:tc>
          <w:tcPr>
            <w:tcW w:w="1038" w:type="dxa"/>
            <w:tcBorders>
              <w:top w:val="single" w:sz="4"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9.553.440</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r w:rsidRPr="004C1487">
              <w:rPr>
                <w:rFonts w:ascii="Arial Narrow" w:hAnsi="Arial Narrow"/>
                <w:color w:val="000000"/>
                <w:sz w:val="18"/>
                <w:szCs w:val="18"/>
                <w:lang w:val="es-ES" w:eastAsia="es-ES"/>
              </w:rPr>
              <w:t>Gastos presupuestarios</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9.485.302</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9.347.164</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9.906.427</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9.097.829</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11.155.178</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8.819.033</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9.033.786</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r w:rsidRPr="004C1487">
              <w:rPr>
                <w:rFonts w:ascii="Arial Narrow" w:hAnsi="Arial Narrow"/>
                <w:color w:val="000000"/>
                <w:sz w:val="18"/>
                <w:szCs w:val="18"/>
                <w:lang w:val="es-ES" w:eastAsia="es-ES"/>
              </w:rPr>
              <w:t>Resultado presupuest</w:t>
            </w:r>
            <w:r w:rsidRPr="004C1487">
              <w:rPr>
                <w:rFonts w:ascii="Arial Narrow" w:hAnsi="Arial Narrow"/>
                <w:color w:val="000000"/>
                <w:sz w:val="18"/>
                <w:szCs w:val="18"/>
                <w:lang w:val="es-ES" w:eastAsia="es-ES"/>
              </w:rPr>
              <w:t>a</w:t>
            </w:r>
            <w:r w:rsidRPr="004C1487">
              <w:rPr>
                <w:rFonts w:ascii="Arial Narrow" w:hAnsi="Arial Narrow"/>
                <w:color w:val="000000"/>
                <w:sz w:val="18"/>
                <w:szCs w:val="18"/>
                <w:lang w:val="es-ES" w:eastAsia="es-ES"/>
              </w:rPr>
              <w:t>rio ajustado</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-65.331</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1.750.156</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2.317.435</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3.110.591</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640.501</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1.680.671</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519.654</w:t>
            </w:r>
          </w:p>
        </w:tc>
      </w:tr>
      <w:tr w:rsidR="00553CEB" w:rsidRPr="004C1487"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sz w:val="18"/>
                <w:szCs w:val="18"/>
                <w:lang w:val="es-ES" w:eastAsia="es-ES"/>
              </w:rPr>
            </w:pPr>
            <w:r w:rsidRPr="004C1487">
              <w:rPr>
                <w:rFonts w:ascii="Arial Narrow" w:hAnsi="Arial Narrow"/>
                <w:color w:val="000000"/>
                <w:sz w:val="18"/>
                <w:szCs w:val="18"/>
                <w:lang w:val="es-ES" w:eastAsia="es-ES"/>
              </w:rPr>
              <w:t>Remanente de Tesorería para gastos generales</w:t>
            </w:r>
          </w:p>
        </w:tc>
        <w:tc>
          <w:tcPr>
            <w:tcW w:w="97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8.194.348</w:t>
            </w:r>
          </w:p>
        </w:tc>
        <w:tc>
          <w:tcPr>
            <w:tcW w:w="101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9.660.574</w:t>
            </w:r>
          </w:p>
        </w:tc>
        <w:tc>
          <w:tcPr>
            <w:tcW w:w="973"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11.210.459</w:t>
            </w:r>
          </w:p>
        </w:tc>
        <w:tc>
          <w:tcPr>
            <w:tcW w:w="948"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14.483.976</w:t>
            </w:r>
          </w:p>
        </w:tc>
        <w:tc>
          <w:tcPr>
            <w:tcW w:w="991"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13.762.979</w:t>
            </w:r>
          </w:p>
        </w:tc>
        <w:tc>
          <w:tcPr>
            <w:tcW w:w="1105" w:type="dxa"/>
            <w:tcBorders>
              <w:top w:val="single" w:sz="2" w:space="0" w:color="auto"/>
              <w:bottom w:val="single" w:sz="2" w:space="0" w:color="auto"/>
            </w:tcBorders>
            <w:shd w:val="clear" w:color="auto" w:fill="auto"/>
            <w:noWrap/>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15.416.100</w:t>
            </w:r>
          </w:p>
        </w:tc>
        <w:tc>
          <w:tcPr>
            <w:tcW w:w="1038" w:type="dxa"/>
            <w:tcBorders>
              <w:top w:val="single" w:sz="2" w:space="0" w:color="auto"/>
              <w:bottom w:val="single" w:sz="2" w:space="0" w:color="auto"/>
            </w:tcBorders>
            <w:shd w:val="clear" w:color="auto" w:fill="auto"/>
            <w:vAlign w:val="center"/>
          </w:tcPr>
          <w:p w:rsidR="00553CEB" w:rsidRPr="004C1487" w:rsidRDefault="00553CEB" w:rsidP="00982C84">
            <w:pPr>
              <w:spacing w:after="0"/>
              <w:ind w:firstLine="0"/>
              <w:jc w:val="right"/>
              <w:rPr>
                <w:rFonts w:ascii="Arial Narrow" w:hAnsi="Arial Narrow"/>
                <w:color w:val="000000"/>
                <w:sz w:val="18"/>
                <w:szCs w:val="18"/>
                <w:lang w:eastAsia="es-ES"/>
              </w:rPr>
            </w:pPr>
            <w:r w:rsidRPr="004C1487">
              <w:rPr>
                <w:rFonts w:ascii="Arial Narrow" w:hAnsi="Arial Narrow"/>
                <w:color w:val="000000"/>
                <w:sz w:val="18"/>
                <w:szCs w:val="18"/>
                <w:lang w:eastAsia="es-ES"/>
              </w:rPr>
              <w:t>16.301.714</w:t>
            </w:r>
          </w:p>
        </w:tc>
      </w:tr>
      <w:tr w:rsidR="00553CEB" w:rsidRPr="00F3796C" w:rsidTr="00982C84">
        <w:trPr>
          <w:trHeight w:val="284"/>
          <w:jc w:val="center"/>
        </w:trPr>
        <w:tc>
          <w:tcPr>
            <w:tcW w:w="1801" w:type="dxa"/>
            <w:tcBorders>
              <w:top w:val="single" w:sz="2" w:space="0" w:color="auto"/>
              <w:bottom w:val="single" w:sz="2" w:space="0" w:color="auto"/>
            </w:tcBorders>
            <w:shd w:val="clear" w:color="000000" w:fill="FFFFFF"/>
            <w:vAlign w:val="center"/>
          </w:tcPr>
          <w:p w:rsidR="00553CEB" w:rsidRPr="004C1487" w:rsidRDefault="00553CEB" w:rsidP="00C52D3F">
            <w:pPr>
              <w:spacing w:after="0"/>
              <w:ind w:firstLine="0"/>
              <w:jc w:val="left"/>
              <w:rPr>
                <w:rFonts w:ascii="Arial Narrow" w:hAnsi="Arial Narrow"/>
                <w:color w:val="000000"/>
                <w:lang w:val="es-ES" w:eastAsia="es-ES"/>
              </w:rPr>
            </w:pPr>
          </w:p>
        </w:tc>
        <w:tc>
          <w:tcPr>
            <w:tcW w:w="97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01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73"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48"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991"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105" w:type="dxa"/>
            <w:tcBorders>
              <w:top w:val="single" w:sz="2" w:space="0" w:color="auto"/>
              <w:bottom w:val="single" w:sz="2" w:space="0" w:color="auto"/>
            </w:tcBorders>
            <w:shd w:val="clear" w:color="auto" w:fill="auto"/>
            <w:noWrap/>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c>
          <w:tcPr>
            <w:tcW w:w="1038" w:type="dxa"/>
            <w:tcBorders>
              <w:top w:val="single" w:sz="2" w:space="0" w:color="auto"/>
              <w:bottom w:val="single" w:sz="2" w:space="0" w:color="auto"/>
            </w:tcBorders>
            <w:shd w:val="clear" w:color="auto" w:fill="auto"/>
            <w:vAlign w:val="center"/>
          </w:tcPr>
          <w:p w:rsidR="00553CEB" w:rsidRPr="007E5599" w:rsidRDefault="00553CEB" w:rsidP="00982C84">
            <w:pPr>
              <w:spacing w:after="0"/>
              <w:ind w:firstLine="0"/>
              <w:jc w:val="right"/>
              <w:rPr>
                <w:rFonts w:ascii="Arial Narrow" w:hAnsi="Arial Narrow"/>
                <w:color w:val="000000"/>
                <w:sz w:val="18"/>
                <w:szCs w:val="18"/>
                <w:lang w:eastAsia="es-ES"/>
              </w:rPr>
            </w:pPr>
          </w:p>
        </w:tc>
      </w:tr>
      <w:tr w:rsidR="00553CEB" w:rsidRPr="004C1487" w:rsidTr="00982C84">
        <w:trPr>
          <w:trHeight w:val="284"/>
          <w:jc w:val="center"/>
        </w:trPr>
        <w:tc>
          <w:tcPr>
            <w:tcW w:w="1801" w:type="dxa"/>
            <w:tcBorders>
              <w:top w:val="single" w:sz="2" w:space="0" w:color="auto"/>
              <w:bottom w:val="single" w:sz="4" w:space="0" w:color="auto"/>
            </w:tcBorders>
            <w:shd w:val="clear" w:color="000000" w:fill="FFFFFF"/>
            <w:vAlign w:val="center"/>
          </w:tcPr>
          <w:p w:rsidR="00553CEB" w:rsidRPr="004C1487" w:rsidRDefault="00553CEB" w:rsidP="00C52D3F">
            <w:pPr>
              <w:spacing w:after="0"/>
              <w:ind w:firstLine="0"/>
              <w:jc w:val="left"/>
              <w:rPr>
                <w:rFonts w:ascii="Arial" w:hAnsi="Arial" w:cs="Arial"/>
                <w:color w:val="000000"/>
                <w:sz w:val="16"/>
                <w:szCs w:val="16"/>
                <w:lang w:eastAsia="es-ES"/>
              </w:rPr>
            </w:pPr>
            <w:r w:rsidRPr="004C1487">
              <w:rPr>
                <w:rFonts w:ascii="Arial" w:hAnsi="Arial" w:cs="Arial"/>
                <w:color w:val="000000"/>
                <w:sz w:val="16"/>
                <w:szCs w:val="16"/>
                <w:lang w:eastAsia="es-ES"/>
              </w:rPr>
              <w:t>Endeudamiento</w:t>
            </w:r>
          </w:p>
        </w:tc>
        <w:tc>
          <w:tcPr>
            <w:tcW w:w="97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16.919.300</w:t>
            </w:r>
          </w:p>
        </w:tc>
        <w:tc>
          <w:tcPr>
            <w:tcW w:w="101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15.661.072</w:t>
            </w:r>
          </w:p>
        </w:tc>
        <w:tc>
          <w:tcPr>
            <w:tcW w:w="973"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14.387.508</w:t>
            </w:r>
          </w:p>
        </w:tc>
        <w:tc>
          <w:tcPr>
            <w:tcW w:w="948"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13.072.213</w:t>
            </w:r>
          </w:p>
        </w:tc>
        <w:tc>
          <w:tcPr>
            <w:tcW w:w="991"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9.736.190</w:t>
            </w:r>
          </w:p>
        </w:tc>
        <w:tc>
          <w:tcPr>
            <w:tcW w:w="1105" w:type="dxa"/>
            <w:tcBorders>
              <w:top w:val="single" w:sz="2" w:space="0" w:color="auto"/>
              <w:bottom w:val="single" w:sz="4" w:space="0" w:color="auto"/>
            </w:tcBorders>
            <w:shd w:val="clear" w:color="auto" w:fill="auto"/>
            <w:noWrap/>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8.595.360</w:t>
            </w:r>
          </w:p>
        </w:tc>
        <w:tc>
          <w:tcPr>
            <w:tcW w:w="1038" w:type="dxa"/>
            <w:tcBorders>
              <w:top w:val="single" w:sz="2" w:space="0" w:color="auto"/>
              <w:bottom w:val="single" w:sz="4" w:space="0" w:color="auto"/>
            </w:tcBorders>
            <w:shd w:val="clear" w:color="auto" w:fill="auto"/>
            <w:vAlign w:val="center"/>
          </w:tcPr>
          <w:p w:rsidR="00553CEB" w:rsidRPr="004C1487" w:rsidRDefault="00553CEB" w:rsidP="00982C84">
            <w:pPr>
              <w:spacing w:after="0"/>
              <w:ind w:firstLine="0"/>
              <w:jc w:val="right"/>
              <w:rPr>
                <w:rFonts w:ascii="Arial" w:hAnsi="Arial" w:cs="Arial"/>
                <w:color w:val="000000"/>
                <w:sz w:val="16"/>
                <w:szCs w:val="16"/>
                <w:lang w:eastAsia="es-ES"/>
              </w:rPr>
            </w:pPr>
            <w:r w:rsidRPr="004C1487">
              <w:rPr>
                <w:rFonts w:ascii="Arial" w:hAnsi="Arial" w:cs="Arial"/>
                <w:color w:val="000000"/>
                <w:sz w:val="16"/>
                <w:szCs w:val="16"/>
                <w:lang w:eastAsia="es-ES"/>
              </w:rPr>
              <w:t>7.463.192</w:t>
            </w:r>
          </w:p>
        </w:tc>
      </w:tr>
    </w:tbl>
    <w:p w:rsidR="00553CEB" w:rsidRDefault="00553CEB" w:rsidP="00982C84">
      <w:pPr>
        <w:pStyle w:val="texto"/>
        <w:tabs>
          <w:tab w:val="clear" w:pos="2835"/>
          <w:tab w:val="clear" w:pos="3969"/>
          <w:tab w:val="clear" w:pos="5103"/>
          <w:tab w:val="clear" w:pos="6237"/>
          <w:tab w:val="clear" w:pos="7371"/>
        </w:tabs>
        <w:spacing w:after="0"/>
        <w:rPr>
          <w:szCs w:val="26"/>
          <w:lang w:val="es-ES"/>
        </w:rPr>
      </w:pPr>
    </w:p>
    <w:p w:rsidR="00553CEB" w:rsidRPr="00EC1F84" w:rsidRDefault="00553CEB" w:rsidP="00553CEB">
      <w:pPr>
        <w:pStyle w:val="texto"/>
        <w:tabs>
          <w:tab w:val="clear" w:pos="2835"/>
          <w:tab w:val="clear" w:pos="3969"/>
          <w:tab w:val="clear" w:pos="5103"/>
          <w:tab w:val="clear" w:pos="6237"/>
          <w:tab w:val="clear" w:pos="7371"/>
          <w:tab w:val="left" w:pos="480"/>
        </w:tabs>
        <w:rPr>
          <w:lang w:val="es-ES" w:eastAsia="es-ES"/>
        </w:rPr>
      </w:pPr>
      <w:r w:rsidRPr="00EC1F84">
        <w:rPr>
          <w:lang w:val="es-ES" w:eastAsia="es-ES"/>
        </w:rPr>
        <w:t>Como se observa, a finales de 2016 la Comunidad presenta una situación s</w:t>
      </w:r>
      <w:r w:rsidRPr="00EC1F84">
        <w:rPr>
          <w:lang w:val="es-ES" w:eastAsia="es-ES"/>
        </w:rPr>
        <w:t>a</w:t>
      </w:r>
      <w:r w:rsidRPr="00EC1F84">
        <w:rPr>
          <w:lang w:val="es-ES" w:eastAsia="es-ES"/>
        </w:rPr>
        <w:t>neada con un relevante Remanente de Tesorería para gastos generales de 16,3 millones y un endeudamiento</w:t>
      </w:r>
      <w:r w:rsidR="002078C2">
        <w:rPr>
          <w:lang w:val="es-ES" w:eastAsia="es-ES"/>
        </w:rPr>
        <w:t xml:space="preserve"> de 7,46 millones </w:t>
      </w:r>
      <w:r w:rsidRPr="00EC1F84">
        <w:rPr>
          <w:lang w:val="es-ES" w:eastAsia="es-ES"/>
        </w:rPr>
        <w:t>que representa el 78 por ciento de sus ingresos corrientes. Este endeudamiento se concierta en 2008 y su apl</w:t>
      </w:r>
      <w:r w:rsidRPr="00EC1F84">
        <w:rPr>
          <w:lang w:val="es-ES" w:eastAsia="es-ES"/>
        </w:rPr>
        <w:t>i</w:t>
      </w:r>
      <w:r w:rsidRPr="00EC1F84">
        <w:rPr>
          <w:lang w:val="es-ES" w:eastAsia="es-ES"/>
        </w:rPr>
        <w:t>cación fue financiar las huertas solares; en el periodo de 2010 a 2016 no se ha concertado nuevo endeudamiento.</w:t>
      </w:r>
    </w:p>
    <w:p w:rsidR="00553CEB" w:rsidRPr="00EC1F84" w:rsidRDefault="00553CEB" w:rsidP="00982C84">
      <w:pPr>
        <w:pStyle w:val="texto"/>
        <w:tabs>
          <w:tab w:val="clear" w:pos="2835"/>
          <w:tab w:val="clear" w:pos="3969"/>
          <w:tab w:val="clear" w:pos="5103"/>
          <w:tab w:val="clear" w:pos="6237"/>
          <w:tab w:val="clear" w:pos="7371"/>
          <w:tab w:val="left" w:pos="480"/>
        </w:tabs>
        <w:spacing w:after="240"/>
        <w:rPr>
          <w:lang w:val="es-ES" w:eastAsia="es-ES"/>
        </w:rPr>
      </w:pPr>
      <w:r w:rsidRPr="00EC1F84">
        <w:rPr>
          <w:lang w:val="es-ES" w:eastAsia="es-ES"/>
        </w:rPr>
        <w:t>En el cuadro siguiente se muestra, en porcentaje medio, la financiación y el gasto de la Comunidad para el periodo de 2010 a 2016.</w:t>
      </w:r>
    </w:p>
    <w:tbl>
      <w:tblPr>
        <w:tblW w:w="873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10"/>
        <w:gridCol w:w="2046"/>
        <w:gridCol w:w="2795"/>
        <w:gridCol w:w="1580"/>
      </w:tblGrid>
      <w:tr w:rsidR="00553CEB" w:rsidRPr="007B043B" w:rsidTr="00CD5371">
        <w:trPr>
          <w:trHeight w:val="284"/>
          <w:jc w:val="center"/>
        </w:trPr>
        <w:tc>
          <w:tcPr>
            <w:tcW w:w="2310" w:type="dxa"/>
            <w:shd w:val="clear" w:color="auto" w:fill="FABF8F" w:themeFill="accent6" w:themeFillTint="99"/>
            <w:vAlign w:val="center"/>
          </w:tcPr>
          <w:p w:rsidR="00553CEB" w:rsidRPr="007B043B" w:rsidRDefault="00553CEB" w:rsidP="00553CEB">
            <w:pPr>
              <w:pStyle w:val="cuadroCabe"/>
              <w:rPr>
                <w:rFonts w:cs="Arial"/>
              </w:rPr>
            </w:pPr>
            <w:r w:rsidRPr="007B043B">
              <w:rPr>
                <w:rFonts w:cs="Arial"/>
              </w:rPr>
              <w:t>Naturaleza del gasto</w:t>
            </w:r>
          </w:p>
        </w:tc>
        <w:tc>
          <w:tcPr>
            <w:tcW w:w="2046" w:type="dxa"/>
            <w:tcBorders>
              <w:left w:val="nil"/>
              <w:right w:val="single" w:sz="2" w:space="0" w:color="auto"/>
            </w:tcBorders>
            <w:shd w:val="clear" w:color="auto" w:fill="FABF8F" w:themeFill="accent6" w:themeFillTint="99"/>
            <w:vAlign w:val="center"/>
          </w:tcPr>
          <w:p w:rsidR="00982C84" w:rsidRDefault="00553CEB" w:rsidP="00982C84">
            <w:pPr>
              <w:pStyle w:val="cuadroCabe"/>
              <w:ind w:right="132"/>
              <w:jc w:val="right"/>
              <w:rPr>
                <w:rFonts w:cs="Arial"/>
              </w:rPr>
            </w:pPr>
            <w:r>
              <w:rPr>
                <w:rFonts w:cs="Arial"/>
              </w:rPr>
              <w:t>% medio</w:t>
            </w:r>
            <w:r w:rsidR="00982C84">
              <w:rPr>
                <w:rFonts w:cs="Arial"/>
              </w:rPr>
              <w:t xml:space="preserve"> </w:t>
            </w:r>
          </w:p>
          <w:p w:rsidR="00553CEB" w:rsidRPr="007B043B" w:rsidRDefault="00553CEB" w:rsidP="00982C84">
            <w:pPr>
              <w:pStyle w:val="cuadroCabe"/>
              <w:ind w:right="132"/>
              <w:jc w:val="right"/>
              <w:rPr>
                <w:rFonts w:cs="Arial"/>
              </w:rPr>
            </w:pPr>
            <w:r>
              <w:rPr>
                <w:rFonts w:cs="Arial"/>
              </w:rPr>
              <w:t>2010-2016</w:t>
            </w:r>
          </w:p>
        </w:tc>
        <w:tc>
          <w:tcPr>
            <w:tcW w:w="2795" w:type="dxa"/>
            <w:tcBorders>
              <w:left w:val="single" w:sz="2" w:space="0" w:color="auto"/>
            </w:tcBorders>
            <w:shd w:val="clear" w:color="auto" w:fill="FABF8F" w:themeFill="accent6" w:themeFillTint="99"/>
            <w:vAlign w:val="center"/>
          </w:tcPr>
          <w:p w:rsidR="00553CEB" w:rsidRPr="007B043B" w:rsidRDefault="00553CEB" w:rsidP="00553CEB">
            <w:pPr>
              <w:pStyle w:val="cuadroCabe"/>
              <w:jc w:val="left"/>
              <w:rPr>
                <w:rFonts w:cs="Arial"/>
              </w:rPr>
            </w:pPr>
            <w:r w:rsidRPr="007B043B">
              <w:rPr>
                <w:rFonts w:cs="Arial"/>
              </w:rPr>
              <w:t>Fuente de financiación</w:t>
            </w:r>
          </w:p>
        </w:tc>
        <w:tc>
          <w:tcPr>
            <w:tcW w:w="1580" w:type="dxa"/>
            <w:shd w:val="clear" w:color="auto" w:fill="FABF8F" w:themeFill="accent6" w:themeFillTint="99"/>
            <w:vAlign w:val="center"/>
          </w:tcPr>
          <w:p w:rsidR="00982C84" w:rsidRDefault="00553CEB" w:rsidP="00982C84">
            <w:pPr>
              <w:pStyle w:val="cuadroCabe"/>
              <w:ind w:right="132"/>
              <w:jc w:val="right"/>
              <w:rPr>
                <w:rFonts w:cs="Arial"/>
              </w:rPr>
            </w:pPr>
            <w:r>
              <w:rPr>
                <w:rFonts w:cs="Arial"/>
              </w:rPr>
              <w:t>% medio</w:t>
            </w:r>
          </w:p>
          <w:p w:rsidR="00553CEB" w:rsidRPr="007B043B" w:rsidRDefault="00553CEB" w:rsidP="00982C84">
            <w:pPr>
              <w:pStyle w:val="cuadroCabe"/>
              <w:ind w:right="132"/>
              <w:jc w:val="right"/>
              <w:rPr>
                <w:rFonts w:cs="Arial"/>
              </w:rPr>
            </w:pPr>
            <w:r>
              <w:rPr>
                <w:rFonts w:cs="Arial"/>
              </w:rPr>
              <w:t>2010-2016</w:t>
            </w:r>
          </w:p>
        </w:tc>
      </w:tr>
      <w:tr w:rsidR="00553CEB" w:rsidRPr="007B043B" w:rsidTr="00CD5371">
        <w:trPr>
          <w:trHeight w:val="284"/>
          <w:jc w:val="center"/>
        </w:trPr>
        <w:tc>
          <w:tcPr>
            <w:tcW w:w="2310" w:type="dxa"/>
            <w:tcBorders>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Personal</w:t>
            </w:r>
          </w:p>
        </w:tc>
        <w:tc>
          <w:tcPr>
            <w:tcW w:w="2046" w:type="dxa"/>
            <w:tcBorders>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c>
          <w:tcPr>
            <w:tcW w:w="2795" w:type="dxa"/>
            <w:tcBorders>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Ingresos tributarios</w:t>
            </w:r>
          </w:p>
        </w:tc>
        <w:tc>
          <w:tcPr>
            <w:tcW w:w="1580" w:type="dxa"/>
            <w:tcBorders>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Bienes corrientes y serv</w:t>
            </w:r>
            <w:r>
              <w:rPr>
                <w:rFonts w:ascii="Arial Narrow" w:hAnsi="Arial Narrow" w:cs="Arial"/>
                <w:lang w:val="es-ES" w:eastAsia="es-ES"/>
              </w:rPr>
              <w:t>icios</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Ingresos por transferencias</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Gastos transferencias</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49</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Ing</w:t>
            </w:r>
            <w:r>
              <w:rPr>
                <w:rFonts w:ascii="Arial Narrow" w:hAnsi="Arial Narrow" w:cs="Arial"/>
                <w:lang w:val="es-ES" w:eastAsia="es-ES"/>
              </w:rPr>
              <w:t>resos</w:t>
            </w:r>
            <w:r w:rsidRPr="007B043B">
              <w:rPr>
                <w:rFonts w:ascii="Arial Narrow" w:hAnsi="Arial Narrow" w:cs="Arial"/>
                <w:lang w:val="es-ES" w:eastAsia="es-ES"/>
              </w:rPr>
              <w:t xml:space="preserve"> patrimoniales y</w:t>
            </w:r>
            <w:r>
              <w:rPr>
                <w:rFonts w:ascii="Arial Narrow" w:hAnsi="Arial Narrow" w:cs="Arial"/>
                <w:lang w:val="es-ES" w:eastAsia="es-ES"/>
              </w:rPr>
              <w:t xml:space="preserve"> aprov</w:t>
            </w:r>
            <w:r w:rsidR="00403A30">
              <w:rPr>
                <w:rFonts w:ascii="Arial Narrow" w:hAnsi="Arial Narrow" w:cs="Arial"/>
                <w:lang w:val="es-ES" w:eastAsia="es-ES"/>
              </w:rPr>
              <w:t>e</w:t>
            </w:r>
            <w:r>
              <w:rPr>
                <w:rFonts w:ascii="Arial Narrow" w:hAnsi="Arial Narrow" w:cs="Arial"/>
                <w:lang w:val="es-ES" w:eastAsia="es-ES"/>
              </w:rPr>
              <w:t>ch.</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92</w:t>
            </w:r>
          </w:p>
        </w:tc>
      </w:tr>
      <w:tr w:rsidR="00553CEB" w:rsidRPr="007B043B" w:rsidTr="00CD5371">
        <w:trPr>
          <w:trHeight w:val="284"/>
          <w:jc w:val="center"/>
        </w:trPr>
        <w:tc>
          <w:tcPr>
            <w:tcW w:w="2310" w:type="dxa"/>
            <w:tcBorders>
              <w:top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Inversiones reales</w:t>
            </w:r>
          </w:p>
        </w:tc>
        <w:tc>
          <w:tcPr>
            <w:tcW w:w="2046" w:type="dxa"/>
            <w:tcBorders>
              <w:top w:val="single" w:sz="2" w:space="0" w:color="auto"/>
              <w:left w:val="nil"/>
              <w:bottom w:val="single" w:sz="2"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14</w:t>
            </w:r>
          </w:p>
        </w:tc>
        <w:tc>
          <w:tcPr>
            <w:tcW w:w="2795" w:type="dxa"/>
            <w:tcBorders>
              <w:top w:val="single" w:sz="2" w:space="0" w:color="auto"/>
              <w:left w:val="single" w:sz="2" w:space="0" w:color="auto"/>
              <w:bottom w:val="single" w:sz="2"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Endeudamiento</w:t>
            </w:r>
          </w:p>
        </w:tc>
        <w:tc>
          <w:tcPr>
            <w:tcW w:w="1580" w:type="dxa"/>
            <w:tcBorders>
              <w:top w:val="single" w:sz="2" w:space="0" w:color="auto"/>
              <w:bottom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0</w:t>
            </w:r>
          </w:p>
        </w:tc>
      </w:tr>
      <w:tr w:rsidR="00553CEB" w:rsidRPr="007B043B" w:rsidTr="00CD5371">
        <w:trPr>
          <w:trHeight w:val="284"/>
          <w:jc w:val="center"/>
        </w:trPr>
        <w:tc>
          <w:tcPr>
            <w:tcW w:w="2310" w:type="dxa"/>
            <w:tcBorders>
              <w:top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r w:rsidRPr="007B043B">
              <w:rPr>
                <w:rFonts w:ascii="Arial Narrow" w:hAnsi="Arial Narrow" w:cs="Arial"/>
                <w:lang w:val="es-ES" w:eastAsia="es-ES"/>
              </w:rPr>
              <w:t>Carga financiera</w:t>
            </w:r>
          </w:p>
        </w:tc>
        <w:tc>
          <w:tcPr>
            <w:tcW w:w="2046" w:type="dxa"/>
            <w:tcBorders>
              <w:top w:val="single" w:sz="2" w:space="0" w:color="auto"/>
              <w:left w:val="nil"/>
              <w:bottom w:val="single" w:sz="4" w:space="0" w:color="auto"/>
              <w:right w:val="single" w:sz="2" w:space="0" w:color="auto"/>
            </w:tcBorders>
            <w:shd w:val="clear" w:color="auto" w:fill="auto"/>
            <w:vAlign w:val="center"/>
          </w:tcPr>
          <w:p w:rsidR="00553CEB" w:rsidRPr="0093411D" w:rsidRDefault="00553CEB" w:rsidP="00982C84">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23</w:t>
            </w:r>
          </w:p>
        </w:tc>
        <w:tc>
          <w:tcPr>
            <w:tcW w:w="2795" w:type="dxa"/>
            <w:tcBorders>
              <w:top w:val="single" w:sz="2" w:space="0" w:color="auto"/>
              <w:left w:val="single" w:sz="2" w:space="0" w:color="auto"/>
              <w:bottom w:val="single" w:sz="4" w:space="0" w:color="auto"/>
            </w:tcBorders>
            <w:shd w:val="clear" w:color="auto" w:fill="auto"/>
            <w:vAlign w:val="center"/>
          </w:tcPr>
          <w:p w:rsidR="00553CEB" w:rsidRPr="007B043B" w:rsidRDefault="00553CEB" w:rsidP="00553CEB">
            <w:pPr>
              <w:spacing w:after="0"/>
              <w:ind w:firstLine="0"/>
              <w:jc w:val="left"/>
              <w:rPr>
                <w:rFonts w:ascii="Arial Narrow" w:hAnsi="Arial Narrow" w:cs="Arial"/>
                <w:lang w:val="es-ES" w:eastAsia="es-ES"/>
              </w:rPr>
            </w:pPr>
          </w:p>
        </w:tc>
        <w:tc>
          <w:tcPr>
            <w:tcW w:w="1580" w:type="dxa"/>
            <w:tcBorders>
              <w:top w:val="single" w:sz="2" w:space="0" w:color="auto"/>
              <w:bottom w:val="single" w:sz="4" w:space="0" w:color="auto"/>
            </w:tcBorders>
            <w:shd w:val="clear" w:color="auto" w:fill="auto"/>
            <w:vAlign w:val="center"/>
          </w:tcPr>
          <w:p w:rsidR="00553CEB" w:rsidRPr="007B043B" w:rsidRDefault="00553CEB" w:rsidP="00982C84">
            <w:pPr>
              <w:tabs>
                <w:tab w:val="left" w:pos="1212"/>
                <w:tab w:val="left" w:pos="1296"/>
              </w:tabs>
              <w:spacing w:after="0"/>
              <w:ind w:firstLine="0"/>
              <w:jc w:val="right"/>
              <w:rPr>
                <w:rFonts w:ascii="Arial Narrow" w:hAnsi="Arial Narrow" w:cs="Arial"/>
                <w:lang w:val="es-ES" w:eastAsia="es-ES"/>
              </w:rPr>
            </w:pPr>
          </w:p>
        </w:tc>
      </w:tr>
      <w:tr w:rsidR="00553CEB" w:rsidRPr="007B043B" w:rsidTr="00CD5371">
        <w:trPr>
          <w:trHeight w:val="284"/>
          <w:jc w:val="center"/>
        </w:trPr>
        <w:tc>
          <w:tcPr>
            <w:tcW w:w="2310" w:type="dxa"/>
            <w:tcBorders>
              <w:top w:val="single" w:sz="4" w:space="0" w:color="auto"/>
            </w:tcBorders>
            <w:shd w:val="clear" w:color="auto" w:fill="FABF8F" w:themeFill="accent6" w:themeFillTint="99"/>
            <w:vAlign w:val="center"/>
          </w:tcPr>
          <w:p w:rsidR="00553CEB" w:rsidRPr="007B043B" w:rsidRDefault="00553CEB" w:rsidP="00553CEB">
            <w:pPr>
              <w:pStyle w:val="cuadroCabe"/>
              <w:rPr>
                <w:lang w:val="es-ES" w:eastAsia="es-ES"/>
              </w:rPr>
            </w:pPr>
          </w:p>
        </w:tc>
        <w:tc>
          <w:tcPr>
            <w:tcW w:w="2046" w:type="dxa"/>
            <w:tcBorders>
              <w:top w:val="single" w:sz="4" w:space="0" w:color="auto"/>
              <w:left w:val="nil"/>
              <w:right w:val="single" w:sz="2" w:space="0" w:color="auto"/>
            </w:tcBorders>
            <w:shd w:val="clear" w:color="auto" w:fill="FABF8F" w:themeFill="accent6" w:themeFillTint="99"/>
            <w:vAlign w:val="center"/>
          </w:tcPr>
          <w:p w:rsidR="00553CEB" w:rsidRPr="007B043B" w:rsidRDefault="00553CEB" w:rsidP="00982C84">
            <w:pPr>
              <w:pStyle w:val="cuadroCabe"/>
              <w:ind w:right="-10"/>
              <w:jc w:val="right"/>
              <w:rPr>
                <w:lang w:val="es-ES" w:eastAsia="es-ES"/>
              </w:rPr>
            </w:pPr>
            <w:r w:rsidRPr="007B043B">
              <w:rPr>
                <w:lang w:val="es-ES" w:eastAsia="es-ES"/>
              </w:rPr>
              <w:t>100</w:t>
            </w:r>
          </w:p>
        </w:tc>
        <w:tc>
          <w:tcPr>
            <w:tcW w:w="2795" w:type="dxa"/>
            <w:tcBorders>
              <w:top w:val="single" w:sz="4" w:space="0" w:color="auto"/>
              <w:left w:val="single" w:sz="2" w:space="0" w:color="auto"/>
            </w:tcBorders>
            <w:shd w:val="clear" w:color="auto" w:fill="FABF8F" w:themeFill="accent6" w:themeFillTint="99"/>
            <w:vAlign w:val="center"/>
          </w:tcPr>
          <w:p w:rsidR="00553CEB" w:rsidRPr="007B043B" w:rsidRDefault="00553CEB" w:rsidP="00553CEB">
            <w:pPr>
              <w:pStyle w:val="cuadroCabe"/>
              <w:rPr>
                <w:lang w:val="es-ES" w:eastAsia="es-ES"/>
              </w:rPr>
            </w:pPr>
          </w:p>
        </w:tc>
        <w:tc>
          <w:tcPr>
            <w:tcW w:w="1580" w:type="dxa"/>
            <w:tcBorders>
              <w:top w:val="single" w:sz="4" w:space="0" w:color="auto"/>
            </w:tcBorders>
            <w:shd w:val="clear" w:color="auto" w:fill="FABF8F" w:themeFill="accent6" w:themeFillTint="99"/>
            <w:vAlign w:val="center"/>
          </w:tcPr>
          <w:p w:rsidR="00553CEB" w:rsidRPr="007B043B" w:rsidRDefault="00553CEB" w:rsidP="00982C84">
            <w:pPr>
              <w:pStyle w:val="cuadroCabe"/>
              <w:jc w:val="right"/>
              <w:rPr>
                <w:lang w:val="es-ES" w:eastAsia="es-ES"/>
              </w:rPr>
            </w:pPr>
            <w:r w:rsidRPr="007B043B">
              <w:rPr>
                <w:lang w:val="es-ES" w:eastAsia="es-ES"/>
              </w:rPr>
              <w:t>100</w:t>
            </w:r>
          </w:p>
        </w:tc>
      </w:tr>
    </w:tbl>
    <w:p w:rsidR="00553CEB" w:rsidRDefault="00553CEB" w:rsidP="00982C84">
      <w:pPr>
        <w:pStyle w:val="texto"/>
        <w:tabs>
          <w:tab w:val="clear" w:pos="2835"/>
          <w:tab w:val="clear" w:pos="3969"/>
          <w:tab w:val="clear" w:pos="5103"/>
          <w:tab w:val="clear" w:pos="6237"/>
          <w:tab w:val="clear" w:pos="7371"/>
        </w:tabs>
        <w:spacing w:after="0"/>
        <w:rPr>
          <w:szCs w:val="26"/>
          <w:lang w:val="es-ES"/>
        </w:rPr>
      </w:pPr>
    </w:p>
    <w:p w:rsidR="00553CEB" w:rsidRPr="00EC1F84" w:rsidRDefault="00553CEB" w:rsidP="00553CEB">
      <w:pPr>
        <w:pStyle w:val="texto"/>
        <w:tabs>
          <w:tab w:val="clear" w:pos="2835"/>
          <w:tab w:val="clear" w:pos="3969"/>
          <w:tab w:val="clear" w:pos="5103"/>
          <w:tab w:val="clear" w:pos="6237"/>
          <w:tab w:val="clear" w:pos="7371"/>
          <w:tab w:val="left" w:pos="480"/>
        </w:tabs>
        <w:rPr>
          <w:lang w:val="es-ES" w:eastAsia="es-ES"/>
        </w:rPr>
      </w:pPr>
      <w:r w:rsidRPr="00EC1F84">
        <w:rPr>
          <w:lang w:val="es-ES" w:eastAsia="es-ES"/>
        </w:rPr>
        <w:t>Como se observa, sus fuentes de financiación proceden básicamente de la gestión de su patrimonio (polígono de tiro y energía eléctrica, fundamentalme</w:t>
      </w:r>
      <w:r w:rsidRPr="00EC1F84">
        <w:rPr>
          <w:lang w:val="es-ES" w:eastAsia="es-ES"/>
        </w:rPr>
        <w:t>n</w:t>
      </w:r>
      <w:r w:rsidRPr="00EC1F84">
        <w:rPr>
          <w:lang w:val="es-ES" w:eastAsia="es-ES"/>
        </w:rPr>
        <w:t>te); la Comunidad no percibe recursos del Fondo de Transferencias de las ent</w:t>
      </w:r>
      <w:r w:rsidRPr="00EC1F84">
        <w:rPr>
          <w:lang w:val="es-ES" w:eastAsia="es-ES"/>
        </w:rPr>
        <w:t>i</w:t>
      </w:r>
      <w:r w:rsidRPr="00EC1F84">
        <w:rPr>
          <w:lang w:val="es-ES" w:eastAsia="es-ES"/>
        </w:rPr>
        <w:t>dades locales de Navarra, dado que no entra en el reparto del mismo.</w:t>
      </w:r>
    </w:p>
    <w:p w:rsidR="00553CEB" w:rsidRPr="00EC1F84" w:rsidRDefault="00553CEB" w:rsidP="00553CEB">
      <w:pPr>
        <w:pStyle w:val="texto"/>
        <w:tabs>
          <w:tab w:val="clear" w:pos="2835"/>
          <w:tab w:val="clear" w:pos="3969"/>
          <w:tab w:val="clear" w:pos="5103"/>
          <w:tab w:val="clear" w:pos="6237"/>
          <w:tab w:val="clear" w:pos="7371"/>
          <w:tab w:val="left" w:pos="480"/>
        </w:tabs>
        <w:rPr>
          <w:lang w:val="es-ES" w:eastAsia="es-ES"/>
        </w:rPr>
      </w:pPr>
      <w:r w:rsidRPr="00EC1F84">
        <w:rPr>
          <w:lang w:val="es-ES" w:eastAsia="es-ES"/>
        </w:rPr>
        <w:t>En cuanto a gastos, los de personal representan escasamente el cuatro por ciento, siendo el capítulo más relevante los gastos por transferencias, básic</w:t>
      </w:r>
      <w:r w:rsidRPr="00EC1F84">
        <w:rPr>
          <w:lang w:val="es-ES" w:eastAsia="es-ES"/>
        </w:rPr>
        <w:t>a</w:t>
      </w:r>
      <w:r w:rsidRPr="00EC1F84">
        <w:rPr>
          <w:lang w:val="es-ES" w:eastAsia="es-ES"/>
        </w:rPr>
        <w:t>mente por las destinadas a las entidades congozantes.</w:t>
      </w:r>
    </w:p>
    <w:p w:rsidR="00553CEB" w:rsidRPr="00DC5DF5" w:rsidRDefault="00553CEB" w:rsidP="00982C84">
      <w:pPr>
        <w:pStyle w:val="texto"/>
        <w:tabs>
          <w:tab w:val="clear" w:pos="2835"/>
          <w:tab w:val="clear" w:pos="3969"/>
          <w:tab w:val="clear" w:pos="5103"/>
          <w:tab w:val="clear" w:pos="6237"/>
          <w:tab w:val="clear" w:pos="7371"/>
          <w:tab w:val="left" w:pos="480"/>
        </w:tabs>
        <w:spacing w:after="240"/>
        <w:rPr>
          <w:spacing w:val="2"/>
          <w:lang w:val="es-ES" w:eastAsia="es-ES"/>
        </w:rPr>
      </w:pPr>
      <w:r w:rsidRPr="00EC1F84">
        <w:rPr>
          <w:lang w:val="es-ES" w:eastAsia="es-ES"/>
        </w:rPr>
        <w:lastRenderedPageBreak/>
        <w:t xml:space="preserve">En personal, la relación de puestos que contempla la plantilla orgánica de la Comunidad asciende a siete, número que ha permanecido invariable al menos desde 2010. </w:t>
      </w:r>
      <w:r w:rsidRPr="00DC5DF5">
        <w:rPr>
          <w:spacing w:val="2"/>
          <w:lang w:val="es-ES" w:eastAsia="es-ES"/>
        </w:rPr>
        <w:t>La relación de puestos cubiertos en este año de 2016 es de seis, dado que en 2015 se jubiló un guarda y se distribuyen según el siguiente cuadro:</w:t>
      </w:r>
    </w:p>
    <w:tbl>
      <w:tblPr>
        <w:tblW w:w="8761" w:type="dxa"/>
        <w:jc w:val="center"/>
        <w:tblInd w:w="257" w:type="dxa"/>
        <w:tblLayout w:type="fixed"/>
        <w:tblCellMar>
          <w:left w:w="70" w:type="dxa"/>
          <w:right w:w="70" w:type="dxa"/>
        </w:tblCellMar>
        <w:tblLook w:val="00A0" w:firstRow="1" w:lastRow="0" w:firstColumn="1" w:lastColumn="0" w:noHBand="0" w:noVBand="0"/>
      </w:tblPr>
      <w:tblGrid>
        <w:gridCol w:w="4063"/>
        <w:gridCol w:w="1417"/>
        <w:gridCol w:w="1006"/>
        <w:gridCol w:w="2275"/>
      </w:tblGrid>
      <w:tr w:rsidR="00553CEB" w:rsidRPr="00982C84" w:rsidTr="00982C84">
        <w:trPr>
          <w:trHeight w:val="312"/>
          <w:jc w:val="center"/>
        </w:trPr>
        <w:tc>
          <w:tcPr>
            <w:tcW w:w="4063"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left"/>
              <w:rPr>
                <w:rFonts w:ascii="Arial" w:hAnsi="Arial" w:cs="Arial"/>
                <w:sz w:val="18"/>
                <w:szCs w:val="18"/>
              </w:rPr>
            </w:pPr>
            <w:r w:rsidRPr="00982C84">
              <w:rPr>
                <w:rFonts w:ascii="Arial" w:hAnsi="Arial" w:cs="Arial"/>
                <w:sz w:val="18"/>
                <w:szCs w:val="18"/>
              </w:rPr>
              <w:t>Personal 2016</w:t>
            </w:r>
          </w:p>
        </w:tc>
        <w:tc>
          <w:tcPr>
            <w:tcW w:w="1417"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sidRPr="00982C84">
              <w:rPr>
                <w:rFonts w:ascii="Arial" w:hAnsi="Arial" w:cs="Arial"/>
                <w:sz w:val="18"/>
                <w:szCs w:val="18"/>
              </w:rPr>
              <w:t>Número</w:t>
            </w:r>
          </w:p>
        </w:tc>
        <w:tc>
          <w:tcPr>
            <w:tcW w:w="1006"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sidRPr="00982C84">
              <w:rPr>
                <w:rFonts w:ascii="Arial" w:hAnsi="Arial" w:cs="Arial"/>
                <w:sz w:val="18"/>
                <w:szCs w:val="18"/>
              </w:rPr>
              <w:t>Nivel</w:t>
            </w:r>
          </w:p>
        </w:tc>
        <w:tc>
          <w:tcPr>
            <w:tcW w:w="2275"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Situación administrativa</w:t>
            </w:r>
          </w:p>
        </w:tc>
      </w:tr>
      <w:tr w:rsidR="00553CEB" w:rsidRPr="00B23DBC" w:rsidTr="00982C84">
        <w:trPr>
          <w:trHeight w:val="255"/>
          <w:jc w:val="center"/>
        </w:trPr>
        <w:tc>
          <w:tcPr>
            <w:tcW w:w="4063" w:type="dxa"/>
            <w:tcBorders>
              <w:top w:val="single" w:sz="4" w:space="0" w:color="auto"/>
              <w:bottom w:val="single" w:sz="2" w:space="0" w:color="auto"/>
            </w:tcBorders>
            <w:vAlign w:val="center"/>
          </w:tcPr>
          <w:p w:rsidR="00553CEB" w:rsidRPr="00B23DBC" w:rsidRDefault="00553CEB" w:rsidP="00982C84">
            <w:pPr>
              <w:pStyle w:val="cuatexto"/>
              <w:jc w:val="left"/>
            </w:pPr>
            <w:r w:rsidRPr="00B23DBC">
              <w:t>Funcionario-Secretario</w:t>
            </w:r>
          </w:p>
        </w:tc>
        <w:tc>
          <w:tcPr>
            <w:tcW w:w="1417" w:type="dxa"/>
            <w:tcBorders>
              <w:top w:val="single" w:sz="4" w:space="0" w:color="auto"/>
              <w:bottom w:val="single" w:sz="2" w:space="0" w:color="auto"/>
            </w:tcBorders>
            <w:vAlign w:val="center"/>
          </w:tcPr>
          <w:p w:rsidR="00553CEB" w:rsidRPr="00B23DBC" w:rsidRDefault="00553CEB" w:rsidP="00553CEB">
            <w:pPr>
              <w:pStyle w:val="cuatexto"/>
              <w:jc w:val="center"/>
            </w:pPr>
            <w:r w:rsidRPr="00B23DBC">
              <w:t>1</w:t>
            </w:r>
          </w:p>
        </w:tc>
        <w:tc>
          <w:tcPr>
            <w:tcW w:w="1006" w:type="dxa"/>
            <w:tcBorders>
              <w:top w:val="single" w:sz="4" w:space="0" w:color="auto"/>
              <w:bottom w:val="single" w:sz="2" w:space="0" w:color="auto"/>
            </w:tcBorders>
            <w:vAlign w:val="center"/>
          </w:tcPr>
          <w:p w:rsidR="00553CEB" w:rsidRPr="00B23DBC" w:rsidRDefault="00553CEB" w:rsidP="00553CEB">
            <w:pPr>
              <w:pStyle w:val="cuatexto"/>
              <w:jc w:val="center"/>
            </w:pPr>
            <w:r w:rsidRPr="00B23DBC">
              <w:t>A</w:t>
            </w:r>
          </w:p>
        </w:tc>
        <w:tc>
          <w:tcPr>
            <w:tcW w:w="2275" w:type="dxa"/>
            <w:tcBorders>
              <w:top w:val="single" w:sz="4" w:space="0" w:color="auto"/>
              <w:bottom w:val="single" w:sz="2" w:space="0" w:color="auto"/>
            </w:tcBorders>
            <w:vAlign w:val="center"/>
          </w:tcPr>
          <w:p w:rsidR="00553CEB" w:rsidRPr="00B23DBC" w:rsidRDefault="00553CEB" w:rsidP="00982C84">
            <w:pPr>
              <w:pStyle w:val="cuatexto"/>
              <w:jc w:val="right"/>
            </w:pPr>
            <w:r>
              <w:t>Activo</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 xml:space="preserve">-Biólogo </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A</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Activo</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-Oficial administrativo</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C</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Activo</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-Guardas</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2</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D</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1 Activo y 1 vacante</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-Ch</w:t>
            </w:r>
            <w:r>
              <w:t>ó</w:t>
            </w:r>
            <w:r w:rsidRPr="00B23DBC">
              <w:t>fer palista</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D</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Activo</w:t>
            </w:r>
          </w:p>
        </w:tc>
      </w:tr>
      <w:tr w:rsidR="00553CEB" w:rsidRPr="00B23DBC" w:rsidTr="00982C84">
        <w:trPr>
          <w:trHeight w:val="255"/>
          <w:jc w:val="center"/>
        </w:trPr>
        <w:tc>
          <w:tcPr>
            <w:tcW w:w="4063" w:type="dxa"/>
            <w:tcBorders>
              <w:top w:val="single" w:sz="2" w:space="0" w:color="auto"/>
              <w:bottom w:val="single" w:sz="4" w:space="0" w:color="auto"/>
            </w:tcBorders>
            <w:vAlign w:val="center"/>
          </w:tcPr>
          <w:p w:rsidR="00553CEB" w:rsidRPr="00B23DBC" w:rsidRDefault="00553CEB" w:rsidP="00982C84">
            <w:pPr>
              <w:pStyle w:val="cuatexto"/>
              <w:jc w:val="left"/>
            </w:pPr>
            <w:r w:rsidRPr="00B23DBC">
              <w:t>Laboral</w:t>
            </w:r>
            <w:r>
              <w:t xml:space="preserve"> Fijo</w:t>
            </w:r>
            <w:r w:rsidRPr="00B23DBC">
              <w:t>-Peón de limpieza</w:t>
            </w:r>
          </w:p>
        </w:tc>
        <w:tc>
          <w:tcPr>
            <w:tcW w:w="1417"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1</w:t>
            </w:r>
          </w:p>
        </w:tc>
        <w:tc>
          <w:tcPr>
            <w:tcW w:w="1006" w:type="dxa"/>
            <w:tcBorders>
              <w:top w:val="single" w:sz="2" w:space="0" w:color="auto"/>
              <w:bottom w:val="single" w:sz="4" w:space="0" w:color="auto"/>
            </w:tcBorders>
            <w:vAlign w:val="center"/>
          </w:tcPr>
          <w:p w:rsidR="00553CEB" w:rsidRPr="00B23DBC" w:rsidRDefault="00553CEB" w:rsidP="00553CEB">
            <w:pPr>
              <w:pStyle w:val="cuatexto"/>
              <w:jc w:val="center"/>
            </w:pPr>
            <w:r w:rsidRPr="00B23DBC">
              <w:t>E</w:t>
            </w:r>
          </w:p>
        </w:tc>
        <w:tc>
          <w:tcPr>
            <w:tcW w:w="2275" w:type="dxa"/>
            <w:tcBorders>
              <w:top w:val="single" w:sz="2" w:space="0" w:color="auto"/>
              <w:bottom w:val="single" w:sz="4" w:space="0" w:color="auto"/>
            </w:tcBorders>
            <w:vAlign w:val="center"/>
          </w:tcPr>
          <w:p w:rsidR="00553CEB" w:rsidRPr="00B23DBC" w:rsidRDefault="00553CEB" w:rsidP="00982C84">
            <w:pPr>
              <w:pStyle w:val="cuatexto"/>
              <w:jc w:val="right"/>
            </w:pPr>
            <w:r>
              <w:t>Activo</w:t>
            </w:r>
          </w:p>
        </w:tc>
      </w:tr>
      <w:tr w:rsidR="00553CEB" w:rsidRPr="00982C84" w:rsidTr="00982C84">
        <w:trPr>
          <w:trHeight w:val="284"/>
          <w:jc w:val="center"/>
        </w:trPr>
        <w:tc>
          <w:tcPr>
            <w:tcW w:w="4063"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left"/>
              <w:rPr>
                <w:rFonts w:ascii="Arial" w:hAnsi="Arial" w:cs="Arial"/>
                <w:sz w:val="18"/>
                <w:szCs w:val="18"/>
              </w:rPr>
            </w:pPr>
            <w:r w:rsidRPr="00982C84">
              <w:rPr>
                <w:rFonts w:ascii="Arial" w:hAnsi="Arial" w:cs="Arial"/>
                <w:sz w:val="18"/>
                <w:szCs w:val="18"/>
              </w:rPr>
              <w:t>Total</w:t>
            </w:r>
          </w:p>
        </w:tc>
        <w:tc>
          <w:tcPr>
            <w:tcW w:w="1417"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r w:rsidRPr="00982C84">
              <w:rPr>
                <w:rFonts w:ascii="Arial" w:hAnsi="Arial" w:cs="Arial"/>
                <w:sz w:val="18"/>
                <w:szCs w:val="18"/>
              </w:rPr>
              <w:t>7</w:t>
            </w:r>
          </w:p>
        </w:tc>
        <w:tc>
          <w:tcPr>
            <w:tcW w:w="1006" w:type="dxa"/>
            <w:tcBorders>
              <w:top w:val="single" w:sz="4" w:space="0" w:color="auto"/>
              <w:bottom w:val="single" w:sz="4" w:space="0" w:color="auto"/>
            </w:tcBorders>
            <w:shd w:val="clear" w:color="auto" w:fill="FABF8F" w:themeFill="accent6" w:themeFillTint="99"/>
            <w:vAlign w:val="center"/>
          </w:tcPr>
          <w:p w:rsidR="00553CEB" w:rsidRPr="00982C84" w:rsidRDefault="00553CEB" w:rsidP="00553CEB">
            <w:pPr>
              <w:pStyle w:val="cuatexto"/>
              <w:ind w:right="-6"/>
              <w:jc w:val="center"/>
              <w:rPr>
                <w:rFonts w:ascii="Arial" w:hAnsi="Arial" w:cs="Arial"/>
                <w:sz w:val="18"/>
                <w:szCs w:val="18"/>
              </w:rPr>
            </w:pPr>
          </w:p>
        </w:tc>
        <w:tc>
          <w:tcPr>
            <w:tcW w:w="2275" w:type="dxa"/>
            <w:tcBorders>
              <w:top w:val="single" w:sz="4" w:space="0" w:color="auto"/>
              <w:bottom w:val="single" w:sz="4" w:space="0" w:color="auto"/>
            </w:tcBorders>
            <w:shd w:val="clear" w:color="auto" w:fill="FABF8F" w:themeFill="accent6" w:themeFillTint="99"/>
            <w:vAlign w:val="center"/>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6 activos</w:t>
            </w:r>
          </w:p>
        </w:tc>
      </w:tr>
    </w:tbl>
    <w:p w:rsidR="00553CEB" w:rsidRPr="00DC5DF5" w:rsidRDefault="00553CEB" w:rsidP="00DC5DF5">
      <w:pPr>
        <w:pStyle w:val="texto"/>
        <w:tabs>
          <w:tab w:val="clear" w:pos="2835"/>
          <w:tab w:val="clear" w:pos="3969"/>
          <w:tab w:val="clear" w:pos="5103"/>
          <w:tab w:val="clear" w:pos="6237"/>
          <w:tab w:val="clear" w:pos="7371"/>
          <w:tab w:val="left" w:pos="480"/>
        </w:tabs>
        <w:spacing w:before="120"/>
        <w:rPr>
          <w:spacing w:val="0"/>
          <w:lang w:val="es-ES" w:eastAsia="es-ES"/>
        </w:rPr>
      </w:pPr>
      <w:r w:rsidRPr="00DC5DF5">
        <w:rPr>
          <w:spacing w:val="0"/>
          <w:lang w:val="es-ES" w:eastAsia="es-ES"/>
        </w:rPr>
        <w:t>Además de este personal, se contemplan dos puestos temporales para guardas y seis de servicios múltiples para personal eventual en prácticas y a tiempo parcial.</w:t>
      </w:r>
    </w:p>
    <w:p w:rsidR="00553CEB" w:rsidRPr="00EC1F84" w:rsidRDefault="00553CEB" w:rsidP="00982C84">
      <w:pPr>
        <w:pStyle w:val="texto"/>
        <w:tabs>
          <w:tab w:val="clear" w:pos="2835"/>
          <w:tab w:val="clear" w:pos="3969"/>
          <w:tab w:val="clear" w:pos="5103"/>
          <w:tab w:val="clear" w:pos="6237"/>
          <w:tab w:val="clear" w:pos="7371"/>
          <w:tab w:val="left" w:pos="480"/>
        </w:tabs>
        <w:spacing w:after="240"/>
        <w:rPr>
          <w:lang w:val="es-ES" w:eastAsia="es-ES"/>
        </w:rPr>
      </w:pPr>
      <w:r w:rsidRPr="00EC1F84">
        <w:rPr>
          <w:lang w:val="es-ES" w:eastAsia="es-ES"/>
        </w:rPr>
        <w:t>Por su relevancia económica, en el cuadro siguiente se muestra los ingresos obtenidos por la Comunidad derivados del arrendamiento del polígono de tiro y el consiguiente reparto a las entidades congozantes.</w:t>
      </w:r>
    </w:p>
    <w:tbl>
      <w:tblPr>
        <w:tblW w:w="8906" w:type="dxa"/>
        <w:jc w:val="center"/>
        <w:tblLayout w:type="fixed"/>
        <w:tblCellMar>
          <w:left w:w="70" w:type="dxa"/>
          <w:right w:w="70" w:type="dxa"/>
        </w:tblCellMar>
        <w:tblLook w:val="04A0" w:firstRow="1" w:lastRow="0" w:firstColumn="1" w:lastColumn="0" w:noHBand="0" w:noVBand="1"/>
      </w:tblPr>
      <w:tblGrid>
        <w:gridCol w:w="2070"/>
        <w:gridCol w:w="998"/>
        <w:gridCol w:w="1015"/>
        <w:gridCol w:w="959"/>
        <w:gridCol w:w="946"/>
        <w:gridCol w:w="962"/>
        <w:gridCol w:w="931"/>
        <w:gridCol w:w="1025"/>
      </w:tblGrid>
      <w:tr w:rsidR="00553CEB" w:rsidRPr="00982C84" w:rsidTr="00982C84">
        <w:trPr>
          <w:trHeight w:val="284"/>
          <w:jc w:val="center"/>
        </w:trPr>
        <w:tc>
          <w:tcPr>
            <w:tcW w:w="2070"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left"/>
              <w:rPr>
                <w:rFonts w:ascii="Arial" w:hAnsi="Arial" w:cs="Arial"/>
                <w:sz w:val="18"/>
                <w:szCs w:val="18"/>
              </w:rPr>
            </w:pPr>
            <w:r w:rsidRPr="00982C84">
              <w:rPr>
                <w:rFonts w:ascii="Arial" w:hAnsi="Arial" w:cs="Arial"/>
                <w:sz w:val="18"/>
                <w:szCs w:val="18"/>
              </w:rPr>
              <w:t xml:space="preserve">Denominación </w:t>
            </w:r>
          </w:p>
        </w:tc>
        <w:tc>
          <w:tcPr>
            <w:tcW w:w="998"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2010</w:t>
            </w:r>
          </w:p>
        </w:tc>
        <w:tc>
          <w:tcPr>
            <w:tcW w:w="1015"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2011</w:t>
            </w:r>
          </w:p>
        </w:tc>
        <w:tc>
          <w:tcPr>
            <w:tcW w:w="959"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2012</w:t>
            </w:r>
          </w:p>
        </w:tc>
        <w:tc>
          <w:tcPr>
            <w:tcW w:w="946"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2013</w:t>
            </w:r>
          </w:p>
        </w:tc>
        <w:tc>
          <w:tcPr>
            <w:tcW w:w="962"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2014</w:t>
            </w:r>
          </w:p>
        </w:tc>
        <w:tc>
          <w:tcPr>
            <w:tcW w:w="931" w:type="dxa"/>
            <w:tcBorders>
              <w:top w:val="single" w:sz="4" w:space="0" w:color="auto"/>
              <w:bottom w:val="single" w:sz="4" w:space="0" w:color="auto"/>
            </w:tcBorders>
            <w:shd w:val="clear" w:color="000000" w:fill="FABF8F"/>
            <w:noWrap/>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2015</w:t>
            </w:r>
          </w:p>
        </w:tc>
        <w:tc>
          <w:tcPr>
            <w:tcW w:w="1025" w:type="dxa"/>
            <w:tcBorders>
              <w:top w:val="single" w:sz="4" w:space="0" w:color="auto"/>
              <w:bottom w:val="single" w:sz="4" w:space="0" w:color="auto"/>
            </w:tcBorders>
            <w:shd w:val="clear" w:color="000000" w:fill="FABF8F"/>
            <w:vAlign w:val="center"/>
            <w:hideMark/>
          </w:tcPr>
          <w:p w:rsidR="00553CEB" w:rsidRPr="00982C84" w:rsidRDefault="00553CEB" w:rsidP="00982C84">
            <w:pPr>
              <w:pStyle w:val="cuatexto"/>
              <w:ind w:right="-6"/>
              <w:jc w:val="right"/>
              <w:rPr>
                <w:rFonts w:ascii="Arial" w:hAnsi="Arial" w:cs="Arial"/>
                <w:sz w:val="18"/>
                <w:szCs w:val="18"/>
              </w:rPr>
            </w:pPr>
            <w:r w:rsidRPr="00982C84">
              <w:rPr>
                <w:rFonts w:ascii="Arial" w:hAnsi="Arial" w:cs="Arial"/>
                <w:sz w:val="18"/>
                <w:szCs w:val="18"/>
              </w:rPr>
              <w:t>2016</w:t>
            </w:r>
          </w:p>
        </w:tc>
      </w:tr>
      <w:tr w:rsidR="00553CEB" w:rsidRPr="007E5599" w:rsidTr="00982C84">
        <w:trPr>
          <w:trHeight w:val="284"/>
          <w:jc w:val="center"/>
        </w:trPr>
        <w:tc>
          <w:tcPr>
            <w:tcW w:w="2070" w:type="dxa"/>
            <w:tcBorders>
              <w:top w:val="single" w:sz="4" w:space="0" w:color="auto"/>
              <w:bottom w:val="single" w:sz="4" w:space="0" w:color="auto"/>
            </w:tcBorders>
            <w:shd w:val="clear" w:color="000000" w:fill="FFFFFF"/>
            <w:vAlign w:val="center"/>
          </w:tcPr>
          <w:p w:rsidR="00553CEB" w:rsidRPr="00982C84" w:rsidRDefault="00553CEB" w:rsidP="00982C84">
            <w:pPr>
              <w:pStyle w:val="cuatexto"/>
              <w:jc w:val="left"/>
            </w:pPr>
            <w:r w:rsidRPr="00982C84">
              <w:t>Ingresos</w:t>
            </w:r>
            <w:r w:rsidR="00982C84">
              <w:t xml:space="preserve"> </w:t>
            </w:r>
            <w:r w:rsidRPr="00982C84">
              <w:t>arrendamiento Polígono de Tiro</w:t>
            </w:r>
          </w:p>
        </w:tc>
        <w:tc>
          <w:tcPr>
            <w:tcW w:w="998"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7.105.000</w:t>
            </w:r>
          </w:p>
        </w:tc>
        <w:tc>
          <w:tcPr>
            <w:tcW w:w="1015"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7.374.990</w:t>
            </w:r>
          </w:p>
        </w:tc>
        <w:tc>
          <w:tcPr>
            <w:tcW w:w="959"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7.500.000</w:t>
            </w:r>
          </w:p>
        </w:tc>
        <w:tc>
          <w:tcPr>
            <w:tcW w:w="946"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7.635.283</w:t>
            </w:r>
          </w:p>
        </w:tc>
        <w:tc>
          <w:tcPr>
            <w:tcW w:w="962"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7.665.824</w:t>
            </w:r>
          </w:p>
        </w:tc>
        <w:tc>
          <w:tcPr>
            <w:tcW w:w="931"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7.619.829</w:t>
            </w:r>
          </w:p>
        </w:tc>
        <w:tc>
          <w:tcPr>
            <w:tcW w:w="1025" w:type="dxa"/>
            <w:tcBorders>
              <w:top w:val="single" w:sz="4" w:space="0" w:color="auto"/>
              <w:bottom w:val="single" w:sz="4" w:space="0" w:color="auto"/>
            </w:tcBorders>
            <w:shd w:val="clear" w:color="auto" w:fill="auto"/>
            <w:vAlign w:val="center"/>
          </w:tcPr>
          <w:p w:rsidR="00553CEB" w:rsidRPr="00982C84" w:rsidRDefault="00553CEB" w:rsidP="00982C84">
            <w:pPr>
              <w:pStyle w:val="cuatexto"/>
              <w:jc w:val="right"/>
            </w:pPr>
            <w:r w:rsidRPr="00982C84">
              <w:t>7.536.011</w:t>
            </w:r>
          </w:p>
        </w:tc>
      </w:tr>
      <w:tr w:rsidR="00553CEB" w:rsidRPr="007E5599" w:rsidTr="00982C84">
        <w:trPr>
          <w:trHeight w:val="284"/>
          <w:jc w:val="center"/>
        </w:trPr>
        <w:tc>
          <w:tcPr>
            <w:tcW w:w="2070" w:type="dxa"/>
            <w:tcBorders>
              <w:top w:val="single" w:sz="4" w:space="0" w:color="auto"/>
              <w:bottom w:val="single" w:sz="4" w:space="0" w:color="auto"/>
            </w:tcBorders>
            <w:shd w:val="clear" w:color="000000" w:fill="FFFFFF"/>
            <w:vAlign w:val="center"/>
          </w:tcPr>
          <w:p w:rsidR="00553CEB" w:rsidRPr="00982C84" w:rsidRDefault="00553CEB" w:rsidP="00982C84">
            <w:pPr>
              <w:pStyle w:val="cuatexto"/>
              <w:jc w:val="left"/>
            </w:pPr>
            <w:r w:rsidRPr="00982C84">
              <w:t>Gasto transferencias a entidades congozantes</w:t>
            </w:r>
          </w:p>
        </w:tc>
        <w:tc>
          <w:tcPr>
            <w:tcW w:w="998"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1015"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959"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946"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962"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931" w:type="dxa"/>
            <w:tcBorders>
              <w:top w:val="single" w:sz="4" w:space="0" w:color="auto"/>
              <w:bottom w:val="single" w:sz="4" w:space="0" w:color="auto"/>
            </w:tcBorders>
            <w:shd w:val="clear" w:color="auto" w:fill="auto"/>
            <w:noWrap/>
            <w:vAlign w:val="center"/>
          </w:tcPr>
          <w:p w:rsidR="00553CEB" w:rsidRPr="00982C84" w:rsidRDefault="00553CEB" w:rsidP="00982C84">
            <w:pPr>
              <w:pStyle w:val="cuatexto"/>
              <w:jc w:val="right"/>
            </w:pPr>
            <w:r w:rsidRPr="00982C84">
              <w:t>4.290.000</w:t>
            </w:r>
          </w:p>
        </w:tc>
        <w:tc>
          <w:tcPr>
            <w:tcW w:w="1025" w:type="dxa"/>
            <w:tcBorders>
              <w:top w:val="single" w:sz="4" w:space="0" w:color="auto"/>
              <w:bottom w:val="single" w:sz="4" w:space="0" w:color="auto"/>
            </w:tcBorders>
            <w:shd w:val="clear" w:color="auto" w:fill="auto"/>
            <w:vAlign w:val="center"/>
          </w:tcPr>
          <w:p w:rsidR="00553CEB" w:rsidRPr="00982C84" w:rsidRDefault="00553CEB" w:rsidP="00982C84">
            <w:pPr>
              <w:pStyle w:val="cuatexto"/>
              <w:jc w:val="right"/>
            </w:pPr>
            <w:r w:rsidRPr="00982C84">
              <w:t>4.290.000</w:t>
            </w:r>
          </w:p>
        </w:tc>
      </w:tr>
    </w:tbl>
    <w:p w:rsidR="00553CEB" w:rsidRPr="00F2231B" w:rsidRDefault="00553CEB" w:rsidP="00DC5DF5">
      <w:pPr>
        <w:pStyle w:val="texto"/>
        <w:spacing w:before="120"/>
      </w:pPr>
      <w:r w:rsidRPr="00F2231B">
        <w:t>Los ingresos del arrendamiento del polígono de tiro derivan del contrato fi</w:t>
      </w:r>
      <w:r w:rsidRPr="00F2231B">
        <w:t>r</w:t>
      </w:r>
      <w:r w:rsidRPr="00F2231B">
        <w:t xml:space="preserve">mado con el Ministerio de Defensa en diciembre de 2008, con una vigencia de 20 años. A partir de 2019, el canon anual pasa de los actuales siete millones a 14 millones anuales (importes que se actualizan con el IPC correspondiente). El importe total del contrato asciende a 210 millones más su actualización con el IPC anual. </w:t>
      </w:r>
    </w:p>
    <w:p w:rsidR="00553CEB" w:rsidRDefault="00553CEB" w:rsidP="00DC5DF5">
      <w:pPr>
        <w:pStyle w:val="texto"/>
      </w:pPr>
      <w:r w:rsidRPr="00F2231B">
        <w:t>En torno al 55 por ciento de lo percibido por la Comunidad se reparte entre las entidades congozantes.</w:t>
      </w:r>
    </w:p>
    <w:p w:rsidR="00553CEB" w:rsidRDefault="00553CEB" w:rsidP="00DC5DF5">
      <w:pPr>
        <w:pStyle w:val="texto"/>
        <w:spacing w:after="240"/>
      </w:pPr>
      <w:r>
        <w:t>La otra fuente de ingresos relevantes para la Comunidad procede de la venta de la energía eléctrica generada por la explotación de la huerta solar. En el s</w:t>
      </w:r>
      <w:r>
        <w:t>i</w:t>
      </w:r>
      <w:r>
        <w:t>guiente cuadro se muestra los ingresos presupuestarios obtenidos anualmente en el periodo analizado:</w:t>
      </w:r>
    </w:p>
    <w:tbl>
      <w:tblPr>
        <w:tblW w:w="8906" w:type="dxa"/>
        <w:tblLayout w:type="fixed"/>
        <w:tblCellMar>
          <w:left w:w="70" w:type="dxa"/>
          <w:right w:w="70" w:type="dxa"/>
        </w:tblCellMar>
        <w:tblLook w:val="04A0" w:firstRow="1" w:lastRow="0" w:firstColumn="1" w:lastColumn="0" w:noHBand="0" w:noVBand="1"/>
      </w:tblPr>
      <w:tblGrid>
        <w:gridCol w:w="2070"/>
        <w:gridCol w:w="998"/>
        <w:gridCol w:w="1015"/>
        <w:gridCol w:w="959"/>
        <w:gridCol w:w="946"/>
        <w:gridCol w:w="962"/>
        <w:gridCol w:w="931"/>
        <w:gridCol w:w="1025"/>
      </w:tblGrid>
      <w:tr w:rsidR="00DC5DF5" w:rsidRPr="00982C84" w:rsidTr="00DC5DF5">
        <w:trPr>
          <w:trHeight w:val="284"/>
        </w:trPr>
        <w:tc>
          <w:tcPr>
            <w:tcW w:w="2070"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left"/>
              <w:rPr>
                <w:rFonts w:ascii="Arial" w:hAnsi="Arial" w:cs="Arial"/>
                <w:sz w:val="18"/>
                <w:szCs w:val="18"/>
              </w:rPr>
            </w:pPr>
            <w:r w:rsidRPr="00982C84">
              <w:rPr>
                <w:rFonts w:ascii="Arial" w:hAnsi="Arial" w:cs="Arial"/>
                <w:sz w:val="18"/>
                <w:szCs w:val="18"/>
              </w:rPr>
              <w:t xml:space="preserve">Denominación </w:t>
            </w:r>
          </w:p>
        </w:tc>
        <w:tc>
          <w:tcPr>
            <w:tcW w:w="998"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2010</w:t>
            </w:r>
          </w:p>
        </w:tc>
        <w:tc>
          <w:tcPr>
            <w:tcW w:w="1015"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2011</w:t>
            </w:r>
          </w:p>
        </w:tc>
        <w:tc>
          <w:tcPr>
            <w:tcW w:w="959"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2012</w:t>
            </w:r>
          </w:p>
        </w:tc>
        <w:tc>
          <w:tcPr>
            <w:tcW w:w="946"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2013</w:t>
            </w:r>
          </w:p>
        </w:tc>
        <w:tc>
          <w:tcPr>
            <w:tcW w:w="962"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2014</w:t>
            </w:r>
          </w:p>
        </w:tc>
        <w:tc>
          <w:tcPr>
            <w:tcW w:w="931" w:type="dxa"/>
            <w:tcBorders>
              <w:top w:val="single" w:sz="4" w:space="0" w:color="auto"/>
              <w:bottom w:val="single" w:sz="4" w:space="0" w:color="auto"/>
            </w:tcBorders>
            <w:shd w:val="clear" w:color="000000" w:fill="FABF8F"/>
            <w:noWrap/>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2015</w:t>
            </w:r>
          </w:p>
        </w:tc>
        <w:tc>
          <w:tcPr>
            <w:tcW w:w="1025" w:type="dxa"/>
            <w:tcBorders>
              <w:top w:val="single" w:sz="4" w:space="0" w:color="auto"/>
              <w:bottom w:val="single" w:sz="4" w:space="0" w:color="auto"/>
            </w:tcBorders>
            <w:shd w:val="clear" w:color="000000" w:fill="FABF8F"/>
            <w:vAlign w:val="center"/>
            <w:hideMark/>
          </w:tcPr>
          <w:p w:rsidR="00DC5DF5" w:rsidRPr="00982C84" w:rsidRDefault="00DC5DF5" w:rsidP="006F246D">
            <w:pPr>
              <w:pStyle w:val="cuatexto"/>
              <w:ind w:right="-6"/>
              <w:jc w:val="right"/>
              <w:rPr>
                <w:rFonts w:ascii="Arial" w:hAnsi="Arial" w:cs="Arial"/>
                <w:sz w:val="18"/>
                <w:szCs w:val="18"/>
              </w:rPr>
            </w:pPr>
            <w:r w:rsidRPr="00982C84">
              <w:rPr>
                <w:rFonts w:ascii="Arial" w:hAnsi="Arial" w:cs="Arial"/>
                <w:sz w:val="18"/>
                <w:szCs w:val="18"/>
              </w:rPr>
              <w:t>2016</w:t>
            </w:r>
          </w:p>
        </w:tc>
      </w:tr>
      <w:tr w:rsidR="00DC5DF5" w:rsidRPr="007E5599" w:rsidTr="00DC5DF5">
        <w:trPr>
          <w:trHeight w:val="284"/>
        </w:trPr>
        <w:tc>
          <w:tcPr>
            <w:tcW w:w="2070" w:type="dxa"/>
            <w:tcBorders>
              <w:top w:val="single" w:sz="4" w:space="0" w:color="auto"/>
              <w:bottom w:val="single" w:sz="4" w:space="0" w:color="auto"/>
            </w:tcBorders>
            <w:shd w:val="clear" w:color="000000" w:fill="FFFFFF"/>
            <w:vAlign w:val="center"/>
          </w:tcPr>
          <w:p w:rsidR="00DC5DF5" w:rsidRPr="00982C84" w:rsidRDefault="00DC5DF5" w:rsidP="00DC5DF5">
            <w:pPr>
              <w:pStyle w:val="cuatexto"/>
              <w:jc w:val="left"/>
            </w:pPr>
            <w:r w:rsidRPr="00982C84">
              <w:t>Ingresos</w:t>
            </w:r>
            <w:r>
              <w:t xml:space="preserve"> por venta energía eléctrica</w:t>
            </w:r>
          </w:p>
        </w:tc>
        <w:tc>
          <w:tcPr>
            <w:tcW w:w="998"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0</w:t>
            </w:r>
          </w:p>
        </w:tc>
        <w:tc>
          <w:tcPr>
            <w:tcW w:w="1015"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2.013.646</w:t>
            </w:r>
          </w:p>
        </w:tc>
        <w:tc>
          <w:tcPr>
            <w:tcW w:w="959"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1.668.564</w:t>
            </w:r>
          </w:p>
        </w:tc>
        <w:tc>
          <w:tcPr>
            <w:tcW w:w="946"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3.315.076</w:t>
            </w:r>
          </w:p>
        </w:tc>
        <w:tc>
          <w:tcPr>
            <w:tcW w:w="962"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1.324.384</w:t>
            </w:r>
          </w:p>
        </w:tc>
        <w:tc>
          <w:tcPr>
            <w:tcW w:w="931" w:type="dxa"/>
            <w:tcBorders>
              <w:top w:val="single" w:sz="4" w:space="0" w:color="auto"/>
              <w:bottom w:val="single" w:sz="4" w:space="0" w:color="auto"/>
            </w:tcBorders>
            <w:shd w:val="clear" w:color="auto" w:fill="auto"/>
            <w:noWrap/>
            <w:vAlign w:val="center"/>
          </w:tcPr>
          <w:p w:rsidR="00DC5DF5" w:rsidRPr="00982C84" w:rsidRDefault="00DC5DF5" w:rsidP="006F246D">
            <w:pPr>
              <w:pStyle w:val="cuatexto"/>
              <w:jc w:val="right"/>
            </w:pPr>
            <w:r>
              <w:t>1.884.052</w:t>
            </w:r>
          </w:p>
        </w:tc>
        <w:tc>
          <w:tcPr>
            <w:tcW w:w="1025" w:type="dxa"/>
            <w:tcBorders>
              <w:top w:val="single" w:sz="4" w:space="0" w:color="auto"/>
              <w:bottom w:val="single" w:sz="4" w:space="0" w:color="auto"/>
            </w:tcBorders>
            <w:shd w:val="clear" w:color="auto" w:fill="auto"/>
            <w:vAlign w:val="center"/>
          </w:tcPr>
          <w:p w:rsidR="00DC5DF5" w:rsidRPr="00982C84" w:rsidRDefault="00DC5DF5" w:rsidP="00DC5DF5">
            <w:pPr>
              <w:pStyle w:val="cuatexto"/>
              <w:jc w:val="right"/>
            </w:pPr>
            <w:r>
              <w:t>1.489.693</w:t>
            </w:r>
          </w:p>
        </w:tc>
      </w:tr>
    </w:tbl>
    <w:p w:rsidR="00553CEB" w:rsidRPr="007E5599" w:rsidRDefault="00553CEB" w:rsidP="00DC5DF5">
      <w:pPr>
        <w:pStyle w:val="texto"/>
        <w:tabs>
          <w:tab w:val="clear" w:pos="2835"/>
          <w:tab w:val="clear" w:pos="3969"/>
          <w:tab w:val="clear" w:pos="5103"/>
          <w:tab w:val="clear" w:pos="6237"/>
          <w:tab w:val="clear" w:pos="7371"/>
        </w:tabs>
        <w:spacing w:before="240" w:after="0"/>
        <w:rPr>
          <w:szCs w:val="26"/>
          <w:lang w:val="es-ES"/>
        </w:rPr>
      </w:pPr>
      <w:r>
        <w:rPr>
          <w:szCs w:val="26"/>
          <w:lang w:val="es-ES"/>
        </w:rPr>
        <w:t>Estos ingresos, en términos generales, son suficientes para hacer frente a la carga financiera del endeudamiento concertado para estas instalaciones.</w:t>
      </w:r>
    </w:p>
    <w:sectPr w:rsidR="00553CEB" w:rsidRPr="007E5599" w:rsidSect="00CA5C4E">
      <w:footerReference w:type="default" r:id="rId24"/>
      <w:pgSz w:w="11907" w:h="16840" w:code="9"/>
      <w:pgMar w:top="1928"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34" w:rsidRDefault="00A91334">
      <w:r>
        <w:separator/>
      </w:r>
    </w:p>
    <w:p w:rsidR="00A91334" w:rsidRDefault="00A91334"/>
    <w:p w:rsidR="00A91334" w:rsidRDefault="00A91334"/>
    <w:p w:rsidR="00A91334" w:rsidRDefault="00A91334"/>
  </w:endnote>
  <w:endnote w:type="continuationSeparator" w:id="0">
    <w:p w:rsidR="00A91334" w:rsidRDefault="00A91334">
      <w:r>
        <w:continuationSeparator/>
      </w:r>
    </w:p>
    <w:p w:rsidR="00A91334" w:rsidRDefault="00A91334"/>
    <w:p w:rsidR="00A91334" w:rsidRDefault="00A91334"/>
    <w:p w:rsidR="00A91334" w:rsidRDefault="00A9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91334" w:rsidRDefault="00A91334"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F03814" w:rsidRDefault="00A9133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6E32DCE" wp14:editId="5460F2F4">
          <wp:extent cx="219075" cy="371475"/>
          <wp:effectExtent l="0" t="0" r="9525" b="9525"/>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91334" w:rsidRPr="00F74E38" w:rsidRDefault="00A91334" w:rsidP="00F03814">
    <w:pPr>
      <w:pStyle w:val="Piedepgina"/>
      <w:tabs>
        <w:tab w:val="clear" w:pos="4252"/>
        <w:tab w:val="clear" w:pos="8504"/>
        <w:tab w:val="center" w:pos="4560"/>
      </w:tabs>
      <w:ind w:right="360"/>
      <w:jc w:val="left"/>
      <w:rPr>
        <w:rStyle w:val="Nmerodepgina"/>
      </w:rPr>
    </w:pPr>
  </w:p>
  <w:p w:rsidR="00A91334" w:rsidRPr="00C13453" w:rsidRDefault="00A91334" w:rsidP="00D2472C">
    <w:pPr>
      <w:pStyle w:val="BorradorProvisional"/>
      <w:ind w:left="0"/>
      <w:jc w:val="center"/>
    </w:pPr>
    <w:r w:rsidRPr="00C13453">
      <w:t>Borrador final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59650E">
    <w:pPr>
      <w:pStyle w:val="Piedepgina"/>
      <w:ind w:right="360"/>
    </w:pPr>
    <w:r>
      <w:rPr>
        <w:rFonts w:ascii="GillSans" w:hAnsi="GillSans"/>
        <w:noProof/>
        <w:lang w:val="es-ES" w:eastAsia="es-ES"/>
      </w:rPr>
      <w:drawing>
        <wp:anchor distT="0" distB="0" distL="114300" distR="114300" simplePos="0" relativeHeight="251660288" behindDoc="0" locked="0" layoutInCell="1" allowOverlap="1" wp14:anchorId="374048D8" wp14:editId="38376AA6">
          <wp:simplePos x="0" y="0"/>
          <wp:positionH relativeFrom="column">
            <wp:posOffset>-218440</wp:posOffset>
          </wp:positionH>
          <wp:positionV relativeFrom="paragraph">
            <wp:posOffset>-732790</wp:posOffset>
          </wp:positionV>
          <wp:extent cx="219075" cy="371475"/>
          <wp:effectExtent l="0" t="0" r="9525" b="9525"/>
          <wp:wrapSquare wrapText="bothSides"/>
          <wp:docPr id="17" name="Imagen 1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91334" w:rsidRDefault="00A91334" w:rsidP="0059650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F03814" w:rsidRDefault="00A9133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C3E47F3" wp14:editId="2C5B388E">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91334" w:rsidRPr="00F74E38" w:rsidRDefault="00A91334" w:rsidP="00F03814">
    <w:pPr>
      <w:pStyle w:val="Piedepgina"/>
      <w:tabs>
        <w:tab w:val="clear" w:pos="4252"/>
        <w:tab w:val="clear" w:pos="8504"/>
        <w:tab w:val="center" w:pos="4560"/>
      </w:tabs>
      <w:ind w:right="360"/>
      <w:jc w:val="left"/>
      <w:rPr>
        <w:rStyle w:val="Nmerodepgi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59650E">
    <w:pPr>
      <w:pStyle w:val="Piedepgin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132584"/>
      <w:docPartObj>
        <w:docPartGallery w:val="Page Numbers (Bottom of Page)"/>
        <w:docPartUnique/>
      </w:docPartObj>
    </w:sdtPr>
    <w:sdtEndPr>
      <w:rPr>
        <w:b/>
        <w:color w:val="808080" w:themeColor="background1" w:themeShade="80"/>
        <w:sz w:val="36"/>
        <w:szCs w:val="36"/>
      </w:rPr>
    </w:sdtEndPr>
    <w:sdtContent>
      <w:p w:rsidR="00A91334" w:rsidRDefault="00A91334" w:rsidP="00553CEB">
        <w:pPr>
          <w:pStyle w:val="Piedepgina"/>
          <w:jc w:val="center"/>
        </w:pPr>
        <w:r>
          <w:rPr>
            <w:rFonts w:ascii="GillSans" w:hAnsi="GillSans"/>
            <w:noProof/>
            <w:lang w:val="es-ES" w:eastAsia="es-ES"/>
          </w:rPr>
          <w:drawing>
            <wp:anchor distT="0" distB="0" distL="114300" distR="114300" simplePos="0" relativeHeight="251659264" behindDoc="0" locked="0" layoutInCell="1" allowOverlap="1" wp14:anchorId="3FCF1927" wp14:editId="0704BBEC">
              <wp:simplePos x="0" y="0"/>
              <wp:positionH relativeFrom="column">
                <wp:posOffset>-216535</wp:posOffset>
              </wp:positionH>
              <wp:positionV relativeFrom="paragraph">
                <wp:posOffset>10160</wp:posOffset>
              </wp:positionV>
              <wp:extent cx="219075" cy="371475"/>
              <wp:effectExtent l="0" t="0" r="9525" b="9525"/>
              <wp:wrapSquare wrapText="bothSides"/>
              <wp:docPr id="14" name="Imagen 1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1334" w:rsidRPr="00621A26" w:rsidRDefault="00A91334">
        <w:pPr>
          <w:pStyle w:val="Piedepgina"/>
          <w:jc w:val="center"/>
          <w:rPr>
            <w:sz w:val="22"/>
            <w:szCs w:val="22"/>
          </w:rPr>
        </w:pPr>
        <w:r>
          <w:t xml:space="preserve">- </w:t>
        </w:r>
        <w:r w:rsidRPr="00621A26">
          <w:rPr>
            <w:sz w:val="22"/>
            <w:szCs w:val="22"/>
          </w:rPr>
          <w:fldChar w:fldCharType="begin"/>
        </w:r>
        <w:r w:rsidRPr="00621A26">
          <w:rPr>
            <w:sz w:val="22"/>
            <w:szCs w:val="22"/>
          </w:rPr>
          <w:instrText>PAGE   \* MERGEFORMAT</w:instrText>
        </w:r>
        <w:r w:rsidRPr="00621A26">
          <w:rPr>
            <w:sz w:val="22"/>
            <w:szCs w:val="22"/>
          </w:rPr>
          <w:fldChar w:fldCharType="separate"/>
        </w:r>
        <w:r w:rsidR="005A7AAC" w:rsidRPr="005A7AAC">
          <w:rPr>
            <w:noProof/>
            <w:sz w:val="22"/>
            <w:szCs w:val="22"/>
            <w:lang w:val="es-ES"/>
          </w:rPr>
          <w:t>55</w:t>
        </w:r>
        <w:r w:rsidRPr="00621A26">
          <w:rPr>
            <w:sz w:val="22"/>
            <w:szCs w:val="22"/>
          </w:rPr>
          <w:fldChar w:fldCharType="end"/>
        </w:r>
        <w:r>
          <w:rPr>
            <w:sz w:val="22"/>
            <w:szCs w:val="22"/>
          </w:rPr>
          <w:t xml:space="preserve"> -</w:t>
        </w:r>
      </w:p>
      <w:p w:rsidR="00A91334" w:rsidRPr="006A2A0A" w:rsidRDefault="005A7AAC" w:rsidP="00553CEB">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b/>
            <w:color w:val="808080" w:themeColor="background1" w:themeShade="80"/>
            <w:sz w:val="36"/>
            <w:szCs w:val="3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34" w:rsidRDefault="00A91334" w:rsidP="009C69F5">
      <w:pPr>
        <w:ind w:firstLine="0"/>
      </w:pPr>
      <w:r>
        <w:separator/>
      </w:r>
    </w:p>
  </w:footnote>
  <w:footnote w:type="continuationSeparator" w:id="0">
    <w:p w:rsidR="00A91334" w:rsidRDefault="00A91334">
      <w:r>
        <w:continuationSeparator/>
      </w:r>
    </w:p>
    <w:p w:rsidR="00A91334" w:rsidRDefault="00A91334"/>
    <w:p w:rsidR="00A91334" w:rsidRDefault="00A91334"/>
    <w:p w:rsidR="00A91334" w:rsidRDefault="00A91334"/>
  </w:footnote>
  <w:footnote w:id="1">
    <w:p w:rsidR="00A91334" w:rsidRDefault="00A91334" w:rsidP="00CD5371">
      <w:pPr>
        <w:pStyle w:val="Textonotapie"/>
        <w:spacing w:after="0"/>
        <w:ind w:firstLine="0"/>
      </w:pPr>
      <w:r>
        <w:rPr>
          <w:rStyle w:val="Refdenotaalpie"/>
        </w:rPr>
        <w:footnoteRef/>
      </w:r>
      <w:r>
        <w:t xml:space="preserve"> Publicada en el BON de 11 de noviembre de 2013 y aplicable, en consecuencia al proceso de licitación r</w:t>
      </w:r>
      <w:r>
        <w:t>e</w:t>
      </w:r>
      <w:r>
        <w:t>visado, dado que sus pliegos se aprueban en noviembre de 2014 y la cesión se materializa en septiembre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3B478FB8" wp14:editId="43614D66">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91334" w:rsidRPr="0059650E" w:rsidRDefault="00A91334" w:rsidP="00891D73">
    <w:pPr>
      <w:pStyle w:val="Encabezado"/>
      <w:pBdr>
        <w:bottom w:val="single" w:sz="4" w:space="1" w:color="auto"/>
      </w:pBdr>
      <w:ind w:firstLine="0"/>
      <w:rPr>
        <w:lang w:val="es-ES"/>
      </w:rPr>
    </w:pPr>
    <w:r>
      <w:rPr>
        <w:lang w:val="es-ES"/>
      </w:rPr>
      <w:t>Borrador final del informe de fiscalización SOBRE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6A2D41">
    <w:pPr>
      <w:pStyle w:val="Encabezado"/>
      <w:ind w:firstLine="0"/>
      <w:jc w:val="left"/>
    </w:pPr>
    <w:r>
      <w:rPr>
        <w:noProof/>
        <w:lang w:val="es-ES" w:eastAsia="es-ES"/>
      </w:rPr>
      <w:drawing>
        <wp:inline distT="0" distB="0" distL="0" distR="0" wp14:anchorId="2655608C" wp14:editId="34658F89">
          <wp:extent cx="771525" cy="762000"/>
          <wp:effectExtent l="0" t="0" r="9525" b="0"/>
          <wp:docPr id="16" name="Imagen 1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Pr="0059650E" w:rsidRDefault="00A91334" w:rsidP="00553CEB">
    <w:pPr>
      <w:pStyle w:val="Encabezado"/>
      <w:pBdr>
        <w:bottom w:val="single" w:sz="4" w:space="1" w:color="auto"/>
      </w:pBdr>
      <w:spacing w:after="40"/>
      <w:ind w:right="-283" w:firstLine="0"/>
      <w:jc w:val="left"/>
      <w:rPr>
        <w:lang w:val="es-ES"/>
      </w:rPr>
    </w:pPr>
    <w:r>
      <w:rPr>
        <w:b/>
        <w:noProof/>
        <w:lang w:val="es-ES" w:eastAsia="es-ES"/>
      </w:rPr>
      <w:drawing>
        <wp:inline distT="0" distB="0" distL="0" distR="0" wp14:anchorId="6D0CBB55" wp14:editId="1C7BA39E">
          <wp:extent cx="666750" cy="658519"/>
          <wp:effectExtent l="0" t="0" r="0" b="8255"/>
          <wp:docPr id="11" name="Imagen 1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58519"/>
                  </a:xfrm>
                  <a:prstGeom prst="rect">
                    <a:avLst/>
                  </a:prstGeom>
                  <a:noFill/>
                  <a:ln>
                    <a:noFill/>
                  </a:ln>
                </pic:spPr>
              </pic:pic>
            </a:graphicData>
          </a:graphic>
        </wp:inline>
      </w:drawing>
    </w:r>
    <w:r>
      <w:rPr>
        <w:lang w:val="es-ES"/>
      </w:rPr>
      <w:t xml:space="preserve">                informe  de fiscalización sobre la comunidad de bardenas reales de Navarra (2010-2016)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34" w:rsidRDefault="00A91334" w:rsidP="006A2D41">
    <w:pPr>
      <w:pStyle w:val="Encabezado"/>
      <w:ind w:firstLine="0"/>
      <w:jc w:val="left"/>
    </w:pPr>
    <w:r>
      <w:rPr>
        <w:noProof/>
        <w:lang w:val="es-ES" w:eastAsia="es-ES"/>
      </w:rPr>
      <w:drawing>
        <wp:inline distT="0" distB="0" distL="0" distR="0" wp14:anchorId="42955C0E" wp14:editId="76F94EF6">
          <wp:extent cx="771525" cy="762000"/>
          <wp:effectExtent l="0" t="0" r="9525" b="0"/>
          <wp:docPr id="13" name="Imagen 1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7A7D"/>
    <w:multiLevelType w:val="hybridMultilevel"/>
    <w:tmpl w:val="2A1823A6"/>
    <w:lvl w:ilvl="0" w:tplc="4F12DB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3A26E12"/>
    <w:multiLevelType w:val="hybridMultilevel"/>
    <w:tmpl w:val="EB388A9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nsid w:val="1551743C"/>
    <w:multiLevelType w:val="hybridMultilevel"/>
    <w:tmpl w:val="840AD67E"/>
    <w:lvl w:ilvl="0" w:tplc="37FC0CA6">
      <w:start w:val="1"/>
      <w:numFmt w:val="lowerLetter"/>
      <w:lvlText w:val="%1)"/>
      <w:lvlJc w:val="left"/>
      <w:pPr>
        <w:ind w:left="750" w:hanging="390"/>
      </w:pPr>
      <w:rPr>
        <w:rFonts w:hint="default"/>
        <w:color w:val="122329"/>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DD19FF"/>
    <w:multiLevelType w:val="hybridMultilevel"/>
    <w:tmpl w:val="0888BD6E"/>
    <w:lvl w:ilvl="0" w:tplc="7758EF4A">
      <w:start w:val="2"/>
      <w:numFmt w:val="bullet"/>
      <w:lvlText w:val="-"/>
      <w:lvlJc w:val="left"/>
      <w:pPr>
        <w:ind w:left="100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D075219"/>
    <w:multiLevelType w:val="hybridMultilevel"/>
    <w:tmpl w:val="53623A20"/>
    <w:lvl w:ilvl="0" w:tplc="1A0CC30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AE36F8E"/>
    <w:multiLevelType w:val="hybridMultilevel"/>
    <w:tmpl w:val="DFCEA148"/>
    <w:lvl w:ilvl="0" w:tplc="5C3CCC6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2CE746A7"/>
    <w:multiLevelType w:val="hybridMultilevel"/>
    <w:tmpl w:val="6124FFF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nsid w:val="2D123C06"/>
    <w:multiLevelType w:val="hybridMultilevel"/>
    <w:tmpl w:val="0616BC04"/>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9">
    <w:nsid w:val="33493B48"/>
    <w:multiLevelType w:val="hybridMultilevel"/>
    <w:tmpl w:val="0E4000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nsid w:val="36081F74"/>
    <w:multiLevelType w:val="hybridMultilevel"/>
    <w:tmpl w:val="9A704496"/>
    <w:lvl w:ilvl="0" w:tplc="4526194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41356227"/>
    <w:multiLevelType w:val="hybridMultilevel"/>
    <w:tmpl w:val="83CCB1DC"/>
    <w:lvl w:ilvl="0" w:tplc="7758EF4A">
      <w:start w:val="2"/>
      <w:numFmt w:val="bullet"/>
      <w:lvlText w:val="-"/>
      <w:lvlJc w:val="left"/>
      <w:pPr>
        <w:ind w:left="650" w:hanging="360"/>
      </w:pPr>
      <w:rPr>
        <w:rFonts w:ascii="Times New Roman" w:eastAsia="Times New Roman" w:hAnsi="Times New Roman" w:cs="Times New Roman"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12">
    <w:nsid w:val="41E5367D"/>
    <w:multiLevelType w:val="hybridMultilevel"/>
    <w:tmpl w:val="1A2A0A7A"/>
    <w:lvl w:ilvl="0" w:tplc="7758EF4A">
      <w:start w:val="2"/>
      <w:numFmt w:val="bullet"/>
      <w:lvlText w:val="-"/>
      <w:lvlJc w:val="left"/>
      <w:pPr>
        <w:ind w:left="928" w:hanging="360"/>
      </w:pPr>
      <w:rPr>
        <w:rFonts w:ascii="Times New Roman" w:eastAsia="Times New Roman"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48D97DD8"/>
    <w:multiLevelType w:val="hybridMultilevel"/>
    <w:tmpl w:val="5C1C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16">
    <w:nsid w:val="5625237F"/>
    <w:multiLevelType w:val="hybridMultilevel"/>
    <w:tmpl w:val="F2FE7D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7">
    <w:nsid w:val="58476BAC"/>
    <w:multiLevelType w:val="hybridMultilevel"/>
    <w:tmpl w:val="D840B6F0"/>
    <w:lvl w:ilvl="0" w:tplc="CC849E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644"/>
        </w:tabs>
        <w:ind w:left="114" w:firstLine="170"/>
      </w:pPr>
      <w:rPr>
        <w:rFonts w:ascii="Wingdings" w:hAnsi="Wingdings" w:hint="default"/>
      </w:rPr>
    </w:lvl>
  </w:abstractNum>
  <w:abstractNum w:abstractNumId="19">
    <w:nsid w:val="6825183D"/>
    <w:multiLevelType w:val="hybridMultilevel"/>
    <w:tmpl w:val="60681252"/>
    <w:lvl w:ilvl="0" w:tplc="AF82825A">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75883C78"/>
    <w:multiLevelType w:val="hybridMultilevel"/>
    <w:tmpl w:val="9C328F4A"/>
    <w:lvl w:ilvl="0" w:tplc="A2A40B0E">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2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3">
    <w:nsid w:val="7D514F25"/>
    <w:multiLevelType w:val="hybridMultilevel"/>
    <w:tmpl w:val="1D743C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
  </w:num>
  <w:num w:numId="4">
    <w:abstractNumId w:val="13"/>
  </w:num>
  <w:num w:numId="5">
    <w:abstractNumId w:val="20"/>
  </w:num>
  <w:num w:numId="6">
    <w:abstractNumId w:val="1"/>
  </w:num>
  <w:num w:numId="7">
    <w:abstractNumId w:val="1"/>
  </w:num>
  <w:num w:numId="8">
    <w:abstractNumId w:val="1"/>
  </w:num>
  <w:num w:numId="9">
    <w:abstractNumId w:val="15"/>
  </w:num>
  <w:num w:numId="10">
    <w:abstractNumId w:val="19"/>
  </w:num>
  <w:num w:numId="11">
    <w:abstractNumId w:val="14"/>
  </w:num>
  <w:num w:numId="12">
    <w:abstractNumId w:val="11"/>
  </w:num>
  <w:num w:numId="13">
    <w:abstractNumId w:val="10"/>
  </w:num>
  <w:num w:numId="14">
    <w:abstractNumId w:val="3"/>
  </w:num>
  <w:num w:numId="15">
    <w:abstractNumId w:val="6"/>
  </w:num>
  <w:num w:numId="16">
    <w:abstractNumId w:val="12"/>
  </w:num>
  <w:num w:numId="17">
    <w:abstractNumId w:val="8"/>
  </w:num>
  <w:num w:numId="18">
    <w:abstractNumId w:val="2"/>
  </w:num>
  <w:num w:numId="19">
    <w:abstractNumId w:val="4"/>
  </w:num>
  <w:num w:numId="20">
    <w:abstractNumId w:val="7"/>
  </w:num>
  <w:num w:numId="21">
    <w:abstractNumId w:val="23"/>
  </w:num>
  <w:num w:numId="22">
    <w:abstractNumId w:val="9"/>
  </w:num>
  <w:num w:numId="23">
    <w:abstractNumId w:val="16"/>
  </w:num>
  <w:num w:numId="24">
    <w:abstractNumId w:val="17"/>
  </w:num>
  <w:num w:numId="25">
    <w:abstractNumId w:val="0"/>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EB"/>
    <w:rsid w:val="000019D8"/>
    <w:rsid w:val="00001BA0"/>
    <w:rsid w:val="00004E7A"/>
    <w:rsid w:val="00006736"/>
    <w:rsid w:val="00006A97"/>
    <w:rsid w:val="0001123B"/>
    <w:rsid w:val="00012A7F"/>
    <w:rsid w:val="000143C0"/>
    <w:rsid w:val="00017A3A"/>
    <w:rsid w:val="00030B12"/>
    <w:rsid w:val="00034043"/>
    <w:rsid w:val="00036E42"/>
    <w:rsid w:val="00037E6D"/>
    <w:rsid w:val="0004373B"/>
    <w:rsid w:val="000448FA"/>
    <w:rsid w:val="00045AEB"/>
    <w:rsid w:val="00053A42"/>
    <w:rsid w:val="00053FF5"/>
    <w:rsid w:val="0005517D"/>
    <w:rsid w:val="0006133D"/>
    <w:rsid w:val="00063585"/>
    <w:rsid w:val="00064E41"/>
    <w:rsid w:val="00071CD0"/>
    <w:rsid w:val="00075692"/>
    <w:rsid w:val="00076AFC"/>
    <w:rsid w:val="00087B8D"/>
    <w:rsid w:val="00093D67"/>
    <w:rsid w:val="00093E60"/>
    <w:rsid w:val="000A18B7"/>
    <w:rsid w:val="000A2C1E"/>
    <w:rsid w:val="000A4697"/>
    <w:rsid w:val="000A6E66"/>
    <w:rsid w:val="000B1FAB"/>
    <w:rsid w:val="000B2728"/>
    <w:rsid w:val="000B3943"/>
    <w:rsid w:val="000B4477"/>
    <w:rsid w:val="000C0704"/>
    <w:rsid w:val="000C2B07"/>
    <w:rsid w:val="000C39CC"/>
    <w:rsid w:val="000C7566"/>
    <w:rsid w:val="000D0720"/>
    <w:rsid w:val="000D188E"/>
    <w:rsid w:val="000D5335"/>
    <w:rsid w:val="000E7B86"/>
    <w:rsid w:val="000F13D7"/>
    <w:rsid w:val="000F2B66"/>
    <w:rsid w:val="000F3D83"/>
    <w:rsid w:val="00100F12"/>
    <w:rsid w:val="00103589"/>
    <w:rsid w:val="001045C9"/>
    <w:rsid w:val="00106739"/>
    <w:rsid w:val="00107CC1"/>
    <w:rsid w:val="00111725"/>
    <w:rsid w:val="00111740"/>
    <w:rsid w:val="00111A92"/>
    <w:rsid w:val="001127BB"/>
    <w:rsid w:val="001127E4"/>
    <w:rsid w:val="001145C3"/>
    <w:rsid w:val="001161D2"/>
    <w:rsid w:val="001178B8"/>
    <w:rsid w:val="00122D17"/>
    <w:rsid w:val="00127591"/>
    <w:rsid w:val="00131DF1"/>
    <w:rsid w:val="00132C38"/>
    <w:rsid w:val="00133984"/>
    <w:rsid w:val="001365C4"/>
    <w:rsid w:val="0014147D"/>
    <w:rsid w:val="00141D29"/>
    <w:rsid w:val="0014506A"/>
    <w:rsid w:val="0014728F"/>
    <w:rsid w:val="001521A2"/>
    <w:rsid w:val="00152358"/>
    <w:rsid w:val="00155BFF"/>
    <w:rsid w:val="00157D54"/>
    <w:rsid w:val="00160F66"/>
    <w:rsid w:val="00162029"/>
    <w:rsid w:val="001633AF"/>
    <w:rsid w:val="001634BF"/>
    <w:rsid w:val="00166A6C"/>
    <w:rsid w:val="00173EDD"/>
    <w:rsid w:val="0017402B"/>
    <w:rsid w:val="00181D37"/>
    <w:rsid w:val="001835B7"/>
    <w:rsid w:val="0018426B"/>
    <w:rsid w:val="00185A37"/>
    <w:rsid w:val="00193F50"/>
    <w:rsid w:val="00194309"/>
    <w:rsid w:val="0019660E"/>
    <w:rsid w:val="001B39E2"/>
    <w:rsid w:val="001C2B26"/>
    <w:rsid w:val="001C3A32"/>
    <w:rsid w:val="001D4F09"/>
    <w:rsid w:val="001E3AD4"/>
    <w:rsid w:val="001F1482"/>
    <w:rsid w:val="001F17EB"/>
    <w:rsid w:val="001F20D7"/>
    <w:rsid w:val="001F7744"/>
    <w:rsid w:val="002014EB"/>
    <w:rsid w:val="00201E74"/>
    <w:rsid w:val="00202B1A"/>
    <w:rsid w:val="002044FA"/>
    <w:rsid w:val="00204979"/>
    <w:rsid w:val="002078C2"/>
    <w:rsid w:val="00211D69"/>
    <w:rsid w:val="002179DB"/>
    <w:rsid w:val="00227E48"/>
    <w:rsid w:val="00230577"/>
    <w:rsid w:val="0023209D"/>
    <w:rsid w:val="002333F8"/>
    <w:rsid w:val="00233D79"/>
    <w:rsid w:val="00237657"/>
    <w:rsid w:val="00242BA7"/>
    <w:rsid w:val="002437B5"/>
    <w:rsid w:val="00243B07"/>
    <w:rsid w:val="00244EF1"/>
    <w:rsid w:val="00246F21"/>
    <w:rsid w:val="00253E78"/>
    <w:rsid w:val="00254BC7"/>
    <w:rsid w:val="00262C3C"/>
    <w:rsid w:val="00264C88"/>
    <w:rsid w:val="0026532C"/>
    <w:rsid w:val="0026575D"/>
    <w:rsid w:val="002705B0"/>
    <w:rsid w:val="002717A6"/>
    <w:rsid w:val="00272015"/>
    <w:rsid w:val="00273C10"/>
    <w:rsid w:val="00274B4C"/>
    <w:rsid w:val="00276264"/>
    <w:rsid w:val="0028127D"/>
    <w:rsid w:val="00281DCA"/>
    <w:rsid w:val="00290AB9"/>
    <w:rsid w:val="00293BBA"/>
    <w:rsid w:val="00297B04"/>
    <w:rsid w:val="002A056C"/>
    <w:rsid w:val="002A66A5"/>
    <w:rsid w:val="002A6EBB"/>
    <w:rsid w:val="002B0BB9"/>
    <w:rsid w:val="002B21E9"/>
    <w:rsid w:val="002B2B87"/>
    <w:rsid w:val="002B4E0F"/>
    <w:rsid w:val="002B5754"/>
    <w:rsid w:val="002B61D8"/>
    <w:rsid w:val="002B7DD5"/>
    <w:rsid w:val="002C01F4"/>
    <w:rsid w:val="002C0380"/>
    <w:rsid w:val="002C7026"/>
    <w:rsid w:val="002C7E08"/>
    <w:rsid w:val="002D089F"/>
    <w:rsid w:val="002D3836"/>
    <w:rsid w:val="002D5635"/>
    <w:rsid w:val="002D65E8"/>
    <w:rsid w:val="002D7D32"/>
    <w:rsid w:val="002E02E5"/>
    <w:rsid w:val="002E0478"/>
    <w:rsid w:val="002E0791"/>
    <w:rsid w:val="002E1B92"/>
    <w:rsid w:val="002E547B"/>
    <w:rsid w:val="002E7B81"/>
    <w:rsid w:val="002F09FB"/>
    <w:rsid w:val="002F0FE3"/>
    <w:rsid w:val="002F1AF0"/>
    <w:rsid w:val="002F2530"/>
    <w:rsid w:val="002F272A"/>
    <w:rsid w:val="002F3225"/>
    <w:rsid w:val="002F53B4"/>
    <w:rsid w:val="002F6774"/>
    <w:rsid w:val="002F76D6"/>
    <w:rsid w:val="00303506"/>
    <w:rsid w:val="00307057"/>
    <w:rsid w:val="00312819"/>
    <w:rsid w:val="00312E9C"/>
    <w:rsid w:val="00313875"/>
    <w:rsid w:val="003203BF"/>
    <w:rsid w:val="00321369"/>
    <w:rsid w:val="00321FE3"/>
    <w:rsid w:val="0032617D"/>
    <w:rsid w:val="00330787"/>
    <w:rsid w:val="00334163"/>
    <w:rsid w:val="00337493"/>
    <w:rsid w:val="0034285F"/>
    <w:rsid w:val="003464A4"/>
    <w:rsid w:val="00351684"/>
    <w:rsid w:val="00354458"/>
    <w:rsid w:val="00363653"/>
    <w:rsid w:val="0036509D"/>
    <w:rsid w:val="0037228C"/>
    <w:rsid w:val="00372B75"/>
    <w:rsid w:val="003738FD"/>
    <w:rsid w:val="003810BE"/>
    <w:rsid w:val="00386F6C"/>
    <w:rsid w:val="00387709"/>
    <w:rsid w:val="00387794"/>
    <w:rsid w:val="00391370"/>
    <w:rsid w:val="00395EB6"/>
    <w:rsid w:val="00397162"/>
    <w:rsid w:val="003A3217"/>
    <w:rsid w:val="003A335E"/>
    <w:rsid w:val="003A3DD2"/>
    <w:rsid w:val="003B3573"/>
    <w:rsid w:val="003B5813"/>
    <w:rsid w:val="003C03EA"/>
    <w:rsid w:val="003C196B"/>
    <w:rsid w:val="003C6E1D"/>
    <w:rsid w:val="003D058C"/>
    <w:rsid w:val="003D0AD4"/>
    <w:rsid w:val="003D238F"/>
    <w:rsid w:val="003D2505"/>
    <w:rsid w:val="003D76B1"/>
    <w:rsid w:val="003E17A6"/>
    <w:rsid w:val="003E3EC9"/>
    <w:rsid w:val="003E4AA5"/>
    <w:rsid w:val="003E78D4"/>
    <w:rsid w:val="003F1CEC"/>
    <w:rsid w:val="003F43BF"/>
    <w:rsid w:val="003F4869"/>
    <w:rsid w:val="003F6BE4"/>
    <w:rsid w:val="004011D7"/>
    <w:rsid w:val="00403A30"/>
    <w:rsid w:val="00403CF8"/>
    <w:rsid w:val="00407459"/>
    <w:rsid w:val="00414D01"/>
    <w:rsid w:val="004170FE"/>
    <w:rsid w:val="004209E6"/>
    <w:rsid w:val="0042324B"/>
    <w:rsid w:val="004234E8"/>
    <w:rsid w:val="00426805"/>
    <w:rsid w:val="00430150"/>
    <w:rsid w:val="004302F9"/>
    <w:rsid w:val="0043229B"/>
    <w:rsid w:val="00435287"/>
    <w:rsid w:val="00435657"/>
    <w:rsid w:val="00440A22"/>
    <w:rsid w:val="0045550E"/>
    <w:rsid w:val="00456456"/>
    <w:rsid w:val="004606FA"/>
    <w:rsid w:val="00462367"/>
    <w:rsid w:val="0046490C"/>
    <w:rsid w:val="004653AF"/>
    <w:rsid w:val="00466036"/>
    <w:rsid w:val="004672EC"/>
    <w:rsid w:val="00470287"/>
    <w:rsid w:val="00470733"/>
    <w:rsid w:val="00477C53"/>
    <w:rsid w:val="00485380"/>
    <w:rsid w:val="00493D87"/>
    <w:rsid w:val="004950D4"/>
    <w:rsid w:val="004A0506"/>
    <w:rsid w:val="004A0634"/>
    <w:rsid w:val="004A2342"/>
    <w:rsid w:val="004A2F62"/>
    <w:rsid w:val="004A7862"/>
    <w:rsid w:val="004B1DB8"/>
    <w:rsid w:val="004B2F01"/>
    <w:rsid w:val="004B4182"/>
    <w:rsid w:val="004B4538"/>
    <w:rsid w:val="004B587C"/>
    <w:rsid w:val="004B6FB6"/>
    <w:rsid w:val="004C1487"/>
    <w:rsid w:val="004C3423"/>
    <w:rsid w:val="004C571D"/>
    <w:rsid w:val="004D23DF"/>
    <w:rsid w:val="004D35A2"/>
    <w:rsid w:val="004D5FD1"/>
    <w:rsid w:val="004E0C86"/>
    <w:rsid w:val="004F2C66"/>
    <w:rsid w:val="004F7C93"/>
    <w:rsid w:val="00506105"/>
    <w:rsid w:val="00513162"/>
    <w:rsid w:val="00514ACB"/>
    <w:rsid w:val="00521E9C"/>
    <w:rsid w:val="00522821"/>
    <w:rsid w:val="00524A11"/>
    <w:rsid w:val="00525809"/>
    <w:rsid w:val="00525BC5"/>
    <w:rsid w:val="005335AA"/>
    <w:rsid w:val="00533E20"/>
    <w:rsid w:val="00535130"/>
    <w:rsid w:val="00537302"/>
    <w:rsid w:val="00542216"/>
    <w:rsid w:val="00553CEB"/>
    <w:rsid w:val="0055471F"/>
    <w:rsid w:val="00555509"/>
    <w:rsid w:val="00556C08"/>
    <w:rsid w:val="00561C5B"/>
    <w:rsid w:val="00564F2D"/>
    <w:rsid w:val="00566CDA"/>
    <w:rsid w:val="0056727E"/>
    <w:rsid w:val="00567BA6"/>
    <w:rsid w:val="00570033"/>
    <w:rsid w:val="00570147"/>
    <w:rsid w:val="005723F1"/>
    <w:rsid w:val="0057307E"/>
    <w:rsid w:val="00573A4C"/>
    <w:rsid w:val="00574B79"/>
    <w:rsid w:val="00574D12"/>
    <w:rsid w:val="005759CB"/>
    <w:rsid w:val="0057686A"/>
    <w:rsid w:val="005800B4"/>
    <w:rsid w:val="0058070B"/>
    <w:rsid w:val="0058296F"/>
    <w:rsid w:val="00593F3C"/>
    <w:rsid w:val="00595E80"/>
    <w:rsid w:val="0059650E"/>
    <w:rsid w:val="00596953"/>
    <w:rsid w:val="005A6030"/>
    <w:rsid w:val="005A7AAC"/>
    <w:rsid w:val="005B57AD"/>
    <w:rsid w:val="005B722E"/>
    <w:rsid w:val="005C02FE"/>
    <w:rsid w:val="005C3F03"/>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6E8E"/>
    <w:rsid w:val="0064700E"/>
    <w:rsid w:val="00650183"/>
    <w:rsid w:val="00650677"/>
    <w:rsid w:val="00654632"/>
    <w:rsid w:val="006736A9"/>
    <w:rsid w:val="00673BC7"/>
    <w:rsid w:val="00674975"/>
    <w:rsid w:val="00675D39"/>
    <w:rsid w:val="00677611"/>
    <w:rsid w:val="00683E66"/>
    <w:rsid w:val="0068560B"/>
    <w:rsid w:val="006969F0"/>
    <w:rsid w:val="006A1277"/>
    <w:rsid w:val="006A2602"/>
    <w:rsid w:val="006A2D41"/>
    <w:rsid w:val="006A4452"/>
    <w:rsid w:val="006A67E1"/>
    <w:rsid w:val="006C36FB"/>
    <w:rsid w:val="006C7D62"/>
    <w:rsid w:val="006D0B23"/>
    <w:rsid w:val="006D2ED6"/>
    <w:rsid w:val="006D5685"/>
    <w:rsid w:val="006E1987"/>
    <w:rsid w:val="006E23B2"/>
    <w:rsid w:val="006E5207"/>
    <w:rsid w:val="006F246D"/>
    <w:rsid w:val="006F5C70"/>
    <w:rsid w:val="006F6A20"/>
    <w:rsid w:val="007047B2"/>
    <w:rsid w:val="00704DE7"/>
    <w:rsid w:val="00706868"/>
    <w:rsid w:val="007078B8"/>
    <w:rsid w:val="00715E32"/>
    <w:rsid w:val="007162D1"/>
    <w:rsid w:val="00716463"/>
    <w:rsid w:val="0071706E"/>
    <w:rsid w:val="00727292"/>
    <w:rsid w:val="00730C28"/>
    <w:rsid w:val="00742F6A"/>
    <w:rsid w:val="007446E8"/>
    <w:rsid w:val="00750826"/>
    <w:rsid w:val="00751553"/>
    <w:rsid w:val="0075165E"/>
    <w:rsid w:val="00754E10"/>
    <w:rsid w:val="00756A77"/>
    <w:rsid w:val="00762A29"/>
    <w:rsid w:val="0076327D"/>
    <w:rsid w:val="00767745"/>
    <w:rsid w:val="007707FC"/>
    <w:rsid w:val="00770BE3"/>
    <w:rsid w:val="0077177A"/>
    <w:rsid w:val="007728A8"/>
    <w:rsid w:val="0077460A"/>
    <w:rsid w:val="0077602F"/>
    <w:rsid w:val="00785A76"/>
    <w:rsid w:val="00787852"/>
    <w:rsid w:val="007908F5"/>
    <w:rsid w:val="007915BC"/>
    <w:rsid w:val="007967FA"/>
    <w:rsid w:val="00797E7A"/>
    <w:rsid w:val="007A0EA6"/>
    <w:rsid w:val="007A2D9E"/>
    <w:rsid w:val="007B0381"/>
    <w:rsid w:val="007B0F3D"/>
    <w:rsid w:val="007B148D"/>
    <w:rsid w:val="007B18C8"/>
    <w:rsid w:val="007B28DE"/>
    <w:rsid w:val="007B7A5F"/>
    <w:rsid w:val="007C36BE"/>
    <w:rsid w:val="007D148D"/>
    <w:rsid w:val="007D53ED"/>
    <w:rsid w:val="007D6001"/>
    <w:rsid w:val="007D7F94"/>
    <w:rsid w:val="007E0113"/>
    <w:rsid w:val="007E1B76"/>
    <w:rsid w:val="007E219A"/>
    <w:rsid w:val="007E37BF"/>
    <w:rsid w:val="007E6593"/>
    <w:rsid w:val="007F1101"/>
    <w:rsid w:val="007F2CB1"/>
    <w:rsid w:val="00803D20"/>
    <w:rsid w:val="008112A0"/>
    <w:rsid w:val="00813509"/>
    <w:rsid w:val="0081696D"/>
    <w:rsid w:val="00816E01"/>
    <w:rsid w:val="008173D0"/>
    <w:rsid w:val="00823235"/>
    <w:rsid w:val="008249F1"/>
    <w:rsid w:val="00824AF2"/>
    <w:rsid w:val="00826686"/>
    <w:rsid w:val="00826FF0"/>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0F5"/>
    <w:rsid w:val="008637B9"/>
    <w:rsid w:val="00864194"/>
    <w:rsid w:val="00870399"/>
    <w:rsid w:val="008711EC"/>
    <w:rsid w:val="008718FE"/>
    <w:rsid w:val="00872946"/>
    <w:rsid w:val="00883928"/>
    <w:rsid w:val="00883DDE"/>
    <w:rsid w:val="008917CA"/>
    <w:rsid w:val="00891D73"/>
    <w:rsid w:val="00892A44"/>
    <w:rsid w:val="008A2DE8"/>
    <w:rsid w:val="008A312D"/>
    <w:rsid w:val="008A3E09"/>
    <w:rsid w:val="008A3E57"/>
    <w:rsid w:val="008A3F38"/>
    <w:rsid w:val="008A53E4"/>
    <w:rsid w:val="008A77A7"/>
    <w:rsid w:val="008B3F34"/>
    <w:rsid w:val="008C56B9"/>
    <w:rsid w:val="008D05E0"/>
    <w:rsid w:val="008D2600"/>
    <w:rsid w:val="008D69CA"/>
    <w:rsid w:val="008E0AC0"/>
    <w:rsid w:val="008E221A"/>
    <w:rsid w:val="008E3FFE"/>
    <w:rsid w:val="008E60BE"/>
    <w:rsid w:val="008E6B74"/>
    <w:rsid w:val="008F0FAF"/>
    <w:rsid w:val="008F46CD"/>
    <w:rsid w:val="008F5CB6"/>
    <w:rsid w:val="008F6480"/>
    <w:rsid w:val="008F7740"/>
    <w:rsid w:val="00900CA2"/>
    <w:rsid w:val="00903653"/>
    <w:rsid w:val="0090402B"/>
    <w:rsid w:val="00910A52"/>
    <w:rsid w:val="00911479"/>
    <w:rsid w:val="0091484D"/>
    <w:rsid w:val="00925E71"/>
    <w:rsid w:val="009263BE"/>
    <w:rsid w:val="0093329F"/>
    <w:rsid w:val="00937043"/>
    <w:rsid w:val="009445D3"/>
    <w:rsid w:val="00955A8A"/>
    <w:rsid w:val="009567E9"/>
    <w:rsid w:val="0096400D"/>
    <w:rsid w:val="00966600"/>
    <w:rsid w:val="009671D9"/>
    <w:rsid w:val="00970B97"/>
    <w:rsid w:val="00971352"/>
    <w:rsid w:val="00975E5B"/>
    <w:rsid w:val="00977C8F"/>
    <w:rsid w:val="00977F94"/>
    <w:rsid w:val="009825C8"/>
    <w:rsid w:val="00982C84"/>
    <w:rsid w:val="009863E9"/>
    <w:rsid w:val="00991B73"/>
    <w:rsid w:val="00992E20"/>
    <w:rsid w:val="009936FC"/>
    <w:rsid w:val="00993925"/>
    <w:rsid w:val="00993977"/>
    <w:rsid w:val="009A05D1"/>
    <w:rsid w:val="009A28AC"/>
    <w:rsid w:val="009A3A5B"/>
    <w:rsid w:val="009A3F2A"/>
    <w:rsid w:val="009A7B44"/>
    <w:rsid w:val="009B1701"/>
    <w:rsid w:val="009B2AAC"/>
    <w:rsid w:val="009B3521"/>
    <w:rsid w:val="009B541C"/>
    <w:rsid w:val="009C1790"/>
    <w:rsid w:val="009C4460"/>
    <w:rsid w:val="009C69F5"/>
    <w:rsid w:val="009D0591"/>
    <w:rsid w:val="009D7192"/>
    <w:rsid w:val="009E0E38"/>
    <w:rsid w:val="009E1A35"/>
    <w:rsid w:val="009E7D23"/>
    <w:rsid w:val="009F09AA"/>
    <w:rsid w:val="009F2C16"/>
    <w:rsid w:val="009F2C1B"/>
    <w:rsid w:val="009F335C"/>
    <w:rsid w:val="009F7047"/>
    <w:rsid w:val="00A002B5"/>
    <w:rsid w:val="00A0260C"/>
    <w:rsid w:val="00A041B5"/>
    <w:rsid w:val="00A04F8C"/>
    <w:rsid w:val="00A05158"/>
    <w:rsid w:val="00A13AC6"/>
    <w:rsid w:val="00A13BF5"/>
    <w:rsid w:val="00A14837"/>
    <w:rsid w:val="00A16077"/>
    <w:rsid w:val="00A225E3"/>
    <w:rsid w:val="00A23A26"/>
    <w:rsid w:val="00A23F08"/>
    <w:rsid w:val="00A24A8F"/>
    <w:rsid w:val="00A25708"/>
    <w:rsid w:val="00A25BF0"/>
    <w:rsid w:val="00A3026E"/>
    <w:rsid w:val="00A4576A"/>
    <w:rsid w:val="00A45AD0"/>
    <w:rsid w:val="00A45EE9"/>
    <w:rsid w:val="00A53C14"/>
    <w:rsid w:val="00A55676"/>
    <w:rsid w:val="00A61410"/>
    <w:rsid w:val="00A6198A"/>
    <w:rsid w:val="00A6319E"/>
    <w:rsid w:val="00A65108"/>
    <w:rsid w:val="00A7067F"/>
    <w:rsid w:val="00A707A7"/>
    <w:rsid w:val="00A718FD"/>
    <w:rsid w:val="00A72341"/>
    <w:rsid w:val="00A776ED"/>
    <w:rsid w:val="00A80E50"/>
    <w:rsid w:val="00A8137F"/>
    <w:rsid w:val="00A83663"/>
    <w:rsid w:val="00A83B0F"/>
    <w:rsid w:val="00A84216"/>
    <w:rsid w:val="00A90BFA"/>
    <w:rsid w:val="00A91334"/>
    <w:rsid w:val="00A92BF3"/>
    <w:rsid w:val="00A943C8"/>
    <w:rsid w:val="00A950A4"/>
    <w:rsid w:val="00A9520D"/>
    <w:rsid w:val="00A9747D"/>
    <w:rsid w:val="00AA00A6"/>
    <w:rsid w:val="00AA6BA8"/>
    <w:rsid w:val="00AA7F5A"/>
    <w:rsid w:val="00AB2340"/>
    <w:rsid w:val="00AB5FE4"/>
    <w:rsid w:val="00AB659D"/>
    <w:rsid w:val="00AC146A"/>
    <w:rsid w:val="00AC229F"/>
    <w:rsid w:val="00AD59F5"/>
    <w:rsid w:val="00AD7671"/>
    <w:rsid w:val="00AE53E8"/>
    <w:rsid w:val="00AE6FE4"/>
    <w:rsid w:val="00AE7101"/>
    <w:rsid w:val="00AF2059"/>
    <w:rsid w:val="00AF3D84"/>
    <w:rsid w:val="00AF4161"/>
    <w:rsid w:val="00AF580B"/>
    <w:rsid w:val="00AF7018"/>
    <w:rsid w:val="00B007C8"/>
    <w:rsid w:val="00B14410"/>
    <w:rsid w:val="00B14FFE"/>
    <w:rsid w:val="00B15E61"/>
    <w:rsid w:val="00B24F35"/>
    <w:rsid w:val="00B32C88"/>
    <w:rsid w:val="00B34747"/>
    <w:rsid w:val="00B42E49"/>
    <w:rsid w:val="00B50903"/>
    <w:rsid w:val="00B62FFE"/>
    <w:rsid w:val="00B65013"/>
    <w:rsid w:val="00B7123A"/>
    <w:rsid w:val="00B7435C"/>
    <w:rsid w:val="00B76F38"/>
    <w:rsid w:val="00B8085D"/>
    <w:rsid w:val="00B8167D"/>
    <w:rsid w:val="00B81EFF"/>
    <w:rsid w:val="00B828C4"/>
    <w:rsid w:val="00B836BB"/>
    <w:rsid w:val="00B84122"/>
    <w:rsid w:val="00B862B0"/>
    <w:rsid w:val="00B9358E"/>
    <w:rsid w:val="00B936F9"/>
    <w:rsid w:val="00B94E83"/>
    <w:rsid w:val="00B97895"/>
    <w:rsid w:val="00BA2B7C"/>
    <w:rsid w:val="00BA4F3C"/>
    <w:rsid w:val="00BB142A"/>
    <w:rsid w:val="00BB20BE"/>
    <w:rsid w:val="00BB34B9"/>
    <w:rsid w:val="00BB35C2"/>
    <w:rsid w:val="00BB4118"/>
    <w:rsid w:val="00BB4663"/>
    <w:rsid w:val="00BB553B"/>
    <w:rsid w:val="00BC28D7"/>
    <w:rsid w:val="00BC376C"/>
    <w:rsid w:val="00BC6321"/>
    <w:rsid w:val="00BC7817"/>
    <w:rsid w:val="00BD3819"/>
    <w:rsid w:val="00BD642D"/>
    <w:rsid w:val="00BD6988"/>
    <w:rsid w:val="00BE11C7"/>
    <w:rsid w:val="00BE1A77"/>
    <w:rsid w:val="00BE1F03"/>
    <w:rsid w:val="00BE4742"/>
    <w:rsid w:val="00BE7383"/>
    <w:rsid w:val="00BE754D"/>
    <w:rsid w:val="00BF1DB9"/>
    <w:rsid w:val="00BF6D10"/>
    <w:rsid w:val="00BF6E79"/>
    <w:rsid w:val="00C033EC"/>
    <w:rsid w:val="00C03849"/>
    <w:rsid w:val="00C03F6C"/>
    <w:rsid w:val="00C12108"/>
    <w:rsid w:val="00C121D9"/>
    <w:rsid w:val="00C13453"/>
    <w:rsid w:val="00C13E22"/>
    <w:rsid w:val="00C220F9"/>
    <w:rsid w:val="00C2541C"/>
    <w:rsid w:val="00C26862"/>
    <w:rsid w:val="00C30458"/>
    <w:rsid w:val="00C3081E"/>
    <w:rsid w:val="00C31DA6"/>
    <w:rsid w:val="00C33260"/>
    <w:rsid w:val="00C4598F"/>
    <w:rsid w:val="00C50360"/>
    <w:rsid w:val="00C52D3F"/>
    <w:rsid w:val="00C54E12"/>
    <w:rsid w:val="00C55468"/>
    <w:rsid w:val="00C622C3"/>
    <w:rsid w:val="00C63BD5"/>
    <w:rsid w:val="00C73DC8"/>
    <w:rsid w:val="00C74906"/>
    <w:rsid w:val="00C80336"/>
    <w:rsid w:val="00C81B40"/>
    <w:rsid w:val="00C81FEA"/>
    <w:rsid w:val="00C83969"/>
    <w:rsid w:val="00C86C95"/>
    <w:rsid w:val="00C8735A"/>
    <w:rsid w:val="00C92793"/>
    <w:rsid w:val="00CA05EB"/>
    <w:rsid w:val="00CA3515"/>
    <w:rsid w:val="00CA3A05"/>
    <w:rsid w:val="00CA5C4E"/>
    <w:rsid w:val="00CB14E9"/>
    <w:rsid w:val="00CB5CC5"/>
    <w:rsid w:val="00CB6D90"/>
    <w:rsid w:val="00CB72C3"/>
    <w:rsid w:val="00CC45E4"/>
    <w:rsid w:val="00CD019F"/>
    <w:rsid w:val="00CD27C5"/>
    <w:rsid w:val="00CD5371"/>
    <w:rsid w:val="00CE4169"/>
    <w:rsid w:val="00CE608A"/>
    <w:rsid w:val="00CE7894"/>
    <w:rsid w:val="00CF06A1"/>
    <w:rsid w:val="00CF0D5A"/>
    <w:rsid w:val="00CF1467"/>
    <w:rsid w:val="00CF48D6"/>
    <w:rsid w:val="00CF57D6"/>
    <w:rsid w:val="00CF6C1B"/>
    <w:rsid w:val="00D0054E"/>
    <w:rsid w:val="00D005D7"/>
    <w:rsid w:val="00D019D5"/>
    <w:rsid w:val="00D03100"/>
    <w:rsid w:val="00D040FE"/>
    <w:rsid w:val="00D06260"/>
    <w:rsid w:val="00D168FD"/>
    <w:rsid w:val="00D16F64"/>
    <w:rsid w:val="00D2472C"/>
    <w:rsid w:val="00D279BA"/>
    <w:rsid w:val="00D358A5"/>
    <w:rsid w:val="00D404B5"/>
    <w:rsid w:val="00D447CB"/>
    <w:rsid w:val="00D47D16"/>
    <w:rsid w:val="00D505F4"/>
    <w:rsid w:val="00D51CE1"/>
    <w:rsid w:val="00D51D57"/>
    <w:rsid w:val="00D562F2"/>
    <w:rsid w:val="00D57BB4"/>
    <w:rsid w:val="00D60709"/>
    <w:rsid w:val="00D61B93"/>
    <w:rsid w:val="00D67E4A"/>
    <w:rsid w:val="00D71E75"/>
    <w:rsid w:val="00D763FD"/>
    <w:rsid w:val="00D80902"/>
    <w:rsid w:val="00D90AD1"/>
    <w:rsid w:val="00D928A6"/>
    <w:rsid w:val="00D941F7"/>
    <w:rsid w:val="00D96D9C"/>
    <w:rsid w:val="00DA4DDF"/>
    <w:rsid w:val="00DA4F64"/>
    <w:rsid w:val="00DB0804"/>
    <w:rsid w:val="00DB2FC4"/>
    <w:rsid w:val="00DC382A"/>
    <w:rsid w:val="00DC5DF5"/>
    <w:rsid w:val="00DD497E"/>
    <w:rsid w:val="00DE1923"/>
    <w:rsid w:val="00DE2B33"/>
    <w:rsid w:val="00DE4918"/>
    <w:rsid w:val="00DE638B"/>
    <w:rsid w:val="00DE72EE"/>
    <w:rsid w:val="00DF37E5"/>
    <w:rsid w:val="00E034FE"/>
    <w:rsid w:val="00E041E5"/>
    <w:rsid w:val="00E04888"/>
    <w:rsid w:val="00E0763B"/>
    <w:rsid w:val="00E10302"/>
    <w:rsid w:val="00E17889"/>
    <w:rsid w:val="00E17EC5"/>
    <w:rsid w:val="00E26BFD"/>
    <w:rsid w:val="00E27E90"/>
    <w:rsid w:val="00E33D02"/>
    <w:rsid w:val="00E34F2C"/>
    <w:rsid w:val="00E35D79"/>
    <w:rsid w:val="00E444C2"/>
    <w:rsid w:val="00E4641E"/>
    <w:rsid w:val="00E519AE"/>
    <w:rsid w:val="00E52067"/>
    <w:rsid w:val="00E57AF7"/>
    <w:rsid w:val="00E6241B"/>
    <w:rsid w:val="00E64FCC"/>
    <w:rsid w:val="00E703B6"/>
    <w:rsid w:val="00E72200"/>
    <w:rsid w:val="00E72B1B"/>
    <w:rsid w:val="00E75D47"/>
    <w:rsid w:val="00E766F5"/>
    <w:rsid w:val="00E82948"/>
    <w:rsid w:val="00E90218"/>
    <w:rsid w:val="00E913BB"/>
    <w:rsid w:val="00E95F2E"/>
    <w:rsid w:val="00EA0B66"/>
    <w:rsid w:val="00EA1508"/>
    <w:rsid w:val="00EA1541"/>
    <w:rsid w:val="00EA32E4"/>
    <w:rsid w:val="00EA7E36"/>
    <w:rsid w:val="00EB0898"/>
    <w:rsid w:val="00EB627B"/>
    <w:rsid w:val="00EB6D94"/>
    <w:rsid w:val="00EC4183"/>
    <w:rsid w:val="00EC6468"/>
    <w:rsid w:val="00EC6708"/>
    <w:rsid w:val="00ED207C"/>
    <w:rsid w:val="00ED325A"/>
    <w:rsid w:val="00ED359E"/>
    <w:rsid w:val="00ED3F41"/>
    <w:rsid w:val="00ED5615"/>
    <w:rsid w:val="00ED692E"/>
    <w:rsid w:val="00ED69AF"/>
    <w:rsid w:val="00EE1847"/>
    <w:rsid w:val="00EE240E"/>
    <w:rsid w:val="00EE688E"/>
    <w:rsid w:val="00EE6A6D"/>
    <w:rsid w:val="00EE7722"/>
    <w:rsid w:val="00EF03E2"/>
    <w:rsid w:val="00EF7F8B"/>
    <w:rsid w:val="00F03814"/>
    <w:rsid w:val="00F0755F"/>
    <w:rsid w:val="00F07A09"/>
    <w:rsid w:val="00F1390C"/>
    <w:rsid w:val="00F14D98"/>
    <w:rsid w:val="00F20C5E"/>
    <w:rsid w:val="00F36A1D"/>
    <w:rsid w:val="00F44278"/>
    <w:rsid w:val="00F44DDB"/>
    <w:rsid w:val="00F51B65"/>
    <w:rsid w:val="00F52AAB"/>
    <w:rsid w:val="00F52EB6"/>
    <w:rsid w:val="00F55260"/>
    <w:rsid w:val="00F6316B"/>
    <w:rsid w:val="00F65AE0"/>
    <w:rsid w:val="00F74E38"/>
    <w:rsid w:val="00F76D6F"/>
    <w:rsid w:val="00F778B0"/>
    <w:rsid w:val="00F83BC2"/>
    <w:rsid w:val="00F92EC1"/>
    <w:rsid w:val="00F94C47"/>
    <w:rsid w:val="00F95E44"/>
    <w:rsid w:val="00F96427"/>
    <w:rsid w:val="00FA0421"/>
    <w:rsid w:val="00FA3389"/>
    <w:rsid w:val="00FA3476"/>
    <w:rsid w:val="00FA495F"/>
    <w:rsid w:val="00FA79C6"/>
    <w:rsid w:val="00FB0C10"/>
    <w:rsid w:val="00FB3C36"/>
    <w:rsid w:val="00FB4280"/>
    <w:rsid w:val="00FB7CCE"/>
    <w:rsid w:val="00FC01C8"/>
    <w:rsid w:val="00FC4DE0"/>
    <w:rsid w:val="00FC5027"/>
    <w:rsid w:val="00FC50C7"/>
    <w:rsid w:val="00FC511D"/>
    <w:rsid w:val="00FC68BC"/>
    <w:rsid w:val="00FD11D4"/>
    <w:rsid w:val="00FD163B"/>
    <w:rsid w:val="00FD225D"/>
    <w:rsid w:val="00FD2384"/>
    <w:rsid w:val="00FD2CA8"/>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C5DF5"/>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53CE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53CE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76AF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76AFC"/>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53CEB"/>
    <w:rPr>
      <w:b/>
      <w:bCs/>
      <w:sz w:val="28"/>
      <w:szCs w:val="28"/>
      <w:lang w:val="es-ES_tradnl" w:eastAsia="en-US"/>
    </w:rPr>
  </w:style>
  <w:style w:type="character" w:customStyle="1" w:styleId="Ttulo7Car">
    <w:name w:val="Título 7 Car"/>
    <w:basedOn w:val="Fuentedeprrafopredeter"/>
    <w:link w:val="Ttulo7"/>
    <w:uiPriority w:val="99"/>
    <w:rsid w:val="00553CEB"/>
    <w:rPr>
      <w:sz w:val="52"/>
    </w:rPr>
  </w:style>
  <w:style w:type="character" w:customStyle="1" w:styleId="atitulo2Car">
    <w:name w:val="atitulo2 Car"/>
    <w:link w:val="atitulo2"/>
    <w:rsid w:val="00553CEB"/>
    <w:rPr>
      <w:rFonts w:ascii="Arial" w:hAnsi="Arial"/>
      <w:bCs/>
      <w:iCs/>
      <w:color w:val="000000"/>
      <w:spacing w:val="10"/>
      <w:kern w:val="28"/>
      <w:sz w:val="25"/>
      <w:szCs w:val="26"/>
      <w:lang w:val="es-ES_tradnl" w:eastAsia="en-US"/>
    </w:rPr>
  </w:style>
  <w:style w:type="paragraph" w:customStyle="1" w:styleId="Estndar">
    <w:name w:val="Estándar"/>
    <w:rsid w:val="00553CEB"/>
    <w:pPr>
      <w:snapToGrid w:val="0"/>
    </w:pPr>
    <w:rPr>
      <w:rFonts w:ascii="CG Omega" w:hAnsi="CG Omega"/>
      <w:color w:val="000000"/>
      <w:sz w:val="22"/>
    </w:rPr>
  </w:style>
  <w:style w:type="paragraph" w:customStyle="1" w:styleId="tabla10">
    <w:name w:val="tabla10"/>
    <w:rsid w:val="00553CEB"/>
    <w:pPr>
      <w:tabs>
        <w:tab w:val="left" w:pos="567"/>
        <w:tab w:val="left" w:pos="1134"/>
      </w:tabs>
      <w:snapToGrid w:val="0"/>
    </w:pPr>
    <w:rPr>
      <w:rFonts w:ascii="CG Times" w:hAnsi="CG Times"/>
      <w:color w:val="000000"/>
    </w:rPr>
  </w:style>
  <w:style w:type="paragraph" w:styleId="NormalWeb">
    <w:name w:val="Normal (Web)"/>
    <w:basedOn w:val="Normal"/>
    <w:uiPriority w:val="99"/>
    <w:rsid w:val="00553C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553CEB"/>
  </w:style>
  <w:style w:type="character" w:customStyle="1" w:styleId="TextocomentarioCar">
    <w:name w:val="Texto comentario Car"/>
    <w:basedOn w:val="Fuentedeprrafopredeter"/>
    <w:link w:val="Textocomentario"/>
    <w:rsid w:val="00553CEB"/>
    <w:rPr>
      <w:lang w:val="es-ES_tradnl" w:eastAsia="en-US"/>
    </w:rPr>
  </w:style>
  <w:style w:type="paragraph" w:styleId="Asuntodelcomentario">
    <w:name w:val="annotation subject"/>
    <w:basedOn w:val="Textocomentario"/>
    <w:next w:val="Textocomentario"/>
    <w:link w:val="AsuntodelcomentarioCar"/>
    <w:rsid w:val="00553CEB"/>
    <w:rPr>
      <w:b/>
      <w:bCs/>
    </w:rPr>
  </w:style>
  <w:style w:type="character" w:customStyle="1" w:styleId="AsuntodelcomentarioCar">
    <w:name w:val="Asunto del comentario Car"/>
    <w:basedOn w:val="TextocomentarioCar"/>
    <w:link w:val="Asuntodelcomentario"/>
    <w:rsid w:val="00553CEB"/>
    <w:rPr>
      <w:b/>
      <w:bCs/>
      <w:lang w:val="es-ES_tradnl" w:eastAsia="en-US"/>
    </w:rPr>
  </w:style>
  <w:style w:type="paragraph" w:styleId="Mapadeldocumento">
    <w:name w:val="Document Map"/>
    <w:basedOn w:val="Normal"/>
    <w:link w:val="MapadeldocumentoCar"/>
    <w:rsid w:val="00553CEB"/>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53CEB"/>
    <w:rPr>
      <w:rFonts w:ascii="Tahoma" w:hAnsi="Tahoma" w:cs="Tahoma"/>
      <w:shd w:val="clear" w:color="auto" w:fill="000080"/>
      <w:lang w:val="es-ES_tradnl" w:eastAsia="en-US"/>
    </w:rPr>
  </w:style>
  <w:style w:type="paragraph" w:styleId="Textonotapie">
    <w:name w:val="footnote text"/>
    <w:basedOn w:val="Normal"/>
    <w:link w:val="TextonotapieCar"/>
    <w:rsid w:val="00553CEB"/>
  </w:style>
  <w:style w:type="character" w:customStyle="1" w:styleId="TextonotapieCar">
    <w:name w:val="Texto nota pie Car"/>
    <w:basedOn w:val="Fuentedeprrafopredeter"/>
    <w:link w:val="Textonotapie"/>
    <w:rsid w:val="00553CEB"/>
    <w:rPr>
      <w:lang w:val="es-ES_tradnl" w:eastAsia="en-US"/>
    </w:rPr>
  </w:style>
  <w:style w:type="character" w:styleId="Refdenotaalpie">
    <w:name w:val="footnote reference"/>
    <w:rsid w:val="00553CEB"/>
    <w:rPr>
      <w:vertAlign w:val="superscript"/>
    </w:rPr>
  </w:style>
  <w:style w:type="paragraph" w:styleId="Prrafodelista">
    <w:name w:val="List Paragraph"/>
    <w:basedOn w:val="Normal"/>
    <w:uiPriority w:val="34"/>
    <w:qFormat/>
    <w:rsid w:val="00553CEB"/>
    <w:pPr>
      <w:ind w:left="720"/>
      <w:contextualSpacing/>
    </w:pPr>
  </w:style>
  <w:style w:type="character" w:customStyle="1" w:styleId="PiedepginaCar">
    <w:name w:val="Pie de página Car"/>
    <w:basedOn w:val="Fuentedeprrafopredeter"/>
    <w:link w:val="Piedepgina"/>
    <w:uiPriority w:val="99"/>
    <w:rsid w:val="00553CEB"/>
    <w:rPr>
      <w:spacing w:val="6"/>
      <w:lang w:val="es-ES_tradnl" w:eastAsia="en-US"/>
    </w:rPr>
  </w:style>
  <w:style w:type="character" w:customStyle="1" w:styleId="atitulo1Car">
    <w:name w:val="atitulo1 Car"/>
    <w:link w:val="atitulo1"/>
    <w:rsid w:val="00553CEB"/>
    <w:rPr>
      <w:rFonts w:ascii="Arial" w:hAnsi="Arial"/>
      <w:b/>
      <w:color w:val="000000"/>
      <w:kern w:val="28"/>
      <w:sz w:val="25"/>
      <w:szCs w:val="26"/>
      <w:lang w:val="es-ES_tradnl" w:eastAsia="en-US"/>
    </w:rPr>
  </w:style>
  <w:style w:type="paragraph" w:customStyle="1" w:styleId="Default">
    <w:name w:val="Default"/>
    <w:rsid w:val="00553CEB"/>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553CEB"/>
    <w:rPr>
      <w:color w:val="auto"/>
    </w:rPr>
  </w:style>
  <w:style w:type="paragraph" w:styleId="Textoindependiente">
    <w:name w:val="Body Text"/>
    <w:basedOn w:val="Normal"/>
    <w:link w:val="TextoindependienteCar"/>
    <w:rsid w:val="00553CEB"/>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553CEB"/>
    <w:rPr>
      <w:rFonts w:ascii="Arial" w:hAnsi="Arial"/>
      <w:sz w:val="24"/>
      <w:lang w:val="es-ES_tradnl"/>
    </w:rPr>
  </w:style>
  <w:style w:type="paragraph" w:customStyle="1" w:styleId="Pa7">
    <w:name w:val="Pa7"/>
    <w:basedOn w:val="Default"/>
    <w:next w:val="Default"/>
    <w:uiPriority w:val="99"/>
    <w:rsid w:val="00553CEB"/>
    <w:pPr>
      <w:spacing w:line="201" w:lineRule="atLeast"/>
    </w:pPr>
    <w:rPr>
      <w:color w:val="auto"/>
    </w:rPr>
  </w:style>
  <w:style w:type="character" w:customStyle="1" w:styleId="corchete-llamada1">
    <w:name w:val="corchete-llamada1"/>
    <w:basedOn w:val="Fuentedeprrafopredeter"/>
    <w:rsid w:val="00553CEB"/>
    <w:rPr>
      <w:vanish/>
      <w:webHidden w:val="0"/>
      <w:specVanish w:val="0"/>
    </w:rPr>
  </w:style>
  <w:style w:type="paragraph" w:customStyle="1" w:styleId="xl1">
    <w:name w:val="xl1"/>
    <w:basedOn w:val="Normal"/>
    <w:rsid w:val="00553CEB"/>
    <w:pPr>
      <w:spacing w:after="240"/>
      <w:ind w:left="300" w:right="75" w:hanging="225"/>
    </w:pPr>
    <w:rPr>
      <w:sz w:val="24"/>
      <w:szCs w:val="24"/>
      <w:lang w:val="es-ES" w:eastAsia="es-ES"/>
    </w:rPr>
  </w:style>
  <w:style w:type="paragraph" w:customStyle="1" w:styleId="xl2">
    <w:name w:val="xl2"/>
    <w:basedOn w:val="Normal"/>
    <w:rsid w:val="00553CEB"/>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553CEB"/>
  </w:style>
  <w:style w:type="table" w:styleId="Sombreadoclaro">
    <w:name w:val="Light Shading"/>
    <w:aliases w:val="tabla informe"/>
    <w:basedOn w:val="Tablanormal"/>
    <w:uiPriority w:val="60"/>
    <w:rsid w:val="00553CE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553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553CEB"/>
    <w:rPr>
      <w:rFonts w:ascii="Tahoma" w:hAnsi="Tahoma" w:cs="Tahoma"/>
      <w:sz w:val="16"/>
      <w:szCs w:val="16"/>
      <w:lang w:val="es-ES_tradnl" w:eastAsia="en-US"/>
    </w:rPr>
  </w:style>
  <w:style w:type="character" w:customStyle="1" w:styleId="Ttulo1Car">
    <w:name w:val="Título 1 Car"/>
    <w:basedOn w:val="Fuentedeprrafopredeter"/>
    <w:link w:val="Ttulo1"/>
    <w:uiPriority w:val="99"/>
    <w:rsid w:val="00553CE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553CE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553CEB"/>
    <w:rPr>
      <w:rFonts w:ascii="Arial" w:hAnsi="Arial" w:cs="Arial"/>
      <w:b/>
      <w:bCs/>
      <w:szCs w:val="26"/>
      <w:lang w:val="es-ES_tradnl" w:eastAsia="en-US"/>
    </w:rPr>
  </w:style>
  <w:style w:type="character" w:customStyle="1" w:styleId="Ttulo5Car">
    <w:name w:val="Título 5 Car"/>
    <w:basedOn w:val="Fuentedeprrafopredeter"/>
    <w:link w:val="Ttulo5"/>
    <w:uiPriority w:val="99"/>
    <w:rsid w:val="00553CEB"/>
    <w:rPr>
      <w:b/>
      <w:sz w:val="28"/>
      <w:lang w:eastAsia="en-US"/>
    </w:rPr>
  </w:style>
  <w:style w:type="paragraph" w:styleId="Ttulo">
    <w:name w:val="Title"/>
    <w:basedOn w:val="Normal"/>
    <w:next w:val="Normal"/>
    <w:link w:val="TtuloCar"/>
    <w:uiPriority w:val="10"/>
    <w:qFormat/>
    <w:rsid w:val="00553C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3CEB"/>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553CE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53CEB"/>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553CEB"/>
    <w:rPr>
      <w:rFonts w:cs="Times New Roman"/>
      <w:b/>
    </w:rPr>
  </w:style>
  <w:style w:type="character" w:styleId="nfasis">
    <w:name w:val="Emphasis"/>
    <w:basedOn w:val="Fuentedeprrafopredeter"/>
    <w:uiPriority w:val="20"/>
    <w:qFormat/>
    <w:rsid w:val="00553CEB"/>
    <w:rPr>
      <w:rFonts w:cs="Times New Roman"/>
      <w:i/>
      <w:iCs/>
    </w:rPr>
  </w:style>
  <w:style w:type="paragraph" w:styleId="Cita">
    <w:name w:val="Quote"/>
    <w:basedOn w:val="Normal"/>
    <w:next w:val="Normal"/>
    <w:link w:val="CitaCar"/>
    <w:uiPriority w:val="29"/>
    <w:qFormat/>
    <w:rsid w:val="00553CEB"/>
    <w:rPr>
      <w:i/>
      <w:iCs/>
      <w:color w:val="000000" w:themeColor="text1"/>
    </w:rPr>
  </w:style>
  <w:style w:type="character" w:customStyle="1" w:styleId="CitaCar">
    <w:name w:val="Cita Car"/>
    <w:basedOn w:val="Fuentedeprrafopredeter"/>
    <w:link w:val="Cita"/>
    <w:uiPriority w:val="29"/>
    <w:rsid w:val="00553CEB"/>
    <w:rPr>
      <w:i/>
      <w:iCs/>
      <w:color w:val="000000" w:themeColor="text1"/>
      <w:lang w:val="es-ES_tradnl" w:eastAsia="en-US"/>
    </w:rPr>
  </w:style>
  <w:style w:type="character" w:styleId="nfasissutil">
    <w:name w:val="Subtle Emphasis"/>
    <w:basedOn w:val="Fuentedeprrafopredeter"/>
    <w:uiPriority w:val="19"/>
    <w:qFormat/>
    <w:rsid w:val="00553CEB"/>
    <w:rPr>
      <w:i/>
      <w:iCs/>
      <w:color w:val="808080" w:themeColor="text1" w:themeTint="7F"/>
    </w:rPr>
  </w:style>
  <w:style w:type="character" w:styleId="nfasisintenso">
    <w:name w:val="Intense Emphasis"/>
    <w:basedOn w:val="Fuentedeprrafopredeter"/>
    <w:uiPriority w:val="21"/>
    <w:qFormat/>
    <w:rsid w:val="00553CEB"/>
    <w:rPr>
      <w:b/>
      <w:bCs/>
      <w:i/>
      <w:iCs/>
      <w:color w:val="4F81BD" w:themeColor="accent1"/>
    </w:rPr>
  </w:style>
  <w:style w:type="character" w:styleId="Referenciasutil">
    <w:name w:val="Subtle Reference"/>
    <w:basedOn w:val="Fuentedeprrafopredeter"/>
    <w:uiPriority w:val="31"/>
    <w:qFormat/>
    <w:rsid w:val="00553CEB"/>
    <w:rPr>
      <w:smallCaps/>
      <w:color w:val="C0504D" w:themeColor="accent2"/>
      <w:u w:val="single"/>
    </w:rPr>
  </w:style>
  <w:style w:type="character" w:styleId="Referenciaintensa">
    <w:name w:val="Intense Reference"/>
    <w:basedOn w:val="Fuentedeprrafopredeter"/>
    <w:uiPriority w:val="32"/>
    <w:qFormat/>
    <w:rsid w:val="00553CEB"/>
    <w:rPr>
      <w:b/>
      <w:bCs/>
      <w:smallCaps/>
      <w:color w:val="C0504D" w:themeColor="accent2"/>
      <w:spacing w:val="5"/>
      <w:u w:val="single"/>
    </w:rPr>
  </w:style>
  <w:style w:type="character" w:customStyle="1" w:styleId="EncabezadoCar">
    <w:name w:val="Encabezado Car"/>
    <w:basedOn w:val="Fuentedeprrafopredeter"/>
    <w:link w:val="Encabezado"/>
    <w:uiPriority w:val="99"/>
    <w:rsid w:val="00553CEB"/>
    <w:rPr>
      <w:bCs/>
      <w:caps/>
      <w:sz w:val="14"/>
      <w:szCs w:val="12"/>
      <w:lang w:val="es-ES_tradnl" w:eastAsia="en-US"/>
    </w:rPr>
  </w:style>
  <w:style w:type="paragraph" w:styleId="Textoindependiente3">
    <w:name w:val="Body Text 3"/>
    <w:basedOn w:val="Normal"/>
    <w:link w:val="Textoindependiente3Car"/>
    <w:rsid w:val="00553CEB"/>
    <w:pPr>
      <w:spacing w:after="120"/>
    </w:pPr>
    <w:rPr>
      <w:sz w:val="16"/>
      <w:szCs w:val="16"/>
    </w:rPr>
  </w:style>
  <w:style w:type="character" w:customStyle="1" w:styleId="Textoindependiente3Car">
    <w:name w:val="Texto independiente 3 Car"/>
    <w:basedOn w:val="Fuentedeprrafopredeter"/>
    <w:link w:val="Textoindependiente3"/>
    <w:rsid w:val="00553CEB"/>
    <w:rPr>
      <w:sz w:val="16"/>
      <w:szCs w:val="16"/>
      <w:lang w:val="es-ES_tradnl" w:eastAsia="en-US"/>
    </w:rPr>
  </w:style>
  <w:style w:type="paragraph" w:styleId="Textosinformato">
    <w:name w:val="Plain Text"/>
    <w:basedOn w:val="Normal"/>
    <w:link w:val="TextosinformatoCar"/>
    <w:uiPriority w:val="99"/>
    <w:unhideWhenUsed/>
    <w:rsid w:val="00553CEB"/>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553CEB"/>
    <w:rPr>
      <w:rFonts w:ascii="Calibri" w:eastAsiaTheme="minorHAnsi" w:hAnsi="Calibri" w:cstheme="minorBidi"/>
      <w:sz w:val="22"/>
      <w:szCs w:val="21"/>
      <w:lang w:eastAsia="en-US"/>
    </w:rPr>
  </w:style>
  <w:style w:type="paragraph" w:customStyle="1" w:styleId="cuatitul">
    <w:name w:val="cuatitul"/>
    <w:basedOn w:val="Normal"/>
    <w:rsid w:val="00553CEB"/>
    <w:pPr>
      <w:spacing w:after="60"/>
      <w:ind w:firstLine="0"/>
      <w:jc w:val="center"/>
    </w:pPr>
    <w:rPr>
      <w:rFonts w:ascii="GillSans" w:hAnsi="GillSans"/>
      <w:sz w:val="22"/>
      <w:lang w:eastAsia="es-ES"/>
    </w:rPr>
  </w:style>
  <w:style w:type="paragraph" w:customStyle="1" w:styleId="Tabla">
    <w:name w:val="Tabla"/>
    <w:basedOn w:val="Normal"/>
    <w:rsid w:val="00553CEB"/>
    <w:pPr>
      <w:spacing w:after="0"/>
      <w:ind w:firstLine="0"/>
    </w:pPr>
    <w:rPr>
      <w:rFonts w:ascii="Arial" w:hAnsi="Arial"/>
      <w:sz w:val="16"/>
      <w:lang w:eastAsia="es-ES"/>
    </w:rPr>
  </w:style>
  <w:style w:type="character" w:customStyle="1" w:styleId="atitulo3Car">
    <w:name w:val="atitulo3 Car"/>
    <w:link w:val="atitulo3"/>
    <w:rsid w:val="00553CEB"/>
    <w:rPr>
      <w:rFonts w:ascii="Arial" w:hAnsi="Arial"/>
      <w:i/>
      <w:iCs/>
      <w:color w:val="000000"/>
      <w:spacing w:val="10"/>
      <w:kern w:val="28"/>
      <w:sz w:val="25"/>
      <w:szCs w:val="26"/>
      <w:lang w:val="es-ES_tradnl" w:eastAsia="en-US"/>
    </w:rPr>
  </w:style>
  <w:style w:type="table" w:customStyle="1" w:styleId="Tablaconcuadrcula2">
    <w:name w:val="Tabla con cuadrícula2"/>
    <w:basedOn w:val="Tablanormal"/>
    <w:next w:val="Tablaconcuadrcula"/>
    <w:uiPriority w:val="59"/>
    <w:rsid w:val="00553CE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553CEB"/>
    <w:pPr>
      <w:spacing w:after="240"/>
      <w:ind w:left="300" w:right="75" w:firstLine="0"/>
    </w:pPr>
    <w:rPr>
      <w:sz w:val="24"/>
      <w:szCs w:val="24"/>
      <w:lang w:val="es-ES" w:eastAsia="es-ES"/>
    </w:rPr>
  </w:style>
  <w:style w:type="character" w:customStyle="1" w:styleId="st1">
    <w:name w:val="st1"/>
    <w:basedOn w:val="Fuentedeprrafopredeter"/>
    <w:rsid w:val="00553CEB"/>
  </w:style>
  <w:style w:type="character" w:customStyle="1" w:styleId="apple-converted-space">
    <w:name w:val="apple-converted-space"/>
    <w:basedOn w:val="Fuentedeprrafopredeter"/>
    <w:rsid w:val="00553CEB"/>
  </w:style>
  <w:style w:type="paragraph" w:customStyle="1" w:styleId="Retorno">
    <w:name w:val="Retorno"/>
    <w:basedOn w:val="Normal"/>
    <w:rsid w:val="00553CEB"/>
    <w:pPr>
      <w:spacing w:after="0" w:line="360" w:lineRule="auto"/>
      <w:ind w:firstLine="0"/>
      <w:jc w:val="left"/>
    </w:pPr>
    <w:rPr>
      <w:sz w:val="22"/>
      <w:lang w:eastAsia="es-ES"/>
    </w:rPr>
  </w:style>
  <w:style w:type="paragraph" w:customStyle="1" w:styleId="Titulocuadro">
    <w:name w:val="Titulocuadro"/>
    <w:basedOn w:val="texto"/>
    <w:qFormat/>
    <w:rsid w:val="00553CEB"/>
    <w:pPr>
      <w:tabs>
        <w:tab w:val="num" w:pos="284"/>
        <w:tab w:val="num" w:pos="720"/>
      </w:tabs>
    </w:pPr>
    <w:rPr>
      <w:i/>
      <w:szCs w:val="26"/>
      <w:lang w:val="es-ES" w:eastAsia="es-ES"/>
    </w:rPr>
  </w:style>
  <w:style w:type="paragraph" w:customStyle="1" w:styleId="txt">
    <w:name w:val="txt"/>
    <w:basedOn w:val="Normal"/>
    <w:rsid w:val="00553CEB"/>
    <w:pPr>
      <w:spacing w:before="100" w:beforeAutospacing="1" w:after="100" w:afterAutospacing="1" w:line="300" w:lineRule="atLeast"/>
      <w:ind w:firstLine="0"/>
    </w:pPr>
    <w:rPr>
      <w:rFonts w:ascii="Arial" w:hAnsi="Arial" w:cs="Arial"/>
      <w:color w:val="122329"/>
      <w:sz w:val="17"/>
      <w:szCs w:val="17"/>
      <w:lang w:val="es-ES" w:eastAsia="es-ES"/>
    </w:rPr>
  </w:style>
  <w:style w:type="character" w:customStyle="1" w:styleId="txt1">
    <w:name w:val="txt1"/>
    <w:basedOn w:val="Fuentedeprrafopredeter"/>
    <w:rsid w:val="00553CEB"/>
    <w:rPr>
      <w:rFonts w:ascii="Arial" w:hAnsi="Arial" w:cs="Arial" w:hint="default"/>
      <w:color w:val="122329"/>
      <w:sz w:val="17"/>
      <w:szCs w:val="17"/>
    </w:rPr>
  </w:style>
  <w:style w:type="character" w:customStyle="1" w:styleId="cuerpo1">
    <w:name w:val="cuerpo1"/>
    <w:basedOn w:val="Fuentedeprrafopredeter"/>
    <w:rsid w:val="00553CEB"/>
    <w:rPr>
      <w:rFonts w:ascii="Arial" w:hAnsi="Arial" w:cs="Arial" w:hint="default"/>
      <w:sz w:val="18"/>
      <w:szCs w:val="18"/>
    </w:rPr>
  </w:style>
  <w:style w:type="paragraph" w:customStyle="1" w:styleId="atitulo40">
    <w:name w:val="atitulo 4"/>
    <w:basedOn w:val="texto"/>
    <w:qFormat/>
    <w:rsid w:val="00F0755F"/>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C5DF5"/>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53CE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53CE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76AFC"/>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76AFC"/>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53CEB"/>
    <w:rPr>
      <w:b/>
      <w:bCs/>
      <w:sz w:val="28"/>
      <w:szCs w:val="28"/>
      <w:lang w:val="es-ES_tradnl" w:eastAsia="en-US"/>
    </w:rPr>
  </w:style>
  <w:style w:type="character" w:customStyle="1" w:styleId="Ttulo7Car">
    <w:name w:val="Título 7 Car"/>
    <w:basedOn w:val="Fuentedeprrafopredeter"/>
    <w:link w:val="Ttulo7"/>
    <w:uiPriority w:val="99"/>
    <w:rsid w:val="00553CEB"/>
    <w:rPr>
      <w:sz w:val="52"/>
    </w:rPr>
  </w:style>
  <w:style w:type="character" w:customStyle="1" w:styleId="atitulo2Car">
    <w:name w:val="atitulo2 Car"/>
    <w:link w:val="atitulo2"/>
    <w:rsid w:val="00553CEB"/>
    <w:rPr>
      <w:rFonts w:ascii="Arial" w:hAnsi="Arial"/>
      <w:bCs/>
      <w:iCs/>
      <w:color w:val="000000"/>
      <w:spacing w:val="10"/>
      <w:kern w:val="28"/>
      <w:sz w:val="25"/>
      <w:szCs w:val="26"/>
      <w:lang w:val="es-ES_tradnl" w:eastAsia="en-US"/>
    </w:rPr>
  </w:style>
  <w:style w:type="paragraph" w:customStyle="1" w:styleId="Estndar">
    <w:name w:val="Estándar"/>
    <w:rsid w:val="00553CEB"/>
    <w:pPr>
      <w:snapToGrid w:val="0"/>
    </w:pPr>
    <w:rPr>
      <w:rFonts w:ascii="CG Omega" w:hAnsi="CG Omega"/>
      <w:color w:val="000000"/>
      <w:sz w:val="22"/>
    </w:rPr>
  </w:style>
  <w:style w:type="paragraph" w:customStyle="1" w:styleId="tabla10">
    <w:name w:val="tabla10"/>
    <w:rsid w:val="00553CEB"/>
    <w:pPr>
      <w:tabs>
        <w:tab w:val="left" w:pos="567"/>
        <w:tab w:val="left" w:pos="1134"/>
      </w:tabs>
      <w:snapToGrid w:val="0"/>
    </w:pPr>
    <w:rPr>
      <w:rFonts w:ascii="CG Times" w:hAnsi="CG Times"/>
      <w:color w:val="000000"/>
    </w:rPr>
  </w:style>
  <w:style w:type="paragraph" w:styleId="NormalWeb">
    <w:name w:val="Normal (Web)"/>
    <w:basedOn w:val="Normal"/>
    <w:uiPriority w:val="99"/>
    <w:rsid w:val="00553C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553CEB"/>
  </w:style>
  <w:style w:type="character" w:customStyle="1" w:styleId="TextocomentarioCar">
    <w:name w:val="Texto comentario Car"/>
    <w:basedOn w:val="Fuentedeprrafopredeter"/>
    <w:link w:val="Textocomentario"/>
    <w:rsid w:val="00553CEB"/>
    <w:rPr>
      <w:lang w:val="es-ES_tradnl" w:eastAsia="en-US"/>
    </w:rPr>
  </w:style>
  <w:style w:type="paragraph" w:styleId="Asuntodelcomentario">
    <w:name w:val="annotation subject"/>
    <w:basedOn w:val="Textocomentario"/>
    <w:next w:val="Textocomentario"/>
    <w:link w:val="AsuntodelcomentarioCar"/>
    <w:rsid w:val="00553CEB"/>
    <w:rPr>
      <w:b/>
      <w:bCs/>
    </w:rPr>
  </w:style>
  <w:style w:type="character" w:customStyle="1" w:styleId="AsuntodelcomentarioCar">
    <w:name w:val="Asunto del comentario Car"/>
    <w:basedOn w:val="TextocomentarioCar"/>
    <w:link w:val="Asuntodelcomentario"/>
    <w:rsid w:val="00553CEB"/>
    <w:rPr>
      <w:b/>
      <w:bCs/>
      <w:lang w:val="es-ES_tradnl" w:eastAsia="en-US"/>
    </w:rPr>
  </w:style>
  <w:style w:type="paragraph" w:styleId="Mapadeldocumento">
    <w:name w:val="Document Map"/>
    <w:basedOn w:val="Normal"/>
    <w:link w:val="MapadeldocumentoCar"/>
    <w:rsid w:val="00553CEB"/>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53CEB"/>
    <w:rPr>
      <w:rFonts w:ascii="Tahoma" w:hAnsi="Tahoma" w:cs="Tahoma"/>
      <w:shd w:val="clear" w:color="auto" w:fill="000080"/>
      <w:lang w:val="es-ES_tradnl" w:eastAsia="en-US"/>
    </w:rPr>
  </w:style>
  <w:style w:type="paragraph" w:styleId="Textonotapie">
    <w:name w:val="footnote text"/>
    <w:basedOn w:val="Normal"/>
    <w:link w:val="TextonotapieCar"/>
    <w:rsid w:val="00553CEB"/>
  </w:style>
  <w:style w:type="character" w:customStyle="1" w:styleId="TextonotapieCar">
    <w:name w:val="Texto nota pie Car"/>
    <w:basedOn w:val="Fuentedeprrafopredeter"/>
    <w:link w:val="Textonotapie"/>
    <w:rsid w:val="00553CEB"/>
    <w:rPr>
      <w:lang w:val="es-ES_tradnl" w:eastAsia="en-US"/>
    </w:rPr>
  </w:style>
  <w:style w:type="character" w:styleId="Refdenotaalpie">
    <w:name w:val="footnote reference"/>
    <w:rsid w:val="00553CEB"/>
    <w:rPr>
      <w:vertAlign w:val="superscript"/>
    </w:rPr>
  </w:style>
  <w:style w:type="paragraph" w:styleId="Prrafodelista">
    <w:name w:val="List Paragraph"/>
    <w:basedOn w:val="Normal"/>
    <w:uiPriority w:val="34"/>
    <w:qFormat/>
    <w:rsid w:val="00553CEB"/>
    <w:pPr>
      <w:ind w:left="720"/>
      <w:contextualSpacing/>
    </w:pPr>
  </w:style>
  <w:style w:type="character" w:customStyle="1" w:styleId="PiedepginaCar">
    <w:name w:val="Pie de página Car"/>
    <w:basedOn w:val="Fuentedeprrafopredeter"/>
    <w:link w:val="Piedepgina"/>
    <w:uiPriority w:val="99"/>
    <w:rsid w:val="00553CEB"/>
    <w:rPr>
      <w:spacing w:val="6"/>
      <w:lang w:val="es-ES_tradnl" w:eastAsia="en-US"/>
    </w:rPr>
  </w:style>
  <w:style w:type="character" w:customStyle="1" w:styleId="atitulo1Car">
    <w:name w:val="atitulo1 Car"/>
    <w:link w:val="atitulo1"/>
    <w:rsid w:val="00553CEB"/>
    <w:rPr>
      <w:rFonts w:ascii="Arial" w:hAnsi="Arial"/>
      <w:b/>
      <w:color w:val="000000"/>
      <w:kern w:val="28"/>
      <w:sz w:val="25"/>
      <w:szCs w:val="26"/>
      <w:lang w:val="es-ES_tradnl" w:eastAsia="en-US"/>
    </w:rPr>
  </w:style>
  <w:style w:type="paragraph" w:customStyle="1" w:styleId="Default">
    <w:name w:val="Default"/>
    <w:rsid w:val="00553CEB"/>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553CEB"/>
    <w:rPr>
      <w:color w:val="auto"/>
    </w:rPr>
  </w:style>
  <w:style w:type="paragraph" w:styleId="Textoindependiente">
    <w:name w:val="Body Text"/>
    <w:basedOn w:val="Normal"/>
    <w:link w:val="TextoindependienteCar"/>
    <w:rsid w:val="00553CEB"/>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553CEB"/>
    <w:rPr>
      <w:rFonts w:ascii="Arial" w:hAnsi="Arial"/>
      <w:sz w:val="24"/>
      <w:lang w:val="es-ES_tradnl"/>
    </w:rPr>
  </w:style>
  <w:style w:type="paragraph" w:customStyle="1" w:styleId="Pa7">
    <w:name w:val="Pa7"/>
    <w:basedOn w:val="Default"/>
    <w:next w:val="Default"/>
    <w:uiPriority w:val="99"/>
    <w:rsid w:val="00553CEB"/>
    <w:pPr>
      <w:spacing w:line="201" w:lineRule="atLeast"/>
    </w:pPr>
    <w:rPr>
      <w:color w:val="auto"/>
    </w:rPr>
  </w:style>
  <w:style w:type="character" w:customStyle="1" w:styleId="corchete-llamada1">
    <w:name w:val="corchete-llamada1"/>
    <w:basedOn w:val="Fuentedeprrafopredeter"/>
    <w:rsid w:val="00553CEB"/>
    <w:rPr>
      <w:vanish/>
      <w:webHidden w:val="0"/>
      <w:specVanish w:val="0"/>
    </w:rPr>
  </w:style>
  <w:style w:type="paragraph" w:customStyle="1" w:styleId="xl1">
    <w:name w:val="xl1"/>
    <w:basedOn w:val="Normal"/>
    <w:rsid w:val="00553CEB"/>
    <w:pPr>
      <w:spacing w:after="240"/>
      <w:ind w:left="300" w:right="75" w:hanging="225"/>
    </w:pPr>
    <w:rPr>
      <w:sz w:val="24"/>
      <w:szCs w:val="24"/>
      <w:lang w:val="es-ES" w:eastAsia="es-ES"/>
    </w:rPr>
  </w:style>
  <w:style w:type="paragraph" w:customStyle="1" w:styleId="xl2">
    <w:name w:val="xl2"/>
    <w:basedOn w:val="Normal"/>
    <w:rsid w:val="00553CEB"/>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553CEB"/>
  </w:style>
  <w:style w:type="table" w:styleId="Sombreadoclaro">
    <w:name w:val="Light Shading"/>
    <w:aliases w:val="tabla informe"/>
    <w:basedOn w:val="Tablanormal"/>
    <w:uiPriority w:val="60"/>
    <w:rsid w:val="00553CE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553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553CEB"/>
    <w:rPr>
      <w:rFonts w:ascii="Tahoma" w:hAnsi="Tahoma" w:cs="Tahoma"/>
      <w:sz w:val="16"/>
      <w:szCs w:val="16"/>
      <w:lang w:val="es-ES_tradnl" w:eastAsia="en-US"/>
    </w:rPr>
  </w:style>
  <w:style w:type="character" w:customStyle="1" w:styleId="Ttulo1Car">
    <w:name w:val="Título 1 Car"/>
    <w:basedOn w:val="Fuentedeprrafopredeter"/>
    <w:link w:val="Ttulo1"/>
    <w:uiPriority w:val="99"/>
    <w:rsid w:val="00553CE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553CE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553CEB"/>
    <w:rPr>
      <w:rFonts w:ascii="Arial" w:hAnsi="Arial" w:cs="Arial"/>
      <w:b/>
      <w:bCs/>
      <w:szCs w:val="26"/>
      <w:lang w:val="es-ES_tradnl" w:eastAsia="en-US"/>
    </w:rPr>
  </w:style>
  <w:style w:type="character" w:customStyle="1" w:styleId="Ttulo5Car">
    <w:name w:val="Título 5 Car"/>
    <w:basedOn w:val="Fuentedeprrafopredeter"/>
    <w:link w:val="Ttulo5"/>
    <w:uiPriority w:val="99"/>
    <w:rsid w:val="00553CEB"/>
    <w:rPr>
      <w:b/>
      <w:sz w:val="28"/>
      <w:lang w:eastAsia="en-US"/>
    </w:rPr>
  </w:style>
  <w:style w:type="paragraph" w:styleId="Ttulo">
    <w:name w:val="Title"/>
    <w:basedOn w:val="Normal"/>
    <w:next w:val="Normal"/>
    <w:link w:val="TtuloCar"/>
    <w:uiPriority w:val="10"/>
    <w:qFormat/>
    <w:rsid w:val="00553C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3CEB"/>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553CE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53CEB"/>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553CEB"/>
    <w:rPr>
      <w:rFonts w:cs="Times New Roman"/>
      <w:b/>
    </w:rPr>
  </w:style>
  <w:style w:type="character" w:styleId="nfasis">
    <w:name w:val="Emphasis"/>
    <w:basedOn w:val="Fuentedeprrafopredeter"/>
    <w:uiPriority w:val="20"/>
    <w:qFormat/>
    <w:rsid w:val="00553CEB"/>
    <w:rPr>
      <w:rFonts w:cs="Times New Roman"/>
      <w:i/>
      <w:iCs/>
    </w:rPr>
  </w:style>
  <w:style w:type="paragraph" w:styleId="Cita">
    <w:name w:val="Quote"/>
    <w:basedOn w:val="Normal"/>
    <w:next w:val="Normal"/>
    <w:link w:val="CitaCar"/>
    <w:uiPriority w:val="29"/>
    <w:qFormat/>
    <w:rsid w:val="00553CEB"/>
    <w:rPr>
      <w:i/>
      <w:iCs/>
      <w:color w:val="000000" w:themeColor="text1"/>
    </w:rPr>
  </w:style>
  <w:style w:type="character" w:customStyle="1" w:styleId="CitaCar">
    <w:name w:val="Cita Car"/>
    <w:basedOn w:val="Fuentedeprrafopredeter"/>
    <w:link w:val="Cita"/>
    <w:uiPriority w:val="29"/>
    <w:rsid w:val="00553CEB"/>
    <w:rPr>
      <w:i/>
      <w:iCs/>
      <w:color w:val="000000" w:themeColor="text1"/>
      <w:lang w:val="es-ES_tradnl" w:eastAsia="en-US"/>
    </w:rPr>
  </w:style>
  <w:style w:type="character" w:styleId="nfasissutil">
    <w:name w:val="Subtle Emphasis"/>
    <w:basedOn w:val="Fuentedeprrafopredeter"/>
    <w:uiPriority w:val="19"/>
    <w:qFormat/>
    <w:rsid w:val="00553CEB"/>
    <w:rPr>
      <w:i/>
      <w:iCs/>
      <w:color w:val="808080" w:themeColor="text1" w:themeTint="7F"/>
    </w:rPr>
  </w:style>
  <w:style w:type="character" w:styleId="nfasisintenso">
    <w:name w:val="Intense Emphasis"/>
    <w:basedOn w:val="Fuentedeprrafopredeter"/>
    <w:uiPriority w:val="21"/>
    <w:qFormat/>
    <w:rsid w:val="00553CEB"/>
    <w:rPr>
      <w:b/>
      <w:bCs/>
      <w:i/>
      <w:iCs/>
      <w:color w:val="4F81BD" w:themeColor="accent1"/>
    </w:rPr>
  </w:style>
  <w:style w:type="character" w:styleId="Referenciasutil">
    <w:name w:val="Subtle Reference"/>
    <w:basedOn w:val="Fuentedeprrafopredeter"/>
    <w:uiPriority w:val="31"/>
    <w:qFormat/>
    <w:rsid w:val="00553CEB"/>
    <w:rPr>
      <w:smallCaps/>
      <w:color w:val="C0504D" w:themeColor="accent2"/>
      <w:u w:val="single"/>
    </w:rPr>
  </w:style>
  <w:style w:type="character" w:styleId="Referenciaintensa">
    <w:name w:val="Intense Reference"/>
    <w:basedOn w:val="Fuentedeprrafopredeter"/>
    <w:uiPriority w:val="32"/>
    <w:qFormat/>
    <w:rsid w:val="00553CEB"/>
    <w:rPr>
      <w:b/>
      <w:bCs/>
      <w:smallCaps/>
      <w:color w:val="C0504D" w:themeColor="accent2"/>
      <w:spacing w:val="5"/>
      <w:u w:val="single"/>
    </w:rPr>
  </w:style>
  <w:style w:type="character" w:customStyle="1" w:styleId="EncabezadoCar">
    <w:name w:val="Encabezado Car"/>
    <w:basedOn w:val="Fuentedeprrafopredeter"/>
    <w:link w:val="Encabezado"/>
    <w:uiPriority w:val="99"/>
    <w:rsid w:val="00553CEB"/>
    <w:rPr>
      <w:bCs/>
      <w:caps/>
      <w:sz w:val="14"/>
      <w:szCs w:val="12"/>
      <w:lang w:val="es-ES_tradnl" w:eastAsia="en-US"/>
    </w:rPr>
  </w:style>
  <w:style w:type="paragraph" w:styleId="Textoindependiente3">
    <w:name w:val="Body Text 3"/>
    <w:basedOn w:val="Normal"/>
    <w:link w:val="Textoindependiente3Car"/>
    <w:rsid w:val="00553CEB"/>
    <w:pPr>
      <w:spacing w:after="120"/>
    </w:pPr>
    <w:rPr>
      <w:sz w:val="16"/>
      <w:szCs w:val="16"/>
    </w:rPr>
  </w:style>
  <w:style w:type="character" w:customStyle="1" w:styleId="Textoindependiente3Car">
    <w:name w:val="Texto independiente 3 Car"/>
    <w:basedOn w:val="Fuentedeprrafopredeter"/>
    <w:link w:val="Textoindependiente3"/>
    <w:rsid w:val="00553CEB"/>
    <w:rPr>
      <w:sz w:val="16"/>
      <w:szCs w:val="16"/>
      <w:lang w:val="es-ES_tradnl" w:eastAsia="en-US"/>
    </w:rPr>
  </w:style>
  <w:style w:type="paragraph" w:styleId="Textosinformato">
    <w:name w:val="Plain Text"/>
    <w:basedOn w:val="Normal"/>
    <w:link w:val="TextosinformatoCar"/>
    <w:uiPriority w:val="99"/>
    <w:unhideWhenUsed/>
    <w:rsid w:val="00553CEB"/>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553CEB"/>
    <w:rPr>
      <w:rFonts w:ascii="Calibri" w:eastAsiaTheme="minorHAnsi" w:hAnsi="Calibri" w:cstheme="minorBidi"/>
      <w:sz w:val="22"/>
      <w:szCs w:val="21"/>
      <w:lang w:eastAsia="en-US"/>
    </w:rPr>
  </w:style>
  <w:style w:type="paragraph" w:customStyle="1" w:styleId="cuatitul">
    <w:name w:val="cuatitul"/>
    <w:basedOn w:val="Normal"/>
    <w:rsid w:val="00553CEB"/>
    <w:pPr>
      <w:spacing w:after="60"/>
      <w:ind w:firstLine="0"/>
      <w:jc w:val="center"/>
    </w:pPr>
    <w:rPr>
      <w:rFonts w:ascii="GillSans" w:hAnsi="GillSans"/>
      <w:sz w:val="22"/>
      <w:lang w:eastAsia="es-ES"/>
    </w:rPr>
  </w:style>
  <w:style w:type="paragraph" w:customStyle="1" w:styleId="Tabla">
    <w:name w:val="Tabla"/>
    <w:basedOn w:val="Normal"/>
    <w:rsid w:val="00553CEB"/>
    <w:pPr>
      <w:spacing w:after="0"/>
      <w:ind w:firstLine="0"/>
    </w:pPr>
    <w:rPr>
      <w:rFonts w:ascii="Arial" w:hAnsi="Arial"/>
      <w:sz w:val="16"/>
      <w:lang w:eastAsia="es-ES"/>
    </w:rPr>
  </w:style>
  <w:style w:type="character" w:customStyle="1" w:styleId="atitulo3Car">
    <w:name w:val="atitulo3 Car"/>
    <w:link w:val="atitulo3"/>
    <w:rsid w:val="00553CEB"/>
    <w:rPr>
      <w:rFonts w:ascii="Arial" w:hAnsi="Arial"/>
      <w:i/>
      <w:iCs/>
      <w:color w:val="000000"/>
      <w:spacing w:val="10"/>
      <w:kern w:val="28"/>
      <w:sz w:val="25"/>
      <w:szCs w:val="26"/>
      <w:lang w:val="es-ES_tradnl" w:eastAsia="en-US"/>
    </w:rPr>
  </w:style>
  <w:style w:type="table" w:customStyle="1" w:styleId="Tablaconcuadrcula2">
    <w:name w:val="Tabla con cuadrícula2"/>
    <w:basedOn w:val="Tablanormal"/>
    <w:next w:val="Tablaconcuadrcula"/>
    <w:uiPriority w:val="59"/>
    <w:rsid w:val="00553CE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553CEB"/>
    <w:pPr>
      <w:spacing w:after="240"/>
      <w:ind w:left="300" w:right="75" w:firstLine="0"/>
    </w:pPr>
    <w:rPr>
      <w:sz w:val="24"/>
      <w:szCs w:val="24"/>
      <w:lang w:val="es-ES" w:eastAsia="es-ES"/>
    </w:rPr>
  </w:style>
  <w:style w:type="character" w:customStyle="1" w:styleId="st1">
    <w:name w:val="st1"/>
    <w:basedOn w:val="Fuentedeprrafopredeter"/>
    <w:rsid w:val="00553CEB"/>
  </w:style>
  <w:style w:type="character" w:customStyle="1" w:styleId="apple-converted-space">
    <w:name w:val="apple-converted-space"/>
    <w:basedOn w:val="Fuentedeprrafopredeter"/>
    <w:rsid w:val="00553CEB"/>
  </w:style>
  <w:style w:type="paragraph" w:customStyle="1" w:styleId="Retorno">
    <w:name w:val="Retorno"/>
    <w:basedOn w:val="Normal"/>
    <w:rsid w:val="00553CEB"/>
    <w:pPr>
      <w:spacing w:after="0" w:line="360" w:lineRule="auto"/>
      <w:ind w:firstLine="0"/>
      <w:jc w:val="left"/>
    </w:pPr>
    <w:rPr>
      <w:sz w:val="22"/>
      <w:lang w:eastAsia="es-ES"/>
    </w:rPr>
  </w:style>
  <w:style w:type="paragraph" w:customStyle="1" w:styleId="Titulocuadro">
    <w:name w:val="Titulocuadro"/>
    <w:basedOn w:val="texto"/>
    <w:qFormat/>
    <w:rsid w:val="00553CEB"/>
    <w:pPr>
      <w:tabs>
        <w:tab w:val="num" w:pos="284"/>
        <w:tab w:val="num" w:pos="720"/>
      </w:tabs>
    </w:pPr>
    <w:rPr>
      <w:i/>
      <w:szCs w:val="26"/>
      <w:lang w:val="es-ES" w:eastAsia="es-ES"/>
    </w:rPr>
  </w:style>
  <w:style w:type="paragraph" w:customStyle="1" w:styleId="txt">
    <w:name w:val="txt"/>
    <w:basedOn w:val="Normal"/>
    <w:rsid w:val="00553CEB"/>
    <w:pPr>
      <w:spacing w:before="100" w:beforeAutospacing="1" w:after="100" w:afterAutospacing="1" w:line="300" w:lineRule="atLeast"/>
      <w:ind w:firstLine="0"/>
    </w:pPr>
    <w:rPr>
      <w:rFonts w:ascii="Arial" w:hAnsi="Arial" w:cs="Arial"/>
      <w:color w:val="122329"/>
      <w:sz w:val="17"/>
      <w:szCs w:val="17"/>
      <w:lang w:val="es-ES" w:eastAsia="es-ES"/>
    </w:rPr>
  </w:style>
  <w:style w:type="character" w:customStyle="1" w:styleId="txt1">
    <w:name w:val="txt1"/>
    <w:basedOn w:val="Fuentedeprrafopredeter"/>
    <w:rsid w:val="00553CEB"/>
    <w:rPr>
      <w:rFonts w:ascii="Arial" w:hAnsi="Arial" w:cs="Arial" w:hint="default"/>
      <w:color w:val="122329"/>
      <w:sz w:val="17"/>
      <w:szCs w:val="17"/>
    </w:rPr>
  </w:style>
  <w:style w:type="character" w:customStyle="1" w:styleId="cuerpo1">
    <w:name w:val="cuerpo1"/>
    <w:basedOn w:val="Fuentedeprrafopredeter"/>
    <w:rsid w:val="00553CEB"/>
    <w:rPr>
      <w:rFonts w:ascii="Arial" w:hAnsi="Arial" w:cs="Arial" w:hint="default"/>
      <w:sz w:val="18"/>
      <w:szCs w:val="18"/>
    </w:rPr>
  </w:style>
  <w:style w:type="paragraph" w:customStyle="1" w:styleId="atitulo40">
    <w:name w:val="atitulo 4"/>
    <w:basedOn w:val="texto"/>
    <w:qFormat/>
    <w:rsid w:val="00F0755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bardenasreales.es/noticias.php?id=2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D611338\APPDATA\LOCAL\TEMP\TM_TEMP\TM_2\PA5.o%20-%20COMUNIDAD%20BARDENAS%202010-2016%20-%2028-02-20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196726\APPDATA\LOCAL\TEMP\TM_TEMP\TM_2\B.1.2%20-%20COMUNIDAD%20BARDENAS%202010-2016%20-%2028-02-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196726\APPDATA\LOCAL\TEMP\TM_TEMP\TM_2\PA5.o%20-%20COMUNIDAD%20BARDENAS%202010-2016%20-%2028-02-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Resumen!$W$4</c:f>
              <c:strCache>
                <c:ptCount val="1"/>
                <c:pt idx="0">
                  <c:v>22601 Atenciones protocolarias y representativas</c:v>
                </c:pt>
              </c:strCache>
            </c:strRef>
          </c:tx>
          <c:marker>
            <c:symbol val="square"/>
            <c:size val="5"/>
          </c:marker>
          <c:cat>
            <c:numRef>
              <c:f>Resumen!$X$4:$AD$4</c:f>
              <c:numCache>
                <c:formatCode>General</c:formatCode>
                <c:ptCount val="7"/>
                <c:pt idx="0">
                  <c:v>2010</c:v>
                </c:pt>
                <c:pt idx="1">
                  <c:v>2011</c:v>
                </c:pt>
                <c:pt idx="2">
                  <c:v>2012</c:v>
                </c:pt>
                <c:pt idx="3">
                  <c:v>2013</c:v>
                </c:pt>
                <c:pt idx="4">
                  <c:v>2014</c:v>
                </c:pt>
                <c:pt idx="5">
                  <c:v>2015</c:v>
                </c:pt>
                <c:pt idx="6">
                  <c:v>2016</c:v>
                </c:pt>
              </c:numCache>
            </c:numRef>
          </c:cat>
          <c:val>
            <c:numRef>
              <c:f>Resumen!$X$93:$AD$93</c:f>
              <c:numCache>
                <c:formatCode>#,##0.00</c:formatCode>
                <c:ptCount val="7"/>
                <c:pt idx="0">
                  <c:v>35767.490000000005</c:v>
                </c:pt>
                <c:pt idx="1">
                  <c:v>48963.589999999989</c:v>
                </c:pt>
                <c:pt idx="2">
                  <c:v>35388.67</c:v>
                </c:pt>
                <c:pt idx="3">
                  <c:v>32348.319999999992</c:v>
                </c:pt>
                <c:pt idx="4">
                  <c:v>35205.759999999995</c:v>
                </c:pt>
                <c:pt idx="5">
                  <c:v>28688.829999999998</c:v>
                </c:pt>
                <c:pt idx="6">
                  <c:v>25229.129999999994</c:v>
                </c:pt>
              </c:numCache>
            </c:numRef>
          </c:val>
          <c:smooth val="0"/>
        </c:ser>
        <c:dLbls>
          <c:showLegendKey val="0"/>
          <c:showVal val="0"/>
          <c:showCatName val="0"/>
          <c:showSerName val="0"/>
          <c:showPercent val="0"/>
          <c:showBubbleSize val="0"/>
        </c:dLbls>
        <c:marker val="1"/>
        <c:smooth val="0"/>
        <c:axId val="137348992"/>
        <c:axId val="143704448"/>
      </c:lineChart>
      <c:catAx>
        <c:axId val="137348992"/>
        <c:scaling>
          <c:orientation val="minMax"/>
        </c:scaling>
        <c:delete val="0"/>
        <c:axPos val="b"/>
        <c:numFmt formatCode="General" sourceLinked="1"/>
        <c:majorTickMark val="none"/>
        <c:minorTickMark val="none"/>
        <c:tickLblPos val="nextTo"/>
        <c:crossAx val="143704448"/>
        <c:crosses val="autoZero"/>
        <c:auto val="1"/>
        <c:lblAlgn val="ctr"/>
        <c:lblOffset val="100"/>
        <c:noMultiLvlLbl val="0"/>
      </c:catAx>
      <c:valAx>
        <c:axId val="143704448"/>
        <c:scaling>
          <c:orientation val="minMax"/>
        </c:scaling>
        <c:delete val="0"/>
        <c:axPos val="l"/>
        <c:numFmt formatCode="#,##0" sourceLinked="0"/>
        <c:majorTickMark val="none"/>
        <c:minorTickMark val="none"/>
        <c:tickLblPos val="nextTo"/>
        <c:crossAx val="137348992"/>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'Resumen totales'!$B$49</c:f>
              <c:strCache>
                <c:ptCount val="1"/>
                <c:pt idx="0">
                  <c:v>Retribuciones electos</c:v>
                </c:pt>
              </c:strCache>
            </c:strRef>
          </c:tx>
          <c:marker>
            <c:symbol val="none"/>
          </c:marker>
          <c:cat>
            <c:numRef>
              <c:f>'Resumen totales'!$C$49:$I$49</c:f>
              <c:numCache>
                <c:formatCode>General</c:formatCode>
                <c:ptCount val="7"/>
                <c:pt idx="0">
                  <c:v>2010</c:v>
                </c:pt>
                <c:pt idx="1">
                  <c:v>2011</c:v>
                </c:pt>
                <c:pt idx="2">
                  <c:v>2012</c:v>
                </c:pt>
                <c:pt idx="3">
                  <c:v>2013</c:v>
                </c:pt>
                <c:pt idx="4">
                  <c:v>2014</c:v>
                </c:pt>
                <c:pt idx="5">
                  <c:v>2015</c:v>
                </c:pt>
                <c:pt idx="6">
                  <c:v>2016</c:v>
                </c:pt>
              </c:numCache>
            </c:numRef>
          </c:cat>
          <c:val>
            <c:numRef>
              <c:f>'Resumen totales'!$C$68:$I$68</c:f>
              <c:numCache>
                <c:formatCode>#,##0.00\ "€"</c:formatCode>
                <c:ptCount val="7"/>
                <c:pt idx="0">
                  <c:v>83872.249999999985</c:v>
                </c:pt>
                <c:pt idx="1">
                  <c:v>110239.37</c:v>
                </c:pt>
                <c:pt idx="2">
                  <c:v>85144.98000000001</c:v>
                </c:pt>
                <c:pt idx="3">
                  <c:v>75095.02</c:v>
                </c:pt>
                <c:pt idx="4">
                  <c:v>72270.350000000006</c:v>
                </c:pt>
                <c:pt idx="5">
                  <c:v>63496</c:v>
                </c:pt>
                <c:pt idx="6">
                  <c:v>70720.76999999999</c:v>
                </c:pt>
              </c:numCache>
            </c:numRef>
          </c:val>
          <c:smooth val="0"/>
        </c:ser>
        <c:dLbls>
          <c:showLegendKey val="0"/>
          <c:showVal val="0"/>
          <c:showCatName val="0"/>
          <c:showSerName val="0"/>
          <c:showPercent val="0"/>
          <c:showBubbleSize val="0"/>
        </c:dLbls>
        <c:marker val="1"/>
        <c:smooth val="0"/>
        <c:axId val="148367616"/>
        <c:axId val="163349632"/>
      </c:lineChart>
      <c:catAx>
        <c:axId val="148367616"/>
        <c:scaling>
          <c:orientation val="minMax"/>
        </c:scaling>
        <c:delete val="0"/>
        <c:axPos val="b"/>
        <c:numFmt formatCode="General" sourceLinked="1"/>
        <c:majorTickMark val="none"/>
        <c:minorTickMark val="none"/>
        <c:tickLblPos val="nextTo"/>
        <c:crossAx val="163349632"/>
        <c:crosses val="autoZero"/>
        <c:auto val="1"/>
        <c:lblAlgn val="ctr"/>
        <c:lblOffset val="100"/>
        <c:noMultiLvlLbl val="0"/>
      </c:catAx>
      <c:valAx>
        <c:axId val="163349632"/>
        <c:scaling>
          <c:orientation val="minMax"/>
        </c:scaling>
        <c:delete val="0"/>
        <c:axPos val="l"/>
        <c:majorGridlines/>
        <c:numFmt formatCode="#,##0\ _€" sourceLinked="0"/>
        <c:majorTickMark val="none"/>
        <c:minorTickMark val="none"/>
        <c:tickLblPos val="nextTo"/>
        <c:spPr>
          <a:ln w="9525">
            <a:noFill/>
          </a:ln>
        </c:spPr>
        <c:crossAx val="14836761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Resumen!$X$99</c:f>
              <c:strCache>
                <c:ptCount val="1"/>
                <c:pt idx="0">
                  <c:v>22606 Asistencia a reuniones y conferencias</c:v>
                </c:pt>
              </c:strCache>
            </c:strRef>
          </c:tx>
          <c:marker>
            <c:symbol val="none"/>
          </c:marker>
          <c:cat>
            <c:numRef>
              <c:f>Resumen!$Y$99:$AE$99</c:f>
              <c:numCache>
                <c:formatCode>General</c:formatCode>
                <c:ptCount val="7"/>
                <c:pt idx="0">
                  <c:v>2010</c:v>
                </c:pt>
                <c:pt idx="1">
                  <c:v>2011</c:v>
                </c:pt>
                <c:pt idx="2">
                  <c:v>2012</c:v>
                </c:pt>
                <c:pt idx="3">
                  <c:v>2013</c:v>
                </c:pt>
                <c:pt idx="4">
                  <c:v>2014</c:v>
                </c:pt>
                <c:pt idx="5">
                  <c:v>2015</c:v>
                </c:pt>
                <c:pt idx="6">
                  <c:v>2016</c:v>
                </c:pt>
              </c:numCache>
            </c:numRef>
          </c:cat>
          <c:val>
            <c:numRef>
              <c:f>Resumen!$Y$111:$AE$111</c:f>
              <c:numCache>
                <c:formatCode>#,##0.00</c:formatCode>
                <c:ptCount val="7"/>
                <c:pt idx="0">
                  <c:v>22059.720000000005</c:v>
                </c:pt>
                <c:pt idx="1">
                  <c:v>50171.560000000005</c:v>
                </c:pt>
                <c:pt idx="2">
                  <c:v>23366.600000000002</c:v>
                </c:pt>
                <c:pt idx="3">
                  <c:v>1077.2599999999998</c:v>
                </c:pt>
                <c:pt idx="4">
                  <c:v>1184.02</c:v>
                </c:pt>
                <c:pt idx="5">
                  <c:v>1217.25</c:v>
                </c:pt>
                <c:pt idx="6">
                  <c:v>2951.79</c:v>
                </c:pt>
              </c:numCache>
            </c:numRef>
          </c:val>
          <c:smooth val="0"/>
        </c:ser>
        <c:dLbls>
          <c:showLegendKey val="0"/>
          <c:showVal val="0"/>
          <c:showCatName val="0"/>
          <c:showSerName val="0"/>
          <c:showPercent val="0"/>
          <c:showBubbleSize val="0"/>
        </c:dLbls>
        <c:marker val="1"/>
        <c:smooth val="0"/>
        <c:axId val="103446016"/>
        <c:axId val="103447552"/>
      </c:lineChart>
      <c:catAx>
        <c:axId val="103446016"/>
        <c:scaling>
          <c:orientation val="minMax"/>
        </c:scaling>
        <c:delete val="0"/>
        <c:axPos val="b"/>
        <c:numFmt formatCode="General" sourceLinked="1"/>
        <c:majorTickMark val="none"/>
        <c:minorTickMark val="none"/>
        <c:tickLblPos val="nextTo"/>
        <c:crossAx val="103447552"/>
        <c:crosses val="autoZero"/>
        <c:auto val="1"/>
        <c:lblAlgn val="ctr"/>
        <c:lblOffset val="100"/>
        <c:noMultiLvlLbl val="0"/>
      </c:catAx>
      <c:valAx>
        <c:axId val="103447552"/>
        <c:scaling>
          <c:orientation val="minMax"/>
        </c:scaling>
        <c:delete val="0"/>
        <c:axPos val="l"/>
        <c:numFmt formatCode="#,##0" sourceLinked="0"/>
        <c:majorTickMark val="none"/>
        <c:minorTickMark val="none"/>
        <c:tickLblPos val="nextTo"/>
        <c:crossAx val="10344601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9D4C-4889-45A5-951B-335A68DA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18597</Words>
  <Characters>102284</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120640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De Santiago, Iñaki</cp:lastModifiedBy>
  <cp:revision>2</cp:revision>
  <cp:lastPrinted>2017-10-23T08:14:00Z</cp:lastPrinted>
  <dcterms:created xsi:type="dcterms:W3CDTF">2017-11-10T09:06:00Z</dcterms:created>
  <dcterms:modified xsi:type="dcterms:W3CDTF">2017-11-10T09:06:00Z</dcterms:modified>
</cp:coreProperties>
</file>