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AB659D">
      <w:pPr>
        <w:pStyle w:val="EstiloPortada"/>
        <w:ind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D6441" w:rsidRPr="003A7956" w:rsidRDefault="00DD6441" w:rsidP="004C3423">
                            <w:pPr>
                              <w:spacing w:after="0"/>
                              <w:ind w:firstLine="0"/>
                              <w:jc w:val="center"/>
                              <w:rPr>
                                <w:sz w:val="18"/>
                                <w:szCs w:val="18"/>
                                <w:lang w:val="es-ES"/>
                              </w:rPr>
                            </w:pPr>
                            <w:r w:rsidRPr="003A7956">
                              <w:rPr>
                                <w:sz w:val="18"/>
                                <w:szCs w:val="18"/>
                                <w:lang w:val="es-ES"/>
                              </w:rPr>
                              <w:t>CAMARA DE</w:t>
                            </w:r>
                          </w:p>
                          <w:p w:rsidR="00DD6441" w:rsidRPr="003A7956" w:rsidRDefault="00DD6441" w:rsidP="004C3423">
                            <w:pPr>
                              <w:spacing w:after="0"/>
                              <w:ind w:firstLine="0"/>
                              <w:jc w:val="center"/>
                              <w:rPr>
                                <w:sz w:val="18"/>
                                <w:szCs w:val="18"/>
                                <w:lang w:val="es-ES"/>
                              </w:rPr>
                            </w:pPr>
                            <w:r w:rsidRPr="003A7956">
                              <w:rPr>
                                <w:sz w:val="18"/>
                                <w:szCs w:val="18"/>
                                <w:lang w:val="es-ES"/>
                              </w:rPr>
                              <w:t>COMPTOS</w:t>
                            </w:r>
                          </w:p>
                          <w:p w:rsidR="00DD6441" w:rsidRPr="003A7956" w:rsidRDefault="00DD6441" w:rsidP="004C3423">
                            <w:pPr>
                              <w:spacing w:after="0"/>
                              <w:ind w:firstLine="0"/>
                              <w:jc w:val="center"/>
                              <w:rPr>
                                <w:sz w:val="18"/>
                                <w:szCs w:val="18"/>
                                <w:lang w:val="es-ES"/>
                              </w:rPr>
                            </w:pPr>
                            <w:r w:rsidRPr="003A7956">
                              <w:rPr>
                                <w:sz w:val="18"/>
                                <w:szCs w:val="18"/>
                                <w:lang w:val="es-ES"/>
                              </w:rPr>
                              <w:t>DE NAVARRA</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NAFARROAKO</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KONTUEN</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GANBERA</w:t>
                            </w:r>
                          </w:p>
                          <w:p w:rsidR="00DD6441" w:rsidRPr="002C7026" w:rsidRDefault="00DD644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D6441" w:rsidRPr="003A7956" w:rsidRDefault="00DD6441" w:rsidP="004C3423">
                      <w:pPr>
                        <w:spacing w:after="0"/>
                        <w:ind w:firstLine="0"/>
                        <w:jc w:val="center"/>
                        <w:rPr>
                          <w:sz w:val="18"/>
                          <w:szCs w:val="18"/>
                          <w:lang w:val="es-ES"/>
                        </w:rPr>
                      </w:pPr>
                      <w:r w:rsidRPr="003A7956">
                        <w:rPr>
                          <w:sz w:val="18"/>
                          <w:szCs w:val="18"/>
                          <w:lang w:val="es-ES"/>
                        </w:rPr>
                        <w:t>CAMARA DE</w:t>
                      </w:r>
                    </w:p>
                    <w:p w:rsidR="00DD6441" w:rsidRPr="003A7956" w:rsidRDefault="00DD6441" w:rsidP="004C3423">
                      <w:pPr>
                        <w:spacing w:after="0"/>
                        <w:ind w:firstLine="0"/>
                        <w:jc w:val="center"/>
                        <w:rPr>
                          <w:sz w:val="18"/>
                          <w:szCs w:val="18"/>
                          <w:lang w:val="es-ES"/>
                        </w:rPr>
                      </w:pPr>
                      <w:r w:rsidRPr="003A7956">
                        <w:rPr>
                          <w:sz w:val="18"/>
                          <w:szCs w:val="18"/>
                          <w:lang w:val="es-ES"/>
                        </w:rPr>
                        <w:t>COMPTOS</w:t>
                      </w:r>
                    </w:p>
                    <w:p w:rsidR="00DD6441" w:rsidRPr="003A7956" w:rsidRDefault="00DD6441" w:rsidP="004C3423">
                      <w:pPr>
                        <w:spacing w:after="0"/>
                        <w:ind w:firstLine="0"/>
                        <w:jc w:val="center"/>
                        <w:rPr>
                          <w:sz w:val="18"/>
                          <w:szCs w:val="18"/>
                          <w:lang w:val="es-ES"/>
                        </w:rPr>
                      </w:pPr>
                      <w:r w:rsidRPr="003A7956">
                        <w:rPr>
                          <w:sz w:val="18"/>
                          <w:szCs w:val="18"/>
                          <w:lang w:val="es-ES"/>
                        </w:rPr>
                        <w:t>DE NAVARRA</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NAFARROAKO</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KONTUEN</w:t>
                      </w:r>
                    </w:p>
                    <w:p w:rsidR="00DD6441" w:rsidRPr="003A7956" w:rsidRDefault="00DD6441" w:rsidP="004C3423">
                      <w:pPr>
                        <w:spacing w:after="0"/>
                        <w:ind w:firstLine="0"/>
                        <w:jc w:val="center"/>
                        <w:rPr>
                          <w:color w:val="808080"/>
                          <w:sz w:val="18"/>
                          <w:szCs w:val="18"/>
                          <w:lang w:val="es-ES"/>
                        </w:rPr>
                      </w:pPr>
                      <w:r w:rsidRPr="003A7956">
                        <w:rPr>
                          <w:color w:val="808080"/>
                          <w:sz w:val="18"/>
                          <w:szCs w:val="18"/>
                          <w:lang w:val="es-ES"/>
                        </w:rPr>
                        <w:t>GANBERA</w:t>
                      </w:r>
                    </w:p>
                    <w:p w:rsidR="00DD6441" w:rsidRPr="002C7026" w:rsidRDefault="00DD6441" w:rsidP="002C7026">
                      <w:pPr>
                        <w:spacing w:after="0"/>
                        <w:ind w:firstLine="0"/>
                        <w:jc w:val="center"/>
                        <w:rPr>
                          <w:rFonts w:ascii="Trajan" w:hAnsi="Trajan"/>
                          <w:color w:val="808080"/>
                          <w:sz w:val="18"/>
                          <w:szCs w:val="18"/>
                          <w:lang w:val="es-ES"/>
                        </w:rPr>
                      </w:pPr>
                    </w:p>
                  </w:txbxContent>
                </v:textbox>
              </v:shape>
            </w:pict>
          </mc:Fallback>
        </mc:AlternateContent>
      </w:r>
    </w:p>
    <w:p w:rsidR="00624779" w:rsidRPr="00624779" w:rsidRDefault="00624779" w:rsidP="00624779">
      <w:pPr>
        <w:pStyle w:val="EstiloPortada"/>
        <w:ind w:left="4253"/>
        <w:jc w:val="both"/>
        <w:rPr>
          <w:rFonts w:ascii="Arial" w:hAnsi="Arial" w:cs="Arial"/>
          <w:color w:val="808080"/>
          <w:sz w:val="40"/>
        </w:rPr>
      </w:pPr>
    </w:p>
    <w:p w:rsidR="00624779" w:rsidRDefault="00624779" w:rsidP="00624779">
      <w:pPr>
        <w:pStyle w:val="EstiloPortada"/>
        <w:ind w:left="4253"/>
        <w:rPr>
          <w:szCs w:val="60"/>
          <w:lang w:eastAsia="es-ES"/>
        </w:rPr>
      </w:pPr>
      <w:r w:rsidRPr="00B269C8">
        <w:rPr>
          <w:szCs w:val="60"/>
          <w:lang w:eastAsia="es-ES"/>
        </w:rPr>
        <w:t xml:space="preserve">Cuentas </w:t>
      </w:r>
      <w:r w:rsidR="00692078">
        <w:rPr>
          <w:szCs w:val="60"/>
          <w:lang w:eastAsia="es-ES"/>
        </w:rPr>
        <w:t>G</w:t>
      </w:r>
      <w:r w:rsidRPr="00B269C8">
        <w:rPr>
          <w:szCs w:val="60"/>
          <w:lang w:eastAsia="es-ES"/>
        </w:rPr>
        <w:t xml:space="preserve">enerales </w:t>
      </w:r>
    </w:p>
    <w:p w:rsidR="00624779" w:rsidRPr="00B269C8" w:rsidRDefault="00624779" w:rsidP="00624779">
      <w:pPr>
        <w:pStyle w:val="EstiloPortada"/>
        <w:ind w:left="4253"/>
        <w:rPr>
          <w:szCs w:val="60"/>
          <w:lang w:eastAsia="es-ES"/>
        </w:rPr>
      </w:pPr>
      <w:r>
        <w:rPr>
          <w:szCs w:val="60"/>
          <w:lang w:eastAsia="es-ES"/>
        </w:rPr>
        <w:t xml:space="preserve">de </w:t>
      </w:r>
      <w:r w:rsidRPr="00B269C8">
        <w:rPr>
          <w:szCs w:val="60"/>
          <w:lang w:eastAsia="es-ES"/>
        </w:rPr>
        <w:t>Navarra, 201</w:t>
      </w:r>
      <w:r>
        <w:rPr>
          <w:szCs w:val="60"/>
          <w:lang w:eastAsia="es-ES"/>
        </w:rPr>
        <w:t>6</w:t>
      </w: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BD1391"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8D7D16" w:rsidP="009936FC">
      <w:pPr>
        <w:pStyle w:val="Fechaportada"/>
      </w:pPr>
      <w:r>
        <w:t>Noviemb</w:t>
      </w:r>
      <w:r w:rsidR="00624779">
        <w:t>re</w:t>
      </w:r>
      <w:r w:rsidR="00253E78" w:rsidRPr="001D4F09">
        <w:t xml:space="preserve"> de 20</w:t>
      </w:r>
      <w:r w:rsidR="00624779">
        <w:t>17</w:t>
      </w:r>
    </w:p>
    <w:p w:rsidR="008E3FFE" w:rsidRPr="001D4F09" w:rsidRDefault="008E3FFE" w:rsidP="00891D73">
      <w:pPr>
        <w:pStyle w:val="ndice"/>
        <w:rPr>
          <w:rFonts w:ascii="Times New Roman" w:hAnsi="Times New Roman"/>
        </w:rPr>
        <w:sectPr w:rsidR="008E3FFE" w:rsidRPr="001D4F09" w:rsidSect="0004181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624779" w:rsidRPr="004740FB" w:rsidRDefault="00624779" w:rsidP="00624779">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BD1391" w:rsidRDefault="0014728F" w:rsidP="00DD6441">
      <w:pPr>
        <w:pStyle w:val="TDC1"/>
        <w:rPr>
          <w:rFonts w:asciiTheme="minorHAnsi" w:eastAsiaTheme="minorEastAsia" w:hAnsiTheme="minorHAnsi" w:cstheme="minorBidi"/>
          <w:noProof/>
          <w:szCs w:val="22"/>
          <w:lang w:val="es-ES" w:eastAsia="es-ES"/>
        </w:rPr>
      </w:pPr>
      <w:r>
        <w:fldChar w:fldCharType="begin"/>
      </w:r>
      <w:r>
        <w:instrText xml:space="preserve"> TOC \o "1-3" \h \z \t "atitulo1;1;atitulo2;2" </w:instrText>
      </w:r>
      <w:r>
        <w:fldChar w:fldCharType="separate"/>
      </w:r>
      <w:hyperlink w:anchor="_Toc498515779" w:history="1">
        <w:r w:rsidR="00BD1391" w:rsidRPr="00196B57">
          <w:rPr>
            <w:rStyle w:val="Hipervnculo"/>
            <w:noProof/>
          </w:rPr>
          <w:t>I. Introducción</w:t>
        </w:r>
        <w:r w:rsidR="00BD1391">
          <w:rPr>
            <w:noProof/>
            <w:webHidden/>
          </w:rPr>
          <w:tab/>
        </w:r>
        <w:r w:rsidR="00BD1391">
          <w:rPr>
            <w:noProof/>
            <w:webHidden/>
          </w:rPr>
          <w:fldChar w:fldCharType="begin"/>
        </w:r>
        <w:r w:rsidR="00BD1391">
          <w:rPr>
            <w:noProof/>
            <w:webHidden/>
          </w:rPr>
          <w:instrText xml:space="preserve"> PAGEREF _Toc498515779 \h </w:instrText>
        </w:r>
        <w:r w:rsidR="00BD1391">
          <w:rPr>
            <w:noProof/>
            <w:webHidden/>
          </w:rPr>
        </w:r>
        <w:r w:rsidR="00BD1391">
          <w:rPr>
            <w:noProof/>
            <w:webHidden/>
          </w:rPr>
          <w:fldChar w:fldCharType="separate"/>
        </w:r>
        <w:r w:rsidR="00E7467B">
          <w:rPr>
            <w:noProof/>
            <w:webHidden/>
          </w:rPr>
          <w:t>3</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780" w:history="1">
        <w:r w:rsidR="00BD1391" w:rsidRPr="00196B57">
          <w:rPr>
            <w:rStyle w:val="Hipervnculo"/>
            <w:noProof/>
          </w:rPr>
          <w:t>II. Opinión</w:t>
        </w:r>
        <w:r w:rsidR="00BD1391">
          <w:rPr>
            <w:noProof/>
            <w:webHidden/>
          </w:rPr>
          <w:tab/>
        </w:r>
        <w:r w:rsidR="00BD1391">
          <w:rPr>
            <w:noProof/>
            <w:webHidden/>
          </w:rPr>
          <w:fldChar w:fldCharType="begin"/>
        </w:r>
        <w:r w:rsidR="00BD1391">
          <w:rPr>
            <w:noProof/>
            <w:webHidden/>
          </w:rPr>
          <w:instrText xml:space="preserve"> PAGEREF _Toc498515780 \h </w:instrText>
        </w:r>
        <w:r w:rsidR="00BD1391">
          <w:rPr>
            <w:noProof/>
            <w:webHidden/>
          </w:rPr>
        </w:r>
        <w:r w:rsidR="00BD1391">
          <w:rPr>
            <w:noProof/>
            <w:webHidden/>
          </w:rPr>
          <w:fldChar w:fldCharType="separate"/>
        </w:r>
        <w:r w:rsidR="00E7467B">
          <w:rPr>
            <w:noProof/>
            <w:webHidden/>
          </w:rPr>
          <w:t>6</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1" w:history="1">
        <w:r w:rsidR="00BD1391" w:rsidRPr="00196B57">
          <w:rPr>
            <w:rStyle w:val="Hipervnculo"/>
            <w:noProof/>
          </w:rPr>
          <w:t>II.1. Opinión de auditoría financiera sobre las cuentas anuales de 2016</w:t>
        </w:r>
        <w:r w:rsidR="00BD1391">
          <w:rPr>
            <w:noProof/>
            <w:webHidden/>
          </w:rPr>
          <w:tab/>
        </w:r>
        <w:r w:rsidR="00BD1391">
          <w:rPr>
            <w:noProof/>
            <w:webHidden/>
          </w:rPr>
          <w:fldChar w:fldCharType="begin"/>
        </w:r>
        <w:r w:rsidR="00BD1391">
          <w:rPr>
            <w:noProof/>
            <w:webHidden/>
          </w:rPr>
          <w:instrText xml:space="preserve"> PAGEREF _Toc498515781 \h </w:instrText>
        </w:r>
        <w:r w:rsidR="00BD1391">
          <w:rPr>
            <w:noProof/>
            <w:webHidden/>
          </w:rPr>
        </w:r>
        <w:r w:rsidR="00BD1391">
          <w:rPr>
            <w:noProof/>
            <w:webHidden/>
          </w:rPr>
          <w:fldChar w:fldCharType="separate"/>
        </w:r>
        <w:r w:rsidR="00E7467B">
          <w:rPr>
            <w:noProof/>
            <w:webHidden/>
          </w:rPr>
          <w:t>7</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2" w:history="1">
        <w:r w:rsidR="00BD1391" w:rsidRPr="00196B57">
          <w:rPr>
            <w:rStyle w:val="Hipervnculo"/>
            <w:noProof/>
          </w:rPr>
          <w:t>II.2. Opinión de fiscalización de cumplimiento de legalidad</w:t>
        </w:r>
        <w:r w:rsidR="00BD1391">
          <w:rPr>
            <w:noProof/>
            <w:webHidden/>
          </w:rPr>
          <w:tab/>
        </w:r>
        <w:r w:rsidR="00BD1391">
          <w:rPr>
            <w:noProof/>
            <w:webHidden/>
          </w:rPr>
          <w:fldChar w:fldCharType="begin"/>
        </w:r>
        <w:r w:rsidR="00BD1391">
          <w:rPr>
            <w:noProof/>
            <w:webHidden/>
          </w:rPr>
          <w:instrText xml:space="preserve"> PAGEREF _Toc498515782 \h </w:instrText>
        </w:r>
        <w:r w:rsidR="00BD1391">
          <w:rPr>
            <w:noProof/>
            <w:webHidden/>
          </w:rPr>
        </w:r>
        <w:r w:rsidR="00BD1391">
          <w:rPr>
            <w:noProof/>
            <w:webHidden/>
          </w:rPr>
          <w:fldChar w:fldCharType="separate"/>
        </w:r>
        <w:r w:rsidR="00E7467B">
          <w:rPr>
            <w:noProof/>
            <w:webHidden/>
          </w:rPr>
          <w:t>9</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783" w:history="1">
        <w:r w:rsidR="00BD1391" w:rsidRPr="00196B57">
          <w:rPr>
            <w:rStyle w:val="Hipervnculo"/>
            <w:noProof/>
          </w:rPr>
          <w:t>III. Resumen de las cuentas de la Administración de la Comunidad Foral y sus organismos autónomos, ejercicio 2016</w:t>
        </w:r>
        <w:r w:rsidR="00BD1391">
          <w:rPr>
            <w:noProof/>
            <w:webHidden/>
          </w:rPr>
          <w:tab/>
        </w:r>
        <w:r w:rsidR="00BD1391">
          <w:rPr>
            <w:noProof/>
            <w:webHidden/>
          </w:rPr>
          <w:fldChar w:fldCharType="begin"/>
        </w:r>
        <w:r w:rsidR="00BD1391">
          <w:rPr>
            <w:noProof/>
            <w:webHidden/>
          </w:rPr>
          <w:instrText xml:space="preserve"> PAGEREF _Toc498515783 \h </w:instrText>
        </w:r>
        <w:r w:rsidR="00BD1391">
          <w:rPr>
            <w:noProof/>
            <w:webHidden/>
          </w:rPr>
        </w:r>
        <w:r w:rsidR="00BD1391">
          <w:rPr>
            <w:noProof/>
            <w:webHidden/>
          </w:rPr>
          <w:fldChar w:fldCharType="separate"/>
        </w:r>
        <w:r w:rsidR="00E7467B">
          <w:rPr>
            <w:noProof/>
            <w:webHidden/>
          </w:rPr>
          <w:t>10</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4" w:history="1">
        <w:r w:rsidR="00BD1391" w:rsidRPr="00196B57">
          <w:rPr>
            <w:rStyle w:val="Hipervnculo"/>
            <w:noProof/>
          </w:rPr>
          <w:t>III.1. Liquidación del presupuesto 2016</w:t>
        </w:r>
        <w:r w:rsidR="00BD1391">
          <w:rPr>
            <w:noProof/>
            <w:webHidden/>
          </w:rPr>
          <w:tab/>
        </w:r>
        <w:r w:rsidR="00BD1391">
          <w:rPr>
            <w:noProof/>
            <w:webHidden/>
          </w:rPr>
          <w:fldChar w:fldCharType="begin"/>
        </w:r>
        <w:r w:rsidR="00BD1391">
          <w:rPr>
            <w:noProof/>
            <w:webHidden/>
          </w:rPr>
          <w:instrText xml:space="preserve"> PAGEREF _Toc498515784 \h </w:instrText>
        </w:r>
        <w:r w:rsidR="00BD1391">
          <w:rPr>
            <w:noProof/>
            <w:webHidden/>
          </w:rPr>
        </w:r>
        <w:r w:rsidR="00BD1391">
          <w:rPr>
            <w:noProof/>
            <w:webHidden/>
          </w:rPr>
          <w:fldChar w:fldCharType="separate"/>
        </w:r>
        <w:r w:rsidR="00E7467B">
          <w:rPr>
            <w:noProof/>
            <w:webHidden/>
          </w:rPr>
          <w:t>10</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5" w:history="1">
        <w:r w:rsidR="00BD1391" w:rsidRPr="00196B57">
          <w:rPr>
            <w:rStyle w:val="Hipervnculo"/>
            <w:noProof/>
          </w:rPr>
          <w:t>III.2. Resultado presupuestario 2016</w:t>
        </w:r>
        <w:r w:rsidR="00BD1391">
          <w:rPr>
            <w:noProof/>
            <w:webHidden/>
          </w:rPr>
          <w:tab/>
        </w:r>
        <w:r w:rsidR="00BD1391">
          <w:rPr>
            <w:noProof/>
            <w:webHidden/>
          </w:rPr>
          <w:fldChar w:fldCharType="begin"/>
        </w:r>
        <w:r w:rsidR="00BD1391">
          <w:rPr>
            <w:noProof/>
            <w:webHidden/>
          </w:rPr>
          <w:instrText xml:space="preserve"> PAGEREF _Toc498515785 \h </w:instrText>
        </w:r>
        <w:r w:rsidR="00BD1391">
          <w:rPr>
            <w:noProof/>
            <w:webHidden/>
          </w:rPr>
        </w:r>
        <w:r w:rsidR="00BD1391">
          <w:rPr>
            <w:noProof/>
            <w:webHidden/>
          </w:rPr>
          <w:fldChar w:fldCharType="separate"/>
        </w:r>
        <w:r w:rsidR="00E7467B">
          <w:rPr>
            <w:noProof/>
            <w:webHidden/>
          </w:rPr>
          <w:t>11</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6" w:history="1">
        <w:r w:rsidR="00BD1391" w:rsidRPr="00196B57">
          <w:rPr>
            <w:rStyle w:val="Hipervnculo"/>
            <w:noProof/>
          </w:rPr>
          <w:t>III.3. Remanente de Tesorería a 31 de diciembre de 2016</w:t>
        </w:r>
        <w:r w:rsidR="00BD1391">
          <w:rPr>
            <w:noProof/>
            <w:webHidden/>
          </w:rPr>
          <w:tab/>
        </w:r>
        <w:r w:rsidR="00BD1391">
          <w:rPr>
            <w:noProof/>
            <w:webHidden/>
          </w:rPr>
          <w:fldChar w:fldCharType="begin"/>
        </w:r>
        <w:r w:rsidR="00BD1391">
          <w:rPr>
            <w:noProof/>
            <w:webHidden/>
          </w:rPr>
          <w:instrText xml:space="preserve"> PAGEREF _Toc498515786 \h </w:instrText>
        </w:r>
        <w:r w:rsidR="00BD1391">
          <w:rPr>
            <w:noProof/>
            <w:webHidden/>
          </w:rPr>
        </w:r>
        <w:r w:rsidR="00BD1391">
          <w:rPr>
            <w:noProof/>
            <w:webHidden/>
          </w:rPr>
          <w:fldChar w:fldCharType="separate"/>
        </w:r>
        <w:r w:rsidR="00E7467B">
          <w:rPr>
            <w:noProof/>
            <w:webHidden/>
          </w:rPr>
          <w:t>11</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7" w:history="1">
        <w:r w:rsidR="00BD1391" w:rsidRPr="00196B57">
          <w:rPr>
            <w:rStyle w:val="Hipervnculo"/>
            <w:noProof/>
          </w:rPr>
          <w:t>III.4. Balance de situación a 31 de diciembre de 2016</w:t>
        </w:r>
        <w:r w:rsidR="00BD1391">
          <w:rPr>
            <w:noProof/>
            <w:webHidden/>
          </w:rPr>
          <w:tab/>
        </w:r>
        <w:r w:rsidR="00BD1391">
          <w:rPr>
            <w:noProof/>
            <w:webHidden/>
          </w:rPr>
          <w:fldChar w:fldCharType="begin"/>
        </w:r>
        <w:r w:rsidR="00BD1391">
          <w:rPr>
            <w:noProof/>
            <w:webHidden/>
          </w:rPr>
          <w:instrText xml:space="preserve"> PAGEREF _Toc498515787 \h </w:instrText>
        </w:r>
        <w:r w:rsidR="00BD1391">
          <w:rPr>
            <w:noProof/>
            <w:webHidden/>
          </w:rPr>
        </w:r>
        <w:r w:rsidR="00BD1391">
          <w:rPr>
            <w:noProof/>
            <w:webHidden/>
          </w:rPr>
          <w:fldChar w:fldCharType="separate"/>
        </w:r>
        <w:r w:rsidR="00E7467B">
          <w:rPr>
            <w:noProof/>
            <w:webHidden/>
          </w:rPr>
          <w:t>12</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88" w:history="1">
        <w:r w:rsidR="00BD1391" w:rsidRPr="00196B57">
          <w:rPr>
            <w:rStyle w:val="Hipervnculo"/>
            <w:noProof/>
          </w:rPr>
          <w:t>III.5. Cuenta de Resultados 2016</w:t>
        </w:r>
        <w:r w:rsidR="00BD1391">
          <w:rPr>
            <w:noProof/>
            <w:webHidden/>
          </w:rPr>
          <w:tab/>
        </w:r>
        <w:r w:rsidR="00BD1391">
          <w:rPr>
            <w:noProof/>
            <w:webHidden/>
          </w:rPr>
          <w:fldChar w:fldCharType="begin"/>
        </w:r>
        <w:r w:rsidR="00BD1391">
          <w:rPr>
            <w:noProof/>
            <w:webHidden/>
          </w:rPr>
          <w:instrText xml:space="preserve"> PAGEREF _Toc498515788 \h </w:instrText>
        </w:r>
        <w:r w:rsidR="00BD1391">
          <w:rPr>
            <w:noProof/>
            <w:webHidden/>
          </w:rPr>
        </w:r>
        <w:r w:rsidR="00BD1391">
          <w:rPr>
            <w:noProof/>
            <w:webHidden/>
          </w:rPr>
          <w:fldChar w:fldCharType="separate"/>
        </w:r>
        <w:r w:rsidR="00E7467B">
          <w:rPr>
            <w:noProof/>
            <w:webHidden/>
          </w:rPr>
          <w:t>13</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789" w:history="1">
        <w:r w:rsidR="00BD1391" w:rsidRPr="00196B57">
          <w:rPr>
            <w:rStyle w:val="Hipervnculo"/>
            <w:noProof/>
          </w:rPr>
          <w:t>IV. Conclusiones y recomendaciones</w:t>
        </w:r>
        <w:r w:rsidR="00BD1391">
          <w:rPr>
            <w:noProof/>
            <w:webHidden/>
          </w:rPr>
          <w:tab/>
        </w:r>
        <w:r w:rsidR="00BD1391">
          <w:rPr>
            <w:noProof/>
            <w:webHidden/>
          </w:rPr>
          <w:fldChar w:fldCharType="begin"/>
        </w:r>
        <w:r w:rsidR="00BD1391">
          <w:rPr>
            <w:noProof/>
            <w:webHidden/>
          </w:rPr>
          <w:instrText xml:space="preserve"> PAGEREF _Toc498515789 \h </w:instrText>
        </w:r>
        <w:r w:rsidR="00BD1391">
          <w:rPr>
            <w:noProof/>
            <w:webHidden/>
          </w:rPr>
        </w:r>
        <w:r w:rsidR="00BD1391">
          <w:rPr>
            <w:noProof/>
            <w:webHidden/>
          </w:rPr>
          <w:fldChar w:fldCharType="separate"/>
        </w:r>
        <w:r w:rsidR="00E7467B">
          <w:rPr>
            <w:noProof/>
            <w:webHidden/>
          </w:rPr>
          <w:t>15</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0" w:history="1">
        <w:r w:rsidR="00BD1391" w:rsidRPr="00196B57">
          <w:rPr>
            <w:rStyle w:val="Hipervnculo"/>
            <w:noProof/>
          </w:rPr>
          <w:t>IV.1. Delimitación del Sector Público Foral en 2016</w:t>
        </w:r>
        <w:r w:rsidR="00BD1391">
          <w:rPr>
            <w:noProof/>
            <w:webHidden/>
          </w:rPr>
          <w:tab/>
        </w:r>
        <w:r w:rsidR="00BD1391">
          <w:rPr>
            <w:noProof/>
            <w:webHidden/>
          </w:rPr>
          <w:fldChar w:fldCharType="begin"/>
        </w:r>
        <w:r w:rsidR="00BD1391">
          <w:rPr>
            <w:noProof/>
            <w:webHidden/>
          </w:rPr>
          <w:instrText xml:space="preserve"> PAGEREF _Toc498515790 \h </w:instrText>
        </w:r>
        <w:r w:rsidR="00BD1391">
          <w:rPr>
            <w:noProof/>
            <w:webHidden/>
          </w:rPr>
        </w:r>
        <w:r w:rsidR="00BD1391">
          <w:rPr>
            <w:noProof/>
            <w:webHidden/>
          </w:rPr>
          <w:fldChar w:fldCharType="separate"/>
        </w:r>
        <w:r w:rsidR="00E7467B">
          <w:rPr>
            <w:noProof/>
            <w:webHidden/>
          </w:rPr>
          <w:t>15</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1" w:history="1">
        <w:r w:rsidR="00BD1391" w:rsidRPr="00196B57">
          <w:rPr>
            <w:rStyle w:val="Hipervnculo"/>
            <w:noProof/>
          </w:rPr>
          <w:t>IV.2. Presupuestos generales de Navarra 2016</w:t>
        </w:r>
        <w:r w:rsidR="00BD1391">
          <w:rPr>
            <w:noProof/>
            <w:webHidden/>
          </w:rPr>
          <w:tab/>
        </w:r>
        <w:r w:rsidR="00BD1391">
          <w:rPr>
            <w:noProof/>
            <w:webHidden/>
          </w:rPr>
          <w:fldChar w:fldCharType="begin"/>
        </w:r>
        <w:r w:rsidR="00BD1391">
          <w:rPr>
            <w:noProof/>
            <w:webHidden/>
          </w:rPr>
          <w:instrText xml:space="preserve"> PAGEREF _Toc498515791 \h </w:instrText>
        </w:r>
        <w:r w:rsidR="00BD1391">
          <w:rPr>
            <w:noProof/>
            <w:webHidden/>
          </w:rPr>
        </w:r>
        <w:r w:rsidR="00BD1391">
          <w:rPr>
            <w:noProof/>
            <w:webHidden/>
          </w:rPr>
          <w:fldChar w:fldCharType="separate"/>
        </w:r>
        <w:r w:rsidR="00E7467B">
          <w:rPr>
            <w:noProof/>
            <w:webHidden/>
          </w:rPr>
          <w:t>19</w:t>
        </w:r>
        <w:r w:rsidR="00BD1391">
          <w:rPr>
            <w:noProof/>
            <w:webHidden/>
          </w:rPr>
          <w:fldChar w:fldCharType="end"/>
        </w:r>
      </w:hyperlink>
    </w:p>
    <w:p w:rsidR="00BD1391" w:rsidRDefault="00551EFF" w:rsidP="00DD6441">
      <w:pPr>
        <w:pStyle w:val="TDC2"/>
        <w:tabs>
          <w:tab w:val="clear" w:pos="8930"/>
          <w:tab w:val="right" w:leader="dot" w:pos="8917"/>
          <w:tab w:val="right" w:leader="dot" w:pos="8945"/>
        </w:tabs>
        <w:ind w:left="0" w:right="567"/>
        <w:rPr>
          <w:rFonts w:asciiTheme="minorHAnsi" w:eastAsiaTheme="minorEastAsia" w:hAnsiTheme="minorHAnsi" w:cstheme="minorBidi"/>
          <w:noProof/>
          <w:szCs w:val="22"/>
          <w:lang w:val="es-ES" w:eastAsia="es-ES"/>
        </w:rPr>
      </w:pPr>
      <w:hyperlink w:anchor="_Toc498515792" w:history="1">
        <w:r w:rsidR="00BD1391" w:rsidRPr="00196B57">
          <w:rPr>
            <w:rStyle w:val="Hipervnculo"/>
            <w:noProof/>
          </w:rPr>
          <w:t>IV.3. Situación económico-financiera del Gobierno de Navarra y sus organismos autónomos a 31 de diciembre de 2016</w:t>
        </w:r>
        <w:r w:rsidR="00BD1391">
          <w:rPr>
            <w:noProof/>
            <w:webHidden/>
          </w:rPr>
          <w:tab/>
        </w:r>
        <w:r w:rsidR="00BD1391">
          <w:rPr>
            <w:noProof/>
            <w:webHidden/>
          </w:rPr>
          <w:fldChar w:fldCharType="begin"/>
        </w:r>
        <w:r w:rsidR="00BD1391">
          <w:rPr>
            <w:noProof/>
            <w:webHidden/>
          </w:rPr>
          <w:instrText xml:space="preserve"> PAGEREF _Toc498515792 \h </w:instrText>
        </w:r>
        <w:r w:rsidR="00BD1391">
          <w:rPr>
            <w:noProof/>
            <w:webHidden/>
          </w:rPr>
        </w:r>
        <w:r w:rsidR="00BD1391">
          <w:rPr>
            <w:noProof/>
            <w:webHidden/>
          </w:rPr>
          <w:fldChar w:fldCharType="separate"/>
        </w:r>
        <w:r w:rsidR="00E7467B">
          <w:rPr>
            <w:noProof/>
            <w:webHidden/>
          </w:rPr>
          <w:t>20</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3" w:history="1">
        <w:r w:rsidR="00BD1391" w:rsidRPr="00196B57">
          <w:rPr>
            <w:rStyle w:val="Hipervnculo"/>
            <w:noProof/>
          </w:rPr>
          <w:t>IV.4. Principios de estabilidad presupuestaria y sostenibilidad financiera.</w:t>
        </w:r>
        <w:r w:rsidR="00BD1391">
          <w:rPr>
            <w:noProof/>
            <w:webHidden/>
          </w:rPr>
          <w:tab/>
        </w:r>
        <w:r w:rsidR="00BD1391">
          <w:rPr>
            <w:noProof/>
            <w:webHidden/>
          </w:rPr>
          <w:fldChar w:fldCharType="begin"/>
        </w:r>
        <w:r w:rsidR="00BD1391">
          <w:rPr>
            <w:noProof/>
            <w:webHidden/>
          </w:rPr>
          <w:instrText xml:space="preserve"> PAGEREF _Toc498515793 \h </w:instrText>
        </w:r>
        <w:r w:rsidR="00BD1391">
          <w:rPr>
            <w:noProof/>
            <w:webHidden/>
          </w:rPr>
        </w:r>
        <w:r w:rsidR="00BD1391">
          <w:rPr>
            <w:noProof/>
            <w:webHidden/>
          </w:rPr>
          <w:fldChar w:fldCharType="separate"/>
        </w:r>
        <w:r w:rsidR="00E7467B">
          <w:rPr>
            <w:noProof/>
            <w:webHidden/>
          </w:rPr>
          <w:t>26</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4" w:history="1">
        <w:r w:rsidR="00BD1391" w:rsidRPr="00196B57">
          <w:rPr>
            <w:rStyle w:val="Hipervnculo"/>
            <w:noProof/>
          </w:rPr>
          <w:t>IV.5. Cumplimiento de recomendaciones emitidas en informes anteriores de esta Cámara de Comptos</w:t>
        </w:r>
        <w:r w:rsidR="00BD1391">
          <w:rPr>
            <w:noProof/>
            <w:webHidden/>
          </w:rPr>
          <w:tab/>
        </w:r>
        <w:r w:rsidR="00BD1391">
          <w:rPr>
            <w:noProof/>
            <w:webHidden/>
          </w:rPr>
          <w:fldChar w:fldCharType="begin"/>
        </w:r>
        <w:r w:rsidR="00BD1391">
          <w:rPr>
            <w:noProof/>
            <w:webHidden/>
          </w:rPr>
          <w:instrText xml:space="preserve"> PAGEREF _Toc498515794 \h </w:instrText>
        </w:r>
        <w:r w:rsidR="00BD1391">
          <w:rPr>
            <w:noProof/>
            <w:webHidden/>
          </w:rPr>
        </w:r>
        <w:r w:rsidR="00BD1391">
          <w:rPr>
            <w:noProof/>
            <w:webHidden/>
          </w:rPr>
          <w:fldChar w:fldCharType="separate"/>
        </w:r>
        <w:r w:rsidR="00E7467B">
          <w:rPr>
            <w:noProof/>
            <w:webHidden/>
          </w:rPr>
          <w:t>32</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5" w:history="1">
        <w:r w:rsidR="00BD1391" w:rsidRPr="00196B57">
          <w:rPr>
            <w:rStyle w:val="Hipervnculo"/>
            <w:noProof/>
          </w:rPr>
          <w:t>IV.6. Gastos de personal</w:t>
        </w:r>
        <w:r w:rsidR="00BD1391">
          <w:rPr>
            <w:noProof/>
            <w:webHidden/>
          </w:rPr>
          <w:tab/>
        </w:r>
        <w:r w:rsidR="00BD1391">
          <w:rPr>
            <w:noProof/>
            <w:webHidden/>
          </w:rPr>
          <w:fldChar w:fldCharType="begin"/>
        </w:r>
        <w:r w:rsidR="00BD1391">
          <w:rPr>
            <w:noProof/>
            <w:webHidden/>
          </w:rPr>
          <w:instrText xml:space="preserve"> PAGEREF _Toc498515795 \h </w:instrText>
        </w:r>
        <w:r w:rsidR="00BD1391">
          <w:rPr>
            <w:noProof/>
            <w:webHidden/>
          </w:rPr>
        </w:r>
        <w:r w:rsidR="00BD1391">
          <w:rPr>
            <w:noProof/>
            <w:webHidden/>
          </w:rPr>
          <w:fldChar w:fldCharType="separate"/>
        </w:r>
        <w:r w:rsidR="00E7467B">
          <w:rPr>
            <w:noProof/>
            <w:webHidden/>
          </w:rPr>
          <w:t>33</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6" w:history="1">
        <w:r w:rsidR="00BD1391" w:rsidRPr="00196B57">
          <w:rPr>
            <w:rStyle w:val="Hipervnculo"/>
            <w:noProof/>
          </w:rPr>
          <w:t>IV.7. Gastos corrientes en bienes y servicios</w:t>
        </w:r>
        <w:r w:rsidR="00BD1391">
          <w:rPr>
            <w:noProof/>
            <w:webHidden/>
          </w:rPr>
          <w:tab/>
        </w:r>
        <w:r w:rsidR="00BD1391">
          <w:rPr>
            <w:noProof/>
            <w:webHidden/>
          </w:rPr>
          <w:fldChar w:fldCharType="begin"/>
        </w:r>
        <w:r w:rsidR="00BD1391">
          <w:rPr>
            <w:noProof/>
            <w:webHidden/>
          </w:rPr>
          <w:instrText xml:space="preserve"> PAGEREF _Toc498515796 \h </w:instrText>
        </w:r>
        <w:r w:rsidR="00BD1391">
          <w:rPr>
            <w:noProof/>
            <w:webHidden/>
          </w:rPr>
        </w:r>
        <w:r w:rsidR="00BD1391">
          <w:rPr>
            <w:noProof/>
            <w:webHidden/>
          </w:rPr>
          <w:fldChar w:fldCharType="separate"/>
        </w:r>
        <w:r w:rsidR="00E7467B">
          <w:rPr>
            <w:noProof/>
            <w:webHidden/>
          </w:rPr>
          <w:t>37</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7" w:history="1">
        <w:r w:rsidR="00BD1391" w:rsidRPr="00196B57">
          <w:rPr>
            <w:rStyle w:val="Hipervnculo"/>
            <w:noProof/>
          </w:rPr>
          <w:t>IV.8. Gastos de transferencias corrientes y de capital</w:t>
        </w:r>
        <w:r w:rsidR="00BD1391">
          <w:rPr>
            <w:noProof/>
            <w:webHidden/>
          </w:rPr>
          <w:tab/>
        </w:r>
        <w:r w:rsidR="00BD1391">
          <w:rPr>
            <w:noProof/>
            <w:webHidden/>
          </w:rPr>
          <w:fldChar w:fldCharType="begin"/>
        </w:r>
        <w:r w:rsidR="00BD1391">
          <w:rPr>
            <w:noProof/>
            <w:webHidden/>
          </w:rPr>
          <w:instrText xml:space="preserve"> PAGEREF _Toc498515797 \h </w:instrText>
        </w:r>
        <w:r w:rsidR="00BD1391">
          <w:rPr>
            <w:noProof/>
            <w:webHidden/>
          </w:rPr>
        </w:r>
        <w:r w:rsidR="00BD1391">
          <w:rPr>
            <w:noProof/>
            <w:webHidden/>
          </w:rPr>
          <w:fldChar w:fldCharType="separate"/>
        </w:r>
        <w:r w:rsidR="00E7467B">
          <w:rPr>
            <w:noProof/>
            <w:webHidden/>
          </w:rPr>
          <w:t>40</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8" w:history="1">
        <w:r w:rsidR="00BD1391" w:rsidRPr="00196B57">
          <w:rPr>
            <w:rStyle w:val="Hipervnculo"/>
            <w:noProof/>
          </w:rPr>
          <w:t>IV.9. Inversiones e inmovilizado no financiero</w:t>
        </w:r>
        <w:r w:rsidR="00BD1391">
          <w:rPr>
            <w:noProof/>
            <w:webHidden/>
          </w:rPr>
          <w:tab/>
        </w:r>
        <w:r w:rsidR="00BD1391">
          <w:rPr>
            <w:noProof/>
            <w:webHidden/>
          </w:rPr>
          <w:fldChar w:fldCharType="begin"/>
        </w:r>
        <w:r w:rsidR="00BD1391">
          <w:rPr>
            <w:noProof/>
            <w:webHidden/>
          </w:rPr>
          <w:instrText xml:space="preserve"> PAGEREF _Toc498515798 \h </w:instrText>
        </w:r>
        <w:r w:rsidR="00BD1391">
          <w:rPr>
            <w:noProof/>
            <w:webHidden/>
          </w:rPr>
        </w:r>
        <w:r w:rsidR="00BD1391">
          <w:rPr>
            <w:noProof/>
            <w:webHidden/>
          </w:rPr>
          <w:fldChar w:fldCharType="separate"/>
        </w:r>
        <w:r w:rsidR="00E7467B">
          <w:rPr>
            <w:noProof/>
            <w:webHidden/>
          </w:rPr>
          <w:t>45</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799" w:history="1">
        <w:r w:rsidR="00BD1391" w:rsidRPr="00196B57">
          <w:rPr>
            <w:rStyle w:val="Hipervnculo"/>
            <w:noProof/>
          </w:rPr>
          <w:t>IV.10. Impuestos, tasas, precios públicos y otros ingresos</w:t>
        </w:r>
        <w:r w:rsidR="00BD1391">
          <w:rPr>
            <w:noProof/>
            <w:webHidden/>
          </w:rPr>
          <w:tab/>
        </w:r>
        <w:r w:rsidR="00BD1391">
          <w:rPr>
            <w:noProof/>
            <w:webHidden/>
          </w:rPr>
          <w:fldChar w:fldCharType="begin"/>
        </w:r>
        <w:r w:rsidR="00BD1391">
          <w:rPr>
            <w:noProof/>
            <w:webHidden/>
          </w:rPr>
          <w:instrText xml:space="preserve"> PAGEREF _Toc498515799 \h </w:instrText>
        </w:r>
        <w:r w:rsidR="00BD1391">
          <w:rPr>
            <w:noProof/>
            <w:webHidden/>
          </w:rPr>
        </w:r>
        <w:r w:rsidR="00BD1391">
          <w:rPr>
            <w:noProof/>
            <w:webHidden/>
          </w:rPr>
          <w:fldChar w:fldCharType="separate"/>
        </w:r>
        <w:r w:rsidR="00E7467B">
          <w:rPr>
            <w:noProof/>
            <w:webHidden/>
          </w:rPr>
          <w:t>49</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0" w:history="1">
        <w:r w:rsidR="00BD1391" w:rsidRPr="00196B57">
          <w:rPr>
            <w:rStyle w:val="Hipervnculo"/>
            <w:noProof/>
          </w:rPr>
          <w:t>IV.11. Otros ingresos</w:t>
        </w:r>
        <w:r w:rsidR="00BD1391">
          <w:rPr>
            <w:noProof/>
            <w:webHidden/>
          </w:rPr>
          <w:tab/>
        </w:r>
        <w:r w:rsidR="00BD1391">
          <w:rPr>
            <w:noProof/>
            <w:webHidden/>
          </w:rPr>
          <w:fldChar w:fldCharType="begin"/>
        </w:r>
        <w:r w:rsidR="00BD1391">
          <w:rPr>
            <w:noProof/>
            <w:webHidden/>
          </w:rPr>
          <w:instrText xml:space="preserve"> PAGEREF _Toc498515800 \h </w:instrText>
        </w:r>
        <w:r w:rsidR="00BD1391">
          <w:rPr>
            <w:noProof/>
            <w:webHidden/>
          </w:rPr>
        </w:r>
        <w:r w:rsidR="00BD1391">
          <w:rPr>
            <w:noProof/>
            <w:webHidden/>
          </w:rPr>
          <w:fldChar w:fldCharType="separate"/>
        </w:r>
        <w:r w:rsidR="00E7467B">
          <w:rPr>
            <w:noProof/>
            <w:webHidden/>
          </w:rPr>
          <w:t>56</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1" w:history="1">
        <w:r w:rsidR="00BD1391" w:rsidRPr="00196B57">
          <w:rPr>
            <w:rStyle w:val="Hipervnculo"/>
            <w:noProof/>
          </w:rPr>
          <w:t>IV.12. Deudores</w:t>
        </w:r>
        <w:r w:rsidR="00BD1391">
          <w:rPr>
            <w:noProof/>
            <w:webHidden/>
          </w:rPr>
          <w:tab/>
        </w:r>
        <w:r w:rsidR="00BD1391">
          <w:rPr>
            <w:noProof/>
            <w:webHidden/>
          </w:rPr>
          <w:fldChar w:fldCharType="begin"/>
        </w:r>
        <w:r w:rsidR="00BD1391">
          <w:rPr>
            <w:noProof/>
            <w:webHidden/>
          </w:rPr>
          <w:instrText xml:space="preserve"> PAGEREF _Toc498515801 \h </w:instrText>
        </w:r>
        <w:r w:rsidR="00BD1391">
          <w:rPr>
            <w:noProof/>
            <w:webHidden/>
          </w:rPr>
        </w:r>
        <w:r w:rsidR="00BD1391">
          <w:rPr>
            <w:noProof/>
            <w:webHidden/>
          </w:rPr>
          <w:fldChar w:fldCharType="separate"/>
        </w:r>
        <w:r w:rsidR="00E7467B">
          <w:rPr>
            <w:noProof/>
            <w:webHidden/>
          </w:rPr>
          <w:t>58</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2" w:history="1">
        <w:r w:rsidR="00BD1391" w:rsidRPr="00196B57">
          <w:rPr>
            <w:rStyle w:val="Hipervnculo"/>
            <w:noProof/>
          </w:rPr>
          <w:t>IV.13. Tesorería</w:t>
        </w:r>
        <w:r w:rsidR="00BD1391">
          <w:rPr>
            <w:noProof/>
            <w:webHidden/>
          </w:rPr>
          <w:tab/>
        </w:r>
        <w:r w:rsidR="00BD1391">
          <w:rPr>
            <w:noProof/>
            <w:webHidden/>
          </w:rPr>
          <w:fldChar w:fldCharType="begin"/>
        </w:r>
        <w:r w:rsidR="00BD1391">
          <w:rPr>
            <w:noProof/>
            <w:webHidden/>
          </w:rPr>
          <w:instrText xml:space="preserve"> PAGEREF _Toc498515802 \h </w:instrText>
        </w:r>
        <w:r w:rsidR="00BD1391">
          <w:rPr>
            <w:noProof/>
            <w:webHidden/>
          </w:rPr>
        </w:r>
        <w:r w:rsidR="00BD1391">
          <w:rPr>
            <w:noProof/>
            <w:webHidden/>
          </w:rPr>
          <w:fldChar w:fldCharType="separate"/>
        </w:r>
        <w:r w:rsidR="00E7467B">
          <w:rPr>
            <w:noProof/>
            <w:webHidden/>
          </w:rPr>
          <w:t>60</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3" w:history="1">
        <w:r w:rsidR="00BD1391" w:rsidRPr="00196B57">
          <w:rPr>
            <w:rStyle w:val="Hipervnculo"/>
            <w:noProof/>
            <w:lang w:val="es-ES"/>
          </w:rPr>
          <w:t>IV.14. Endeudamiento y otras operaciones financieras</w:t>
        </w:r>
        <w:r w:rsidR="00BD1391">
          <w:rPr>
            <w:noProof/>
            <w:webHidden/>
          </w:rPr>
          <w:tab/>
        </w:r>
        <w:r w:rsidR="00BD1391">
          <w:rPr>
            <w:noProof/>
            <w:webHidden/>
          </w:rPr>
          <w:fldChar w:fldCharType="begin"/>
        </w:r>
        <w:r w:rsidR="00BD1391">
          <w:rPr>
            <w:noProof/>
            <w:webHidden/>
          </w:rPr>
          <w:instrText xml:space="preserve"> PAGEREF _Toc498515803 \h </w:instrText>
        </w:r>
        <w:r w:rsidR="00BD1391">
          <w:rPr>
            <w:noProof/>
            <w:webHidden/>
          </w:rPr>
        </w:r>
        <w:r w:rsidR="00BD1391">
          <w:rPr>
            <w:noProof/>
            <w:webHidden/>
          </w:rPr>
          <w:fldChar w:fldCharType="separate"/>
        </w:r>
        <w:r w:rsidR="00E7467B">
          <w:rPr>
            <w:noProof/>
            <w:webHidden/>
          </w:rPr>
          <w:t>61</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4" w:history="1">
        <w:r w:rsidR="00BD1391" w:rsidRPr="00196B57">
          <w:rPr>
            <w:rStyle w:val="Hipervnculo"/>
            <w:noProof/>
            <w:lang w:val="es-ES"/>
          </w:rPr>
          <w:t>IV.15. Sociedades Públicas y Fundaciones Públicas</w:t>
        </w:r>
        <w:r w:rsidR="00BD1391">
          <w:rPr>
            <w:noProof/>
            <w:webHidden/>
          </w:rPr>
          <w:tab/>
        </w:r>
        <w:r w:rsidR="00BD1391">
          <w:rPr>
            <w:noProof/>
            <w:webHidden/>
          </w:rPr>
          <w:fldChar w:fldCharType="begin"/>
        </w:r>
        <w:r w:rsidR="00BD1391">
          <w:rPr>
            <w:noProof/>
            <w:webHidden/>
          </w:rPr>
          <w:instrText xml:space="preserve"> PAGEREF _Toc498515804 \h </w:instrText>
        </w:r>
        <w:r w:rsidR="00BD1391">
          <w:rPr>
            <w:noProof/>
            <w:webHidden/>
          </w:rPr>
        </w:r>
        <w:r w:rsidR="00BD1391">
          <w:rPr>
            <w:noProof/>
            <w:webHidden/>
          </w:rPr>
          <w:fldChar w:fldCharType="separate"/>
        </w:r>
        <w:r w:rsidR="00E7467B">
          <w:rPr>
            <w:noProof/>
            <w:webHidden/>
          </w:rPr>
          <w:t>65</w:t>
        </w:r>
        <w:r w:rsidR="00BD1391">
          <w:rPr>
            <w:noProof/>
            <w:webHidden/>
          </w:rPr>
          <w:fldChar w:fldCharType="end"/>
        </w:r>
      </w:hyperlink>
    </w:p>
    <w:p w:rsidR="00BD1391" w:rsidRDefault="00551EFF" w:rsidP="00DD6441">
      <w:pPr>
        <w:pStyle w:val="TDC2"/>
        <w:tabs>
          <w:tab w:val="clear" w:pos="8930"/>
          <w:tab w:val="right" w:leader="dot" w:pos="8945"/>
        </w:tabs>
        <w:ind w:left="0"/>
        <w:rPr>
          <w:rFonts w:asciiTheme="minorHAnsi" w:eastAsiaTheme="minorEastAsia" w:hAnsiTheme="minorHAnsi" w:cstheme="minorBidi"/>
          <w:noProof/>
          <w:szCs w:val="22"/>
          <w:lang w:val="es-ES" w:eastAsia="es-ES"/>
        </w:rPr>
      </w:pPr>
      <w:hyperlink w:anchor="_Toc498515805" w:history="1">
        <w:r w:rsidR="00BD1391" w:rsidRPr="00196B57">
          <w:rPr>
            <w:rStyle w:val="Hipervnculo"/>
            <w:noProof/>
            <w:lang w:val="es-ES"/>
          </w:rPr>
          <w:t>IV.16. Entorno tecnológico</w:t>
        </w:r>
        <w:r w:rsidR="00BD1391">
          <w:rPr>
            <w:noProof/>
            <w:webHidden/>
          </w:rPr>
          <w:tab/>
        </w:r>
        <w:r w:rsidR="00BD1391">
          <w:rPr>
            <w:noProof/>
            <w:webHidden/>
          </w:rPr>
          <w:fldChar w:fldCharType="begin"/>
        </w:r>
        <w:r w:rsidR="00BD1391">
          <w:rPr>
            <w:noProof/>
            <w:webHidden/>
          </w:rPr>
          <w:instrText xml:space="preserve"> PAGEREF _Toc498515805 \h </w:instrText>
        </w:r>
        <w:r w:rsidR="00BD1391">
          <w:rPr>
            <w:noProof/>
            <w:webHidden/>
          </w:rPr>
        </w:r>
        <w:r w:rsidR="00BD1391">
          <w:rPr>
            <w:noProof/>
            <w:webHidden/>
          </w:rPr>
          <w:fldChar w:fldCharType="separate"/>
        </w:r>
        <w:r w:rsidR="00E7467B">
          <w:rPr>
            <w:noProof/>
            <w:webHidden/>
          </w:rPr>
          <w:t>69</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806" w:history="1">
        <w:r w:rsidR="00BD1391" w:rsidRPr="00196B57">
          <w:rPr>
            <w:rStyle w:val="Hipervnculo"/>
            <w:noProof/>
          </w:rPr>
          <w:t>Apéndice 1. Contratación de publicidad institucional y de turismo del Gobierno de Navarra y sus empresas públicas</w:t>
        </w:r>
        <w:r w:rsidR="00BD1391">
          <w:rPr>
            <w:noProof/>
            <w:webHidden/>
          </w:rPr>
          <w:tab/>
        </w:r>
        <w:r w:rsidR="00BD1391">
          <w:rPr>
            <w:noProof/>
            <w:webHidden/>
          </w:rPr>
          <w:fldChar w:fldCharType="begin"/>
        </w:r>
        <w:r w:rsidR="00BD1391">
          <w:rPr>
            <w:noProof/>
            <w:webHidden/>
          </w:rPr>
          <w:instrText xml:space="preserve"> PAGEREF _Toc498515806 \h </w:instrText>
        </w:r>
        <w:r w:rsidR="00BD1391">
          <w:rPr>
            <w:noProof/>
            <w:webHidden/>
          </w:rPr>
        </w:r>
        <w:r w:rsidR="00BD1391">
          <w:rPr>
            <w:noProof/>
            <w:webHidden/>
          </w:rPr>
          <w:fldChar w:fldCharType="separate"/>
        </w:r>
        <w:r w:rsidR="00E7467B">
          <w:rPr>
            <w:noProof/>
            <w:webHidden/>
          </w:rPr>
          <w:t>73</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807" w:history="1">
        <w:r w:rsidR="00BD1391" w:rsidRPr="00196B57">
          <w:rPr>
            <w:rStyle w:val="Hipervnculo"/>
            <w:noProof/>
          </w:rPr>
          <w:t>Apéndice 2. Contratación en situación de enriquecimiento injusto</w:t>
        </w:r>
        <w:r w:rsidR="00BD1391">
          <w:rPr>
            <w:noProof/>
            <w:webHidden/>
          </w:rPr>
          <w:tab/>
        </w:r>
        <w:r w:rsidR="00BD1391">
          <w:rPr>
            <w:noProof/>
            <w:webHidden/>
          </w:rPr>
          <w:fldChar w:fldCharType="begin"/>
        </w:r>
        <w:r w:rsidR="00BD1391">
          <w:rPr>
            <w:noProof/>
            <w:webHidden/>
          </w:rPr>
          <w:instrText xml:space="preserve"> PAGEREF _Toc498515807 \h </w:instrText>
        </w:r>
        <w:r w:rsidR="00BD1391">
          <w:rPr>
            <w:noProof/>
            <w:webHidden/>
          </w:rPr>
        </w:r>
        <w:r w:rsidR="00BD1391">
          <w:rPr>
            <w:noProof/>
            <w:webHidden/>
          </w:rPr>
          <w:fldChar w:fldCharType="separate"/>
        </w:r>
        <w:r w:rsidR="00E7467B">
          <w:rPr>
            <w:noProof/>
            <w:webHidden/>
          </w:rPr>
          <w:t>81</w:t>
        </w:r>
        <w:r w:rsidR="00BD1391">
          <w:rPr>
            <w:noProof/>
            <w:webHidden/>
          </w:rPr>
          <w:fldChar w:fldCharType="end"/>
        </w:r>
      </w:hyperlink>
    </w:p>
    <w:p w:rsidR="00BD1391" w:rsidRDefault="00551EFF" w:rsidP="00DD6441">
      <w:pPr>
        <w:pStyle w:val="TDC1"/>
        <w:rPr>
          <w:rFonts w:asciiTheme="minorHAnsi" w:eastAsiaTheme="minorEastAsia" w:hAnsiTheme="minorHAnsi" w:cstheme="minorBidi"/>
          <w:noProof/>
          <w:szCs w:val="22"/>
          <w:lang w:val="es-ES" w:eastAsia="es-ES"/>
        </w:rPr>
      </w:pPr>
      <w:hyperlink w:anchor="_Toc498515808" w:history="1">
        <w:r w:rsidR="00BD1391" w:rsidRPr="00196B57">
          <w:rPr>
            <w:rStyle w:val="Hipervnculo"/>
            <w:noProof/>
          </w:rPr>
          <w:t>Resumen de la Memoria de la Cuenta General de 2016</w:t>
        </w:r>
        <w:r w:rsidR="00BD1391">
          <w:rPr>
            <w:noProof/>
            <w:webHidden/>
          </w:rPr>
          <w:tab/>
        </w:r>
        <w:r w:rsidR="00BD1391">
          <w:rPr>
            <w:noProof/>
            <w:webHidden/>
          </w:rPr>
          <w:fldChar w:fldCharType="begin"/>
        </w:r>
        <w:r w:rsidR="00BD1391">
          <w:rPr>
            <w:noProof/>
            <w:webHidden/>
          </w:rPr>
          <w:instrText xml:space="preserve"> PAGEREF _Toc498515808 \h </w:instrText>
        </w:r>
        <w:r w:rsidR="00BD1391">
          <w:rPr>
            <w:noProof/>
            <w:webHidden/>
          </w:rPr>
        </w:r>
        <w:r w:rsidR="00BD1391">
          <w:rPr>
            <w:noProof/>
            <w:webHidden/>
          </w:rPr>
          <w:fldChar w:fldCharType="separate"/>
        </w:r>
        <w:r w:rsidR="00E7467B">
          <w:rPr>
            <w:noProof/>
            <w:webHidden/>
          </w:rPr>
          <w:t>87</w:t>
        </w:r>
        <w:r w:rsidR="00BD1391">
          <w:rPr>
            <w:noProof/>
            <w:webHidden/>
          </w:rPr>
          <w:fldChar w:fldCharType="end"/>
        </w:r>
      </w:hyperlink>
    </w:p>
    <w:p w:rsidR="00891D73" w:rsidRDefault="0014728F" w:rsidP="00BD1391">
      <w:pPr>
        <w:pStyle w:val="texto"/>
        <w:spacing w:after="0"/>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24779" w:rsidRPr="001639F7" w:rsidRDefault="00624779" w:rsidP="00624779">
      <w:pPr>
        <w:pStyle w:val="atitulo1"/>
      </w:pPr>
      <w:bookmarkStart w:id="1" w:name="_Toc494270370"/>
      <w:bookmarkStart w:id="2" w:name="_Toc498515779"/>
      <w:r w:rsidRPr="001639F7">
        <w:lastRenderedPageBreak/>
        <w:t>I. Introducción</w:t>
      </w:r>
      <w:bookmarkEnd w:id="1"/>
      <w:bookmarkEnd w:id="2"/>
      <w:r w:rsidRPr="001639F7">
        <w:t xml:space="preserve"> </w:t>
      </w:r>
    </w:p>
    <w:p w:rsidR="00624779" w:rsidRPr="00624779" w:rsidRDefault="00624779" w:rsidP="00624779">
      <w:pPr>
        <w:pStyle w:val="texto"/>
      </w:pPr>
      <w:r w:rsidRPr="00624779">
        <w:t>La Cámara de Comptos, en cumplimiento de su Ley Foral reguladora 19/1984, de 20 de diciembre, y de acuerdo con su programa de actuación para 2017, ha fiscalizado las Cuentas Generales de Navarra correspondientes al eje</w:t>
      </w:r>
      <w:r w:rsidRPr="00624779">
        <w:t>r</w:t>
      </w:r>
      <w:r w:rsidRPr="00624779">
        <w:t>cicio de 2016, que están formadas, fundamentalmente, por el estado de liquid</w:t>
      </w:r>
      <w:r w:rsidRPr="00624779">
        <w:t>a</w:t>
      </w:r>
      <w:r w:rsidRPr="00624779">
        <w:t xml:space="preserve">ción del presupuesto, el balance, la cuenta de resultados económico-patrimonial y la memoria correspondientes al ejercicio terminado en esa fecha. </w:t>
      </w:r>
    </w:p>
    <w:p w:rsidR="00624779" w:rsidRPr="00624779" w:rsidRDefault="00624779" w:rsidP="00624779">
      <w:pPr>
        <w:pStyle w:val="texto"/>
      </w:pPr>
      <w:r w:rsidRPr="00624779">
        <w:t>Conjuntamente con la auditoría financiera de las cuentas anuales, hemos planificado y ejecutado una fiscalización de cumplimiento de la legalidad para emitir una opinión sobre si las actividades, operaciones presupuestarias y f</w:t>
      </w:r>
      <w:r w:rsidRPr="00624779">
        <w:t>i</w:t>
      </w:r>
      <w:r w:rsidRPr="00624779">
        <w:t xml:space="preserve">nancieras realizadas por el Gobierno de Navarra y sus organismos autónomos (en adelante, OOAA) durante el ejercicio y la información reflejada en las cuentas </w:t>
      </w:r>
      <w:r w:rsidR="00961CC6">
        <w:t>anua</w:t>
      </w:r>
      <w:r w:rsidRPr="00624779">
        <w:t xml:space="preserve">les del ejercicio 2016 resultan conformes en todos los aspectos significativos con las normas aplicables a la gestión de los fondos públicos. </w:t>
      </w:r>
    </w:p>
    <w:p w:rsidR="00624779" w:rsidRPr="00624779" w:rsidRDefault="00624779" w:rsidP="00624779">
      <w:pPr>
        <w:pStyle w:val="texto"/>
      </w:pPr>
      <w:r w:rsidRPr="00624779">
        <w:t>El marco normativo que resulta aplicable al Gobierno de Navarra en 2016 está constituido fundamentalmente por:</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Foral 1/2016, de 29 de enero, de Presupuestos Generales de Navarra para el año 2016.</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Foral 13/2007, de 4 de abril, de la Hacienda Pública de Navarra.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 xml:space="preserve">Ley Foral 13/2000, de 14 de diciembre, General Tributaria de Navarra. </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28/1990, por la que se aprueba el Convenio Económico entre el Estado y la Comunidad Foral de Navarra.</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Ley Orgánica 2/2012, de 27 de abril, de Estabilidad Presupuestaria y de Sostenibilidad Financiera</w:t>
      </w:r>
      <w:r w:rsidR="00692078">
        <w:rPr>
          <w:rFonts w:cs="Arial"/>
        </w:rPr>
        <w:t xml:space="preserve"> (LOEP</w:t>
      </w:r>
      <w:r w:rsidR="00111BC1">
        <w:rPr>
          <w:rFonts w:cs="Arial"/>
        </w:rPr>
        <w:t>y</w:t>
      </w:r>
      <w:r w:rsidR="00692078">
        <w:rPr>
          <w:rFonts w:cs="Arial"/>
        </w:rPr>
        <w:t>SF en adelante)</w:t>
      </w:r>
      <w:r w:rsidRPr="00624779">
        <w:rPr>
          <w:rFonts w:cs="Arial"/>
        </w:rPr>
        <w:t>.</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 xml:space="preserve">Orden Foral 135/2016, de 11 de noviembre, del </w:t>
      </w:r>
      <w:r w:rsidR="00242CEF">
        <w:rPr>
          <w:rFonts w:cs="Arial"/>
        </w:rPr>
        <w:t>c</w:t>
      </w:r>
      <w:r w:rsidRPr="00624779">
        <w:rPr>
          <w:rFonts w:cs="Arial"/>
        </w:rPr>
        <w:t>onsejero de Hacienda y Política Financiera, por la que se aprueban las normas reguladoras del cierre y liquidación de los presupuestos generales de Navarra y de las cuentas de bala</w:t>
      </w:r>
      <w:r w:rsidRPr="00624779">
        <w:rPr>
          <w:rFonts w:cs="Arial"/>
        </w:rPr>
        <w:t>n</w:t>
      </w:r>
      <w:r w:rsidRPr="00624779">
        <w:rPr>
          <w:rFonts w:cs="Arial"/>
        </w:rPr>
        <w:t>ce del ejercicio 2016 y la apertura del ejercicio 2017.</w:t>
      </w:r>
    </w:p>
    <w:p w:rsidR="00624779" w:rsidRPr="00624779" w:rsidRDefault="00624779" w:rsidP="0066403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24779">
        <w:rPr>
          <w:rFonts w:cs="Arial"/>
        </w:rPr>
        <w:t>Normativa sectorial vigente.</w:t>
      </w:r>
    </w:p>
    <w:p w:rsidR="00624779" w:rsidRDefault="00624779" w:rsidP="00624779">
      <w:pPr>
        <w:pStyle w:val="texto"/>
      </w:pPr>
      <w:r w:rsidRPr="00624779">
        <w:t xml:space="preserve">El informe se estructura en cuatro epígrafes, incluyendo esta introducción. El segundo indica nuestra opinión financiera y de cumplimiento de legalidad sobre las </w:t>
      </w:r>
      <w:r w:rsidR="00961CC6">
        <w:t>cuentas anuales</w:t>
      </w:r>
      <w:r w:rsidRPr="00624779">
        <w:t xml:space="preserve"> de</w:t>
      </w:r>
      <w:r w:rsidR="00961CC6">
        <w:t xml:space="preserve"> la Administración de la Comunidad Foral de</w:t>
      </w:r>
      <w:r w:rsidRPr="00624779">
        <w:t xml:space="preserve"> Navarra</w:t>
      </w:r>
      <w:r w:rsidR="00961CC6">
        <w:t xml:space="preserve"> y sus OOAA</w:t>
      </w:r>
      <w:r w:rsidRPr="00624779">
        <w:t xml:space="preserve"> correspondientes al ejercicio de 2016; el tercero contiene un res</w:t>
      </w:r>
      <w:r w:rsidRPr="00624779">
        <w:t>u</w:t>
      </w:r>
      <w:r w:rsidRPr="00624779">
        <w:t xml:space="preserve">men de los principales estados contables. Finalmente, en el cuarto, incluimos un conjunto de conclusiones y </w:t>
      </w:r>
      <w:r w:rsidR="00692078">
        <w:t>recomendaciones</w:t>
      </w:r>
      <w:r w:rsidRPr="00624779">
        <w:t xml:space="preserve"> obtenidas del trabajo realizado sobre la composición del Sector Público Foral, su situación presupuestaria y financiera a 31 de diciembre de 2016, el cumplimiento de los principios de e</w:t>
      </w:r>
      <w:r w:rsidRPr="00624779">
        <w:t>s</w:t>
      </w:r>
      <w:r w:rsidRPr="00624779">
        <w:t>tabilidad presupuestaria y sostenibilidad financiera, el seguimiento de las r</w:t>
      </w:r>
      <w:r w:rsidRPr="00624779">
        <w:t>e</w:t>
      </w:r>
      <w:r w:rsidRPr="00624779">
        <w:lastRenderedPageBreak/>
        <w:t>comendaciones principales de informes anteriores de esta Cámara, otras áreas de gestión relevantes, y sobre el sector público empresarial y fundacional.</w:t>
      </w:r>
      <w:r w:rsidR="00192187">
        <w:t xml:space="preserve"> </w:t>
      </w:r>
    </w:p>
    <w:p w:rsidR="00192187" w:rsidRPr="00624779" w:rsidRDefault="00192187" w:rsidP="00624779">
      <w:pPr>
        <w:pStyle w:val="texto"/>
      </w:pPr>
      <w:r>
        <w:t>Como novedad frente a informes anteriores de esta Cámara, hemos incluido un apartado en el cuarto epígrafe en el que realizamos un análisis general sobre los sistemas de información de la gestión económico-financiera y los controles de las tecnologías de la información de la Dirección General de Informátic</w:t>
      </w:r>
      <w:r w:rsidR="00DB4CF5">
        <w:t>a e Innovación Pública (DGITIP) (apartado IV.16.).</w:t>
      </w:r>
      <w:r>
        <w:t xml:space="preserve"> </w:t>
      </w:r>
    </w:p>
    <w:p w:rsidR="00624779" w:rsidRPr="00624779" w:rsidRDefault="00624779" w:rsidP="00624779">
      <w:pPr>
        <w:pStyle w:val="texto"/>
      </w:pPr>
      <w:r w:rsidRPr="00624779">
        <w:t>El informe se acompaña de un r</w:t>
      </w:r>
      <w:r w:rsidR="00961CC6">
        <w:t>esumen de la memoria sobre las C</w:t>
      </w:r>
      <w:r w:rsidRPr="00624779">
        <w:t xml:space="preserve">uentas </w:t>
      </w:r>
      <w:r w:rsidR="00961CC6">
        <w:t>G</w:t>
      </w:r>
      <w:r w:rsidRPr="00624779">
        <w:t>e</w:t>
      </w:r>
      <w:r w:rsidRPr="00624779">
        <w:t>nerales de Navarra correspondiente al ejercicio de 2016 elaborada por el Depa</w:t>
      </w:r>
      <w:r w:rsidRPr="00624779">
        <w:t>r</w:t>
      </w:r>
      <w:r w:rsidRPr="00624779">
        <w:t xml:space="preserve">tamento de Hacienda y Política Financiera del Gobierno de Navarra. El texto completo de la misma puede verse en: </w:t>
      </w:r>
    </w:p>
    <w:p w:rsidR="00624779" w:rsidRPr="00AA7077" w:rsidRDefault="00551EFF" w:rsidP="00624779">
      <w:pPr>
        <w:pStyle w:val="texto"/>
        <w:rPr>
          <w:b/>
          <w:sz w:val="20"/>
          <w:szCs w:val="20"/>
        </w:rPr>
      </w:pPr>
      <w:hyperlink r:id="rId14" w:history="1">
        <w:r w:rsidR="00624779" w:rsidRPr="00624779">
          <w:rPr>
            <w:rStyle w:val="Hipervnculo"/>
            <w:b/>
            <w:sz w:val="20"/>
            <w:szCs w:val="20"/>
          </w:rPr>
          <w:t>https://www.navarra.es/home_es/Gobierno+de+Navarra/Presupuesto/Cuentas/Cuentas+2016/</w:t>
        </w:r>
      </w:hyperlink>
    </w:p>
    <w:p w:rsidR="00192187" w:rsidRPr="00624779" w:rsidRDefault="00257C11" w:rsidP="00DB4CF5">
      <w:pPr>
        <w:pStyle w:val="texto"/>
        <w:spacing w:before="240"/>
        <w:rPr>
          <w:rFonts w:cs="Arial"/>
        </w:rPr>
      </w:pPr>
      <w:r>
        <w:t xml:space="preserve">El </w:t>
      </w:r>
      <w:r w:rsidR="00192187" w:rsidRPr="00624779">
        <w:t>informe</w:t>
      </w:r>
      <w:r>
        <w:t xml:space="preserve"> incluye</w:t>
      </w:r>
      <w:r w:rsidR="00192187" w:rsidRPr="00624779">
        <w:t xml:space="preserve"> las conclusiones sobre </w:t>
      </w:r>
      <w:r w:rsidR="00192187">
        <w:t xml:space="preserve">el </w:t>
      </w:r>
      <w:r w:rsidR="00192187" w:rsidRPr="00624779">
        <w:t>trabajo realizado al amparo de dos petici</w:t>
      </w:r>
      <w:r w:rsidR="00192187">
        <w:t xml:space="preserve">ones parlamentarias relativas a la contratación </w:t>
      </w:r>
      <w:r w:rsidR="00192187" w:rsidRPr="00624779">
        <w:rPr>
          <w:rFonts w:cs="Arial"/>
        </w:rPr>
        <w:t>de publicidad instit</w:t>
      </w:r>
      <w:r w:rsidR="00192187" w:rsidRPr="00624779">
        <w:rPr>
          <w:rFonts w:cs="Arial"/>
        </w:rPr>
        <w:t>u</w:t>
      </w:r>
      <w:r w:rsidR="00192187" w:rsidRPr="00624779">
        <w:rPr>
          <w:rFonts w:cs="Arial"/>
        </w:rPr>
        <w:t>cional y de turismo llevada a cabo por el Gobierno de Navarra y sus empresas públicas en 2016 (</w:t>
      </w:r>
      <w:r w:rsidR="00192187">
        <w:rPr>
          <w:rFonts w:cs="Arial"/>
        </w:rPr>
        <w:t>Apéndice 1</w:t>
      </w:r>
      <w:r w:rsidR="00192187" w:rsidRPr="00624779">
        <w:rPr>
          <w:rFonts w:cs="Arial"/>
        </w:rPr>
        <w:t>)</w:t>
      </w:r>
      <w:r w:rsidR="00192187">
        <w:rPr>
          <w:rFonts w:cs="Arial"/>
        </w:rPr>
        <w:t>, y a la validez temporal y adecuación al ord</w:t>
      </w:r>
      <w:r w:rsidR="00192187">
        <w:rPr>
          <w:rFonts w:cs="Arial"/>
        </w:rPr>
        <w:t>e</w:t>
      </w:r>
      <w:r w:rsidR="00192187">
        <w:rPr>
          <w:rFonts w:cs="Arial"/>
        </w:rPr>
        <w:t>namiento jurídico de los contratos del Servicio Navarro de Salud-Osasunbidea (SNS-O) y del Institu</w:t>
      </w:r>
      <w:r>
        <w:rPr>
          <w:rFonts w:cs="Arial"/>
        </w:rPr>
        <w:t>t</w:t>
      </w:r>
      <w:r w:rsidR="00192187">
        <w:rPr>
          <w:rFonts w:cs="Arial"/>
        </w:rPr>
        <w:t>o de Salud Pública y Laboral de Navarra (ISPLN)</w:t>
      </w:r>
      <w:r w:rsidR="00DB4CF5">
        <w:rPr>
          <w:rFonts w:cs="Arial"/>
        </w:rPr>
        <w:t xml:space="preserve"> (Apé</w:t>
      </w:r>
      <w:r w:rsidR="00DB4CF5">
        <w:rPr>
          <w:rFonts w:cs="Arial"/>
        </w:rPr>
        <w:t>n</w:t>
      </w:r>
      <w:r w:rsidR="00DB4CF5">
        <w:rPr>
          <w:rFonts w:cs="Arial"/>
        </w:rPr>
        <w:t>dice 2).</w:t>
      </w:r>
    </w:p>
    <w:p w:rsidR="00624779" w:rsidRPr="00624779" w:rsidRDefault="00624779" w:rsidP="00624779">
      <w:pPr>
        <w:pStyle w:val="texto"/>
      </w:pPr>
      <w:r w:rsidRPr="00624779">
        <w:t xml:space="preserve">En nuestra actuación se han considerado </w:t>
      </w:r>
      <w:r w:rsidR="00192187">
        <w:t xml:space="preserve">además </w:t>
      </w:r>
      <w:r w:rsidRPr="00624779">
        <w:t xml:space="preserve">los informes realizados por el servicio de Intervención General del Gobierno de Navarra. </w:t>
      </w:r>
    </w:p>
    <w:p w:rsidR="00624779" w:rsidRPr="00624779" w:rsidRDefault="00192187" w:rsidP="00624779">
      <w:pPr>
        <w:pStyle w:val="texto"/>
      </w:pPr>
      <w:r>
        <w:t>Para</w:t>
      </w:r>
      <w:r w:rsidR="00624779" w:rsidRPr="00624779">
        <w:t xml:space="preserve"> el resto de sectores que conforman el Sector Público Foral se ha</w:t>
      </w:r>
      <w:r>
        <w:t>n</w:t>
      </w:r>
      <w:r w:rsidR="00624779" w:rsidRPr="00624779">
        <w:t xml:space="preserve"> tenido en cuenta </w:t>
      </w:r>
      <w:r>
        <w:t>los siguientes aspectos</w:t>
      </w:r>
      <w:r w:rsidR="00624779" w:rsidRPr="00624779">
        <w:t>:</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sidR="00692078">
        <w:rPr>
          <w:rFonts w:cs="Arial"/>
        </w:rPr>
        <w:t>c</w:t>
      </w:r>
      <w:r w:rsidRPr="005D7232">
        <w:rPr>
          <w:rFonts w:cs="Arial"/>
        </w:rPr>
        <w:t xml:space="preserve">uentas </w:t>
      </w:r>
      <w:r w:rsidR="00692078">
        <w:rPr>
          <w:rFonts w:cs="Arial"/>
        </w:rPr>
        <w:t>anu</w:t>
      </w:r>
      <w:r w:rsidRPr="005D7232">
        <w:rPr>
          <w:rFonts w:cs="Arial"/>
        </w:rPr>
        <w:t>ales de 2016 del Parlamento de Navarra, del Defensor del Pueblo y del Consejo de Navarra han sido objeto de revisión por esta Cámara de Comptos.</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sidR="00692078">
        <w:rPr>
          <w:rFonts w:cs="Arial"/>
        </w:rPr>
        <w:t>c</w:t>
      </w:r>
      <w:r w:rsidRPr="005D7232">
        <w:rPr>
          <w:rFonts w:cs="Arial"/>
        </w:rPr>
        <w:t xml:space="preserve">uentas </w:t>
      </w:r>
      <w:r w:rsidR="00692078">
        <w:rPr>
          <w:rFonts w:cs="Arial"/>
        </w:rPr>
        <w:t>anu</w:t>
      </w:r>
      <w:r w:rsidRPr="005D7232">
        <w:rPr>
          <w:rFonts w:cs="Arial"/>
        </w:rPr>
        <w:t>ales de 2016 de la propia Cámara de Comptos han sido r</w:t>
      </w:r>
      <w:r w:rsidRPr="005D7232">
        <w:rPr>
          <w:rFonts w:cs="Arial"/>
        </w:rPr>
        <w:t>e</w:t>
      </w:r>
      <w:r w:rsidRPr="005D7232">
        <w:rPr>
          <w:rFonts w:cs="Arial"/>
        </w:rPr>
        <w:t>visadas por una firma de auditoría.</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cuentas anuales de las sociedades y fundaciones públicas son </w:t>
      </w:r>
      <w:r w:rsidR="00692078">
        <w:rPr>
          <w:rFonts w:cs="Arial"/>
        </w:rPr>
        <w:t>auditadas</w:t>
      </w:r>
      <w:r w:rsidRPr="005D7232">
        <w:rPr>
          <w:rFonts w:cs="Arial"/>
        </w:rPr>
        <w:t xml:space="preserve"> por firmas </w:t>
      </w:r>
      <w:r w:rsidR="00692078">
        <w:rPr>
          <w:rFonts w:cs="Arial"/>
        </w:rPr>
        <w:t xml:space="preserve">privadas </w:t>
      </w:r>
      <w:r w:rsidRPr="005D7232">
        <w:rPr>
          <w:rFonts w:cs="Arial"/>
        </w:rPr>
        <w:t>de auditoría.</w:t>
      </w:r>
    </w:p>
    <w:p w:rsidR="00624779" w:rsidRPr="00997B25" w:rsidRDefault="00624779" w:rsidP="00624779">
      <w:pPr>
        <w:pStyle w:val="texto"/>
      </w:pPr>
      <w:r w:rsidRPr="00997B25">
        <w:t xml:space="preserve">Del conjunto de </w:t>
      </w:r>
      <w:r>
        <w:t>los anteriores</w:t>
      </w:r>
      <w:r w:rsidRPr="00997B25">
        <w:t xml:space="preserve"> </w:t>
      </w:r>
      <w:r>
        <w:t>informes</w:t>
      </w:r>
      <w:r w:rsidRPr="00997B25">
        <w:t xml:space="preserve"> se</w:t>
      </w:r>
      <w:r>
        <w:t xml:space="preserve"> ha </w:t>
      </w:r>
      <w:r w:rsidR="00257C11">
        <w:t>analizado la</w:t>
      </w:r>
      <w:r w:rsidRPr="00997B25">
        <w:t xml:space="preserve"> opinión</w:t>
      </w:r>
      <w:r>
        <w:t xml:space="preserve"> profesi</w:t>
      </w:r>
      <w:r>
        <w:t>o</w:t>
      </w:r>
      <w:r>
        <w:t>nal</w:t>
      </w:r>
      <w:r w:rsidRPr="00997B25">
        <w:t xml:space="preserve"> y </w:t>
      </w:r>
      <w:r w:rsidR="00257C11">
        <w:t>sus</w:t>
      </w:r>
      <w:r w:rsidRPr="00997B25">
        <w:t xml:space="preserve"> principales conclusiones.</w:t>
      </w:r>
    </w:p>
    <w:p w:rsidR="00624779" w:rsidRDefault="00624779" w:rsidP="005D7232">
      <w:pPr>
        <w:pStyle w:val="texto"/>
      </w:pPr>
      <w:r w:rsidRPr="00997B25">
        <w:t>Igualmente se</w:t>
      </w:r>
      <w:r>
        <w:t xml:space="preserve"> han considerado los siguientes informes elaborados por esta Cámara de Comptos:</w:t>
      </w:r>
    </w:p>
    <w:p w:rsidR="00624779" w:rsidRPr="005D7232"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Gestión de fármacos en el Complejo Hospitalario de Navarra.</w:t>
      </w:r>
    </w:p>
    <w:p w:rsidR="00624779" w:rsidRPr="00257C11" w:rsidRDefault="0062477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257C11">
        <w:rPr>
          <w:rFonts w:cs="Arial"/>
        </w:rPr>
        <w:t xml:space="preserve">Contratación temporal en el </w:t>
      </w:r>
      <w:r w:rsidR="00257C11">
        <w:rPr>
          <w:rFonts w:cs="Arial"/>
        </w:rPr>
        <w:t>SNS-O en</w:t>
      </w:r>
      <w:r w:rsidRPr="00257C11">
        <w:rPr>
          <w:rFonts w:cs="Arial"/>
        </w:rPr>
        <w:t xml:space="preserve"> 2016 que será publicado próxim</w:t>
      </w:r>
      <w:r w:rsidRPr="00257C11">
        <w:rPr>
          <w:rFonts w:cs="Arial"/>
        </w:rPr>
        <w:t>a</w:t>
      </w:r>
      <w:r w:rsidRPr="00257C11">
        <w:rPr>
          <w:rFonts w:cs="Arial"/>
        </w:rPr>
        <w:t xml:space="preserve">mente. </w:t>
      </w:r>
    </w:p>
    <w:p w:rsidR="00624779" w:rsidRPr="005D7232" w:rsidRDefault="00624779" w:rsidP="005D7232">
      <w:pPr>
        <w:pStyle w:val="texto"/>
      </w:pPr>
      <w:r w:rsidRPr="005D7232">
        <w:lastRenderedPageBreak/>
        <w:t xml:space="preserve">El trabajo de campo lo ejecutó entre mayo y septiembre de 2017 un equipo integrado por seis técnicas de auditoría y una auditora, con la colaboración de los servicios jurídicos, informáticos y administrativos de la Cámara. </w:t>
      </w:r>
    </w:p>
    <w:p w:rsidR="00464995" w:rsidRDefault="00624779" w:rsidP="005D7232">
      <w:pPr>
        <w:pStyle w:val="texto"/>
      </w:pPr>
      <w:r w:rsidRPr="005D7232">
        <w:t>Agradecemos al personal de la Administración de la Comunidad Foral, de sus organismos autónomos, sociedades públicas y fundaciones públicas la col</w:t>
      </w:r>
      <w:r w:rsidRPr="005D7232">
        <w:t>a</w:t>
      </w:r>
      <w:r w:rsidRPr="005D7232">
        <w:t>boración prestada en la realización del presente trabajo.</w:t>
      </w:r>
    </w:p>
    <w:p w:rsidR="00464995" w:rsidRPr="00DD6EE4" w:rsidRDefault="00464995" w:rsidP="00464995">
      <w:pPr>
        <w:pStyle w:val="texto"/>
        <w:rPr>
          <w:szCs w:val="26"/>
        </w:rPr>
      </w:pPr>
      <w:r w:rsidRPr="00DD6EE4">
        <w:rPr>
          <w:lang w:val="es-ES"/>
        </w:rPr>
        <w:t>De conformidad con lo previsto en el artículo 11 de la Ley Foral 19/1984, reguladora de la Cámara de Comptos de Navarra, los resultados de este trabajo se pusieron de manifiesto, con el fin de que el Consejero del Departamento de Hacienda y Política Financiera del Gobierno de Navarra formulara alegaciones.</w:t>
      </w:r>
    </w:p>
    <w:p w:rsidR="00464995" w:rsidRPr="00DD6EE4" w:rsidRDefault="00DD6EE4" w:rsidP="00464995">
      <w:pPr>
        <w:pStyle w:val="texto"/>
      </w:pPr>
      <w:r>
        <w:rPr>
          <w:szCs w:val="26"/>
        </w:rPr>
        <w:t>El citado departamento no ha presentado alegaciones, en el plazo fijado por la Cámara de Comptos.</w:t>
      </w:r>
    </w:p>
    <w:p w:rsidR="00624779" w:rsidRDefault="00624779" w:rsidP="005D7232">
      <w:pPr>
        <w:pStyle w:val="texto"/>
      </w:pPr>
      <w:r w:rsidRPr="005D7232">
        <w:br w:type="page"/>
      </w:r>
      <w:bookmarkStart w:id="3" w:name="_Toc305415943"/>
      <w:bookmarkStart w:id="4" w:name="_Toc305480461"/>
    </w:p>
    <w:p w:rsidR="00F377C9" w:rsidRPr="00F377C9" w:rsidRDefault="00F377C9" w:rsidP="00F377C9">
      <w:pPr>
        <w:pStyle w:val="atitulo1"/>
      </w:pPr>
      <w:bookmarkStart w:id="5" w:name="_Toc463350237"/>
      <w:bookmarkStart w:id="6" w:name="_Toc494270371"/>
      <w:bookmarkStart w:id="7" w:name="_Toc498515780"/>
      <w:bookmarkEnd w:id="3"/>
      <w:bookmarkEnd w:id="4"/>
      <w:r w:rsidRPr="00F377C9">
        <w:lastRenderedPageBreak/>
        <w:t>II. Opinión</w:t>
      </w:r>
      <w:bookmarkEnd w:id="5"/>
      <w:bookmarkEnd w:id="6"/>
      <w:bookmarkEnd w:id="7"/>
    </w:p>
    <w:p w:rsidR="00F377C9" w:rsidRPr="00F377C9" w:rsidRDefault="00F377C9" w:rsidP="00F377C9">
      <w:pPr>
        <w:pStyle w:val="texto"/>
      </w:pPr>
      <w:r w:rsidRPr="00F377C9">
        <w:t xml:space="preserve">Hemos fiscalizado las </w:t>
      </w:r>
      <w:r w:rsidR="002C3230">
        <w:t>c</w:t>
      </w:r>
      <w:r w:rsidRPr="00F377C9">
        <w:t xml:space="preserve">uentas </w:t>
      </w:r>
      <w:r w:rsidR="002C3230">
        <w:t>anu</w:t>
      </w:r>
      <w:r w:rsidRPr="00F377C9">
        <w:t>ales de Navarra correspondientes al ejerc</w:t>
      </w:r>
      <w:r w:rsidRPr="00F377C9">
        <w:t>i</w:t>
      </w:r>
      <w:r w:rsidRPr="00F377C9">
        <w:t>cio de 2016, cuyos estados contables se recogen de forma resumida en el ep</w:t>
      </w:r>
      <w:r w:rsidRPr="00F377C9">
        <w:t>í</w:t>
      </w:r>
      <w:r w:rsidRPr="00F377C9">
        <w:t>grafe III de este informe y de forma completa en la memoria que se adjunta en el mismo.</w:t>
      </w:r>
    </w:p>
    <w:p w:rsidR="00F377C9" w:rsidRPr="00F377C9" w:rsidRDefault="00F377C9" w:rsidP="00F377C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F377C9" w:rsidRPr="00F377C9" w:rsidRDefault="00F377C9" w:rsidP="00F377C9">
      <w:pPr>
        <w:pStyle w:val="texto"/>
      </w:pPr>
      <w:r w:rsidRPr="00F377C9">
        <w:t>El Departamento de Hacienda y Política Financiera es el responsable de fo</w:t>
      </w:r>
      <w:r w:rsidRPr="00F377C9">
        <w:t>r</w:t>
      </w:r>
      <w:r w:rsidRPr="00F377C9">
        <w:t xml:space="preserve">mular y presentar las </w:t>
      </w:r>
      <w:r w:rsidR="002C3230">
        <w:t>c</w:t>
      </w:r>
      <w:r w:rsidRPr="00F377C9">
        <w:t xml:space="preserve">uentas </w:t>
      </w:r>
      <w:r w:rsidR="002C3230">
        <w:t>anu</w:t>
      </w:r>
      <w:r w:rsidRPr="00F377C9">
        <w:t>ales, de forma que expresen la imagen fiel de la liquidación presupuestaria, del patrimonio, de los resultados y de la situación financiera de la Administración Foral y sus organismos autónomos de confo</w:t>
      </w:r>
      <w:r w:rsidRPr="00F377C9">
        <w:t>r</w:t>
      </w:r>
      <w:r w:rsidRPr="00F377C9">
        <w:t>midad con el marco normativo de información financiera pública aplicable</w:t>
      </w:r>
      <w:r w:rsidR="00242CEF">
        <w:t>;</w:t>
      </w:r>
      <w:r w:rsidRPr="00F377C9">
        <w:t xml:space="preserve"> </w:t>
      </w:r>
      <w:r w:rsidR="00242CEF">
        <w:t>también</w:t>
      </w:r>
      <w:r w:rsidRPr="00F377C9">
        <w:t xml:space="preserve"> del control interno que consideren necesario para permitir la prepar</w:t>
      </w:r>
      <w:r w:rsidRPr="00F377C9">
        <w:t>a</w:t>
      </w:r>
      <w:r w:rsidRPr="00F377C9">
        <w:t xml:space="preserve">ción y presentación de las cuentas </w:t>
      </w:r>
      <w:r w:rsidR="00961CC6">
        <w:t>anua</w:t>
      </w:r>
      <w:r w:rsidRPr="00F377C9">
        <w:t>les libres de incorrección material, d</w:t>
      </w:r>
      <w:r w:rsidRPr="00F377C9">
        <w:t>e</w:t>
      </w:r>
      <w:r w:rsidRPr="00F377C9">
        <w:t>bida a fraude o error.</w:t>
      </w:r>
    </w:p>
    <w:p w:rsidR="00F377C9" w:rsidRPr="00F377C9" w:rsidRDefault="00961CC6" w:rsidP="00F377C9">
      <w:pPr>
        <w:pStyle w:val="texto"/>
      </w:pPr>
      <w:r>
        <w:t>El Proyecto de Ley Foral de C</w:t>
      </w:r>
      <w:r w:rsidR="00F377C9" w:rsidRPr="00F377C9">
        <w:t xml:space="preserve">uentas </w:t>
      </w:r>
      <w:r>
        <w:t>G</w:t>
      </w:r>
      <w:r w:rsidR="00F377C9" w:rsidRPr="00F377C9">
        <w:t xml:space="preserve">enerales de Navarra de 2016 fue aprobado por el Gobierno de Navarra en sesión celebrada el 28 de junio de 2017 y remitido al Parlamento de Navarra, el cual mediante acuerdo de la Mesa del 4 de septiembre, lo trasladó a la Cámara de Comptos. </w:t>
      </w:r>
    </w:p>
    <w:p w:rsidR="00F377C9" w:rsidRPr="00F377C9" w:rsidRDefault="00F377C9" w:rsidP="00F377C9">
      <w:pPr>
        <w:pStyle w:val="texto"/>
      </w:pPr>
      <w:r w:rsidRPr="00F377C9">
        <w:t xml:space="preserve">Además de la responsabilidad de formular y presentar las cuentas anuales, debe garantizar que las actividades, operaciones presupuestarias y financieras y la información reflejadas en las cuentas </w:t>
      </w:r>
      <w:r w:rsidR="00961CC6">
        <w:t>anu</w:t>
      </w:r>
      <w:r w:rsidRPr="00F377C9">
        <w:t>ales resultan conformes con las normas aplicables y establecer los sistemas de control interno que consideren necesario para esa finalidad.</w:t>
      </w:r>
    </w:p>
    <w:p w:rsidR="00F377C9" w:rsidRPr="00F377C9" w:rsidRDefault="00F377C9" w:rsidP="00F377C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F377C9" w:rsidRPr="00F377C9" w:rsidRDefault="00F377C9" w:rsidP="00F377C9">
      <w:pPr>
        <w:pStyle w:val="texto"/>
      </w:pPr>
      <w:r w:rsidRPr="00F377C9">
        <w:t xml:space="preserve">Nuestra responsabilidad es expresar una opinión sobre las </w:t>
      </w:r>
      <w:r w:rsidR="002C3230">
        <w:t>c</w:t>
      </w:r>
      <w:r w:rsidRPr="00F377C9">
        <w:t xml:space="preserve">uentas </w:t>
      </w:r>
      <w:r w:rsidR="002C3230">
        <w:t>anu</w:t>
      </w:r>
      <w:r w:rsidRPr="00F377C9">
        <w:t>ales de 2016 y sobre la legalidad de las operaciones efectuadas basada en nuestra fisc</w:t>
      </w:r>
      <w:r w:rsidRPr="00F377C9">
        <w:t>a</w:t>
      </w:r>
      <w:r w:rsidRPr="00F377C9">
        <w:t xml:space="preserve">lización. </w:t>
      </w:r>
    </w:p>
    <w:p w:rsidR="00F377C9" w:rsidRPr="00F377C9" w:rsidRDefault="00F377C9" w:rsidP="00F377C9">
      <w:pPr>
        <w:pStyle w:val="texto"/>
      </w:pPr>
      <w:r w:rsidRPr="00F377C9">
        <w:t>Para ello, hemos llevado a cabo la misma de conformidad con los principios fundamentales de fiscalización de las Instituciones Públicas de Control E</w:t>
      </w:r>
      <w:r w:rsidRPr="00F377C9">
        <w:t>x</w:t>
      </w:r>
      <w:r w:rsidRPr="00F377C9">
        <w:t>terno. Dichos principios exigen que cumplamos los requerimientos de ética, así como que planifiquemos y ejecutemos la fiscalización con el fin de obtener una seguridad razonable de que las cuentas anuales están libres de incorrecciones materiales y que las actividades, operaciones financieras y la información refl</w:t>
      </w:r>
      <w:r w:rsidRPr="00F377C9">
        <w:t>e</w:t>
      </w:r>
      <w:r w:rsidRPr="00F377C9">
        <w:t xml:space="preserve">jadas en los estados financieros resultan, en todos los aspectos significativos, conformes con la normativa vigente. </w:t>
      </w:r>
    </w:p>
    <w:p w:rsidR="00F377C9" w:rsidRPr="00F377C9" w:rsidRDefault="00F377C9" w:rsidP="00F377C9">
      <w:pPr>
        <w:pStyle w:val="texto"/>
      </w:pPr>
      <w:r w:rsidRPr="00F377C9">
        <w:t>Una fiscalización requiere la aplicación de procedimientos para obtener ev</w:t>
      </w:r>
      <w:r w:rsidRPr="00F377C9">
        <w:t>i</w:t>
      </w:r>
      <w:r w:rsidRPr="00F377C9">
        <w:t xml:space="preserve">dencia de auditoría sobre los importes y la información revelada en las cuentas anuales y sobre el cumplimiento de los aspectos relevantes establecidos en la </w:t>
      </w:r>
      <w:r w:rsidRPr="00F377C9">
        <w:lastRenderedPageBreak/>
        <w:t>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F377C9">
        <w:t>u</w:t>
      </w:r>
      <w:r w:rsidRPr="00F377C9">
        <w:t>lación por parte de la entidad de las cuentas anuales y para garantizar el cu</w:t>
      </w:r>
      <w:r w:rsidRPr="00F377C9">
        <w:t>m</w:t>
      </w:r>
      <w:r w:rsidRPr="00F377C9">
        <w:t>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w:t>
      </w:r>
      <w:r w:rsidRPr="00F377C9">
        <w:t>a</w:t>
      </w:r>
      <w:r w:rsidRPr="00F377C9">
        <w:t>bles aplicadas y de la razonabilidad de las estimaciones contables realizadas por la dirección, así como la evaluación de la presentación de las cuentas anu</w:t>
      </w:r>
      <w:r w:rsidRPr="00F377C9">
        <w:t>a</w:t>
      </w:r>
      <w:r w:rsidRPr="00F377C9">
        <w:t>les tomadas en su conjunto.</w:t>
      </w:r>
    </w:p>
    <w:p w:rsidR="00F377C9" w:rsidRPr="00F377C9" w:rsidRDefault="00F377C9" w:rsidP="00F377C9">
      <w:pPr>
        <w:pStyle w:val="texto"/>
      </w:pPr>
      <w:r w:rsidRPr="00F377C9">
        <w:t>Consideramos que la evidencia de auditoría que hemos obtenido proporciona una base suficiente y adecuada para fundamentar nuestra opinión.</w:t>
      </w:r>
    </w:p>
    <w:p w:rsidR="00F377C9" w:rsidRPr="00F377C9" w:rsidRDefault="00F377C9" w:rsidP="00F377C9">
      <w:pPr>
        <w:pStyle w:val="atitulo2"/>
      </w:pPr>
      <w:bookmarkStart w:id="8" w:name="_Toc463350238"/>
      <w:bookmarkStart w:id="9" w:name="_Toc494270372"/>
      <w:bookmarkStart w:id="10" w:name="_Toc498515781"/>
      <w:bookmarkStart w:id="11" w:name="_Toc402180175"/>
      <w:bookmarkStart w:id="12" w:name="_Toc188167196"/>
      <w:bookmarkStart w:id="13" w:name="_Toc303592533"/>
      <w:bookmarkStart w:id="14" w:name="_Toc309383716"/>
      <w:bookmarkStart w:id="15" w:name="_Toc339016605"/>
      <w:r w:rsidRPr="00F377C9">
        <w:t xml:space="preserve">II.1. Opinión de auditoría financiera sobre las cuentas </w:t>
      </w:r>
      <w:r w:rsidR="002C3230">
        <w:t>anuales</w:t>
      </w:r>
      <w:r w:rsidRPr="00F377C9">
        <w:t xml:space="preserve"> de 201</w:t>
      </w:r>
      <w:bookmarkEnd w:id="8"/>
      <w:r w:rsidRPr="00F377C9">
        <w:t>6</w:t>
      </w:r>
      <w:bookmarkEnd w:id="9"/>
      <w:bookmarkEnd w:id="10"/>
    </w:p>
    <w:p w:rsidR="00F377C9" w:rsidRPr="00F377C9" w:rsidRDefault="00F377C9" w:rsidP="00F377C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Fundamento de la opinión financiera con salvedades</w:t>
      </w:r>
    </w:p>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r w:rsidRPr="00F377C9">
        <w:rPr>
          <w:spacing w:val="6"/>
          <w:sz w:val="26"/>
          <w:szCs w:val="24"/>
        </w:rPr>
        <w:t>a) Como ha venido insistiendo esta Cámara en anteriores informes, no se aplican en toda su extensión las cuentas, criterios y principios que el Plan G</w:t>
      </w:r>
      <w:r w:rsidRPr="00F377C9">
        <w:rPr>
          <w:spacing w:val="6"/>
          <w:sz w:val="26"/>
          <w:szCs w:val="24"/>
        </w:rPr>
        <w:t>e</w:t>
      </w:r>
      <w:r w:rsidRPr="00F377C9">
        <w:rPr>
          <w:spacing w:val="6"/>
          <w:sz w:val="26"/>
          <w:szCs w:val="24"/>
        </w:rPr>
        <w:t xml:space="preserve">neral de Contabilidad Pública </w:t>
      </w:r>
      <w:r w:rsidR="00692078">
        <w:rPr>
          <w:spacing w:val="6"/>
          <w:sz w:val="26"/>
          <w:szCs w:val="24"/>
        </w:rPr>
        <w:t xml:space="preserve">de 2010 </w:t>
      </w:r>
      <w:r w:rsidRPr="00F377C9">
        <w:rPr>
          <w:spacing w:val="6"/>
          <w:sz w:val="26"/>
          <w:szCs w:val="24"/>
        </w:rPr>
        <w:t>contiene para el tratamiento contable adecuado de los impuestos, deudores</w:t>
      </w:r>
      <w:r w:rsidR="00692078">
        <w:rPr>
          <w:spacing w:val="6"/>
          <w:sz w:val="26"/>
          <w:szCs w:val="24"/>
        </w:rPr>
        <w:t xml:space="preserve">, </w:t>
      </w:r>
      <w:r w:rsidRPr="00F377C9">
        <w:rPr>
          <w:spacing w:val="6"/>
          <w:sz w:val="26"/>
          <w:szCs w:val="24"/>
        </w:rPr>
        <w:t>acreedores tributarios</w:t>
      </w:r>
      <w:r w:rsidR="00692078">
        <w:rPr>
          <w:spacing w:val="6"/>
          <w:sz w:val="26"/>
          <w:szCs w:val="24"/>
        </w:rPr>
        <w:t xml:space="preserve"> e inmovilizado principalmente</w:t>
      </w:r>
      <w:r w:rsidRPr="00F377C9">
        <w:rPr>
          <w:spacing w:val="6"/>
          <w:sz w:val="26"/>
          <w:szCs w:val="24"/>
        </w:rPr>
        <w:t xml:space="preserve">. Este hecho unido a la existencia de disfunciones entre la </w:t>
      </w:r>
      <w:r w:rsidRPr="00F377C9">
        <w:rPr>
          <w:spacing w:val="6"/>
          <w:sz w:val="26"/>
          <w:szCs w:val="26"/>
        </w:rPr>
        <w:t>cont</w:t>
      </w:r>
      <w:r w:rsidRPr="00F377C9">
        <w:rPr>
          <w:spacing w:val="6"/>
          <w:sz w:val="26"/>
          <w:szCs w:val="26"/>
        </w:rPr>
        <w:t>a</w:t>
      </w:r>
      <w:r w:rsidRPr="00F377C9">
        <w:rPr>
          <w:spacing w:val="6"/>
          <w:sz w:val="26"/>
          <w:szCs w:val="26"/>
        </w:rPr>
        <w:t>bilidad auxiliar de terceros</w:t>
      </w:r>
      <w:r w:rsidR="00692078">
        <w:rPr>
          <w:spacing w:val="6"/>
          <w:sz w:val="26"/>
          <w:szCs w:val="26"/>
        </w:rPr>
        <w:t xml:space="preserve"> y gestión tributaria</w:t>
      </w:r>
      <w:r w:rsidRPr="00F377C9">
        <w:rPr>
          <w:spacing w:val="6"/>
          <w:sz w:val="26"/>
          <w:szCs w:val="26"/>
        </w:rPr>
        <w:t xml:space="preserve"> (CAT</w:t>
      </w:r>
      <w:r w:rsidR="00692078">
        <w:rPr>
          <w:spacing w:val="6"/>
          <w:sz w:val="26"/>
          <w:szCs w:val="26"/>
        </w:rPr>
        <w:t>-GT</w:t>
      </w:r>
      <w:r w:rsidRPr="00F377C9">
        <w:rPr>
          <w:spacing w:val="6"/>
          <w:sz w:val="26"/>
          <w:szCs w:val="26"/>
        </w:rPr>
        <w:t>) y el sistema contable SAPGE21</w:t>
      </w:r>
      <w:r w:rsidRPr="00F377C9">
        <w:rPr>
          <w:spacing w:val="6"/>
          <w:sz w:val="26"/>
          <w:szCs w:val="24"/>
        </w:rPr>
        <w:t xml:space="preserve"> y a otros errores de menor relevancia de clasificación de cuentas o epígrafes, motiva que la estructura del estado de liquidación del presupuesto de ingresos, del resultado presupuestario, del remanente de tesorería y del balance, no se adecúen a los modelos establecidos en la normativa contable citada</w:t>
      </w:r>
      <w:r w:rsidR="00692078">
        <w:rPr>
          <w:spacing w:val="6"/>
          <w:sz w:val="26"/>
          <w:szCs w:val="24"/>
        </w:rPr>
        <w:t>, ni contengan todos los estados previstos</w:t>
      </w:r>
      <w:r w:rsidRPr="00F377C9">
        <w:rPr>
          <w:spacing w:val="6"/>
          <w:sz w:val="26"/>
          <w:szCs w:val="24"/>
        </w:rPr>
        <w:t xml:space="preserve">. </w:t>
      </w:r>
    </w:p>
    <w:p w:rsidR="00F377C9" w:rsidRPr="00F377C9" w:rsidRDefault="00F377C9" w:rsidP="00F377C9">
      <w:pPr>
        <w:tabs>
          <w:tab w:val="center" w:pos="2835"/>
          <w:tab w:val="center" w:pos="3969"/>
          <w:tab w:val="center" w:pos="5103"/>
          <w:tab w:val="center" w:pos="6237"/>
          <w:tab w:val="center" w:pos="7371"/>
        </w:tabs>
        <w:spacing w:after="240"/>
        <w:ind w:firstLine="284"/>
        <w:rPr>
          <w:spacing w:val="6"/>
          <w:sz w:val="26"/>
          <w:szCs w:val="24"/>
        </w:rPr>
      </w:pPr>
      <w:r w:rsidRPr="00F377C9">
        <w:rPr>
          <w:spacing w:val="6"/>
          <w:sz w:val="26"/>
          <w:szCs w:val="24"/>
        </w:rPr>
        <w:t>b) No se registran en el balance, ni la memoria contiene información sobre las obligaciones actuariales generadas por el montepío del personal funcionario activo y pasivo de la Administración de la Comunidad Foral. De acuerdo con los estudios y valoraciones realizados</w:t>
      </w:r>
      <w:r w:rsidR="00692078">
        <w:rPr>
          <w:spacing w:val="6"/>
          <w:sz w:val="26"/>
          <w:szCs w:val="24"/>
        </w:rPr>
        <w:t xml:space="preserve"> por el Gobierno de Navarra</w:t>
      </w:r>
      <w:r w:rsidRPr="00F377C9">
        <w:rPr>
          <w:spacing w:val="6"/>
          <w:sz w:val="26"/>
          <w:szCs w:val="24"/>
        </w:rPr>
        <w:t>, el coste d</w:t>
      </w:r>
      <w:r w:rsidRPr="00F377C9">
        <w:rPr>
          <w:spacing w:val="6"/>
          <w:sz w:val="26"/>
          <w:szCs w:val="24"/>
        </w:rPr>
        <w:t>e</w:t>
      </w:r>
      <w:r w:rsidRPr="00F377C9">
        <w:rPr>
          <w:spacing w:val="6"/>
          <w:sz w:val="26"/>
          <w:szCs w:val="24"/>
        </w:rPr>
        <w:t>rivado de las prestaciones de dicho montepío para el periodo 2017-2087</w:t>
      </w:r>
      <w:r w:rsidRPr="00F377C9">
        <w:rPr>
          <w:spacing w:val="6"/>
          <w:sz w:val="26"/>
          <w:szCs w:val="24"/>
        </w:rPr>
        <w:softHyphen/>
        <w:t xml:space="preserve"> se e</w:t>
      </w:r>
      <w:r w:rsidRPr="00F377C9">
        <w:rPr>
          <w:spacing w:val="6"/>
          <w:sz w:val="26"/>
          <w:szCs w:val="24"/>
        </w:rPr>
        <w:t>s</w:t>
      </w:r>
      <w:r w:rsidRPr="00F377C9">
        <w:rPr>
          <w:spacing w:val="6"/>
          <w:sz w:val="26"/>
          <w:szCs w:val="24"/>
        </w:rPr>
        <w:t>tima en torno a 2.079 millones de euros constantes.</w:t>
      </w:r>
    </w:p>
    <w:p w:rsidR="00F377C9" w:rsidRDefault="00F377C9" w:rsidP="00F377C9">
      <w:pPr>
        <w:tabs>
          <w:tab w:val="center" w:pos="2835"/>
          <w:tab w:val="center" w:pos="3969"/>
          <w:tab w:val="center" w:pos="5103"/>
          <w:tab w:val="center" w:pos="6237"/>
          <w:tab w:val="center" w:pos="7371"/>
        </w:tabs>
        <w:ind w:firstLine="284"/>
        <w:rPr>
          <w:spacing w:val="6"/>
          <w:sz w:val="26"/>
          <w:szCs w:val="24"/>
        </w:rPr>
      </w:pPr>
      <w:r w:rsidRPr="00F377C9">
        <w:rPr>
          <w:spacing w:val="6"/>
          <w:sz w:val="26"/>
          <w:szCs w:val="24"/>
        </w:rPr>
        <w:t>c) En el balance de situación no ha sido posible obtener evidencia de la r</w:t>
      </w:r>
      <w:r w:rsidRPr="00F377C9">
        <w:rPr>
          <w:spacing w:val="6"/>
          <w:sz w:val="26"/>
          <w:szCs w:val="24"/>
        </w:rPr>
        <w:t>a</w:t>
      </w:r>
      <w:r w:rsidRPr="00F377C9">
        <w:rPr>
          <w:spacing w:val="6"/>
          <w:sz w:val="26"/>
          <w:szCs w:val="24"/>
        </w:rPr>
        <w:t>zonabilidad del saldo contable de “Inmovilizaciones Materiales” que, a 31 de diciembre de 2016, asciende a 2.218,3 millones, dado que el mismo no está respaldado por un inventario general de bienes adecuadamente valorado de acuerdo con los principios y criterios contables aplicables.</w:t>
      </w:r>
    </w:p>
    <w:p w:rsidR="00F377C9" w:rsidRPr="00F377C9" w:rsidRDefault="00F377C9" w:rsidP="00F377C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lastRenderedPageBreak/>
        <w:t>Opinión de auditoría financiera</w:t>
      </w:r>
    </w:p>
    <w:p w:rsidR="00F377C9" w:rsidRPr="00F377C9" w:rsidRDefault="00F377C9" w:rsidP="00F377C9">
      <w:pPr>
        <w:pStyle w:val="texto"/>
      </w:pPr>
      <w:r w:rsidRPr="00F377C9">
        <w:t>En nuestra opinión</w:t>
      </w:r>
      <w:r w:rsidRPr="00F377C9">
        <w:rPr>
          <w:i/>
        </w:rPr>
        <w:t>,</w:t>
      </w:r>
      <w:r w:rsidRPr="00F377C9">
        <w:t xml:space="preserve"> excepto por los efectos de los hechos descritos en los p</w:t>
      </w:r>
      <w:r w:rsidRPr="00F377C9">
        <w:t>á</w:t>
      </w:r>
      <w:r w:rsidRPr="00F377C9">
        <w:t>rrafos a) y b) del apartado de “Fundamento de la opinión financiera con salv</w:t>
      </w:r>
      <w:r w:rsidRPr="00F377C9">
        <w:t>e</w:t>
      </w:r>
      <w:r w:rsidRPr="00F377C9">
        <w:t xml:space="preserve">dades”, y excepto por los posibles efectos de la limitación al alcance descrita en el párrafo </w:t>
      </w:r>
      <w:r w:rsidR="0087005E">
        <w:t>c</w:t>
      </w:r>
      <w:r w:rsidRPr="00F377C9">
        <w:t>),</w:t>
      </w:r>
      <w:r w:rsidRPr="00F377C9">
        <w:rPr>
          <w:i/>
          <w:color w:val="FF0000"/>
        </w:rPr>
        <w:t xml:space="preserve"> </w:t>
      </w:r>
      <w:r w:rsidRPr="00F377C9">
        <w:t xml:space="preserve">las </w:t>
      </w:r>
      <w:r w:rsidR="002C3230">
        <w:t>c</w:t>
      </w:r>
      <w:r w:rsidRPr="00F377C9">
        <w:t xml:space="preserve">uentas </w:t>
      </w:r>
      <w:r w:rsidR="002C3230">
        <w:t>anu</w:t>
      </w:r>
      <w:r w:rsidRPr="00F377C9">
        <w:t xml:space="preserve">ales adjuntas expresan, en todos los aspectos significativos, la imagen fiel del patrimonio, </w:t>
      </w:r>
      <w:r w:rsidRPr="00257C11">
        <w:t>de la liquidación de sus pres</w:t>
      </w:r>
      <w:r w:rsidRPr="00257C11">
        <w:t>u</w:t>
      </w:r>
      <w:r w:rsidRPr="00257C11">
        <w:t>puestos de gastos e ingresos y de la situación</w:t>
      </w:r>
      <w:r w:rsidRPr="00F377C9">
        <w:t xml:space="preserve"> financiera de la Administración de la Comunidad Foral y sus organismos autónomos a 31 de diciembre de 2016</w:t>
      </w:r>
      <w:r w:rsidR="00242CEF">
        <w:t>. También expresan</w:t>
      </w:r>
      <w:r w:rsidRPr="00F377C9">
        <w:t xml:space="preserve"> sus resultados económicos y presupuestarios correspondie</w:t>
      </w:r>
      <w:r w:rsidRPr="00F377C9">
        <w:t>n</w:t>
      </w:r>
      <w:r w:rsidRPr="00F377C9">
        <w:t>tes al ejercicio anual terminado en dicha fecha, de conformidad con el marco normativo de información financiera pública aplicable y, en particular, con los principios y criterios contables</w:t>
      </w:r>
      <w:r w:rsidR="00692078">
        <w:t xml:space="preserve"> y presupuestarios</w:t>
      </w:r>
      <w:r w:rsidRPr="00F377C9">
        <w:t xml:space="preserve"> contenidos en el mismo.</w:t>
      </w:r>
    </w:p>
    <w:p w:rsidR="00F377C9" w:rsidRPr="00F377C9" w:rsidRDefault="00F377C9" w:rsidP="00F377C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Párrafo de énfasis</w:t>
      </w:r>
    </w:p>
    <w:p w:rsidR="00F377C9" w:rsidRPr="00F377C9" w:rsidRDefault="00F377C9" w:rsidP="00F377C9">
      <w:pPr>
        <w:pStyle w:val="texto"/>
      </w:pPr>
      <w:r w:rsidRPr="00F377C9">
        <w:t>Llamamos la atención sobre los siguientes aspectos contenidos en la cuenta general que no afectan a la opinión emitida:</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La determinación de la aportación económica de</w:t>
      </w:r>
      <w:r w:rsidR="00257C11">
        <w:rPr>
          <w:rFonts w:cs="Arial"/>
        </w:rPr>
        <w:t xml:space="preserve"> 2015 del Convenio Ec</w:t>
      </w:r>
      <w:r w:rsidR="00257C11">
        <w:rPr>
          <w:rFonts w:cs="Arial"/>
        </w:rPr>
        <w:t>o</w:t>
      </w:r>
      <w:r w:rsidR="00257C11">
        <w:rPr>
          <w:rFonts w:cs="Arial"/>
        </w:rPr>
        <w:t>nómico (</w:t>
      </w:r>
      <w:r w:rsidRPr="00F377C9">
        <w:rPr>
          <w:rFonts w:cs="Arial"/>
        </w:rPr>
        <w:t>año base para el quinquenio 2015-2019</w:t>
      </w:r>
      <w:r w:rsidR="00257C11">
        <w:rPr>
          <w:rFonts w:cs="Arial"/>
        </w:rPr>
        <w:t>)</w:t>
      </w:r>
      <w:r w:rsidRPr="00F377C9">
        <w:rPr>
          <w:rFonts w:cs="Arial"/>
        </w:rPr>
        <w:t xml:space="preserve"> de Navarra al Estado</w:t>
      </w:r>
      <w:r w:rsidR="00257C11">
        <w:rPr>
          <w:rFonts w:cs="Arial"/>
        </w:rPr>
        <w:t>,</w:t>
      </w:r>
      <w:r w:rsidRPr="00F377C9">
        <w:rPr>
          <w:rFonts w:cs="Arial"/>
        </w:rPr>
        <w:t xml:space="preserve"> ha m</w:t>
      </w:r>
      <w:r w:rsidRPr="00F377C9">
        <w:rPr>
          <w:rFonts w:cs="Arial"/>
        </w:rPr>
        <w:t>o</w:t>
      </w:r>
      <w:r w:rsidRPr="00F377C9">
        <w:rPr>
          <w:rFonts w:cs="Arial"/>
        </w:rPr>
        <w:t>tivado una discrepancia entre ambos que supuso que la Comunidad Foral ab</w:t>
      </w:r>
      <w:r w:rsidRPr="00F377C9">
        <w:rPr>
          <w:rFonts w:cs="Arial"/>
        </w:rPr>
        <w:t>o</w:t>
      </w:r>
      <w:r w:rsidRPr="00F377C9">
        <w:rPr>
          <w:rFonts w:cs="Arial"/>
        </w:rPr>
        <w:t xml:space="preserve">nara en diciembre de 2016 82,55 millones de euros menos de lo que el Estado </w:t>
      </w:r>
      <w:r w:rsidR="00692078">
        <w:rPr>
          <w:rFonts w:cs="Arial"/>
        </w:rPr>
        <w:t>entendía</w:t>
      </w:r>
      <w:r w:rsidRPr="00F377C9">
        <w:rPr>
          <w:rFonts w:cs="Arial"/>
        </w:rPr>
        <w:t xml:space="preserve">. </w:t>
      </w:r>
    </w:p>
    <w:p w:rsidR="00F377C9" w:rsidRPr="00F377C9" w:rsidRDefault="00257C11" w:rsidP="00F377C9">
      <w:pPr>
        <w:pStyle w:val="texto"/>
      </w:pPr>
      <w:r>
        <w:t>Actualmente s</w:t>
      </w:r>
      <w:r w:rsidR="00F377C9" w:rsidRPr="00F377C9">
        <w:t>e está a la espera de que</w:t>
      </w:r>
      <w:r w:rsidR="00692078">
        <w:t xml:space="preserve"> </w:t>
      </w:r>
      <w:r w:rsidR="00692078" w:rsidRPr="00F377C9">
        <w:t>la Comisión Coordinadora establezca l</w:t>
      </w:r>
      <w:r w:rsidR="00692078">
        <w:t>a aportación de 2015 (año base) y</w:t>
      </w:r>
      <w:r w:rsidR="00F377C9" w:rsidRPr="00F377C9">
        <w:t xml:space="preserve"> se resuelvan</w:t>
      </w:r>
      <w:r w:rsidR="00692078">
        <w:t xml:space="preserve"> así</w:t>
      </w:r>
      <w:r w:rsidR="00F377C9" w:rsidRPr="00F377C9">
        <w:t xml:space="preserve"> las discrepancias exis</w:t>
      </w:r>
      <w:r w:rsidR="00692078">
        <w:t>tentes, momento en el cual se realizar</w:t>
      </w:r>
      <w:r w:rsidR="00916D71">
        <w:t>á</w:t>
      </w:r>
      <w:r w:rsidR="00692078">
        <w:t xml:space="preserve">n </w:t>
      </w:r>
      <w:r w:rsidR="00F377C9" w:rsidRPr="00F377C9">
        <w:t>las liquidaciones definitivas de los años 2015</w:t>
      </w:r>
      <w:r w:rsidR="00916D71">
        <w:t xml:space="preserve"> y </w:t>
      </w:r>
      <w:r w:rsidR="00F377C9" w:rsidRPr="00F377C9">
        <w:t xml:space="preserve">2016. </w:t>
      </w:r>
      <w:r w:rsidR="00692078">
        <w:t>L</w:t>
      </w:r>
      <w:r w:rsidR="00F377C9" w:rsidRPr="00F377C9">
        <w:t>a memoria de las Cuentas Gene</w:t>
      </w:r>
      <w:r w:rsidR="00692078">
        <w:t xml:space="preserve">rales señala que se </w:t>
      </w:r>
      <w:r w:rsidR="002C3230">
        <w:t>estima</w:t>
      </w:r>
      <w:r w:rsidR="00692078">
        <w:t xml:space="preserve"> que</w:t>
      </w:r>
      <w:r w:rsidR="00F377C9" w:rsidRPr="00F377C9">
        <w:t xml:space="preserve"> la reg</w:t>
      </w:r>
      <w:r w:rsidR="00F377C9" w:rsidRPr="00F377C9">
        <w:t>u</w:t>
      </w:r>
      <w:r w:rsidR="00F377C9" w:rsidRPr="00F377C9">
        <w:t>larización de los flujos liquidados en 2015 y 2016 se</w:t>
      </w:r>
      <w:r w:rsidR="00692078">
        <w:t>a</w:t>
      </w:r>
      <w:r w:rsidR="00F377C9" w:rsidRPr="00F377C9">
        <w:t xml:space="preserve"> favorable a Navarra. </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El resultado presupuestario no financiero ha sido negativo en 56,99 mill</w:t>
      </w:r>
      <w:r w:rsidRPr="00F377C9">
        <w:rPr>
          <w:rFonts w:cs="Arial"/>
        </w:rPr>
        <w:t>o</w:t>
      </w:r>
      <w:r w:rsidRPr="00F377C9">
        <w:rPr>
          <w:rFonts w:cs="Arial"/>
        </w:rPr>
        <w:t xml:space="preserve">nes, mejorando en un 65 por ciento sobre el ejercicio anterior. </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El remanente de tesorería para gastos generales sigue siendo negativo</w:t>
      </w:r>
      <w:r w:rsidR="00242CEF">
        <w:rPr>
          <w:rFonts w:cs="Arial"/>
        </w:rPr>
        <w:t>,</w:t>
      </w:r>
      <w:r w:rsidRPr="00F377C9">
        <w:rPr>
          <w:rFonts w:cs="Arial"/>
        </w:rPr>
        <w:t xml:space="preserve"> a</w:t>
      </w:r>
      <w:r w:rsidRPr="00F377C9">
        <w:rPr>
          <w:rFonts w:cs="Arial"/>
        </w:rPr>
        <w:t>l</w:t>
      </w:r>
      <w:r w:rsidRPr="00F377C9">
        <w:rPr>
          <w:rFonts w:cs="Arial"/>
        </w:rPr>
        <w:t>canzando los 183,62 millones de euros, si bien ha mejorado un 23 por ciento respecto al año anterior; destaca asimismo que los fondos líquidos han aume</w:t>
      </w:r>
      <w:r w:rsidRPr="00F377C9">
        <w:rPr>
          <w:rFonts w:cs="Arial"/>
        </w:rPr>
        <w:t>n</w:t>
      </w:r>
      <w:r w:rsidRPr="00F377C9">
        <w:rPr>
          <w:rFonts w:cs="Arial"/>
        </w:rPr>
        <w:t>tado un 127 por ciento, pa</w:t>
      </w:r>
      <w:r w:rsidR="00242CEF">
        <w:rPr>
          <w:rFonts w:cs="Arial"/>
        </w:rPr>
        <w:t>sando de 61,97 millones en 2015 a 140,92 millones en 2016.</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Los fondos propios del balance han incrementado su valor negativo en un 22 por ciento, superando ligeramente los 300 millones. Este desequilibrio está originado en los resultados negativos del ejercicio y de ejercicios anteriores que no son compensados con la cuenta de patrimonio.</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La deuda financiera </w:t>
      </w:r>
      <w:r w:rsidR="00D75D14">
        <w:rPr>
          <w:rFonts w:cs="Arial"/>
        </w:rPr>
        <w:t>de la Comunidad Foral</w:t>
      </w:r>
      <w:r w:rsidRPr="00F377C9">
        <w:rPr>
          <w:rFonts w:cs="Arial"/>
        </w:rPr>
        <w:t xml:space="preserve"> a 31 de diciembre de 2016 a</w:t>
      </w:r>
      <w:r w:rsidRPr="00F377C9">
        <w:rPr>
          <w:rFonts w:cs="Arial"/>
        </w:rPr>
        <w:t>s</w:t>
      </w:r>
      <w:r w:rsidRPr="00F377C9">
        <w:rPr>
          <w:rFonts w:cs="Arial"/>
        </w:rPr>
        <w:t>ciende a 3.057,56 millones, clasificada en 2.</w:t>
      </w:r>
      <w:r w:rsidR="002C3230">
        <w:rPr>
          <w:rFonts w:cs="Arial"/>
        </w:rPr>
        <w:t>710,29</w:t>
      </w:r>
      <w:r w:rsidRPr="00F377C9">
        <w:rPr>
          <w:rFonts w:cs="Arial"/>
        </w:rPr>
        <w:t xml:space="preserve"> millones a largo plazo y </w:t>
      </w:r>
      <w:r w:rsidR="002C3230">
        <w:rPr>
          <w:rFonts w:cs="Arial"/>
        </w:rPr>
        <w:lastRenderedPageBreak/>
        <w:t>347,27</w:t>
      </w:r>
      <w:r w:rsidRPr="00F377C9">
        <w:rPr>
          <w:rFonts w:cs="Arial"/>
        </w:rPr>
        <w:t xml:space="preserve"> millones a corto plazo. Este importe supone un incremento del cinco por ciento respecto a 2015 (158,7 millones) y representa el 90 por ciento de los i</w:t>
      </w:r>
      <w:r w:rsidRPr="00F377C9">
        <w:rPr>
          <w:rFonts w:cs="Arial"/>
        </w:rPr>
        <w:t>n</w:t>
      </w:r>
      <w:r w:rsidRPr="00F377C9">
        <w:rPr>
          <w:rFonts w:cs="Arial"/>
        </w:rPr>
        <w:t xml:space="preserve">gresos corrientes del ejercicio. </w:t>
      </w:r>
    </w:p>
    <w:p w:rsid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Los gastos derivados del pago de amortización de préstamos o créditos a</w:t>
      </w:r>
      <w:r w:rsidRPr="00F377C9">
        <w:rPr>
          <w:rFonts w:cs="Arial"/>
        </w:rPr>
        <w:t>l</w:t>
      </w:r>
      <w:r w:rsidRPr="00F377C9">
        <w:rPr>
          <w:rFonts w:cs="Arial"/>
        </w:rPr>
        <w:t xml:space="preserve">canzaron los </w:t>
      </w:r>
      <w:r w:rsidR="00916D71">
        <w:rPr>
          <w:rFonts w:cs="Arial"/>
        </w:rPr>
        <w:t>416,1</w:t>
      </w:r>
      <w:r w:rsidRPr="00F377C9">
        <w:rPr>
          <w:rFonts w:cs="Arial"/>
        </w:rPr>
        <w:t xml:space="preserve"> millones incrementándose un </w:t>
      </w:r>
      <w:r w:rsidR="00916D71">
        <w:rPr>
          <w:rFonts w:cs="Arial"/>
        </w:rPr>
        <w:t>3</w:t>
      </w:r>
      <w:r w:rsidRPr="00F377C9">
        <w:rPr>
          <w:rFonts w:cs="Arial"/>
        </w:rPr>
        <w:t>5 por ciento respecto a 2015.</w:t>
      </w:r>
    </w:p>
    <w:p w:rsidR="00916D71" w:rsidRPr="00F377C9" w:rsidRDefault="00916D71"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Los gastos derivados del pago de intereses de préstamos o créditos alca</w:t>
      </w:r>
      <w:r w:rsidRPr="00F377C9">
        <w:rPr>
          <w:rFonts w:cs="Arial"/>
        </w:rPr>
        <w:t>n</w:t>
      </w:r>
      <w:r w:rsidRPr="00F377C9">
        <w:rPr>
          <w:rFonts w:cs="Arial"/>
        </w:rPr>
        <w:t xml:space="preserve">zaron los </w:t>
      </w:r>
      <w:r>
        <w:rPr>
          <w:rFonts w:cs="Arial"/>
        </w:rPr>
        <w:t>103,9</w:t>
      </w:r>
      <w:r w:rsidRPr="00F377C9">
        <w:rPr>
          <w:rFonts w:cs="Arial"/>
        </w:rPr>
        <w:t xml:space="preserve"> millones</w:t>
      </w:r>
      <w:r w:rsidR="00242CEF">
        <w:rPr>
          <w:rFonts w:cs="Arial"/>
        </w:rPr>
        <w:t>,</w:t>
      </w:r>
      <w:r w:rsidRPr="00F377C9">
        <w:rPr>
          <w:rFonts w:cs="Arial"/>
        </w:rPr>
        <w:t xml:space="preserve"> </w:t>
      </w:r>
      <w:r>
        <w:rPr>
          <w:rFonts w:cs="Arial"/>
        </w:rPr>
        <w:t>reduciéndose</w:t>
      </w:r>
      <w:r w:rsidRPr="00F377C9">
        <w:rPr>
          <w:rFonts w:cs="Arial"/>
        </w:rPr>
        <w:t xml:space="preserve"> un </w:t>
      </w:r>
      <w:r>
        <w:rPr>
          <w:rFonts w:cs="Arial"/>
        </w:rPr>
        <w:t>cuatro</w:t>
      </w:r>
      <w:r w:rsidRPr="00F377C9">
        <w:rPr>
          <w:rFonts w:cs="Arial"/>
        </w:rPr>
        <w:t xml:space="preserve"> por ciento respecto a 2015</w:t>
      </w:r>
      <w:r>
        <w:rPr>
          <w:rFonts w:cs="Arial"/>
        </w:rPr>
        <w:t>.</w:t>
      </w:r>
    </w:p>
    <w:p w:rsidR="00F377C9" w:rsidRPr="00F377C9" w:rsidRDefault="00F377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La recaudación líquida tributaria en 2016 ascendió a 3.249,73 millones, superando la de 2015 en un dos por ciento, y representando el 17,1 por ciento sobre el PIB de Navarra. </w:t>
      </w:r>
    </w:p>
    <w:p w:rsidR="00F377C9" w:rsidRPr="00F377C9" w:rsidRDefault="00BD3568"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w:t>
      </w:r>
      <w:r w:rsidR="00F377C9" w:rsidRPr="00F377C9">
        <w:rPr>
          <w:rFonts w:cs="Arial"/>
        </w:rPr>
        <w:t xml:space="preserve"> Sector Administración Pública de la Comunidad Foral</w:t>
      </w:r>
      <w:r w:rsidR="00D75D14">
        <w:rPr>
          <w:rFonts w:cs="Arial"/>
        </w:rPr>
        <w:t xml:space="preserve"> en 2016</w:t>
      </w:r>
      <w:r w:rsidR="00F377C9" w:rsidRPr="00F377C9">
        <w:rPr>
          <w:rFonts w:cs="Arial"/>
        </w:rPr>
        <w:t>, a efe</w:t>
      </w:r>
      <w:r w:rsidR="00F377C9" w:rsidRPr="00F377C9">
        <w:rPr>
          <w:rFonts w:cs="Arial"/>
        </w:rPr>
        <w:t>c</w:t>
      </w:r>
      <w:r w:rsidR="00F377C9" w:rsidRPr="00F377C9">
        <w:rPr>
          <w:rFonts w:cs="Arial"/>
        </w:rPr>
        <w:t xml:space="preserve">tos de la normativa de estabilidad presupuestaria y en términos de contabilidad nacional, </w:t>
      </w:r>
      <w:r w:rsidR="00D75D14">
        <w:rPr>
          <w:rFonts w:cs="Arial"/>
        </w:rPr>
        <w:t>cumplió con todas las exigencias a diferencia del ejercicio anterior, en el que incumplió con las reglas de estabilidad presupuestaria</w:t>
      </w:r>
      <w:r w:rsidR="00F377C9" w:rsidRPr="00F377C9">
        <w:rPr>
          <w:rFonts w:cs="Arial"/>
        </w:rPr>
        <w:t>.</w:t>
      </w:r>
    </w:p>
    <w:p w:rsidR="00F377C9" w:rsidRPr="00F377C9" w:rsidRDefault="00F377C9" w:rsidP="00F377C9">
      <w:pPr>
        <w:pStyle w:val="texto"/>
      </w:pPr>
      <w:r w:rsidRPr="00F377C9">
        <w:rPr>
          <w:b/>
        </w:rPr>
        <w:t>En definitiva</w:t>
      </w:r>
      <w:r w:rsidRPr="00F377C9">
        <w:t>, la situación financiera de la Administración de la Comunidad Foral de Navarra</w:t>
      </w:r>
      <w:r w:rsidR="00D75D14">
        <w:t xml:space="preserve"> presenta cierta mejoría en la mayoría de sus indicadores ec</w:t>
      </w:r>
      <w:r w:rsidR="00D75D14">
        <w:t>o</w:t>
      </w:r>
      <w:r w:rsidR="00D75D14">
        <w:t>nómico-financieros, si bien</w:t>
      </w:r>
      <w:r w:rsidRPr="00F377C9">
        <w:t xml:space="preserve"> se sigue caracterizando por la necesidad de acudir a la financiación externa para cubrir sus gastos ordinarios </w:t>
      </w:r>
      <w:r w:rsidR="00916D71">
        <w:t>y</w:t>
      </w:r>
      <w:r w:rsidRPr="00F377C9">
        <w:t xml:space="preserve"> hacer frente a los vencimientos de anteriores pasivos financieros; este mayor endeudamiento </w:t>
      </w:r>
      <w:r w:rsidR="00916D71">
        <w:t>ha provocado</w:t>
      </w:r>
      <w:r w:rsidRPr="00F377C9">
        <w:t xml:space="preserve"> un incremento de los recursos destinados a financiar la carga fina</w:t>
      </w:r>
      <w:r w:rsidRPr="00F377C9">
        <w:t>n</w:t>
      </w:r>
      <w:r w:rsidRPr="00F377C9">
        <w:t>ciera derivada del mismo</w:t>
      </w:r>
      <w:r w:rsidR="00916D71">
        <w:t>, y una dependencia significativa de la evolución de los tipos de interés de los mercados financieros</w:t>
      </w:r>
      <w:r w:rsidRPr="00F377C9">
        <w:t>. Por otra parte, sigue prese</w:t>
      </w:r>
      <w:r w:rsidRPr="00F377C9">
        <w:t>n</w:t>
      </w:r>
      <w:r w:rsidRPr="00F377C9">
        <w:t>tando desequilibrios tanto en el remanente de tesorería como en sus fondos propios que pueden afectar a su liquidez y solvencia a corto plazo.</w:t>
      </w:r>
    </w:p>
    <w:p w:rsidR="00F377C9" w:rsidRPr="00F377C9" w:rsidRDefault="00F377C9" w:rsidP="00D75D14">
      <w:pPr>
        <w:pStyle w:val="texto"/>
        <w:spacing w:after="240"/>
      </w:pPr>
      <w:r w:rsidRPr="00F377C9">
        <w:t>Como viene insistiendo esta Cámara de Comptos, la situación económico-financiera del Gobierno de Navarra exige, por tanto, una revisión sistemática de sus gastos e ingresos y una redefinición de sus propios objetivos al objeto de identificar las áreas de gestión prioritarias para hacer frente al actual contexto económico-social.</w:t>
      </w:r>
    </w:p>
    <w:p w:rsidR="00F377C9" w:rsidRPr="00F377C9" w:rsidRDefault="00F377C9" w:rsidP="00F377C9">
      <w:pPr>
        <w:pStyle w:val="atitulo2"/>
      </w:pPr>
      <w:bookmarkStart w:id="16" w:name="_Toc463350239"/>
      <w:bookmarkStart w:id="17" w:name="_Toc494270373"/>
      <w:bookmarkStart w:id="18" w:name="_Toc498515782"/>
      <w:r w:rsidRPr="00F377C9">
        <w:t>II.2. Opinión de fiscalización de cumplimiento de legalidad</w:t>
      </w:r>
      <w:bookmarkEnd w:id="11"/>
      <w:bookmarkEnd w:id="12"/>
      <w:bookmarkEnd w:id="13"/>
      <w:bookmarkEnd w:id="14"/>
      <w:bookmarkEnd w:id="15"/>
      <w:bookmarkEnd w:id="16"/>
      <w:bookmarkEnd w:id="17"/>
      <w:bookmarkEnd w:id="18"/>
    </w:p>
    <w:p w:rsidR="00477C53" w:rsidRDefault="00F377C9" w:rsidP="00F377C9">
      <w:pPr>
        <w:pStyle w:val="texto"/>
      </w:pPr>
      <w:r w:rsidRPr="00F377C9">
        <w:t xml:space="preserve">En nuestra opinión, </w:t>
      </w:r>
      <w:r w:rsidR="00D75D14">
        <w:t xml:space="preserve">teniendo en cuenta el alcance del trabajo realizado, </w:t>
      </w:r>
      <w:r w:rsidRPr="00F377C9">
        <w:t>las actividades, operaciones presupuestarias y financieras y la información reflej</w:t>
      </w:r>
      <w:r w:rsidRPr="00F377C9">
        <w:t>a</w:t>
      </w:r>
      <w:r w:rsidRPr="00F377C9">
        <w:t xml:space="preserve">da en las </w:t>
      </w:r>
      <w:r w:rsidR="002C3230">
        <w:t>c</w:t>
      </w:r>
      <w:r w:rsidRPr="00F377C9">
        <w:t xml:space="preserve">uentas </w:t>
      </w:r>
      <w:r w:rsidR="002C3230">
        <w:t>anu</w:t>
      </w:r>
      <w:r w:rsidRPr="00F377C9">
        <w:t>ales de la Administración de la Comunidad Foral y sus OOAA del ejercicio 2016 resultan conformes, en todos los aspectos significat</w:t>
      </w:r>
      <w:r w:rsidRPr="00F377C9">
        <w:t>i</w:t>
      </w:r>
      <w:r w:rsidRPr="00F377C9">
        <w:t xml:space="preserve">vos, con la normativa aplicable a la gestión de los fondos públicos. </w:t>
      </w:r>
    </w:p>
    <w:p w:rsidR="00477C53" w:rsidRPr="004B2F01" w:rsidRDefault="00477C53" w:rsidP="00F377C9">
      <w:pPr>
        <w:pStyle w:val="texto"/>
      </w:pPr>
    </w:p>
    <w:p w:rsidR="00F377C9" w:rsidRDefault="00F377C9">
      <w:pPr>
        <w:spacing w:after="0"/>
        <w:ind w:firstLine="0"/>
        <w:jc w:val="left"/>
        <w:rPr>
          <w:spacing w:val="6"/>
          <w:sz w:val="26"/>
          <w:szCs w:val="24"/>
        </w:rPr>
      </w:pPr>
      <w:r>
        <w:br w:type="page"/>
      </w:r>
    </w:p>
    <w:p w:rsidR="00F377C9" w:rsidRPr="00F377C9" w:rsidRDefault="00F377C9" w:rsidP="00CB057B">
      <w:pPr>
        <w:pStyle w:val="atitulo1"/>
      </w:pPr>
      <w:bookmarkStart w:id="19" w:name="_Toc463350240"/>
      <w:bookmarkStart w:id="20" w:name="_Toc494270374"/>
      <w:bookmarkStart w:id="21" w:name="_Toc498515783"/>
      <w:r w:rsidRPr="00F377C9">
        <w:lastRenderedPageBreak/>
        <w:t>III. Resumen de la</w:t>
      </w:r>
      <w:r w:rsidR="002C3230">
        <w:t>s</w:t>
      </w:r>
      <w:r w:rsidRPr="00F377C9">
        <w:t xml:space="preserve"> cuenta</w:t>
      </w:r>
      <w:r w:rsidR="002C3230">
        <w:t>s</w:t>
      </w:r>
      <w:r w:rsidRPr="00F377C9">
        <w:t xml:space="preserve"> de la Administración de la Comunidad Foral y sus organismos autónomos, ejercicio 201</w:t>
      </w:r>
      <w:bookmarkEnd w:id="19"/>
      <w:r w:rsidRPr="00F377C9">
        <w:t>6</w:t>
      </w:r>
      <w:bookmarkEnd w:id="20"/>
      <w:bookmarkEnd w:id="21"/>
    </w:p>
    <w:p w:rsidR="00F377C9" w:rsidRPr="00F377C9" w:rsidRDefault="00F377C9" w:rsidP="00CB057B">
      <w:pPr>
        <w:pStyle w:val="texto"/>
        <w:rPr>
          <w:lang w:val="es-ES"/>
        </w:rPr>
      </w:pPr>
      <w:r w:rsidRPr="00F377C9">
        <w:rPr>
          <w:lang w:val="es-ES"/>
        </w:rPr>
        <w:t>A continuación se presenta un resumen de los estados contables más releva</w:t>
      </w:r>
      <w:r w:rsidRPr="00F377C9">
        <w:rPr>
          <w:lang w:val="es-ES"/>
        </w:rPr>
        <w:t>n</w:t>
      </w:r>
      <w:r w:rsidRPr="00F377C9">
        <w:rPr>
          <w:lang w:val="es-ES"/>
        </w:rPr>
        <w:t>tes que integran las cuentas anuales de 2016 de la Administración de la Com</w:t>
      </w:r>
      <w:r w:rsidRPr="00F377C9">
        <w:rPr>
          <w:lang w:val="es-ES"/>
        </w:rPr>
        <w:t>u</w:t>
      </w:r>
      <w:r w:rsidRPr="00F377C9">
        <w:rPr>
          <w:lang w:val="es-ES"/>
        </w:rPr>
        <w:t>nidad Foral y de sus OOAA.</w:t>
      </w:r>
    </w:p>
    <w:p w:rsidR="00F377C9" w:rsidRPr="00F377C9" w:rsidRDefault="00F377C9" w:rsidP="00CB057B">
      <w:pPr>
        <w:pStyle w:val="atitulo2"/>
        <w:spacing w:before="240"/>
        <w:rPr>
          <w:rFonts w:cs="Arial"/>
          <w:lang w:eastAsia="es-ES"/>
        </w:rPr>
      </w:pPr>
      <w:bookmarkStart w:id="22" w:name="_Toc463350241"/>
      <w:bookmarkStart w:id="23" w:name="_Toc494270375"/>
      <w:bookmarkStart w:id="24" w:name="_Toc498515784"/>
      <w:r w:rsidRPr="00F377C9">
        <w:t>III.1. Liquidación del presupuesto 201</w:t>
      </w:r>
      <w:bookmarkEnd w:id="22"/>
      <w:r w:rsidRPr="00F377C9">
        <w:t>6</w:t>
      </w:r>
      <w:bookmarkEnd w:id="23"/>
      <w:bookmarkEnd w:id="24"/>
    </w:p>
    <w:p w:rsidR="00F377C9" w:rsidRPr="00CB057B" w:rsidRDefault="00F377C9" w:rsidP="00CB057B">
      <w:pPr>
        <w:ind w:firstLine="0"/>
        <w:jc w:val="center"/>
        <w:outlineLvl w:val="0"/>
        <w:rPr>
          <w:rFonts w:ascii="Arial" w:hAnsi="Arial" w:cs="Arial"/>
        </w:rPr>
      </w:pPr>
      <w:r w:rsidRPr="00CB057B">
        <w:rPr>
          <w:rFonts w:ascii="Arial" w:hAnsi="Arial" w:cs="Arial"/>
        </w:rPr>
        <w:t>Liquidación del presupuesto de gastos de 2016, por capítulos económicos</w:t>
      </w:r>
    </w:p>
    <w:p w:rsidR="00F377C9" w:rsidRPr="00CB057B" w:rsidRDefault="00F377C9" w:rsidP="00CB057B">
      <w:pPr>
        <w:suppressAutoHyphens/>
        <w:spacing w:after="60"/>
        <w:ind w:firstLine="0"/>
        <w:jc w:val="right"/>
        <w:rPr>
          <w:rFonts w:ascii="Arial" w:hAnsi="Arial"/>
          <w:spacing w:val="6"/>
          <w:sz w:val="17"/>
          <w:szCs w:val="17"/>
        </w:rPr>
      </w:pPr>
      <w:r w:rsidRPr="00CB057B">
        <w:rPr>
          <w:rFonts w:ascii="Arial" w:hAnsi="Arial"/>
          <w:spacing w:val="6"/>
          <w:sz w:val="17"/>
          <w:szCs w:val="17"/>
        </w:rPr>
        <w:t>(</w:t>
      </w:r>
      <w:r w:rsidR="005E5BD3">
        <w:rPr>
          <w:rFonts w:ascii="Arial" w:hAnsi="Arial"/>
          <w:spacing w:val="6"/>
          <w:sz w:val="17"/>
          <w:szCs w:val="17"/>
        </w:rPr>
        <w:t xml:space="preserve">en </w:t>
      </w:r>
      <w:r w:rsidRPr="00CB057B">
        <w:rPr>
          <w:rFonts w:ascii="Arial" w:hAnsi="Arial"/>
          <w:spacing w:val="6"/>
          <w:sz w:val="17"/>
          <w:szCs w:val="17"/>
        </w:rPr>
        <w:t>miles de euros)</w:t>
      </w:r>
    </w:p>
    <w:tbl>
      <w:tblPr>
        <w:tblW w:w="8902" w:type="dxa"/>
        <w:jc w:val="center"/>
        <w:tblInd w:w="57"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84"/>
        <w:gridCol w:w="938"/>
        <w:gridCol w:w="1176"/>
        <w:gridCol w:w="1050"/>
        <w:gridCol w:w="993"/>
        <w:gridCol w:w="910"/>
        <w:gridCol w:w="875"/>
        <w:gridCol w:w="776"/>
      </w:tblGrid>
      <w:tr w:rsidR="00F377C9" w:rsidRPr="00CB057B" w:rsidTr="00CB057B">
        <w:trPr>
          <w:trHeight w:val="255"/>
          <w:jc w:val="center"/>
        </w:trPr>
        <w:tc>
          <w:tcPr>
            <w:tcW w:w="2184"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CB057B">
              <w:rPr>
                <w:rFonts w:ascii="Arial" w:hAnsi="Arial"/>
                <w:spacing w:val="6"/>
                <w:sz w:val="16"/>
                <w:szCs w:val="16"/>
              </w:rPr>
              <w:t>Capítulo económico</w:t>
            </w:r>
          </w:p>
        </w:tc>
        <w:tc>
          <w:tcPr>
            <w:tcW w:w="938"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Cto. inicial</w:t>
            </w:r>
          </w:p>
        </w:tc>
        <w:tc>
          <w:tcPr>
            <w:tcW w:w="1176"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Consolidado</w:t>
            </w:r>
          </w:p>
        </w:tc>
        <w:tc>
          <w:tcPr>
            <w:tcW w:w="1050"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Autorizado</w:t>
            </w:r>
          </w:p>
        </w:tc>
        <w:tc>
          <w:tcPr>
            <w:tcW w:w="993"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Dispuesto</w:t>
            </w:r>
          </w:p>
        </w:tc>
        <w:tc>
          <w:tcPr>
            <w:tcW w:w="910"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Realizado</w:t>
            </w:r>
          </w:p>
        </w:tc>
        <w:tc>
          <w:tcPr>
            <w:tcW w:w="875"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 xml:space="preserve">% </w:t>
            </w:r>
          </w:p>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ejecución</w:t>
            </w:r>
          </w:p>
        </w:tc>
        <w:tc>
          <w:tcPr>
            <w:tcW w:w="776"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CB057B">
              <w:rPr>
                <w:rFonts w:ascii="Arial" w:hAnsi="Arial"/>
                <w:spacing w:val="6"/>
                <w:sz w:val="16"/>
                <w:szCs w:val="16"/>
              </w:rPr>
              <w:t>Pagado</w:t>
            </w:r>
          </w:p>
        </w:tc>
      </w:tr>
      <w:tr w:rsidR="00F377C9" w:rsidRPr="00CB057B" w:rsidTr="00CB057B">
        <w:trPr>
          <w:trHeight w:val="198"/>
          <w:jc w:val="center"/>
        </w:trPr>
        <w:tc>
          <w:tcPr>
            <w:tcW w:w="2184" w:type="dxa"/>
            <w:tcBorders>
              <w:top w:val="single" w:sz="4"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Gastos de personal</w:t>
            </w:r>
          </w:p>
        </w:tc>
        <w:tc>
          <w:tcPr>
            <w:tcW w:w="938"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1.179.415</w:t>
            </w:r>
          </w:p>
        </w:tc>
        <w:tc>
          <w:tcPr>
            <w:tcW w:w="1176"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1.179.968</w:t>
            </w:r>
          </w:p>
        </w:tc>
        <w:tc>
          <w:tcPr>
            <w:tcW w:w="1050"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1.172.306</w:t>
            </w:r>
          </w:p>
        </w:tc>
        <w:tc>
          <w:tcPr>
            <w:tcW w:w="993"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1.172.305</w:t>
            </w:r>
          </w:p>
        </w:tc>
        <w:tc>
          <w:tcPr>
            <w:tcW w:w="910"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1.172.289</w:t>
            </w:r>
          </w:p>
        </w:tc>
        <w:tc>
          <w:tcPr>
            <w:tcW w:w="875"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99</w:t>
            </w:r>
          </w:p>
        </w:tc>
        <w:tc>
          <w:tcPr>
            <w:tcW w:w="776" w:type="dxa"/>
            <w:tcBorders>
              <w:top w:val="single" w:sz="4"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1.172.022</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CB057B">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 xml:space="preserve">Gtos. </w:t>
            </w:r>
            <w:r w:rsidR="00CB057B">
              <w:rPr>
                <w:rFonts w:ascii="Arial Narrow" w:hAnsi="Arial Narrow"/>
                <w:spacing w:val="6"/>
                <w:sz w:val="18"/>
                <w:szCs w:val="18"/>
                <w:lang w:val="es-ES"/>
              </w:rPr>
              <w:t>c</w:t>
            </w:r>
            <w:r w:rsidRPr="00CB057B">
              <w:rPr>
                <w:rFonts w:ascii="Arial Narrow" w:hAnsi="Arial Narrow"/>
                <w:spacing w:val="6"/>
                <w:sz w:val="18"/>
                <w:szCs w:val="18"/>
                <w:lang w:val="es-ES"/>
              </w:rPr>
              <w:t>orr. en bienes y serv.</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592.448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595.478</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584.730</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583.999</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581.344</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98</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520.128</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Gastos financieros</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104.854</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104.977</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103.898</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103.898</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103.898</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99</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102.035</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Transferencias corrientes</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1.404.030</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1.443.215</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1.435.925</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1.431.062</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1.428.240</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99</w:t>
            </w:r>
          </w:p>
        </w:tc>
        <w:tc>
          <w:tcPr>
            <w:tcW w:w="776" w:type="dxa"/>
            <w:tcBorders>
              <w:top w:val="single" w:sz="2" w:space="0" w:color="auto"/>
              <w:bottom w:val="single" w:sz="2" w:space="0" w:color="auto"/>
            </w:tcBorders>
            <w:vAlign w:val="center"/>
          </w:tcPr>
          <w:p w:rsidR="00F377C9" w:rsidRPr="00CB057B" w:rsidRDefault="00F377C9" w:rsidP="002C3230">
            <w:pPr>
              <w:spacing w:after="0"/>
              <w:ind w:firstLine="0"/>
              <w:jc w:val="right"/>
              <w:rPr>
                <w:rFonts w:ascii="Arial Narrow" w:hAnsi="Arial Narrow"/>
                <w:sz w:val="18"/>
                <w:szCs w:val="18"/>
              </w:rPr>
            </w:pPr>
            <w:r w:rsidRPr="00CB057B">
              <w:rPr>
                <w:rFonts w:ascii="Arial Narrow" w:hAnsi="Arial Narrow"/>
                <w:sz w:val="18"/>
                <w:szCs w:val="18"/>
              </w:rPr>
              <w:t>1.</w:t>
            </w:r>
            <w:r w:rsidR="002C3230">
              <w:rPr>
                <w:rFonts w:ascii="Arial Narrow" w:hAnsi="Arial Narrow"/>
                <w:sz w:val="18"/>
                <w:szCs w:val="18"/>
              </w:rPr>
              <w:t>385.070</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lang w:val="es-ES"/>
              </w:rPr>
            </w:pPr>
            <w:r w:rsidRPr="00CB057B">
              <w:rPr>
                <w:rFonts w:ascii="Arial Narrow" w:hAnsi="Arial Narrow"/>
                <w:spacing w:val="2"/>
                <w:sz w:val="18"/>
                <w:szCs w:val="18"/>
                <w:lang w:val="es-ES"/>
              </w:rPr>
              <w:t>Fondo prórroga o contingencia</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5.308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798</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0</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0</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0</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0</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0</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Inversiones reales</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96.028</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97.174</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90.562</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90.432</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84.855</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87</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60.235</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 xml:space="preserve">Transferencias de capital </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124.089</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103.765</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98.528</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95.369</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92.019</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89</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48.348</w:t>
            </w:r>
          </w:p>
        </w:tc>
      </w:tr>
      <w:tr w:rsidR="00F377C9" w:rsidRPr="00CB057B" w:rsidTr="00CB057B">
        <w:trPr>
          <w:trHeight w:val="198"/>
          <w:jc w:val="center"/>
        </w:trPr>
        <w:tc>
          <w:tcPr>
            <w:tcW w:w="2184" w:type="dxa"/>
            <w:tcBorders>
              <w:top w:val="single" w:sz="2" w:space="0" w:color="auto"/>
              <w:bottom w:val="single" w:sz="2"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Activos financieros</w:t>
            </w:r>
          </w:p>
        </w:tc>
        <w:tc>
          <w:tcPr>
            <w:tcW w:w="938"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72.982</w:t>
            </w:r>
          </w:p>
        </w:tc>
        <w:tc>
          <w:tcPr>
            <w:tcW w:w="11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94.197</w:t>
            </w:r>
          </w:p>
        </w:tc>
        <w:tc>
          <w:tcPr>
            <w:tcW w:w="105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87.875</w:t>
            </w:r>
          </w:p>
        </w:tc>
        <w:tc>
          <w:tcPr>
            <w:tcW w:w="993"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87.875</w:t>
            </w:r>
          </w:p>
        </w:tc>
        <w:tc>
          <w:tcPr>
            <w:tcW w:w="910"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87.875</w:t>
            </w:r>
          </w:p>
        </w:tc>
        <w:tc>
          <w:tcPr>
            <w:tcW w:w="875"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93</w:t>
            </w:r>
          </w:p>
        </w:tc>
        <w:tc>
          <w:tcPr>
            <w:tcW w:w="776" w:type="dxa"/>
            <w:tcBorders>
              <w:top w:val="single" w:sz="2" w:space="0" w:color="auto"/>
              <w:bottom w:val="single" w:sz="2"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87.497</w:t>
            </w:r>
          </w:p>
        </w:tc>
      </w:tr>
      <w:tr w:rsidR="00F377C9" w:rsidRPr="00CB057B" w:rsidTr="00CB057B">
        <w:trPr>
          <w:trHeight w:val="198"/>
          <w:jc w:val="center"/>
        </w:trPr>
        <w:tc>
          <w:tcPr>
            <w:tcW w:w="2184" w:type="dxa"/>
            <w:tcBorders>
              <w:top w:val="single" w:sz="2" w:space="0" w:color="auto"/>
              <w:bottom w:val="single" w:sz="4" w:space="0" w:color="auto"/>
            </w:tcBorders>
            <w:vAlign w:val="center"/>
          </w:tcPr>
          <w:p w:rsidR="00F377C9" w:rsidRPr="00CB057B"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B057B">
              <w:rPr>
                <w:rFonts w:ascii="Arial Narrow" w:hAnsi="Arial Narrow"/>
                <w:spacing w:val="6"/>
                <w:sz w:val="18"/>
                <w:szCs w:val="18"/>
                <w:lang w:val="es-ES"/>
              </w:rPr>
              <w:t>Pasivos financieros</w:t>
            </w:r>
          </w:p>
        </w:tc>
        <w:tc>
          <w:tcPr>
            <w:tcW w:w="938"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426.152</w:t>
            </w:r>
          </w:p>
        </w:tc>
        <w:tc>
          <w:tcPr>
            <w:tcW w:w="1176" w:type="dxa"/>
            <w:tcBorders>
              <w:top w:val="single" w:sz="2" w:space="0" w:color="auto"/>
              <w:bottom w:val="single" w:sz="4" w:space="0" w:color="auto"/>
            </w:tcBorders>
            <w:vAlign w:val="center"/>
          </w:tcPr>
          <w:p w:rsidR="00F377C9" w:rsidRPr="00CB057B" w:rsidRDefault="00F377C9" w:rsidP="00111BC1">
            <w:pPr>
              <w:spacing w:after="0"/>
              <w:ind w:firstLine="0"/>
              <w:jc w:val="right"/>
              <w:rPr>
                <w:rFonts w:ascii="Arial Narrow" w:hAnsi="Arial Narrow"/>
                <w:sz w:val="18"/>
                <w:szCs w:val="18"/>
              </w:rPr>
            </w:pPr>
            <w:r w:rsidRPr="00CB057B">
              <w:rPr>
                <w:rFonts w:ascii="Arial Narrow" w:hAnsi="Arial Narrow"/>
                <w:sz w:val="18"/>
                <w:szCs w:val="18"/>
              </w:rPr>
              <w:t>426.15</w:t>
            </w:r>
            <w:r w:rsidR="00111BC1">
              <w:rPr>
                <w:rFonts w:ascii="Arial Narrow" w:hAnsi="Arial Narrow"/>
                <w:sz w:val="18"/>
                <w:szCs w:val="18"/>
              </w:rPr>
              <w:t>3</w:t>
            </w:r>
          </w:p>
        </w:tc>
        <w:tc>
          <w:tcPr>
            <w:tcW w:w="1050"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416.079</w:t>
            </w:r>
          </w:p>
        </w:tc>
        <w:tc>
          <w:tcPr>
            <w:tcW w:w="993"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416.079</w:t>
            </w:r>
          </w:p>
        </w:tc>
        <w:tc>
          <w:tcPr>
            <w:tcW w:w="910"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416.079</w:t>
            </w:r>
          </w:p>
        </w:tc>
        <w:tc>
          <w:tcPr>
            <w:tcW w:w="875"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98</w:t>
            </w:r>
          </w:p>
        </w:tc>
        <w:tc>
          <w:tcPr>
            <w:tcW w:w="776" w:type="dxa"/>
            <w:tcBorders>
              <w:top w:val="single" w:sz="2" w:space="0" w:color="auto"/>
              <w:bottom w:val="single" w:sz="4" w:space="0" w:color="auto"/>
            </w:tcBorders>
            <w:vAlign w:val="center"/>
          </w:tcPr>
          <w:p w:rsidR="00F377C9" w:rsidRPr="00CB057B" w:rsidRDefault="00F377C9" w:rsidP="00F377C9">
            <w:pPr>
              <w:spacing w:after="0"/>
              <w:ind w:firstLine="0"/>
              <w:jc w:val="right"/>
              <w:rPr>
                <w:rFonts w:ascii="Arial Narrow" w:hAnsi="Arial Narrow"/>
                <w:sz w:val="18"/>
                <w:szCs w:val="18"/>
              </w:rPr>
            </w:pPr>
            <w:r w:rsidRPr="00CB057B">
              <w:rPr>
                <w:rFonts w:ascii="Arial Narrow" w:hAnsi="Arial Narrow"/>
                <w:sz w:val="18"/>
                <w:szCs w:val="18"/>
              </w:rPr>
              <w:t>416.079</w:t>
            </w:r>
          </w:p>
        </w:tc>
      </w:tr>
      <w:tr w:rsidR="00F377C9" w:rsidRPr="00CB057B" w:rsidTr="00CB057B">
        <w:trPr>
          <w:trHeight w:val="255"/>
          <w:jc w:val="center"/>
        </w:trPr>
        <w:tc>
          <w:tcPr>
            <w:tcW w:w="2184" w:type="dxa"/>
            <w:tcBorders>
              <w:bottom w:val="single" w:sz="4" w:space="0" w:color="auto"/>
            </w:tcBorders>
            <w:shd w:val="clear" w:color="auto" w:fill="8DB3E2" w:themeFill="text2" w:themeFillTint="66"/>
            <w:vAlign w:val="center"/>
          </w:tcPr>
          <w:p w:rsidR="00F377C9" w:rsidRPr="00CB057B"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lang w:val="es-ES"/>
              </w:rPr>
            </w:pPr>
            <w:r w:rsidRPr="00CB057B">
              <w:rPr>
                <w:rFonts w:ascii="Arial" w:hAnsi="Arial"/>
                <w:spacing w:val="6"/>
                <w:sz w:val="16"/>
                <w:szCs w:val="16"/>
                <w:lang w:val="es-ES"/>
              </w:rPr>
              <w:t>Total</w:t>
            </w:r>
          </w:p>
        </w:tc>
        <w:tc>
          <w:tcPr>
            <w:tcW w:w="938"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4.005.306</w:t>
            </w:r>
          </w:p>
        </w:tc>
        <w:tc>
          <w:tcPr>
            <w:tcW w:w="1176"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4.045.725</w:t>
            </w:r>
          </w:p>
        </w:tc>
        <w:tc>
          <w:tcPr>
            <w:tcW w:w="1050"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3.989.903</w:t>
            </w:r>
          </w:p>
        </w:tc>
        <w:tc>
          <w:tcPr>
            <w:tcW w:w="993"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3.981.019</w:t>
            </w:r>
          </w:p>
        </w:tc>
        <w:tc>
          <w:tcPr>
            <w:tcW w:w="910"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3.966.599</w:t>
            </w:r>
          </w:p>
        </w:tc>
        <w:tc>
          <w:tcPr>
            <w:tcW w:w="875" w:type="dxa"/>
            <w:tcBorders>
              <w:bottom w:val="single" w:sz="4" w:space="0" w:color="auto"/>
            </w:tcBorders>
            <w:shd w:val="clear" w:color="auto" w:fill="8DB3E2" w:themeFill="text2" w:themeFillTint="66"/>
            <w:vAlign w:val="center"/>
          </w:tcPr>
          <w:p w:rsidR="00F377C9" w:rsidRPr="00CB057B" w:rsidRDefault="00F377C9" w:rsidP="00F377C9">
            <w:pPr>
              <w:spacing w:after="0"/>
              <w:ind w:firstLine="0"/>
              <w:jc w:val="right"/>
              <w:rPr>
                <w:rFonts w:ascii="Arial" w:hAnsi="Arial" w:cs="Arial"/>
                <w:sz w:val="16"/>
                <w:szCs w:val="16"/>
              </w:rPr>
            </w:pPr>
            <w:r w:rsidRPr="00CB057B">
              <w:rPr>
                <w:rFonts w:ascii="Arial" w:hAnsi="Arial" w:cs="Arial"/>
                <w:sz w:val="16"/>
                <w:szCs w:val="16"/>
              </w:rPr>
              <w:t>98</w:t>
            </w:r>
          </w:p>
        </w:tc>
        <w:tc>
          <w:tcPr>
            <w:tcW w:w="776" w:type="dxa"/>
            <w:tcBorders>
              <w:bottom w:val="single" w:sz="4" w:space="0" w:color="auto"/>
            </w:tcBorders>
            <w:shd w:val="clear" w:color="auto" w:fill="8DB3E2" w:themeFill="text2" w:themeFillTint="66"/>
            <w:vAlign w:val="center"/>
          </w:tcPr>
          <w:p w:rsidR="00F377C9" w:rsidRPr="00CB057B" w:rsidRDefault="002C3230" w:rsidP="00F377C9">
            <w:pPr>
              <w:spacing w:after="0"/>
              <w:ind w:firstLine="0"/>
              <w:jc w:val="right"/>
              <w:rPr>
                <w:rFonts w:ascii="Arial" w:hAnsi="Arial" w:cs="Arial"/>
                <w:sz w:val="16"/>
                <w:szCs w:val="16"/>
              </w:rPr>
            </w:pPr>
            <w:r>
              <w:rPr>
                <w:rFonts w:ascii="Arial" w:hAnsi="Arial" w:cs="Arial"/>
                <w:sz w:val="16"/>
                <w:szCs w:val="16"/>
              </w:rPr>
              <w:t>3.791.414</w:t>
            </w:r>
          </w:p>
        </w:tc>
      </w:tr>
    </w:tbl>
    <w:p w:rsidR="00F377C9" w:rsidRPr="00F377C9" w:rsidRDefault="00F377C9" w:rsidP="00CB057B">
      <w:pPr>
        <w:pStyle w:val="texto"/>
        <w:rPr>
          <w:lang w:eastAsia="es-ES"/>
        </w:rPr>
      </w:pPr>
    </w:p>
    <w:p w:rsidR="00F377C9" w:rsidRPr="00CB057B" w:rsidRDefault="00F377C9" w:rsidP="00CB057B">
      <w:pPr>
        <w:ind w:firstLine="0"/>
        <w:jc w:val="center"/>
        <w:outlineLvl w:val="0"/>
        <w:rPr>
          <w:rFonts w:ascii="Arial" w:hAnsi="Arial" w:cs="Arial"/>
        </w:rPr>
      </w:pPr>
      <w:r w:rsidRPr="00CB057B">
        <w:rPr>
          <w:rFonts w:ascii="Arial" w:hAnsi="Arial" w:cs="Arial"/>
        </w:rPr>
        <w:t>Liquidación del presupuesto de ingresos de 2016, por capítulos económicos</w:t>
      </w:r>
    </w:p>
    <w:p w:rsidR="00F377C9" w:rsidRPr="00CB057B" w:rsidRDefault="00F377C9" w:rsidP="009E23C8">
      <w:pPr>
        <w:suppressAutoHyphens/>
        <w:spacing w:after="60"/>
        <w:ind w:firstLine="0"/>
        <w:jc w:val="right"/>
        <w:rPr>
          <w:rFonts w:ascii="Arial" w:hAnsi="Arial"/>
          <w:spacing w:val="6"/>
          <w:sz w:val="17"/>
          <w:szCs w:val="17"/>
        </w:rPr>
      </w:pPr>
      <w:r w:rsidRPr="00CB057B">
        <w:rPr>
          <w:rFonts w:ascii="Arial" w:hAnsi="Arial"/>
          <w:spacing w:val="6"/>
          <w:sz w:val="17"/>
          <w:szCs w:val="17"/>
        </w:rPr>
        <w:t>(</w:t>
      </w:r>
      <w:r w:rsidR="005E5BD3">
        <w:rPr>
          <w:rFonts w:ascii="Arial" w:hAnsi="Arial"/>
          <w:spacing w:val="6"/>
          <w:sz w:val="17"/>
          <w:szCs w:val="17"/>
        </w:rPr>
        <w:t xml:space="preserve">en </w:t>
      </w:r>
      <w:r w:rsidRPr="00CB057B">
        <w:rPr>
          <w:rFonts w:ascii="Arial" w:hAnsi="Arial"/>
          <w:spacing w:val="6"/>
          <w:sz w:val="17"/>
          <w:szCs w:val="17"/>
        </w:rPr>
        <w:t>miles de euros)</w:t>
      </w:r>
    </w:p>
    <w:tbl>
      <w:tblPr>
        <w:tblW w:w="897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643"/>
        <w:gridCol w:w="1265"/>
        <w:gridCol w:w="1266"/>
        <w:gridCol w:w="1265"/>
        <w:gridCol w:w="1266"/>
        <w:gridCol w:w="1266"/>
      </w:tblGrid>
      <w:tr w:rsidR="00F377C9" w:rsidRPr="009E23C8" w:rsidTr="009E23C8">
        <w:trPr>
          <w:trHeight w:val="255"/>
          <w:jc w:val="center"/>
        </w:trPr>
        <w:tc>
          <w:tcPr>
            <w:tcW w:w="2643"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9E23C8">
              <w:rPr>
                <w:rFonts w:ascii="Arial" w:hAnsi="Arial"/>
                <w:spacing w:val="6"/>
                <w:sz w:val="16"/>
                <w:szCs w:val="16"/>
              </w:rPr>
              <w:t>Capítulo económico</w:t>
            </w:r>
          </w:p>
        </w:tc>
        <w:tc>
          <w:tcPr>
            <w:tcW w:w="1265"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Presupuesto</w:t>
            </w:r>
          </w:p>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inicial</w:t>
            </w: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Presupuesto</w:t>
            </w:r>
          </w:p>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Definitivo</w:t>
            </w:r>
          </w:p>
        </w:tc>
        <w:tc>
          <w:tcPr>
            <w:tcW w:w="1265" w:type="dxa"/>
            <w:tcBorders>
              <w:bottom w:val="single" w:sz="4" w:space="0" w:color="auto"/>
            </w:tcBorders>
            <w:shd w:val="clear" w:color="auto" w:fill="8DB3E2" w:themeFill="text2" w:themeFillTint="66"/>
            <w:vAlign w:val="center"/>
          </w:tcPr>
          <w:p w:rsidR="009E23C8" w:rsidRDefault="00F377C9" w:rsidP="009E23C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Derechos</w:t>
            </w:r>
          </w:p>
          <w:p w:rsidR="00F377C9" w:rsidRPr="009E23C8" w:rsidRDefault="00F377C9" w:rsidP="009E23C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 xml:space="preserve"> </w:t>
            </w:r>
            <w:r w:rsidR="009E23C8">
              <w:rPr>
                <w:rFonts w:ascii="Arial" w:hAnsi="Arial"/>
                <w:spacing w:val="6"/>
                <w:sz w:val="16"/>
                <w:szCs w:val="16"/>
              </w:rPr>
              <w:t>r</w:t>
            </w:r>
            <w:r w:rsidRPr="009E23C8">
              <w:rPr>
                <w:rFonts w:ascii="Arial" w:hAnsi="Arial"/>
                <w:spacing w:val="6"/>
                <w:sz w:val="16"/>
                <w:szCs w:val="16"/>
              </w:rPr>
              <w:t>econ. netos</w:t>
            </w: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9E23C8">
              <w:rPr>
                <w:rFonts w:ascii="Arial" w:hAnsi="Arial"/>
                <w:spacing w:val="6"/>
                <w:sz w:val="16"/>
                <w:szCs w:val="16"/>
              </w:rPr>
              <w:t xml:space="preserve">% </w:t>
            </w:r>
          </w:p>
          <w:p w:rsidR="00F377C9" w:rsidRPr="009E23C8" w:rsidRDefault="00F377C9" w:rsidP="00F377C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9E23C8">
              <w:rPr>
                <w:rFonts w:ascii="Arial" w:hAnsi="Arial"/>
                <w:spacing w:val="6"/>
                <w:sz w:val="16"/>
                <w:szCs w:val="16"/>
              </w:rPr>
              <w:t>ejecución</w:t>
            </w:r>
          </w:p>
        </w:tc>
        <w:tc>
          <w:tcPr>
            <w:tcW w:w="1266" w:type="dxa"/>
            <w:tcBorders>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9E23C8">
              <w:rPr>
                <w:rFonts w:ascii="Arial" w:hAnsi="Arial"/>
                <w:spacing w:val="6"/>
                <w:sz w:val="16"/>
                <w:szCs w:val="16"/>
              </w:rPr>
              <w:t>Recaudación neta</w:t>
            </w:r>
          </w:p>
        </w:tc>
      </w:tr>
      <w:tr w:rsidR="00F377C9" w:rsidRPr="009E23C8" w:rsidTr="009E23C8">
        <w:trPr>
          <w:trHeight w:val="198"/>
          <w:jc w:val="center"/>
        </w:trPr>
        <w:tc>
          <w:tcPr>
            <w:tcW w:w="2643" w:type="dxa"/>
            <w:tcBorders>
              <w:top w:val="single" w:sz="4"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Impuestos directos</w:t>
            </w:r>
          </w:p>
        </w:tc>
        <w:tc>
          <w:tcPr>
            <w:tcW w:w="1265"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1.518.207</w:t>
            </w:r>
          </w:p>
        </w:tc>
        <w:tc>
          <w:tcPr>
            <w:tcW w:w="1266"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1.520.270</w:t>
            </w:r>
          </w:p>
        </w:tc>
        <w:tc>
          <w:tcPr>
            <w:tcW w:w="1265"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1.500.013</w:t>
            </w:r>
          </w:p>
        </w:tc>
        <w:tc>
          <w:tcPr>
            <w:tcW w:w="1266" w:type="dxa"/>
            <w:tcBorders>
              <w:top w:val="single" w:sz="4"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99</w:t>
            </w:r>
          </w:p>
        </w:tc>
        <w:tc>
          <w:tcPr>
            <w:tcW w:w="1266" w:type="dxa"/>
            <w:tcBorders>
              <w:top w:val="single" w:sz="4" w:space="0" w:color="auto"/>
              <w:bottom w:val="single" w:sz="2" w:space="0" w:color="auto"/>
            </w:tcBorders>
            <w:vAlign w:val="center"/>
          </w:tcPr>
          <w:p w:rsidR="00F377C9" w:rsidRPr="009E23C8" w:rsidRDefault="002C3230" w:rsidP="00F377C9">
            <w:pPr>
              <w:spacing w:after="0"/>
              <w:ind w:firstLine="0"/>
              <w:jc w:val="right"/>
              <w:rPr>
                <w:rFonts w:ascii="Arial Narrow" w:hAnsi="Arial Narrow"/>
                <w:sz w:val="18"/>
                <w:szCs w:val="18"/>
              </w:rPr>
            </w:pPr>
            <w:r>
              <w:rPr>
                <w:rFonts w:ascii="Arial Narrow" w:hAnsi="Arial Narrow"/>
                <w:sz w:val="18"/>
                <w:szCs w:val="18"/>
              </w:rPr>
              <w:t>1.486.308</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Impuestos indirectos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1.758.743</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1.758.743</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1.706.868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97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1.659.378</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Tasas, precios públicos y otros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95.477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103.086</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118.724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115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8</w:t>
            </w:r>
            <w:r w:rsidR="002C3230">
              <w:rPr>
                <w:rFonts w:ascii="Arial Narrow" w:hAnsi="Arial Narrow"/>
                <w:sz w:val="18"/>
                <w:szCs w:val="18"/>
              </w:rPr>
              <w:t>8.113</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Transferencias corrientes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40.998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46.558</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47.664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102</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42.885</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Ingresos patrimoniales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5.911</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5.911</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9.237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156</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4.706</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Enajenación inversiones reales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753</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1.650</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1.218</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74</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1.122</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Transferencias de capital</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33.610</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33.765</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21.925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65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7.372</w:t>
            </w:r>
          </w:p>
        </w:tc>
      </w:tr>
      <w:tr w:rsidR="00F377C9" w:rsidRPr="009E23C8" w:rsidTr="009E23C8">
        <w:trPr>
          <w:trHeight w:val="198"/>
          <w:jc w:val="center"/>
        </w:trPr>
        <w:tc>
          <w:tcPr>
            <w:tcW w:w="2643" w:type="dxa"/>
            <w:tcBorders>
              <w:top w:val="single" w:sz="2" w:space="0" w:color="auto"/>
              <w:bottom w:val="single" w:sz="2"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Activos financieros</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55.265</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71.871</w:t>
            </w:r>
          </w:p>
        </w:tc>
        <w:tc>
          <w:tcPr>
            <w:tcW w:w="1265"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72.717</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101</w:t>
            </w:r>
          </w:p>
        </w:tc>
        <w:tc>
          <w:tcPr>
            <w:tcW w:w="1266" w:type="dxa"/>
            <w:tcBorders>
              <w:top w:val="single" w:sz="2" w:space="0" w:color="auto"/>
              <w:bottom w:val="single" w:sz="2"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70.13</w:t>
            </w:r>
            <w:r w:rsidR="002C3230">
              <w:rPr>
                <w:rFonts w:ascii="Arial Narrow" w:hAnsi="Arial Narrow"/>
                <w:sz w:val="18"/>
                <w:szCs w:val="18"/>
              </w:rPr>
              <w:t>2</w:t>
            </w:r>
          </w:p>
        </w:tc>
      </w:tr>
      <w:tr w:rsidR="00F377C9" w:rsidRPr="009E23C8" w:rsidTr="009E23C8">
        <w:trPr>
          <w:trHeight w:val="198"/>
          <w:jc w:val="center"/>
        </w:trPr>
        <w:tc>
          <w:tcPr>
            <w:tcW w:w="2643" w:type="dxa"/>
            <w:tcBorders>
              <w:top w:val="single" w:sz="2" w:space="0" w:color="auto"/>
              <w:bottom w:val="single" w:sz="4" w:space="0" w:color="auto"/>
            </w:tcBorders>
            <w:vAlign w:val="center"/>
          </w:tcPr>
          <w:p w:rsidR="00F377C9" w:rsidRPr="009E23C8" w:rsidRDefault="00F377C9" w:rsidP="00F377C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9E23C8">
              <w:rPr>
                <w:rFonts w:ascii="Arial Narrow" w:hAnsi="Arial Narrow"/>
                <w:spacing w:val="6"/>
                <w:sz w:val="18"/>
                <w:szCs w:val="18"/>
                <w:lang w:val="es-ES"/>
              </w:rPr>
              <w:t>Pasivos financieros</w:t>
            </w:r>
          </w:p>
        </w:tc>
        <w:tc>
          <w:tcPr>
            <w:tcW w:w="1265"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496.342</w:t>
            </w:r>
          </w:p>
        </w:tc>
        <w:tc>
          <w:tcPr>
            <w:tcW w:w="1266" w:type="dxa"/>
            <w:tcBorders>
              <w:top w:val="single" w:sz="2" w:space="0" w:color="auto"/>
              <w:bottom w:val="single" w:sz="4" w:space="0" w:color="auto"/>
            </w:tcBorders>
            <w:vAlign w:val="center"/>
          </w:tcPr>
          <w:p w:rsidR="00F377C9" w:rsidRPr="009E23C8" w:rsidRDefault="00F377C9" w:rsidP="002C3230">
            <w:pPr>
              <w:spacing w:after="0"/>
              <w:ind w:firstLine="0"/>
              <w:jc w:val="right"/>
              <w:rPr>
                <w:rFonts w:ascii="Arial Narrow" w:hAnsi="Arial Narrow"/>
                <w:sz w:val="18"/>
                <w:szCs w:val="18"/>
              </w:rPr>
            </w:pPr>
            <w:r w:rsidRPr="009E23C8">
              <w:rPr>
                <w:rFonts w:ascii="Arial Narrow" w:hAnsi="Arial Narrow"/>
                <w:sz w:val="18"/>
                <w:szCs w:val="18"/>
              </w:rPr>
              <w:t>503.87</w:t>
            </w:r>
            <w:r w:rsidR="00111BC1">
              <w:rPr>
                <w:rFonts w:ascii="Arial Narrow" w:hAnsi="Arial Narrow"/>
                <w:sz w:val="18"/>
                <w:szCs w:val="18"/>
              </w:rPr>
              <w:t>1</w:t>
            </w:r>
          </w:p>
        </w:tc>
        <w:tc>
          <w:tcPr>
            <w:tcW w:w="1265"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579.702</w:t>
            </w:r>
          </w:p>
        </w:tc>
        <w:tc>
          <w:tcPr>
            <w:tcW w:w="1266"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115</w:t>
            </w:r>
          </w:p>
        </w:tc>
        <w:tc>
          <w:tcPr>
            <w:tcW w:w="1266" w:type="dxa"/>
            <w:tcBorders>
              <w:top w:val="single" w:sz="2" w:space="0" w:color="auto"/>
              <w:bottom w:val="single" w:sz="4" w:space="0" w:color="auto"/>
            </w:tcBorders>
            <w:vAlign w:val="center"/>
          </w:tcPr>
          <w:p w:rsidR="00F377C9" w:rsidRPr="009E23C8" w:rsidRDefault="00F377C9" w:rsidP="00F377C9">
            <w:pPr>
              <w:spacing w:after="0"/>
              <w:ind w:firstLine="0"/>
              <w:jc w:val="right"/>
              <w:rPr>
                <w:rFonts w:ascii="Arial Narrow" w:hAnsi="Arial Narrow"/>
                <w:sz w:val="18"/>
                <w:szCs w:val="18"/>
              </w:rPr>
            </w:pPr>
            <w:r w:rsidRPr="009E23C8">
              <w:rPr>
                <w:rFonts w:ascii="Arial Narrow" w:hAnsi="Arial Narrow"/>
                <w:sz w:val="18"/>
                <w:szCs w:val="18"/>
              </w:rPr>
              <w:t>579.702</w:t>
            </w:r>
          </w:p>
        </w:tc>
      </w:tr>
      <w:tr w:rsidR="00F377C9" w:rsidRPr="009E23C8" w:rsidTr="009E23C8">
        <w:trPr>
          <w:trHeight w:val="255"/>
          <w:jc w:val="center"/>
        </w:trPr>
        <w:tc>
          <w:tcPr>
            <w:tcW w:w="2643"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keepLines/>
              <w:tabs>
                <w:tab w:val="right" w:pos="2835"/>
                <w:tab w:val="right" w:pos="3969"/>
                <w:tab w:val="right" w:pos="5103"/>
                <w:tab w:val="right" w:pos="6237"/>
                <w:tab w:val="right" w:pos="7371"/>
              </w:tabs>
              <w:spacing w:after="0"/>
              <w:ind w:firstLine="0"/>
              <w:rPr>
                <w:rFonts w:ascii="Arial" w:hAnsi="Arial"/>
                <w:spacing w:val="6"/>
                <w:sz w:val="16"/>
                <w:szCs w:val="16"/>
                <w:lang w:val="es-ES"/>
              </w:rPr>
            </w:pPr>
            <w:r w:rsidRPr="009E23C8">
              <w:rPr>
                <w:rFonts w:ascii="Arial" w:hAnsi="Arial"/>
                <w:spacing w:val="6"/>
                <w:sz w:val="16"/>
                <w:szCs w:val="16"/>
                <w:lang w:val="es-ES"/>
              </w:rPr>
              <w:t>Total</w:t>
            </w:r>
          </w:p>
        </w:tc>
        <w:tc>
          <w:tcPr>
            <w:tcW w:w="1265"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sidRPr="009E23C8">
              <w:rPr>
                <w:rFonts w:ascii="Arial" w:hAnsi="Arial" w:cs="Arial"/>
                <w:sz w:val="16"/>
                <w:szCs w:val="16"/>
              </w:rPr>
              <w:t>4.005.306</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sidRPr="009E23C8">
              <w:rPr>
                <w:rFonts w:ascii="Arial" w:hAnsi="Arial" w:cs="Arial"/>
                <w:sz w:val="16"/>
                <w:szCs w:val="16"/>
              </w:rPr>
              <w:t>4.045.725</w:t>
            </w:r>
          </w:p>
        </w:tc>
        <w:tc>
          <w:tcPr>
            <w:tcW w:w="1265"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sidRPr="009E23C8">
              <w:rPr>
                <w:rFonts w:ascii="Arial" w:hAnsi="Arial" w:cs="Arial"/>
                <w:sz w:val="16"/>
                <w:szCs w:val="16"/>
              </w:rPr>
              <w:t>4.058.068</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sz w:val="16"/>
                <w:szCs w:val="16"/>
              </w:rPr>
            </w:pPr>
            <w:r w:rsidRPr="009E23C8">
              <w:rPr>
                <w:rFonts w:ascii="Arial" w:hAnsi="Arial" w:cs="Arial"/>
                <w:sz w:val="16"/>
                <w:szCs w:val="16"/>
              </w:rPr>
              <w:t>100</w:t>
            </w:r>
          </w:p>
        </w:tc>
        <w:tc>
          <w:tcPr>
            <w:tcW w:w="1266" w:type="dxa"/>
            <w:tcBorders>
              <w:top w:val="single" w:sz="4" w:space="0" w:color="auto"/>
              <w:bottom w:val="single" w:sz="4" w:space="0" w:color="auto"/>
            </w:tcBorders>
            <w:shd w:val="clear" w:color="auto" w:fill="8DB3E2" w:themeFill="text2" w:themeFillTint="66"/>
            <w:vAlign w:val="center"/>
          </w:tcPr>
          <w:p w:rsidR="00F377C9" w:rsidRPr="009E23C8" w:rsidRDefault="00F377C9" w:rsidP="00F377C9">
            <w:pPr>
              <w:spacing w:after="0"/>
              <w:ind w:firstLine="0"/>
              <w:jc w:val="right"/>
              <w:rPr>
                <w:rFonts w:ascii="Arial" w:hAnsi="Arial" w:cs="Arial"/>
                <w:iCs/>
                <w:sz w:val="16"/>
                <w:szCs w:val="16"/>
              </w:rPr>
            </w:pPr>
            <w:r w:rsidRPr="009E23C8">
              <w:rPr>
                <w:rFonts w:ascii="Arial" w:hAnsi="Arial" w:cs="Arial"/>
                <w:iCs/>
                <w:sz w:val="16"/>
                <w:szCs w:val="16"/>
              </w:rPr>
              <w:t>3.93</w:t>
            </w:r>
            <w:r w:rsidR="002C3230">
              <w:rPr>
                <w:rFonts w:ascii="Arial" w:hAnsi="Arial" w:cs="Arial"/>
                <w:iCs/>
                <w:sz w:val="16"/>
                <w:szCs w:val="16"/>
              </w:rPr>
              <w:t>9.718</w:t>
            </w:r>
          </w:p>
        </w:tc>
      </w:tr>
    </w:tbl>
    <w:p w:rsidR="00F377C9" w:rsidRPr="009E23C8" w:rsidRDefault="00F377C9" w:rsidP="009E23C8">
      <w:pPr>
        <w:pStyle w:val="texto"/>
        <w:rPr>
          <w:lang w:eastAsia="es-ES"/>
        </w:rPr>
      </w:pPr>
    </w:p>
    <w:p w:rsidR="00F377C9" w:rsidRPr="00F377C9" w:rsidRDefault="00F377C9" w:rsidP="009E23C8">
      <w:pPr>
        <w:pStyle w:val="texto"/>
        <w:rPr>
          <w:lang w:eastAsia="es-ES"/>
        </w:rPr>
      </w:pPr>
    </w:p>
    <w:p w:rsidR="00F377C9" w:rsidRPr="00F377C9" w:rsidRDefault="00F377C9" w:rsidP="009E23C8">
      <w:pPr>
        <w:pStyle w:val="atitulo2"/>
      </w:pPr>
      <w:r w:rsidRPr="00F377C9">
        <w:br w:type="page"/>
      </w:r>
      <w:bookmarkStart w:id="25" w:name="_Toc399859617"/>
      <w:bookmarkStart w:id="26" w:name="_Toc463350242"/>
      <w:bookmarkStart w:id="27" w:name="_Toc494270376"/>
      <w:bookmarkStart w:id="28" w:name="_Toc498515785"/>
      <w:r w:rsidRPr="00F377C9">
        <w:lastRenderedPageBreak/>
        <w:t>III.2. Resultado presupuestario 201</w:t>
      </w:r>
      <w:bookmarkEnd w:id="25"/>
      <w:bookmarkEnd w:id="26"/>
      <w:r w:rsidRPr="00F377C9">
        <w:t>6</w:t>
      </w:r>
      <w:bookmarkEnd w:id="27"/>
      <w:bookmarkEnd w:id="28"/>
    </w:p>
    <w:p w:rsidR="009E23C8" w:rsidRPr="00CB057B" w:rsidRDefault="009E23C8" w:rsidP="009E23C8">
      <w:pPr>
        <w:suppressAutoHyphens/>
        <w:spacing w:after="60"/>
        <w:ind w:firstLine="0"/>
        <w:jc w:val="right"/>
        <w:rPr>
          <w:rFonts w:ascii="Arial" w:hAnsi="Arial"/>
          <w:spacing w:val="6"/>
          <w:sz w:val="17"/>
          <w:szCs w:val="17"/>
        </w:rPr>
      </w:pPr>
      <w:r w:rsidRPr="00CB057B">
        <w:rPr>
          <w:rFonts w:ascii="Arial" w:hAnsi="Arial"/>
          <w:spacing w:val="6"/>
          <w:sz w:val="17"/>
          <w:szCs w:val="17"/>
        </w:rPr>
        <w:t>(</w:t>
      </w:r>
      <w:r w:rsidR="005E5BD3">
        <w:rPr>
          <w:rFonts w:ascii="Arial" w:hAnsi="Arial"/>
          <w:spacing w:val="6"/>
          <w:sz w:val="17"/>
          <w:szCs w:val="17"/>
        </w:rPr>
        <w:t xml:space="preserve">en </w:t>
      </w:r>
      <w:r w:rsidRPr="00CB057B">
        <w:rPr>
          <w:rFonts w:ascii="Arial" w:hAnsi="Arial"/>
          <w:spacing w:val="6"/>
          <w:sz w:val="17"/>
          <w:szCs w:val="17"/>
        </w:rPr>
        <w:t>miles de euros)</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F377C9" w:rsidRPr="005A0CDC" w:rsidTr="005A0CDC">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5A0CDC">
              <w:rPr>
                <w:rFonts w:ascii="Arial" w:hAnsi="Arial" w:cs="Arial"/>
                <w:snapToGrid w:val="0"/>
                <w:spacing w:val="6"/>
                <w:sz w:val="18"/>
                <w:szCs w:val="18"/>
              </w:rPr>
              <w:t>Conceptos</w:t>
            </w:r>
          </w:p>
        </w:tc>
        <w:tc>
          <w:tcPr>
            <w:tcW w:w="2015"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5A0CDC">
              <w:rPr>
                <w:rFonts w:ascii="Arial" w:hAnsi="Arial" w:cs="Arial"/>
                <w:snapToGrid w:val="0"/>
                <w:color w:val="000000"/>
                <w:spacing w:val="6"/>
                <w:sz w:val="18"/>
                <w:szCs w:val="18"/>
                <w:lang w:val="es-ES"/>
              </w:rPr>
              <w:t xml:space="preserve">Derechos </w:t>
            </w:r>
          </w:p>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5A0CDC">
              <w:rPr>
                <w:rFonts w:ascii="Arial" w:hAnsi="Arial" w:cs="Arial"/>
                <w:snapToGrid w:val="0"/>
                <w:color w:val="000000"/>
                <w:spacing w:val="6"/>
                <w:sz w:val="18"/>
                <w:szCs w:val="18"/>
                <w:lang w:val="es-ES"/>
              </w:rPr>
              <w:t>Reconocidos</w:t>
            </w:r>
          </w:p>
        </w:tc>
        <w:tc>
          <w:tcPr>
            <w:tcW w:w="1593"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5A0CDC">
              <w:rPr>
                <w:rFonts w:ascii="Arial" w:hAnsi="Arial" w:cs="Arial"/>
                <w:snapToGrid w:val="0"/>
                <w:color w:val="000000"/>
                <w:spacing w:val="6"/>
                <w:sz w:val="18"/>
                <w:szCs w:val="18"/>
                <w:lang w:val="es-ES"/>
              </w:rPr>
              <w:t>Obligaciones</w:t>
            </w:r>
          </w:p>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5A0CDC">
              <w:rPr>
                <w:rFonts w:ascii="Arial" w:hAnsi="Arial" w:cs="Arial"/>
                <w:snapToGrid w:val="0"/>
                <w:color w:val="000000"/>
                <w:spacing w:val="6"/>
                <w:sz w:val="18"/>
                <w:szCs w:val="18"/>
                <w:lang w:val="es-ES"/>
              </w:rPr>
              <w:t>Reconocidas</w:t>
            </w:r>
          </w:p>
        </w:tc>
        <w:tc>
          <w:tcPr>
            <w:tcW w:w="1482" w:type="dxa"/>
            <w:tcBorders>
              <w:top w:val="single" w:sz="4" w:space="0" w:color="auto"/>
              <w:bottom w:val="single" w:sz="4" w:space="0" w:color="auto"/>
            </w:tcBorders>
            <w:shd w:val="clear" w:color="auto" w:fill="8DB3E2" w:themeFill="text2" w:themeFillTint="66"/>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5A0CDC">
              <w:rPr>
                <w:rFonts w:ascii="Arial" w:hAnsi="Arial" w:cs="Arial"/>
                <w:snapToGrid w:val="0"/>
                <w:color w:val="000000"/>
                <w:spacing w:val="6"/>
                <w:sz w:val="18"/>
                <w:szCs w:val="18"/>
                <w:lang w:val="es-ES"/>
              </w:rPr>
              <w:t>Importe</w:t>
            </w:r>
          </w:p>
        </w:tc>
      </w:tr>
      <w:tr w:rsidR="00F377C9" w:rsidRPr="00F377C9" w:rsidTr="005A0CDC">
        <w:trPr>
          <w:trHeight w:val="198"/>
          <w:jc w:val="center"/>
        </w:trPr>
        <w:tc>
          <w:tcPr>
            <w:tcW w:w="3745" w:type="dxa"/>
            <w:tcBorders>
              <w:top w:val="single" w:sz="4"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1. Operaciones corrientes</w:t>
            </w:r>
          </w:p>
        </w:tc>
        <w:tc>
          <w:tcPr>
            <w:tcW w:w="2015" w:type="dxa"/>
            <w:tcBorders>
              <w:top w:val="single" w:sz="4"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3.382.506</w:t>
            </w:r>
          </w:p>
        </w:tc>
        <w:tc>
          <w:tcPr>
            <w:tcW w:w="1593" w:type="dxa"/>
            <w:tcBorders>
              <w:top w:val="single" w:sz="4" w:space="0" w:color="auto"/>
            </w:tcBorders>
            <w:vAlign w:val="center"/>
          </w:tcPr>
          <w:p w:rsidR="00F377C9" w:rsidRPr="00F377C9" w:rsidRDefault="00F377C9" w:rsidP="00F377C9">
            <w:pPr>
              <w:spacing w:after="0"/>
              <w:ind w:right="41" w:firstLine="0"/>
              <w:jc w:val="right"/>
              <w:rPr>
                <w:rFonts w:ascii="Arial Narrow" w:hAnsi="Arial Narrow" w:cs="Arial"/>
                <w:snapToGrid w:val="0"/>
                <w:lang w:eastAsia="es-ES"/>
              </w:rPr>
            </w:pPr>
            <w:r w:rsidRPr="00F377C9">
              <w:rPr>
                <w:rFonts w:ascii="Arial Narrow" w:hAnsi="Arial Narrow" w:cs="Arial"/>
                <w:snapToGrid w:val="0"/>
                <w:lang w:eastAsia="es-ES"/>
              </w:rPr>
              <w:t>3.285.771</w:t>
            </w:r>
          </w:p>
        </w:tc>
        <w:tc>
          <w:tcPr>
            <w:tcW w:w="1482" w:type="dxa"/>
            <w:tcBorders>
              <w:top w:val="single" w:sz="4"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96.735</w:t>
            </w:r>
          </w:p>
        </w:tc>
      </w:tr>
      <w:tr w:rsidR="00F377C9" w:rsidRPr="00F377C9" w:rsidTr="009E23C8">
        <w:trPr>
          <w:trHeight w:val="198"/>
          <w:jc w:val="center"/>
        </w:trPr>
        <w:tc>
          <w:tcPr>
            <w:tcW w:w="3745" w:type="dxa"/>
            <w:tcBorders>
              <w:bottom w:val="nil"/>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2. Operaciones de capital</w:t>
            </w:r>
          </w:p>
        </w:tc>
        <w:tc>
          <w:tcPr>
            <w:tcW w:w="2015" w:type="dxa"/>
            <w:tcBorders>
              <w:bottom w:val="nil"/>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23.142</w:t>
            </w:r>
          </w:p>
        </w:tc>
        <w:tc>
          <w:tcPr>
            <w:tcW w:w="1593" w:type="dxa"/>
            <w:tcBorders>
              <w:bottom w:val="nil"/>
            </w:tcBorders>
            <w:vAlign w:val="center"/>
          </w:tcPr>
          <w:p w:rsidR="00F377C9" w:rsidRPr="00F377C9" w:rsidRDefault="00F377C9" w:rsidP="00F377C9">
            <w:pPr>
              <w:spacing w:after="0"/>
              <w:ind w:right="41" w:firstLine="0"/>
              <w:jc w:val="right"/>
              <w:rPr>
                <w:rFonts w:ascii="Arial Narrow" w:hAnsi="Arial Narrow" w:cs="Arial"/>
                <w:snapToGrid w:val="0"/>
                <w:lang w:eastAsia="es-ES"/>
              </w:rPr>
            </w:pPr>
            <w:r w:rsidRPr="00F377C9">
              <w:rPr>
                <w:rFonts w:ascii="Arial Narrow" w:hAnsi="Arial Narrow" w:cs="Arial"/>
                <w:snapToGrid w:val="0"/>
                <w:lang w:eastAsia="es-ES"/>
              </w:rPr>
              <w:t>176.875</w:t>
            </w:r>
          </w:p>
        </w:tc>
        <w:tc>
          <w:tcPr>
            <w:tcW w:w="1482" w:type="dxa"/>
            <w:tcBorders>
              <w:bottom w:val="nil"/>
            </w:tcBorders>
            <w:vAlign w:val="center"/>
          </w:tcPr>
          <w:p w:rsidR="00F377C9" w:rsidRPr="00F377C9" w:rsidRDefault="00F377C9" w:rsidP="00111BC1">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-153.73</w:t>
            </w:r>
            <w:r w:rsidR="00111BC1">
              <w:rPr>
                <w:rFonts w:ascii="Arial Narrow" w:hAnsi="Arial Narrow" w:cs="Arial"/>
                <w:snapToGrid w:val="0"/>
                <w:lang w:eastAsia="es-ES"/>
              </w:rPr>
              <w:t>3</w:t>
            </w:r>
          </w:p>
        </w:tc>
      </w:tr>
      <w:tr w:rsidR="00F377C9" w:rsidRPr="00F377C9" w:rsidTr="005A0CDC">
        <w:trPr>
          <w:trHeight w:val="198"/>
          <w:jc w:val="center"/>
        </w:trPr>
        <w:tc>
          <w:tcPr>
            <w:tcW w:w="3745" w:type="dxa"/>
            <w:tcBorders>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3. Operaciones con activos financieros</w:t>
            </w:r>
          </w:p>
        </w:tc>
        <w:tc>
          <w:tcPr>
            <w:tcW w:w="2015" w:type="dxa"/>
            <w:tcBorders>
              <w:bottom w:val="single" w:sz="2" w:space="0" w:color="auto"/>
            </w:tcBorders>
            <w:vAlign w:val="center"/>
          </w:tcPr>
          <w:p w:rsidR="00F377C9" w:rsidRPr="00F377C9" w:rsidRDefault="00F377C9" w:rsidP="00D75D14">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72.71</w:t>
            </w:r>
            <w:r w:rsidR="00D75D14">
              <w:rPr>
                <w:rFonts w:ascii="Arial Narrow" w:hAnsi="Arial Narrow" w:cs="Arial"/>
                <w:snapToGrid w:val="0"/>
                <w:lang w:eastAsia="es-ES"/>
              </w:rPr>
              <w:t>8</w:t>
            </w:r>
          </w:p>
        </w:tc>
        <w:tc>
          <w:tcPr>
            <w:tcW w:w="1593" w:type="dxa"/>
            <w:tcBorders>
              <w:bottom w:val="single" w:sz="2" w:space="0" w:color="auto"/>
            </w:tcBorders>
            <w:vAlign w:val="center"/>
          </w:tcPr>
          <w:p w:rsidR="00F377C9" w:rsidRPr="00F377C9" w:rsidRDefault="00F377C9" w:rsidP="00AA3E09">
            <w:pPr>
              <w:spacing w:after="0"/>
              <w:ind w:right="41" w:firstLine="0"/>
              <w:jc w:val="right"/>
              <w:rPr>
                <w:rFonts w:ascii="Arial Narrow" w:hAnsi="Arial Narrow" w:cs="Arial"/>
                <w:snapToGrid w:val="0"/>
                <w:lang w:eastAsia="es-ES"/>
              </w:rPr>
            </w:pPr>
            <w:r w:rsidRPr="00F377C9">
              <w:rPr>
                <w:rFonts w:ascii="Arial Narrow" w:hAnsi="Arial Narrow" w:cs="Arial"/>
                <w:snapToGrid w:val="0"/>
                <w:lang w:eastAsia="es-ES"/>
              </w:rPr>
              <w:t>87.87</w:t>
            </w:r>
            <w:r w:rsidR="00AA3E09">
              <w:rPr>
                <w:rFonts w:ascii="Arial Narrow" w:hAnsi="Arial Narrow" w:cs="Arial"/>
                <w:snapToGrid w:val="0"/>
                <w:lang w:eastAsia="es-ES"/>
              </w:rPr>
              <w:t>4</w:t>
            </w:r>
          </w:p>
        </w:tc>
        <w:tc>
          <w:tcPr>
            <w:tcW w:w="1482" w:type="dxa"/>
            <w:tcBorders>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-15.158</w:t>
            </w:r>
          </w:p>
        </w:tc>
      </w:tr>
      <w:tr w:rsidR="00F377C9" w:rsidRPr="00F377C9" w:rsidTr="005A0CDC">
        <w:trPr>
          <w:trHeight w:val="255"/>
          <w:jc w:val="center"/>
        </w:trPr>
        <w:tc>
          <w:tcPr>
            <w:tcW w:w="3745"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I. Resultado Presupuestario del ejercicio</w:t>
            </w:r>
          </w:p>
        </w:tc>
        <w:tc>
          <w:tcPr>
            <w:tcW w:w="2015"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3.478.366</w:t>
            </w:r>
          </w:p>
        </w:tc>
        <w:tc>
          <w:tcPr>
            <w:tcW w:w="1593" w:type="dxa"/>
            <w:tcBorders>
              <w:top w:val="single" w:sz="2" w:space="0" w:color="auto"/>
              <w:bottom w:val="single" w:sz="2" w:space="0" w:color="auto"/>
            </w:tcBorders>
            <w:vAlign w:val="center"/>
          </w:tcPr>
          <w:p w:rsidR="00F377C9" w:rsidRPr="00F377C9" w:rsidRDefault="00F377C9" w:rsidP="00F377C9">
            <w:pPr>
              <w:spacing w:after="0"/>
              <w:ind w:right="41" w:firstLine="0"/>
              <w:jc w:val="right"/>
              <w:rPr>
                <w:rFonts w:ascii="Arial Narrow" w:hAnsi="Arial Narrow" w:cs="Arial"/>
                <w:snapToGrid w:val="0"/>
                <w:lang w:eastAsia="es-ES"/>
              </w:rPr>
            </w:pPr>
            <w:r w:rsidRPr="00F377C9">
              <w:rPr>
                <w:rFonts w:ascii="Arial Narrow" w:hAnsi="Arial Narrow" w:cs="Arial"/>
                <w:snapToGrid w:val="0"/>
                <w:lang w:eastAsia="es-ES"/>
              </w:rPr>
              <w:t>3.550.520</w:t>
            </w:r>
          </w:p>
        </w:tc>
        <w:tc>
          <w:tcPr>
            <w:tcW w:w="1482" w:type="dxa"/>
            <w:tcBorders>
              <w:top w:val="single" w:sz="2" w:space="0" w:color="auto"/>
              <w:bottom w:val="single" w:sz="2" w:space="0" w:color="auto"/>
            </w:tcBorders>
            <w:vAlign w:val="center"/>
          </w:tcPr>
          <w:p w:rsidR="00F377C9" w:rsidRPr="00F377C9" w:rsidRDefault="00F377C9" w:rsidP="00AA3E0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-72.15</w:t>
            </w:r>
            <w:r w:rsidR="00AA3E09">
              <w:rPr>
                <w:rFonts w:ascii="Arial Narrow" w:hAnsi="Arial Narrow" w:cs="Arial"/>
                <w:snapToGrid w:val="0"/>
                <w:lang w:eastAsia="es-ES"/>
              </w:rPr>
              <w:t>6</w:t>
            </w:r>
          </w:p>
        </w:tc>
      </w:tr>
      <w:tr w:rsidR="00F377C9" w:rsidRPr="00F377C9" w:rsidTr="005A0CDC">
        <w:trPr>
          <w:trHeight w:val="255"/>
          <w:jc w:val="center"/>
        </w:trPr>
        <w:tc>
          <w:tcPr>
            <w:tcW w:w="3745"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II. Variación neta de pasivos financieros</w:t>
            </w:r>
          </w:p>
        </w:tc>
        <w:tc>
          <w:tcPr>
            <w:tcW w:w="2015"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579.702</w:t>
            </w:r>
          </w:p>
        </w:tc>
        <w:tc>
          <w:tcPr>
            <w:tcW w:w="1593" w:type="dxa"/>
            <w:tcBorders>
              <w:top w:val="single" w:sz="2" w:space="0" w:color="auto"/>
              <w:bottom w:val="single" w:sz="2" w:space="0" w:color="auto"/>
            </w:tcBorders>
            <w:vAlign w:val="center"/>
          </w:tcPr>
          <w:p w:rsidR="00F377C9" w:rsidRPr="00F377C9" w:rsidRDefault="00F377C9" w:rsidP="00F377C9">
            <w:pPr>
              <w:spacing w:after="0"/>
              <w:ind w:right="41" w:firstLine="0"/>
              <w:jc w:val="right"/>
              <w:rPr>
                <w:rFonts w:ascii="Arial Narrow" w:hAnsi="Arial Narrow" w:cs="Arial"/>
                <w:snapToGrid w:val="0"/>
                <w:lang w:eastAsia="es-ES"/>
              </w:rPr>
            </w:pPr>
            <w:r w:rsidRPr="00F377C9">
              <w:rPr>
                <w:rFonts w:ascii="Arial Narrow" w:hAnsi="Arial Narrow" w:cs="Arial"/>
                <w:snapToGrid w:val="0"/>
                <w:lang w:eastAsia="es-ES"/>
              </w:rPr>
              <w:t>416.079</w:t>
            </w: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163.623</w:t>
            </w:r>
          </w:p>
        </w:tc>
      </w:tr>
      <w:tr w:rsidR="00F377C9" w:rsidRPr="00F377C9" w:rsidTr="005A0CDC">
        <w:trPr>
          <w:trHeight w:val="255"/>
          <w:jc w:val="center"/>
        </w:trPr>
        <w:tc>
          <w:tcPr>
            <w:tcW w:w="7353" w:type="dxa"/>
            <w:gridSpan w:val="3"/>
            <w:tcBorders>
              <w:top w:val="single" w:sz="2" w:space="0" w:color="auto"/>
              <w:bottom w:val="single" w:sz="2" w:space="0" w:color="auto"/>
            </w:tcBorders>
            <w:vAlign w:val="center"/>
          </w:tcPr>
          <w:p w:rsidR="00F377C9" w:rsidRPr="00F377C9" w:rsidRDefault="00F377C9" w:rsidP="00F377C9">
            <w:pPr>
              <w:spacing w:after="0"/>
              <w:ind w:right="239" w:firstLine="0"/>
              <w:jc w:val="left"/>
              <w:rPr>
                <w:rFonts w:ascii="Arial Narrow" w:hAnsi="Arial Narrow" w:cs="Arial"/>
                <w:b/>
                <w:snapToGrid w:val="0"/>
                <w:lang w:eastAsia="es-ES"/>
              </w:rPr>
            </w:pPr>
            <w:r w:rsidRPr="00F377C9">
              <w:rPr>
                <w:rFonts w:ascii="Arial Narrow" w:hAnsi="Arial Narrow" w:cs="Arial"/>
                <w:b/>
                <w:snapToGrid w:val="0"/>
                <w:lang w:eastAsia="es-ES"/>
              </w:rPr>
              <w:t>III. Saldo presupuestario del ejercicio</w:t>
            </w: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b/>
                <w:snapToGrid w:val="0"/>
                <w:lang w:eastAsia="es-ES"/>
              </w:rPr>
            </w:pPr>
            <w:r w:rsidRPr="00F377C9">
              <w:rPr>
                <w:rFonts w:ascii="Arial Narrow" w:hAnsi="Arial Narrow" w:cs="Arial"/>
                <w:b/>
                <w:snapToGrid w:val="0"/>
                <w:lang w:eastAsia="es-ES"/>
              </w:rPr>
              <w:t>91.469</w:t>
            </w:r>
          </w:p>
        </w:tc>
      </w:tr>
      <w:tr w:rsidR="00F377C9" w:rsidRPr="00F377C9" w:rsidTr="005A0CDC">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4. Oblig. reconocidas financiadas con Rem. Tesor. afecto a FPELIN</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7.700</w:t>
            </w:r>
          </w:p>
        </w:tc>
      </w:tr>
      <w:tr w:rsidR="00F377C9" w:rsidRPr="00F377C9" w:rsidTr="009E23C8">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5. Desviaciones de financiación negativas imputables al ejercicio</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17.075</w:t>
            </w:r>
          </w:p>
        </w:tc>
      </w:tr>
      <w:tr w:rsidR="00F377C9" w:rsidRPr="00F377C9" w:rsidTr="005A0CDC">
        <w:trPr>
          <w:trHeight w:val="198"/>
          <w:jc w:val="center"/>
        </w:trPr>
        <w:tc>
          <w:tcPr>
            <w:tcW w:w="5760" w:type="dxa"/>
            <w:gridSpan w:val="2"/>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r w:rsidRPr="00F377C9">
              <w:rPr>
                <w:rFonts w:ascii="Arial Narrow" w:hAnsi="Arial Narrow" w:cs="Arial"/>
                <w:snapToGrid w:val="0"/>
                <w:lang w:eastAsia="es-ES"/>
              </w:rPr>
              <w:t xml:space="preserve">     6. Desviaciones de financiación positivas imputables al ejercicio</w:t>
            </w:r>
          </w:p>
        </w:tc>
        <w:tc>
          <w:tcPr>
            <w:tcW w:w="1593" w:type="dxa"/>
            <w:tcBorders>
              <w:top w:val="single" w:sz="2" w:space="0" w:color="auto"/>
              <w:bottom w:val="single" w:sz="2" w:space="0" w:color="auto"/>
            </w:tcBorders>
            <w:vAlign w:val="center"/>
          </w:tcPr>
          <w:p w:rsidR="00F377C9" w:rsidRPr="00F377C9" w:rsidRDefault="00F377C9" w:rsidP="00F377C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F377C9" w:rsidRPr="00F377C9" w:rsidRDefault="00F377C9" w:rsidP="00F377C9">
            <w:pPr>
              <w:spacing w:after="0"/>
              <w:ind w:firstLine="0"/>
              <w:jc w:val="right"/>
              <w:rPr>
                <w:rFonts w:ascii="Arial Narrow" w:hAnsi="Arial Narrow" w:cs="Arial"/>
                <w:snapToGrid w:val="0"/>
                <w:lang w:eastAsia="es-ES"/>
              </w:rPr>
            </w:pPr>
            <w:r w:rsidRPr="00F377C9">
              <w:rPr>
                <w:rFonts w:ascii="Arial Narrow" w:hAnsi="Arial Narrow" w:cs="Arial"/>
                <w:snapToGrid w:val="0"/>
                <w:lang w:eastAsia="es-ES"/>
              </w:rPr>
              <w:t>-3.208</w:t>
            </w:r>
          </w:p>
        </w:tc>
      </w:tr>
      <w:tr w:rsidR="00F377C9" w:rsidRPr="00F377C9" w:rsidTr="005A0CDC">
        <w:trPr>
          <w:trHeight w:val="255"/>
          <w:jc w:val="center"/>
        </w:trPr>
        <w:tc>
          <w:tcPr>
            <w:tcW w:w="7353" w:type="dxa"/>
            <w:gridSpan w:val="3"/>
            <w:tcBorders>
              <w:top w:val="single" w:sz="2" w:space="0" w:color="auto"/>
              <w:bottom w:val="single" w:sz="4" w:space="0" w:color="auto"/>
            </w:tcBorders>
            <w:vAlign w:val="center"/>
          </w:tcPr>
          <w:p w:rsidR="00F377C9" w:rsidRPr="00F377C9" w:rsidRDefault="00F377C9" w:rsidP="00F377C9">
            <w:pPr>
              <w:spacing w:after="0"/>
              <w:ind w:firstLine="0"/>
              <w:rPr>
                <w:rFonts w:ascii="Arial Narrow" w:hAnsi="Arial Narrow" w:cs="Arial"/>
                <w:b/>
                <w:snapToGrid w:val="0"/>
                <w:lang w:eastAsia="es-ES"/>
              </w:rPr>
            </w:pPr>
            <w:r w:rsidRPr="00F377C9">
              <w:rPr>
                <w:rFonts w:ascii="Arial Narrow" w:hAnsi="Arial Narrow" w:cs="Arial"/>
                <w:b/>
                <w:snapToGrid w:val="0"/>
                <w:lang w:eastAsia="es-ES"/>
              </w:rPr>
              <w:t xml:space="preserve">V. Saldo presupuestario </w:t>
            </w:r>
            <w:r w:rsidR="00111BC1">
              <w:rPr>
                <w:rFonts w:ascii="Arial Narrow" w:hAnsi="Arial Narrow" w:cs="Arial"/>
                <w:b/>
                <w:snapToGrid w:val="0"/>
                <w:lang w:eastAsia="es-ES"/>
              </w:rPr>
              <w:t>ajustado del ejercicio (III+4+5+</w:t>
            </w:r>
            <w:r w:rsidRPr="00F377C9">
              <w:rPr>
                <w:rFonts w:ascii="Arial Narrow" w:hAnsi="Arial Narrow" w:cs="Arial"/>
                <w:b/>
                <w:snapToGrid w:val="0"/>
                <w:lang w:eastAsia="es-ES"/>
              </w:rPr>
              <w:t>6)</w:t>
            </w:r>
          </w:p>
        </w:tc>
        <w:tc>
          <w:tcPr>
            <w:tcW w:w="1482" w:type="dxa"/>
            <w:tcBorders>
              <w:top w:val="single" w:sz="2" w:space="0" w:color="auto"/>
              <w:bottom w:val="single" w:sz="4" w:space="0" w:color="auto"/>
            </w:tcBorders>
            <w:vAlign w:val="center"/>
          </w:tcPr>
          <w:p w:rsidR="00F377C9" w:rsidRPr="00F377C9" w:rsidRDefault="00F377C9" w:rsidP="00F377C9">
            <w:pPr>
              <w:spacing w:after="0"/>
              <w:ind w:firstLine="0"/>
              <w:jc w:val="right"/>
              <w:rPr>
                <w:rFonts w:ascii="Arial Narrow" w:hAnsi="Arial Narrow" w:cs="Arial"/>
                <w:b/>
                <w:snapToGrid w:val="0"/>
                <w:lang w:eastAsia="es-ES"/>
              </w:rPr>
            </w:pPr>
            <w:r w:rsidRPr="00F377C9">
              <w:rPr>
                <w:rFonts w:ascii="Arial Narrow" w:hAnsi="Arial Narrow" w:cs="Arial"/>
                <w:b/>
                <w:snapToGrid w:val="0"/>
                <w:lang w:eastAsia="es-ES"/>
              </w:rPr>
              <w:t>113.036</w:t>
            </w:r>
          </w:p>
        </w:tc>
      </w:tr>
    </w:tbl>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377C9" w:rsidRDefault="00F377C9" w:rsidP="005A0CDC">
      <w:pPr>
        <w:pStyle w:val="atitulo2"/>
      </w:pPr>
      <w:bookmarkStart w:id="29" w:name="_Toc399859618"/>
      <w:bookmarkStart w:id="30" w:name="_Toc463350243"/>
      <w:bookmarkStart w:id="31" w:name="_Toc494270377"/>
      <w:bookmarkStart w:id="32" w:name="_Toc498515786"/>
      <w:r w:rsidRPr="00F377C9">
        <w:t>III.3. Remanente de Tesorería a 31 de diciembre de 201</w:t>
      </w:r>
      <w:bookmarkEnd w:id="29"/>
      <w:bookmarkEnd w:id="30"/>
      <w:r w:rsidRPr="00F377C9">
        <w:t>6</w:t>
      </w:r>
      <w:bookmarkEnd w:id="31"/>
      <w:bookmarkEnd w:id="32"/>
    </w:p>
    <w:p w:rsidR="00F377C9" w:rsidRPr="005A0CDC" w:rsidRDefault="00F377C9" w:rsidP="00EB7C97">
      <w:pPr>
        <w:suppressAutoHyphens/>
        <w:spacing w:after="60"/>
        <w:ind w:firstLine="0"/>
        <w:jc w:val="right"/>
        <w:rPr>
          <w:rFonts w:ascii="Arial" w:hAnsi="Arial"/>
          <w:spacing w:val="6"/>
          <w:sz w:val="17"/>
          <w:szCs w:val="17"/>
        </w:rPr>
      </w:pPr>
      <w:r w:rsidRPr="005A0CDC">
        <w:rPr>
          <w:rFonts w:ascii="Arial" w:hAnsi="Arial"/>
          <w:spacing w:val="6"/>
          <w:sz w:val="17"/>
          <w:szCs w:val="17"/>
        </w:rPr>
        <w:t>(en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5A0CDC">
              <w:rPr>
                <w:rFonts w:ascii="Arial" w:hAnsi="Arial" w:cs="Arial"/>
                <w:snapToGrid w:val="0"/>
                <w:spacing w:val="6"/>
                <w:sz w:val="18"/>
                <w:szCs w:val="18"/>
              </w:rPr>
              <w:t>Conceptos</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5A0CDC">
              <w:rPr>
                <w:rFonts w:ascii="Arial" w:hAnsi="Arial" w:cs="Arial"/>
                <w:snapToGrid w:val="0"/>
                <w:spacing w:val="6"/>
                <w:sz w:val="18"/>
                <w:szCs w:val="18"/>
              </w:rPr>
              <w:t>Importe</w:t>
            </w:r>
          </w:p>
        </w:tc>
      </w:tr>
      <w:tr w:rsidR="00F377C9" w:rsidRPr="00F377C9" w:rsidTr="005A0CDC">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b/>
                <w:bCs/>
              </w:rPr>
            </w:pPr>
            <w:r w:rsidRPr="00F377C9">
              <w:rPr>
                <w:rFonts w:ascii="Arial Narrow" w:hAnsi="Arial Narrow" w:cs="Arial"/>
                <w:b/>
                <w:bCs/>
              </w:rPr>
              <w:t>+ Derechos pendientes de cobro</w:t>
            </w:r>
          </w:p>
        </w:tc>
        <w:tc>
          <w:tcPr>
            <w:tcW w:w="1967"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b/>
                <w:bCs/>
              </w:rPr>
            </w:pPr>
            <w:r w:rsidRPr="00F377C9">
              <w:rPr>
                <w:rFonts w:ascii="Arial Narrow" w:hAnsi="Arial Narrow" w:cs="Arial"/>
                <w:b/>
                <w:bCs/>
              </w:rPr>
              <w:t>226.052.845</w:t>
            </w: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Presupuesto Ingresos: ejercicio corriente</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721.699.931</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-479.437.142</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Minoración por partidas pendientes de aplicar</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-4.020.988</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Minoración por partidas pdtes aplicar CAT</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-43.748.051</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33.261.616</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-2.629.603</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1.084.396</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snapToGrid w:val="0"/>
              </w:rPr>
            </w:pPr>
            <w:r w:rsidRPr="00F377C9">
              <w:rPr>
                <w:rFonts w:ascii="Arial Narrow" w:hAnsi="Arial Narrow" w:cs="Arial"/>
                <w:snapToGrid w:val="0"/>
              </w:rPr>
              <w:t>-157.315</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F377C9" w:rsidRPr="00F377C9" w:rsidRDefault="00111BC1" w:rsidP="00F377C9">
            <w:pPr>
              <w:spacing w:after="0"/>
              <w:ind w:hanging="1"/>
              <w:rPr>
                <w:rFonts w:ascii="Arial Narrow" w:hAnsi="Arial Narrow" w:cs="Arial"/>
                <w:b/>
                <w:bCs/>
              </w:rPr>
            </w:pPr>
            <w:r>
              <w:rPr>
                <w:rFonts w:ascii="Arial Narrow" w:hAnsi="Arial Narrow" w:cs="Arial"/>
                <w:b/>
                <w:bCs/>
              </w:rPr>
              <w:t xml:space="preserve">+ </w:t>
            </w:r>
            <w:r w:rsidR="00F377C9" w:rsidRPr="00F377C9">
              <w:rPr>
                <w:rFonts w:ascii="Arial Narrow" w:hAnsi="Arial Narrow" w:cs="Arial"/>
                <w:b/>
                <w:bCs/>
              </w:rPr>
              <w:t>Obligaciones pendientes de pago</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jc w:val="right"/>
              <w:rPr>
                <w:rFonts w:ascii="Arial Narrow" w:hAnsi="Arial Narrow" w:cs="Arial"/>
                <w:b/>
                <w:snapToGrid w:val="0"/>
              </w:rPr>
            </w:pPr>
            <w:r w:rsidRPr="00F377C9">
              <w:rPr>
                <w:rFonts w:ascii="Arial Narrow" w:hAnsi="Arial Narrow" w:cs="Arial"/>
                <w:b/>
                <w:snapToGrid w:val="0"/>
              </w:rPr>
              <w:t>-504.022.690</w:t>
            </w: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right="-70" w:firstLine="0"/>
              <w:rPr>
                <w:rFonts w:ascii="Arial Narrow" w:hAnsi="Arial Narrow" w:cs="Arial"/>
              </w:rPr>
            </w:pPr>
            <w:r w:rsidRPr="00F377C9">
              <w:rPr>
                <w:rFonts w:ascii="Arial Narrow" w:hAnsi="Arial Narrow" w:cs="Arial"/>
              </w:rPr>
              <w:t>Presupuesto Gastos: ejercicio corriente</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sidRPr="00F377C9">
              <w:rPr>
                <w:rFonts w:ascii="Arial Narrow" w:hAnsi="Arial Narrow" w:cs="Arial"/>
              </w:rPr>
              <w:t>-440.054.085</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sidRPr="00F377C9">
              <w:rPr>
                <w:rFonts w:ascii="Arial Narrow" w:hAnsi="Arial Narrow" w:cs="Arial"/>
              </w:rPr>
              <w:t>-7.327.158</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val="198"/>
          <w:jc w:val="center"/>
        </w:trPr>
        <w:tc>
          <w:tcPr>
            <w:tcW w:w="4705"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firstLine="0"/>
              <w:rPr>
                <w:rFonts w:ascii="Arial Narrow" w:hAnsi="Arial Narrow" w:cs="Arial"/>
              </w:rPr>
            </w:pPr>
            <w:r w:rsidRPr="00F377C9">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sidRPr="00F377C9">
              <w:rPr>
                <w:rFonts w:ascii="Arial Narrow" w:hAnsi="Arial Narrow" w:cs="Arial"/>
              </w:rPr>
              <w:t>-56.641.447</w:t>
            </w:r>
          </w:p>
        </w:tc>
        <w:tc>
          <w:tcPr>
            <w:tcW w:w="1967" w:type="dxa"/>
            <w:tcBorders>
              <w:top w:val="single" w:sz="2"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rPr>
            </w:pPr>
          </w:p>
        </w:tc>
      </w:tr>
      <w:tr w:rsidR="00F377C9" w:rsidRPr="00F377C9" w:rsidTr="005A0CDC">
        <w:trPr>
          <w:trHeight w:hRule="exact" w:val="255"/>
          <w:jc w:val="center"/>
        </w:trPr>
        <w:tc>
          <w:tcPr>
            <w:tcW w:w="4705"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firstLine="12"/>
              <w:rPr>
                <w:rFonts w:ascii="Arial Narrow" w:hAnsi="Arial Narrow" w:cs="Arial"/>
                <w:b/>
                <w:bCs/>
              </w:rPr>
            </w:pPr>
            <w:r w:rsidRPr="00F377C9">
              <w:rPr>
                <w:rFonts w:ascii="Arial Narrow" w:hAnsi="Arial Narrow" w:cs="Arial"/>
                <w:b/>
                <w:bCs/>
              </w:rPr>
              <w:t>+ Fondos líquidos</w:t>
            </w:r>
          </w:p>
        </w:tc>
        <w:tc>
          <w:tcPr>
            <w:tcW w:w="2281"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b/>
                <w:bCs/>
              </w:rPr>
            </w:pPr>
            <w:r w:rsidRPr="00F377C9">
              <w:rPr>
                <w:rFonts w:ascii="Arial Narrow" w:hAnsi="Arial Narrow" w:cs="Arial"/>
                <w:b/>
                <w:bCs/>
              </w:rPr>
              <w:t>140.922.763</w:t>
            </w: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b/>
                <w:bCs/>
                <w:spacing w:val="6"/>
                <w:sz w:val="18"/>
                <w:szCs w:val="18"/>
              </w:rPr>
            </w:pPr>
            <w:r w:rsidRPr="005A0CDC">
              <w:rPr>
                <w:rFonts w:ascii="Arial" w:hAnsi="Arial" w:cs="Arial"/>
                <w:spacing w:val="6"/>
                <w:sz w:val="18"/>
                <w:szCs w:val="18"/>
              </w:rPr>
              <w:t>Remanente de Tesorería Total</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AA3E0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sidRPr="005A0CDC">
              <w:rPr>
                <w:rFonts w:ascii="Arial" w:hAnsi="Arial" w:cs="Arial"/>
                <w:bCs/>
                <w:spacing w:val="6"/>
                <w:sz w:val="18"/>
                <w:szCs w:val="18"/>
              </w:rPr>
              <w:t>-137.047.08</w:t>
            </w:r>
            <w:r w:rsidR="00AA3E09">
              <w:rPr>
                <w:rFonts w:ascii="Arial" w:hAnsi="Arial" w:cs="Arial"/>
                <w:bCs/>
                <w:spacing w:val="6"/>
                <w:sz w:val="18"/>
                <w:szCs w:val="18"/>
              </w:rPr>
              <w:t>2</w:t>
            </w:r>
          </w:p>
        </w:tc>
      </w:tr>
      <w:tr w:rsidR="00F377C9" w:rsidRPr="00F377C9" w:rsidTr="005A0CDC">
        <w:trPr>
          <w:trHeight w:val="198"/>
          <w:jc w:val="center"/>
        </w:trPr>
        <w:tc>
          <w:tcPr>
            <w:tcW w:w="4705"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firstLine="0"/>
              <w:jc w:val="left"/>
              <w:rPr>
                <w:rFonts w:ascii="Arial Narrow" w:hAnsi="Arial Narrow" w:cs="Arial"/>
              </w:rPr>
            </w:pPr>
            <w:r w:rsidRPr="00F377C9">
              <w:rPr>
                <w:rFonts w:ascii="Arial Narrow" w:hAnsi="Arial Narrow" w:cs="Arial"/>
              </w:rPr>
              <w:t>R.T. afecto a Fondo Haciendas Locales</w:t>
            </w:r>
          </w:p>
        </w:tc>
        <w:tc>
          <w:tcPr>
            <w:tcW w:w="2281"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sidRPr="00F377C9">
              <w:rPr>
                <w:rFonts w:ascii="Arial Narrow" w:hAnsi="Arial Narrow" w:cs="Arial"/>
              </w:rPr>
              <w:t>45.563.364</w:t>
            </w:r>
          </w:p>
        </w:tc>
        <w:tc>
          <w:tcPr>
            <w:tcW w:w="1967" w:type="dxa"/>
            <w:tcBorders>
              <w:top w:val="single" w:sz="4" w:space="0" w:color="auto"/>
              <w:bottom w:val="single" w:sz="2"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r>
      <w:tr w:rsidR="00F377C9" w:rsidRPr="00F377C9" w:rsidTr="005A0CDC">
        <w:trPr>
          <w:trHeight w:val="198"/>
          <w:jc w:val="center"/>
        </w:trPr>
        <w:tc>
          <w:tcPr>
            <w:tcW w:w="4705"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firstLine="0"/>
              <w:jc w:val="left"/>
              <w:rPr>
                <w:rFonts w:ascii="Arial Narrow" w:hAnsi="Arial Narrow" w:cs="Arial"/>
              </w:rPr>
            </w:pPr>
            <w:r w:rsidRPr="00F377C9">
              <w:rPr>
                <w:rFonts w:ascii="Arial Narrow" w:hAnsi="Arial Narrow" w:cs="Arial"/>
              </w:rPr>
              <w:t>Desviaciones de financiación acumuladas positivas</w:t>
            </w:r>
          </w:p>
        </w:tc>
        <w:tc>
          <w:tcPr>
            <w:tcW w:w="2281"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jc w:val="right"/>
              <w:rPr>
                <w:rFonts w:ascii="Arial Narrow" w:hAnsi="Arial Narrow" w:cs="Arial"/>
              </w:rPr>
            </w:pPr>
            <w:r w:rsidRPr="00F377C9">
              <w:rPr>
                <w:rFonts w:ascii="Arial Narrow" w:hAnsi="Arial Narrow" w:cs="Arial"/>
              </w:rPr>
              <w:t>1.011.884</w:t>
            </w:r>
          </w:p>
        </w:tc>
        <w:tc>
          <w:tcPr>
            <w:tcW w:w="1967" w:type="dxa"/>
            <w:tcBorders>
              <w:top w:val="single" w:sz="2" w:space="0" w:color="auto"/>
              <w:bottom w:val="single" w:sz="4" w:space="0" w:color="auto"/>
            </w:tcBorders>
            <w:shd w:val="clear" w:color="auto" w:fill="auto"/>
            <w:noWrap/>
            <w:vAlign w:val="center"/>
          </w:tcPr>
          <w:p w:rsidR="00F377C9" w:rsidRPr="00F377C9" w:rsidRDefault="00F377C9" w:rsidP="00F377C9">
            <w:pPr>
              <w:spacing w:after="0"/>
              <w:ind w:hanging="1"/>
              <w:rPr>
                <w:rFonts w:ascii="Arial Narrow" w:hAnsi="Arial Narrow" w:cs="Arial"/>
                <w:b/>
              </w:rPr>
            </w:pP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5A0CDC">
              <w:rPr>
                <w:rFonts w:ascii="Arial" w:hAnsi="Arial" w:cs="Arial"/>
                <w:spacing w:val="6"/>
                <w:sz w:val="18"/>
                <w:szCs w:val="18"/>
              </w:rPr>
              <w:t>Remanente de Tesorería afecto</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A0CDC">
              <w:rPr>
                <w:rFonts w:ascii="Arial" w:hAnsi="Arial" w:cs="Arial"/>
                <w:spacing w:val="6"/>
                <w:sz w:val="18"/>
                <w:szCs w:val="18"/>
              </w:rPr>
              <w:t>46.575.248</w:t>
            </w:r>
          </w:p>
        </w:tc>
      </w:tr>
      <w:tr w:rsidR="00F377C9" w:rsidRPr="005A0CDC" w:rsidTr="005A0CDC">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5A0CDC">
              <w:rPr>
                <w:rFonts w:ascii="Arial" w:hAnsi="Arial" w:cs="Arial"/>
                <w:spacing w:val="6"/>
                <w:sz w:val="18"/>
                <w:szCs w:val="18"/>
              </w:rPr>
              <w:t>Remanente de Tesorería gastos generales</w:t>
            </w:r>
          </w:p>
        </w:tc>
        <w:tc>
          <w:tcPr>
            <w:tcW w:w="1967" w:type="dxa"/>
            <w:tcBorders>
              <w:top w:val="single" w:sz="4" w:space="0" w:color="auto"/>
              <w:bottom w:val="single" w:sz="4" w:space="0" w:color="auto"/>
            </w:tcBorders>
            <w:shd w:val="clear" w:color="auto" w:fill="8DB3E2" w:themeFill="text2" w:themeFillTint="66"/>
            <w:noWrap/>
            <w:vAlign w:val="center"/>
          </w:tcPr>
          <w:p w:rsidR="00F377C9" w:rsidRPr="005A0CDC"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sidRPr="005A0CDC">
              <w:rPr>
                <w:rFonts w:ascii="Arial" w:hAnsi="Arial" w:cs="Arial"/>
                <w:bCs/>
                <w:spacing w:val="6"/>
                <w:sz w:val="18"/>
                <w:szCs w:val="18"/>
              </w:rPr>
              <w:t>-183.622.330</w:t>
            </w:r>
          </w:p>
        </w:tc>
      </w:tr>
    </w:tbl>
    <w:p w:rsidR="00F377C9" w:rsidRPr="00F377C9" w:rsidRDefault="00F377C9" w:rsidP="00F377C9">
      <w:pPr>
        <w:tabs>
          <w:tab w:val="center" w:pos="2835"/>
          <w:tab w:val="center" w:pos="3969"/>
          <w:tab w:val="center" w:pos="5103"/>
          <w:tab w:val="center" w:pos="6237"/>
          <w:tab w:val="center" w:pos="7371"/>
        </w:tabs>
        <w:ind w:firstLine="284"/>
        <w:rPr>
          <w:spacing w:val="6"/>
          <w:sz w:val="26"/>
          <w:szCs w:val="24"/>
        </w:rPr>
      </w:pPr>
    </w:p>
    <w:p w:rsidR="00F377C9" w:rsidRPr="00FE6FC5" w:rsidRDefault="00F377C9" w:rsidP="002503AF">
      <w:pPr>
        <w:pStyle w:val="atitulo2"/>
        <w:spacing w:before="240" w:after="120"/>
        <w:rPr>
          <w:bCs w:val="0"/>
          <w:iCs w:val="0"/>
        </w:rPr>
      </w:pPr>
      <w:r w:rsidRPr="00F377C9">
        <w:rPr>
          <w:bCs w:val="0"/>
          <w:iCs w:val="0"/>
        </w:rPr>
        <w:br w:type="page"/>
      </w:r>
      <w:bookmarkStart w:id="33" w:name="_Toc399859619"/>
      <w:bookmarkStart w:id="34" w:name="_Toc463350244"/>
      <w:bookmarkStart w:id="35" w:name="_Toc494270378"/>
      <w:bookmarkStart w:id="36" w:name="_Toc498515787"/>
      <w:r w:rsidRPr="00FE6FC5">
        <w:rPr>
          <w:bCs w:val="0"/>
          <w:iCs w:val="0"/>
        </w:rPr>
        <w:lastRenderedPageBreak/>
        <w:t>III.4. Balance de situación a 31 de diciembre de 201</w:t>
      </w:r>
      <w:bookmarkEnd w:id="33"/>
      <w:r w:rsidRPr="00FE6FC5">
        <w:rPr>
          <w:bCs w:val="0"/>
          <w:iCs w:val="0"/>
        </w:rPr>
        <w:t>6</w:t>
      </w:r>
      <w:bookmarkEnd w:id="34"/>
      <w:bookmarkEnd w:id="35"/>
      <w:bookmarkEnd w:id="36"/>
    </w:p>
    <w:p w:rsidR="00F377C9" w:rsidRPr="00EB7C97" w:rsidRDefault="00F377C9" w:rsidP="00EB7C97">
      <w:pPr>
        <w:suppressAutoHyphens/>
        <w:spacing w:after="60"/>
        <w:ind w:firstLine="0"/>
        <w:jc w:val="right"/>
        <w:rPr>
          <w:rFonts w:ascii="Arial" w:hAnsi="Arial"/>
          <w:spacing w:val="6"/>
          <w:sz w:val="17"/>
          <w:szCs w:val="17"/>
        </w:rPr>
      </w:pPr>
      <w:r w:rsidRPr="00EB7C97">
        <w:rPr>
          <w:rFonts w:ascii="Arial" w:hAnsi="Arial"/>
          <w:spacing w:val="6"/>
          <w:sz w:val="17"/>
          <w:szCs w:val="17"/>
        </w:rPr>
        <w:t>(en euros)</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F377C9" w:rsidRPr="00F377C9" w:rsidTr="0035314C">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F377C9" w:rsidRPr="00F377C9" w:rsidRDefault="00F377C9" w:rsidP="005A0CDC">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t>ACTIVO</w:t>
            </w:r>
          </w:p>
        </w:tc>
        <w:tc>
          <w:tcPr>
            <w:tcW w:w="1843"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Pr>
                <w:rFonts w:ascii="Arial" w:hAnsi="Arial"/>
                <w:snapToGrid w:val="0"/>
                <w:spacing w:val="6"/>
                <w:sz w:val="18"/>
                <w:szCs w:val="24"/>
                <w:lang w:val="es-ES"/>
              </w:rPr>
              <w:t xml:space="preserve">Ejercicio </w:t>
            </w:r>
            <w:r w:rsidR="00132A11">
              <w:rPr>
                <w:rFonts w:ascii="Arial" w:hAnsi="Arial"/>
                <w:snapToGrid w:val="0"/>
                <w:spacing w:val="6"/>
                <w:sz w:val="18"/>
                <w:szCs w:val="24"/>
                <w:lang w:val="es-ES"/>
              </w:rPr>
              <w:t>2</w:t>
            </w:r>
            <w:r w:rsidR="00F377C9" w:rsidRPr="00F377C9">
              <w:rPr>
                <w:rFonts w:ascii="Arial" w:hAnsi="Arial"/>
                <w:snapToGrid w:val="0"/>
                <w:spacing w:val="6"/>
                <w:sz w:val="18"/>
                <w:szCs w:val="24"/>
                <w:lang w:val="es-ES"/>
              </w:rPr>
              <w:t>016</w:t>
            </w:r>
          </w:p>
        </w:tc>
        <w:tc>
          <w:tcPr>
            <w:tcW w:w="1969" w:type="dxa"/>
            <w:tcBorders>
              <w:top w:val="single" w:sz="4" w:space="0" w:color="auto"/>
              <w:bottom w:val="single" w:sz="4" w:space="0" w:color="auto"/>
            </w:tcBorders>
            <w:shd w:val="clear" w:color="auto" w:fill="8DB3E2" w:themeFill="text2" w:themeFillTint="66"/>
            <w:vAlign w:val="center"/>
          </w:tcPr>
          <w:p w:rsidR="00F377C9" w:rsidRPr="00F377C9" w:rsidRDefault="007A489E" w:rsidP="00E7467B">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lang w:val="es-ES"/>
              </w:rPr>
            </w:pPr>
            <w:r>
              <w:rPr>
                <w:rFonts w:ascii="Arial" w:hAnsi="Arial"/>
                <w:snapToGrid w:val="0"/>
                <w:spacing w:val="6"/>
                <w:sz w:val="18"/>
                <w:szCs w:val="24"/>
                <w:lang w:val="es-ES"/>
              </w:rPr>
              <w:t xml:space="preserve">Ejercicio </w:t>
            </w:r>
            <w:r w:rsidR="00F377C9" w:rsidRPr="00F377C9">
              <w:rPr>
                <w:rFonts w:ascii="Arial" w:hAnsi="Arial"/>
                <w:snapToGrid w:val="0"/>
                <w:spacing w:val="6"/>
                <w:sz w:val="18"/>
                <w:szCs w:val="24"/>
                <w:lang w:val="es-ES"/>
              </w:rPr>
              <w:t>2015</w:t>
            </w:r>
          </w:p>
        </w:tc>
      </w:tr>
      <w:tr w:rsidR="00F377C9" w:rsidRPr="00F377C9" w:rsidTr="0035314C">
        <w:trPr>
          <w:trHeight w:val="255"/>
          <w:jc w:val="center"/>
        </w:trPr>
        <w:tc>
          <w:tcPr>
            <w:tcW w:w="5074" w:type="dxa"/>
            <w:tcBorders>
              <w:top w:val="single" w:sz="4" w:space="0" w:color="auto"/>
              <w:bottom w:val="single" w:sz="4" w:space="0" w:color="auto"/>
            </w:tcBorders>
            <w:vAlign w:val="center"/>
          </w:tcPr>
          <w:p w:rsidR="00F377C9" w:rsidRPr="00F377C9" w:rsidRDefault="00F377C9" w:rsidP="005A0CDC">
            <w:pPr>
              <w:spacing w:after="0"/>
              <w:ind w:firstLine="0"/>
              <w:rPr>
                <w:rFonts w:ascii="Arial Narrow" w:hAnsi="Arial Narrow" w:cs="Arial"/>
                <w:b/>
                <w:snapToGrid w:val="0"/>
                <w:color w:val="000000"/>
              </w:rPr>
            </w:pPr>
            <w:r w:rsidRPr="00F377C9">
              <w:rPr>
                <w:rFonts w:ascii="Arial Narrow" w:hAnsi="Arial Narrow" w:cs="Arial"/>
                <w:b/>
                <w:snapToGrid w:val="0"/>
                <w:color w:val="000000"/>
              </w:rPr>
              <w:t xml:space="preserve">A) Inmovilizado </w:t>
            </w:r>
          </w:p>
        </w:tc>
        <w:tc>
          <w:tcPr>
            <w:tcW w:w="1843" w:type="dxa"/>
            <w:tcBorders>
              <w:top w:val="single" w:sz="4" w:space="0" w:color="auto"/>
              <w:bottom w:val="single" w:sz="4" w:space="0" w:color="auto"/>
            </w:tcBorders>
            <w:vAlign w:val="center"/>
          </w:tcPr>
          <w:p w:rsidR="00F377C9" w:rsidRPr="00F377C9" w:rsidRDefault="00F377C9" w:rsidP="0035314C">
            <w:pPr>
              <w:spacing w:after="0"/>
              <w:ind w:left="-63" w:right="72"/>
              <w:jc w:val="right"/>
              <w:rPr>
                <w:rFonts w:ascii="Arial Narrow" w:hAnsi="Arial Narrow" w:cs="Arial"/>
                <w:b/>
                <w:snapToGrid w:val="0"/>
                <w:color w:val="000000"/>
              </w:rPr>
            </w:pPr>
            <w:r w:rsidRPr="00F377C9">
              <w:rPr>
                <w:rFonts w:ascii="Arial Narrow" w:hAnsi="Arial Narrow" w:cs="Arial"/>
                <w:b/>
                <w:snapToGrid w:val="0"/>
                <w:color w:val="000000"/>
              </w:rPr>
              <w:t>2.819.319.088</w:t>
            </w:r>
          </w:p>
        </w:tc>
        <w:tc>
          <w:tcPr>
            <w:tcW w:w="1969" w:type="dxa"/>
            <w:tcBorders>
              <w:top w:val="single" w:sz="4" w:space="0" w:color="auto"/>
              <w:bottom w:val="single" w:sz="4" w:space="0" w:color="auto"/>
            </w:tcBorders>
            <w:vAlign w:val="center"/>
          </w:tcPr>
          <w:p w:rsidR="00F377C9" w:rsidRPr="00F377C9" w:rsidRDefault="00F377C9" w:rsidP="00E7467B">
            <w:pPr>
              <w:spacing w:after="0"/>
              <w:ind w:left="-63"/>
              <w:jc w:val="right"/>
              <w:rPr>
                <w:rFonts w:ascii="Arial Narrow" w:hAnsi="Arial Narrow" w:cs="Arial"/>
                <w:b/>
                <w:snapToGrid w:val="0"/>
                <w:color w:val="000000"/>
              </w:rPr>
            </w:pPr>
            <w:r w:rsidRPr="00F377C9">
              <w:rPr>
                <w:rFonts w:ascii="Arial Narrow" w:hAnsi="Arial Narrow" w:cs="Arial"/>
                <w:b/>
                <w:snapToGrid w:val="0"/>
                <w:color w:val="000000"/>
              </w:rPr>
              <w:t>2.775.979.301</w:t>
            </w:r>
          </w:p>
        </w:tc>
      </w:tr>
      <w:tr w:rsidR="00F377C9" w:rsidRPr="005A0CDC" w:rsidTr="0035314C">
        <w:trPr>
          <w:trHeight w:val="255"/>
          <w:jc w:val="center"/>
        </w:trPr>
        <w:tc>
          <w:tcPr>
            <w:tcW w:w="5074" w:type="dxa"/>
            <w:tcBorders>
              <w:top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III. Inmovilizaciones materiales</w:t>
            </w:r>
          </w:p>
        </w:tc>
        <w:tc>
          <w:tcPr>
            <w:tcW w:w="1843" w:type="dxa"/>
            <w:tcBorders>
              <w:top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2.218.327.677</w:t>
            </w:r>
          </w:p>
        </w:tc>
        <w:tc>
          <w:tcPr>
            <w:tcW w:w="1969" w:type="dxa"/>
            <w:tcBorders>
              <w:top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2.182.799.050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1. Terrenos y construcciones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1.501.283.482</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1.467.314.609</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2. Instalaciones técnicas y maquinaria</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69.405.710</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68.400.430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3. Utillaje y mobiliario</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388.433.588</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301.319.987</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4. Otro inmovilizado </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259.204.897</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345.764.025</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V. Inversiones financieras permanentes</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600.991.411</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593.180.251</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1. Cartera de valores a largo plazo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534.493.407</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523.999.407</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2. Otras inversiones y créditos a largo plazo</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67.385.457</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70.137.762</w:t>
            </w:r>
          </w:p>
        </w:tc>
      </w:tr>
      <w:tr w:rsidR="00F377C9" w:rsidRPr="005A0CDC" w:rsidTr="0035314C">
        <w:trPr>
          <w:trHeight w:val="198"/>
          <w:jc w:val="center"/>
        </w:trPr>
        <w:tc>
          <w:tcPr>
            <w:tcW w:w="5074" w:type="dxa"/>
            <w:tcBorders>
              <w:bottom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4. (Provisiones)</w:t>
            </w:r>
          </w:p>
        </w:tc>
        <w:tc>
          <w:tcPr>
            <w:tcW w:w="1843" w:type="dxa"/>
            <w:tcBorders>
              <w:bottom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-887.453</w:t>
            </w:r>
          </w:p>
        </w:tc>
        <w:tc>
          <w:tcPr>
            <w:tcW w:w="1969" w:type="dxa"/>
            <w:tcBorders>
              <w:bottom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-956.918</w:t>
            </w:r>
          </w:p>
        </w:tc>
      </w:tr>
      <w:tr w:rsidR="00F377C9" w:rsidRPr="00F377C9" w:rsidTr="0035314C">
        <w:trPr>
          <w:trHeight w:val="255"/>
          <w:jc w:val="center"/>
        </w:trPr>
        <w:tc>
          <w:tcPr>
            <w:tcW w:w="5074" w:type="dxa"/>
            <w:tcBorders>
              <w:top w:val="single" w:sz="4" w:space="0" w:color="auto"/>
              <w:bottom w:val="single" w:sz="4" w:space="0" w:color="auto"/>
            </w:tcBorders>
            <w:vAlign w:val="center"/>
          </w:tcPr>
          <w:p w:rsidR="00F377C9" w:rsidRPr="00F377C9" w:rsidRDefault="00F377C9" w:rsidP="005A0CDC">
            <w:pPr>
              <w:spacing w:after="0"/>
              <w:ind w:firstLine="0"/>
              <w:rPr>
                <w:rFonts w:ascii="Arial Narrow" w:hAnsi="Arial Narrow" w:cs="Arial"/>
                <w:b/>
                <w:snapToGrid w:val="0"/>
                <w:color w:val="000000"/>
              </w:rPr>
            </w:pPr>
            <w:r w:rsidRPr="00F377C9">
              <w:rPr>
                <w:rFonts w:ascii="Arial Narrow" w:hAnsi="Arial Narrow" w:cs="Arial"/>
                <w:b/>
                <w:snapToGrid w:val="0"/>
                <w:color w:val="000000"/>
              </w:rPr>
              <w:t>C) Activo circulante</w:t>
            </w:r>
          </w:p>
        </w:tc>
        <w:tc>
          <w:tcPr>
            <w:tcW w:w="1843" w:type="dxa"/>
            <w:tcBorders>
              <w:top w:val="single" w:sz="4" w:space="0" w:color="auto"/>
              <w:bottom w:val="single" w:sz="4" w:space="0" w:color="auto"/>
            </w:tcBorders>
            <w:vAlign w:val="center"/>
          </w:tcPr>
          <w:p w:rsidR="00F377C9" w:rsidRPr="00F377C9" w:rsidRDefault="00F377C9" w:rsidP="0035314C">
            <w:pPr>
              <w:spacing w:after="0"/>
              <w:ind w:left="-63" w:right="72"/>
              <w:jc w:val="right"/>
              <w:rPr>
                <w:rFonts w:ascii="Arial Narrow" w:hAnsi="Arial Narrow" w:cs="Arial"/>
                <w:b/>
                <w:snapToGrid w:val="0"/>
                <w:color w:val="000000"/>
              </w:rPr>
            </w:pPr>
            <w:r w:rsidRPr="00F377C9">
              <w:rPr>
                <w:rFonts w:ascii="Arial Narrow" w:hAnsi="Arial Narrow" w:cs="Arial"/>
                <w:b/>
                <w:snapToGrid w:val="0"/>
                <w:color w:val="000000"/>
              </w:rPr>
              <w:t>496.171.312</w:t>
            </w:r>
          </w:p>
        </w:tc>
        <w:tc>
          <w:tcPr>
            <w:tcW w:w="1969" w:type="dxa"/>
            <w:tcBorders>
              <w:top w:val="single" w:sz="4" w:space="0" w:color="auto"/>
              <w:bottom w:val="single" w:sz="4" w:space="0" w:color="auto"/>
            </w:tcBorders>
            <w:vAlign w:val="center"/>
          </w:tcPr>
          <w:p w:rsidR="00F377C9" w:rsidRPr="00F377C9" w:rsidRDefault="00F377C9" w:rsidP="00E7467B">
            <w:pPr>
              <w:spacing w:after="0"/>
              <w:ind w:left="-63"/>
              <w:jc w:val="right"/>
              <w:rPr>
                <w:rFonts w:ascii="Arial Narrow" w:hAnsi="Arial Narrow" w:cs="Arial"/>
                <w:b/>
                <w:snapToGrid w:val="0"/>
                <w:color w:val="000000"/>
              </w:rPr>
            </w:pPr>
            <w:r w:rsidRPr="00F377C9">
              <w:rPr>
                <w:rFonts w:ascii="Arial Narrow" w:hAnsi="Arial Narrow" w:cs="Arial"/>
                <w:b/>
                <w:snapToGrid w:val="0"/>
                <w:color w:val="000000"/>
              </w:rPr>
              <w:t>426.861.386</w:t>
            </w:r>
          </w:p>
        </w:tc>
      </w:tr>
      <w:tr w:rsidR="00F377C9" w:rsidRPr="005A0CDC" w:rsidTr="0035314C">
        <w:trPr>
          <w:trHeight w:val="198"/>
          <w:jc w:val="center"/>
        </w:trPr>
        <w:tc>
          <w:tcPr>
            <w:tcW w:w="5074" w:type="dxa"/>
            <w:tcBorders>
              <w:top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I. Existencias </w:t>
            </w:r>
          </w:p>
        </w:tc>
        <w:tc>
          <w:tcPr>
            <w:tcW w:w="1843" w:type="dxa"/>
            <w:tcBorders>
              <w:top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17.669.835</w:t>
            </w:r>
          </w:p>
        </w:tc>
        <w:tc>
          <w:tcPr>
            <w:tcW w:w="1969" w:type="dxa"/>
            <w:tcBorders>
              <w:top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15.250.866</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2. Materias primas y otros aprovisionamientos</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17.669.835</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15.250.866</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II. Deudores </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337.532.940</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349.621.837</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1. Deudores presupuestarios</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818.678.712</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837.496.185</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2. Deudores no presupuestarios</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143.635</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5.982.832</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3. Deudores por admón. de recursos por cuenta de otros EEPP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395.994</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310.680</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5. Otros deudores </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3.787.345</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4.000.867</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6. (Provisiones)</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-485.472.746</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-498.168.727</w:t>
            </w:r>
          </w:p>
        </w:tc>
      </w:tr>
      <w:tr w:rsidR="00F377C9" w:rsidRPr="005A0CDC" w:rsidTr="0035314C">
        <w:trPr>
          <w:trHeight w:val="255"/>
          <w:jc w:val="center"/>
        </w:trPr>
        <w:tc>
          <w:tcPr>
            <w:tcW w:w="5074" w:type="dxa"/>
            <w:tcBorders>
              <w:top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III. Inversiones financieras temporales</w:t>
            </w:r>
          </w:p>
        </w:tc>
        <w:tc>
          <w:tcPr>
            <w:tcW w:w="1843" w:type="dxa"/>
            <w:tcBorders>
              <w:top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5.779</w:t>
            </w:r>
          </w:p>
        </w:tc>
        <w:tc>
          <w:tcPr>
            <w:tcW w:w="1969" w:type="dxa"/>
            <w:tcBorders>
              <w:top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17.269</w:t>
            </w:r>
          </w:p>
        </w:tc>
      </w:tr>
      <w:tr w:rsidR="00F377C9" w:rsidRPr="005A0CDC" w:rsidTr="0035314C">
        <w:trPr>
          <w:trHeight w:val="198"/>
          <w:jc w:val="center"/>
        </w:trPr>
        <w:tc>
          <w:tcPr>
            <w:tcW w:w="5074" w:type="dxa"/>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2. Otras inversiones y créditos a corto plazo</w:t>
            </w:r>
          </w:p>
        </w:tc>
        <w:tc>
          <w:tcPr>
            <w:tcW w:w="1843" w:type="dxa"/>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510</w:t>
            </w:r>
          </w:p>
        </w:tc>
        <w:tc>
          <w:tcPr>
            <w:tcW w:w="1969" w:type="dxa"/>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0</w:t>
            </w:r>
          </w:p>
        </w:tc>
      </w:tr>
      <w:tr w:rsidR="00F377C9" w:rsidRPr="005A0CDC" w:rsidTr="0035314C">
        <w:trPr>
          <w:trHeight w:val="198"/>
          <w:jc w:val="center"/>
        </w:trPr>
        <w:tc>
          <w:tcPr>
            <w:tcW w:w="5074" w:type="dxa"/>
            <w:tcBorders>
              <w:bottom w:val="single" w:sz="2"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3. Fianzas y depósitos constituidos a corto plazo </w:t>
            </w:r>
          </w:p>
        </w:tc>
        <w:tc>
          <w:tcPr>
            <w:tcW w:w="1843" w:type="dxa"/>
            <w:tcBorders>
              <w:bottom w:val="single" w:sz="2"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5.269</w:t>
            </w:r>
          </w:p>
        </w:tc>
        <w:tc>
          <w:tcPr>
            <w:tcW w:w="1969" w:type="dxa"/>
            <w:tcBorders>
              <w:bottom w:val="single" w:sz="2"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17.269</w:t>
            </w:r>
          </w:p>
        </w:tc>
      </w:tr>
      <w:tr w:rsidR="00F377C9" w:rsidRPr="005A0CDC" w:rsidTr="0035314C">
        <w:trPr>
          <w:trHeight w:val="255"/>
          <w:jc w:val="center"/>
        </w:trPr>
        <w:tc>
          <w:tcPr>
            <w:tcW w:w="5074" w:type="dxa"/>
            <w:tcBorders>
              <w:top w:val="single" w:sz="2" w:space="0" w:color="auto"/>
              <w:bottom w:val="single" w:sz="4" w:space="0" w:color="auto"/>
            </w:tcBorders>
            <w:vAlign w:val="center"/>
          </w:tcPr>
          <w:p w:rsidR="00F377C9" w:rsidRPr="005A0CDC" w:rsidRDefault="00F377C9" w:rsidP="005A0CDC">
            <w:pPr>
              <w:spacing w:after="0"/>
              <w:ind w:firstLine="0"/>
              <w:rPr>
                <w:rFonts w:ascii="Arial Narrow" w:hAnsi="Arial Narrow" w:cs="Arial"/>
                <w:snapToGrid w:val="0"/>
                <w:color w:val="000000"/>
              </w:rPr>
            </w:pPr>
            <w:r w:rsidRPr="005A0CDC">
              <w:rPr>
                <w:rFonts w:ascii="Arial Narrow" w:hAnsi="Arial Narrow" w:cs="Arial"/>
                <w:snapToGrid w:val="0"/>
                <w:color w:val="000000"/>
              </w:rPr>
              <w:t xml:space="preserve">IV. Tesorería </w:t>
            </w:r>
          </w:p>
        </w:tc>
        <w:tc>
          <w:tcPr>
            <w:tcW w:w="1843" w:type="dxa"/>
            <w:tcBorders>
              <w:top w:val="single" w:sz="2" w:space="0" w:color="auto"/>
              <w:bottom w:val="single" w:sz="4" w:space="0" w:color="auto"/>
            </w:tcBorders>
            <w:vAlign w:val="center"/>
          </w:tcPr>
          <w:p w:rsidR="00F377C9" w:rsidRPr="005A0CDC" w:rsidRDefault="00F377C9" w:rsidP="0035314C">
            <w:pPr>
              <w:spacing w:after="0"/>
              <w:ind w:left="-63" w:right="72"/>
              <w:jc w:val="right"/>
              <w:rPr>
                <w:rFonts w:ascii="Arial Narrow" w:hAnsi="Arial Narrow" w:cs="Arial"/>
                <w:snapToGrid w:val="0"/>
                <w:color w:val="000000"/>
              </w:rPr>
            </w:pPr>
            <w:r w:rsidRPr="005A0CDC">
              <w:rPr>
                <w:rFonts w:ascii="Arial Narrow" w:hAnsi="Arial Narrow" w:cs="Arial"/>
                <w:snapToGrid w:val="0"/>
                <w:color w:val="000000"/>
              </w:rPr>
              <w:t>140.962.758</w:t>
            </w:r>
          </w:p>
        </w:tc>
        <w:tc>
          <w:tcPr>
            <w:tcW w:w="1969" w:type="dxa"/>
            <w:tcBorders>
              <w:top w:val="single" w:sz="2" w:space="0" w:color="auto"/>
              <w:bottom w:val="single" w:sz="4" w:space="0" w:color="auto"/>
            </w:tcBorders>
            <w:vAlign w:val="center"/>
          </w:tcPr>
          <w:p w:rsidR="00F377C9" w:rsidRPr="005A0CDC" w:rsidRDefault="00F377C9" w:rsidP="00E7467B">
            <w:pPr>
              <w:spacing w:after="0"/>
              <w:ind w:left="-63"/>
              <w:jc w:val="right"/>
              <w:rPr>
                <w:rFonts w:ascii="Arial Narrow" w:hAnsi="Arial Narrow" w:cs="Arial"/>
                <w:snapToGrid w:val="0"/>
                <w:color w:val="000000"/>
              </w:rPr>
            </w:pPr>
            <w:r w:rsidRPr="005A0CDC">
              <w:rPr>
                <w:rFonts w:ascii="Arial Narrow" w:hAnsi="Arial Narrow" w:cs="Arial"/>
                <w:snapToGrid w:val="0"/>
                <w:color w:val="000000"/>
              </w:rPr>
              <w:t>61.971.413</w:t>
            </w:r>
          </w:p>
        </w:tc>
      </w:tr>
      <w:tr w:rsidR="00F377C9" w:rsidRPr="00F377C9" w:rsidTr="0035314C">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F377C9" w:rsidRPr="00F377C9" w:rsidRDefault="00F377C9" w:rsidP="005A0CDC">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t>Total Activo (A+C)</w:t>
            </w:r>
          </w:p>
        </w:tc>
        <w:tc>
          <w:tcPr>
            <w:tcW w:w="1843"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F377C9">
              <w:rPr>
                <w:rFonts w:ascii="Arial" w:hAnsi="Arial"/>
                <w:snapToGrid w:val="0"/>
                <w:spacing w:val="6"/>
                <w:sz w:val="18"/>
                <w:szCs w:val="24"/>
                <w:lang w:val="es-ES"/>
              </w:rPr>
              <w:t>3.315.490.400</w:t>
            </w:r>
          </w:p>
        </w:tc>
        <w:tc>
          <w:tcPr>
            <w:tcW w:w="1969" w:type="dxa"/>
            <w:tcBorders>
              <w:top w:val="single" w:sz="4" w:space="0" w:color="auto"/>
              <w:bottom w:val="single" w:sz="4" w:space="0" w:color="auto"/>
            </w:tcBorders>
            <w:shd w:val="clear" w:color="auto" w:fill="8DB3E2" w:themeFill="text2" w:themeFillTint="66"/>
            <w:vAlign w:val="center"/>
          </w:tcPr>
          <w:p w:rsidR="00F377C9" w:rsidRPr="00F377C9" w:rsidRDefault="00F377C9" w:rsidP="00E7467B">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lang w:val="es-ES"/>
              </w:rPr>
            </w:pPr>
            <w:r w:rsidRPr="00F377C9">
              <w:rPr>
                <w:rFonts w:ascii="Arial" w:hAnsi="Arial"/>
                <w:snapToGrid w:val="0"/>
                <w:spacing w:val="6"/>
                <w:sz w:val="18"/>
                <w:szCs w:val="24"/>
                <w:lang w:val="es-ES"/>
              </w:rPr>
              <w:t>3.202.840.688</w:t>
            </w:r>
          </w:p>
        </w:tc>
      </w:tr>
    </w:tbl>
    <w:p w:rsidR="00F377C9" w:rsidRPr="00F377C9" w:rsidRDefault="00F377C9" w:rsidP="00F377C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647"/>
        <w:gridCol w:w="2062"/>
      </w:tblGrid>
      <w:tr w:rsidR="00F377C9" w:rsidRPr="00F377C9" w:rsidTr="0035314C">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br w:type="page"/>
            </w:r>
            <w:r w:rsidRPr="00F377C9">
              <w:rPr>
                <w:rFonts w:ascii="Arial" w:hAnsi="Arial"/>
                <w:snapToGrid w:val="0"/>
                <w:spacing w:val="6"/>
                <w:sz w:val="18"/>
                <w:szCs w:val="24"/>
              </w:rPr>
              <w:br w:type="page"/>
              <w:t>PATRIMONIO NETO Y PASIVO</w:t>
            </w:r>
          </w:p>
        </w:tc>
        <w:tc>
          <w:tcPr>
            <w:tcW w:w="1647"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pacing w:val="6"/>
                <w:sz w:val="18"/>
                <w:szCs w:val="24"/>
              </w:rPr>
              <w:t xml:space="preserve">Ejercicio </w:t>
            </w:r>
            <w:r w:rsidR="00F377C9" w:rsidRPr="00F377C9">
              <w:rPr>
                <w:rFonts w:ascii="Arial" w:hAnsi="Arial"/>
                <w:snapToGrid w:val="0"/>
                <w:spacing w:val="6"/>
                <w:sz w:val="18"/>
                <w:szCs w:val="24"/>
              </w:rPr>
              <w:t>2016</w:t>
            </w:r>
          </w:p>
        </w:tc>
        <w:tc>
          <w:tcPr>
            <w:tcW w:w="2062" w:type="dxa"/>
            <w:tcBorders>
              <w:top w:val="single" w:sz="4" w:space="0" w:color="auto"/>
              <w:bottom w:val="single" w:sz="4" w:space="0" w:color="auto"/>
            </w:tcBorders>
            <w:shd w:val="clear" w:color="auto" w:fill="8DB3E2" w:themeFill="text2" w:themeFillTint="66"/>
            <w:vAlign w:val="center"/>
          </w:tcPr>
          <w:p w:rsidR="00F377C9" w:rsidRPr="00F377C9" w:rsidRDefault="007A489E" w:rsidP="0035314C">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pacing w:val="6"/>
                <w:sz w:val="18"/>
                <w:szCs w:val="24"/>
              </w:rPr>
              <w:t xml:space="preserve">Ejercicio </w:t>
            </w:r>
            <w:r w:rsidR="00F377C9" w:rsidRPr="00F377C9">
              <w:rPr>
                <w:rFonts w:ascii="Arial" w:hAnsi="Arial"/>
                <w:snapToGrid w:val="0"/>
                <w:spacing w:val="6"/>
                <w:sz w:val="18"/>
                <w:szCs w:val="24"/>
              </w:rPr>
              <w:t>2015</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sidRPr="00542528">
              <w:rPr>
                <w:rFonts w:ascii="Arial" w:hAnsi="Arial" w:cs="Arial"/>
                <w:b/>
                <w:snapToGrid w:val="0"/>
                <w:color w:val="000000"/>
                <w:sz w:val="18"/>
                <w:szCs w:val="18"/>
              </w:rPr>
              <w:t>A) Fondos Propios</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color w:val="000000"/>
                <w:sz w:val="18"/>
                <w:szCs w:val="18"/>
              </w:rPr>
            </w:pPr>
            <w:r w:rsidRPr="00542528">
              <w:rPr>
                <w:rFonts w:ascii="Arial" w:hAnsi="Arial" w:cs="Arial"/>
                <w:b/>
                <w:snapToGrid w:val="0"/>
                <w:color w:val="000000"/>
                <w:sz w:val="18"/>
                <w:szCs w:val="18"/>
              </w:rPr>
              <w:t>-301.677.846</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color w:val="000000"/>
                <w:sz w:val="18"/>
                <w:szCs w:val="18"/>
              </w:rPr>
            </w:pPr>
            <w:r w:rsidRPr="00542528">
              <w:rPr>
                <w:rFonts w:ascii="Arial" w:hAnsi="Arial" w:cs="Arial"/>
                <w:b/>
                <w:snapToGrid w:val="0"/>
                <w:sz w:val="18"/>
                <w:szCs w:val="18"/>
              </w:rPr>
              <w:t>-247.816.537</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I. Patrimonio </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-97.910.167</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-9.552.006</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1. Patrimonio </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-97.910.167</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-9.552.006</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III. Resultados del ejercicio anterior</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-149.902.230</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-88.358.161</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1. Resultados del ejercicio anterior</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-149.902.230</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-88.358.161</w:t>
            </w:r>
          </w:p>
        </w:tc>
      </w:tr>
      <w:tr w:rsidR="00F377C9" w:rsidRPr="00F377C9" w:rsidTr="0035314C">
        <w:trPr>
          <w:trHeight w:val="255"/>
          <w:jc w:val="center"/>
        </w:trPr>
        <w:tc>
          <w:tcPr>
            <w:tcW w:w="5127" w:type="dxa"/>
            <w:tcBorders>
              <w:top w:val="single" w:sz="2" w:space="0" w:color="auto"/>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IV. Resultados del ejercicio </w:t>
            </w:r>
          </w:p>
        </w:tc>
        <w:tc>
          <w:tcPr>
            <w:tcW w:w="1647" w:type="dxa"/>
            <w:tcBorders>
              <w:top w:val="single" w:sz="2" w:space="0" w:color="auto"/>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-53.865.449</w:t>
            </w:r>
          </w:p>
        </w:tc>
        <w:tc>
          <w:tcPr>
            <w:tcW w:w="2062" w:type="dxa"/>
            <w:tcBorders>
              <w:top w:val="single" w:sz="2" w:space="0" w:color="auto"/>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-149.906.370</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sidRPr="00542528">
              <w:rPr>
                <w:rFonts w:ascii="Arial" w:hAnsi="Arial" w:cs="Arial"/>
                <w:b/>
                <w:snapToGrid w:val="0"/>
                <w:color w:val="000000"/>
                <w:sz w:val="18"/>
                <w:szCs w:val="18"/>
              </w:rPr>
              <w:t>C) Acreedores a largo plazo</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sz w:val="18"/>
                <w:szCs w:val="18"/>
              </w:rPr>
            </w:pPr>
            <w:r w:rsidRPr="00542528">
              <w:rPr>
                <w:rFonts w:ascii="Arial" w:hAnsi="Arial" w:cs="Arial"/>
                <w:b/>
                <w:snapToGrid w:val="0"/>
                <w:sz w:val="18"/>
                <w:szCs w:val="18"/>
              </w:rPr>
              <w:t>2.721.614.621</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sz w:val="18"/>
                <w:szCs w:val="18"/>
              </w:rPr>
            </w:pPr>
            <w:r w:rsidRPr="00542528">
              <w:rPr>
                <w:rFonts w:ascii="Arial" w:hAnsi="Arial" w:cs="Arial"/>
                <w:b/>
                <w:snapToGrid w:val="0"/>
                <w:sz w:val="18"/>
                <w:szCs w:val="18"/>
              </w:rPr>
              <w:t>2.560.358.266</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I. Emisiones de obligaciones y otros valores negociables</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1.440.847.817</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1.471.492.195</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1. Obligaciones y bonos </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1.440.847.817</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1.471.492.195</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II. Otras deudas a largo plazo </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1.280.766.804</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1.088.866.071</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2. Otras deudas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1.280.319.604</w:t>
            </w:r>
          </w:p>
        </w:tc>
        <w:tc>
          <w:tcPr>
            <w:tcW w:w="2062" w:type="dxa"/>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1.088.414.048</w:t>
            </w:r>
          </w:p>
        </w:tc>
      </w:tr>
      <w:tr w:rsidR="00F377C9" w:rsidRPr="00F377C9" w:rsidTr="0035314C">
        <w:trPr>
          <w:trHeight w:val="198"/>
          <w:jc w:val="center"/>
        </w:trPr>
        <w:tc>
          <w:tcPr>
            <w:tcW w:w="5127" w:type="dxa"/>
            <w:tcBorders>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4. Fianzas y depósitos recibidos a largo plazo</w:t>
            </w:r>
          </w:p>
        </w:tc>
        <w:tc>
          <w:tcPr>
            <w:tcW w:w="1647" w:type="dxa"/>
            <w:tcBorders>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447.200</w:t>
            </w:r>
          </w:p>
        </w:tc>
        <w:tc>
          <w:tcPr>
            <w:tcW w:w="2062" w:type="dxa"/>
            <w:tcBorders>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452.023</w:t>
            </w:r>
          </w:p>
        </w:tc>
      </w:tr>
      <w:tr w:rsidR="00F377C9" w:rsidRPr="00542528" w:rsidTr="0035314C">
        <w:trPr>
          <w:trHeight w:val="255"/>
          <w:jc w:val="center"/>
        </w:trPr>
        <w:tc>
          <w:tcPr>
            <w:tcW w:w="5127" w:type="dxa"/>
            <w:tcBorders>
              <w:top w:val="single" w:sz="4" w:space="0" w:color="auto"/>
              <w:bottom w:val="single" w:sz="4" w:space="0" w:color="auto"/>
            </w:tcBorders>
            <w:vAlign w:val="center"/>
          </w:tcPr>
          <w:p w:rsidR="00F377C9" w:rsidRPr="00542528" w:rsidRDefault="00F377C9" w:rsidP="00F377C9">
            <w:pPr>
              <w:spacing w:after="0"/>
              <w:ind w:left="71" w:firstLine="0"/>
              <w:rPr>
                <w:rFonts w:ascii="Arial" w:hAnsi="Arial" w:cs="Arial"/>
                <w:b/>
                <w:snapToGrid w:val="0"/>
                <w:color w:val="000000"/>
                <w:sz w:val="18"/>
                <w:szCs w:val="18"/>
              </w:rPr>
            </w:pPr>
            <w:r w:rsidRPr="00542528">
              <w:rPr>
                <w:rFonts w:ascii="Arial" w:hAnsi="Arial" w:cs="Arial"/>
                <w:b/>
                <w:snapToGrid w:val="0"/>
                <w:color w:val="000000"/>
                <w:sz w:val="18"/>
                <w:szCs w:val="18"/>
              </w:rPr>
              <w:t>D) Acreedores a corto plazo</w:t>
            </w:r>
          </w:p>
        </w:tc>
        <w:tc>
          <w:tcPr>
            <w:tcW w:w="1647" w:type="dxa"/>
            <w:tcBorders>
              <w:top w:val="single" w:sz="4" w:space="0" w:color="auto"/>
              <w:bottom w:val="single" w:sz="4" w:space="0" w:color="auto"/>
            </w:tcBorders>
            <w:vAlign w:val="center"/>
          </w:tcPr>
          <w:p w:rsidR="00F377C9" w:rsidRPr="00542528" w:rsidRDefault="00F377C9" w:rsidP="0035314C">
            <w:pPr>
              <w:spacing w:after="0"/>
              <w:ind w:left="-91" w:right="-67" w:firstLine="0"/>
              <w:jc w:val="right"/>
              <w:rPr>
                <w:rFonts w:ascii="Arial" w:hAnsi="Arial" w:cs="Arial"/>
                <w:b/>
                <w:snapToGrid w:val="0"/>
                <w:sz w:val="18"/>
                <w:szCs w:val="18"/>
              </w:rPr>
            </w:pPr>
            <w:r w:rsidRPr="00542528">
              <w:rPr>
                <w:rFonts w:ascii="Arial" w:hAnsi="Arial" w:cs="Arial"/>
                <w:b/>
                <w:snapToGrid w:val="0"/>
                <w:sz w:val="18"/>
                <w:szCs w:val="18"/>
              </w:rPr>
              <w:t>895.553.625</w:t>
            </w:r>
          </w:p>
        </w:tc>
        <w:tc>
          <w:tcPr>
            <w:tcW w:w="2062" w:type="dxa"/>
            <w:tcBorders>
              <w:top w:val="single" w:sz="4" w:space="0" w:color="auto"/>
              <w:bottom w:val="single" w:sz="4" w:space="0" w:color="auto"/>
            </w:tcBorders>
            <w:vAlign w:val="center"/>
          </w:tcPr>
          <w:p w:rsidR="00F377C9" w:rsidRPr="00542528" w:rsidRDefault="00F377C9" w:rsidP="0035314C">
            <w:pPr>
              <w:spacing w:after="0"/>
              <w:ind w:left="-91" w:right="-67"/>
              <w:jc w:val="right"/>
              <w:rPr>
                <w:rFonts w:ascii="Arial" w:hAnsi="Arial" w:cs="Arial"/>
                <w:b/>
                <w:snapToGrid w:val="0"/>
                <w:sz w:val="18"/>
                <w:szCs w:val="18"/>
              </w:rPr>
            </w:pPr>
            <w:r w:rsidRPr="00542528">
              <w:rPr>
                <w:rFonts w:ascii="Arial" w:hAnsi="Arial" w:cs="Arial"/>
                <w:b/>
                <w:snapToGrid w:val="0"/>
                <w:sz w:val="18"/>
                <w:szCs w:val="18"/>
              </w:rPr>
              <w:t>890.298.959</w:t>
            </w:r>
          </w:p>
        </w:tc>
      </w:tr>
      <w:tr w:rsidR="00F377C9" w:rsidRPr="00F377C9" w:rsidTr="0035314C">
        <w:trPr>
          <w:trHeight w:val="255"/>
          <w:jc w:val="center"/>
        </w:trPr>
        <w:tc>
          <w:tcPr>
            <w:tcW w:w="5127" w:type="dxa"/>
            <w:tcBorders>
              <w:top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I. Emisiones de obligaciones y otros valores negociables</w:t>
            </w:r>
          </w:p>
        </w:tc>
        <w:tc>
          <w:tcPr>
            <w:tcW w:w="1647" w:type="dxa"/>
            <w:tcBorders>
              <w:top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347.266.616</w:t>
            </w:r>
          </w:p>
        </w:tc>
        <w:tc>
          <w:tcPr>
            <w:tcW w:w="2062" w:type="dxa"/>
            <w:tcBorders>
              <w:top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rPr>
              <w:t>349.830.439</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1. Obligaciones y bonos a corto plazo </w:t>
            </w:r>
          </w:p>
        </w:tc>
        <w:tc>
          <w:tcPr>
            <w:tcW w:w="1647" w:type="dxa"/>
            <w:vAlign w:val="center"/>
          </w:tcPr>
          <w:p w:rsidR="00F377C9" w:rsidRPr="00F377C9" w:rsidRDefault="00F377C9" w:rsidP="00AA3E09">
            <w:pPr>
              <w:spacing w:after="0"/>
              <w:ind w:left="-91" w:right="-67" w:firstLine="0"/>
              <w:jc w:val="right"/>
              <w:rPr>
                <w:rFonts w:ascii="Arial Narrow" w:hAnsi="Arial Narrow" w:cs="Arial"/>
                <w:snapToGrid w:val="0"/>
              </w:rPr>
            </w:pPr>
            <w:r w:rsidRPr="00F377C9">
              <w:rPr>
                <w:rFonts w:ascii="Arial Narrow" w:hAnsi="Arial Narrow" w:cs="Arial"/>
                <w:snapToGrid w:val="0"/>
              </w:rPr>
              <w:t>332.735.65</w:t>
            </w:r>
            <w:r w:rsidR="00AA3E09">
              <w:rPr>
                <w:rFonts w:ascii="Arial Narrow" w:hAnsi="Arial Narrow" w:cs="Arial"/>
                <w:snapToGrid w:val="0"/>
              </w:rPr>
              <w:t>0</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 xml:space="preserve">  337.728.319</w:t>
            </w:r>
          </w:p>
        </w:tc>
      </w:tr>
      <w:tr w:rsidR="00F377C9" w:rsidRPr="00F377C9" w:rsidTr="0035314C">
        <w:trPr>
          <w:trHeight w:val="198"/>
          <w:jc w:val="center"/>
        </w:trPr>
        <w:tc>
          <w:tcPr>
            <w:tcW w:w="5127" w:type="dxa"/>
            <w:tcBorders>
              <w:bottom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2. Deudas con entidades de crédito a corto plazo</w:t>
            </w:r>
          </w:p>
        </w:tc>
        <w:tc>
          <w:tcPr>
            <w:tcW w:w="1647" w:type="dxa"/>
            <w:tcBorders>
              <w:bottom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14.530.966</w:t>
            </w:r>
          </w:p>
        </w:tc>
        <w:tc>
          <w:tcPr>
            <w:tcW w:w="2062" w:type="dxa"/>
            <w:tcBorders>
              <w:bottom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12.102.120</w:t>
            </w:r>
          </w:p>
        </w:tc>
      </w:tr>
      <w:tr w:rsidR="00F377C9" w:rsidRPr="00F377C9" w:rsidTr="0035314C">
        <w:trPr>
          <w:trHeight w:val="255"/>
          <w:jc w:val="center"/>
        </w:trPr>
        <w:tc>
          <w:tcPr>
            <w:tcW w:w="5127" w:type="dxa"/>
            <w:tcBorders>
              <w:top w:val="single" w:sz="2"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III. Acreedores </w:t>
            </w:r>
          </w:p>
        </w:tc>
        <w:tc>
          <w:tcPr>
            <w:tcW w:w="1647" w:type="dxa"/>
            <w:tcBorders>
              <w:top w:val="single" w:sz="2" w:space="0" w:color="auto"/>
            </w:tcBorders>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548.287.009</w:t>
            </w:r>
          </w:p>
        </w:tc>
        <w:tc>
          <w:tcPr>
            <w:tcW w:w="2062" w:type="dxa"/>
            <w:tcBorders>
              <w:top w:val="single" w:sz="2" w:space="0" w:color="auto"/>
            </w:tcBorders>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540.468.520</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1. Acreedores presupuestarios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459.311.368</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484.349.993</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3. Acreedores por admón. de recursos por cuenta de otros EEPP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5.664.535</w:t>
            </w:r>
          </w:p>
        </w:tc>
        <w:tc>
          <w:tcPr>
            <w:tcW w:w="2062"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9.221.423</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4. Administraciones públicas </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3.212.248</w:t>
            </w:r>
          </w:p>
        </w:tc>
        <w:tc>
          <w:tcPr>
            <w:tcW w:w="2062" w:type="dxa"/>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3.023.742</w:t>
            </w:r>
          </w:p>
        </w:tc>
      </w:tr>
      <w:tr w:rsidR="00F377C9" w:rsidRPr="00F377C9" w:rsidTr="0035314C">
        <w:trPr>
          <w:trHeight w:val="198"/>
          <w:jc w:val="center"/>
        </w:trPr>
        <w:tc>
          <w:tcPr>
            <w:tcW w:w="5127" w:type="dxa"/>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5. Otros acreedores</w:t>
            </w:r>
          </w:p>
        </w:tc>
        <w:tc>
          <w:tcPr>
            <w:tcW w:w="1647" w:type="dxa"/>
            <w:vAlign w:val="center"/>
          </w:tcPr>
          <w:p w:rsidR="00F377C9" w:rsidRPr="00F377C9" w:rsidRDefault="00F377C9" w:rsidP="0035314C">
            <w:pPr>
              <w:spacing w:after="0"/>
              <w:ind w:left="-91" w:right="-67" w:firstLine="0"/>
              <w:jc w:val="right"/>
              <w:rPr>
                <w:rFonts w:ascii="Arial Narrow" w:hAnsi="Arial Narrow" w:cs="Arial"/>
                <w:snapToGrid w:val="0"/>
              </w:rPr>
            </w:pPr>
            <w:r w:rsidRPr="00F377C9">
              <w:rPr>
                <w:rFonts w:ascii="Arial Narrow" w:hAnsi="Arial Narrow" w:cs="Arial"/>
                <w:snapToGrid w:val="0"/>
              </w:rPr>
              <w:t>58.333.014</w:t>
            </w:r>
          </w:p>
        </w:tc>
        <w:tc>
          <w:tcPr>
            <w:tcW w:w="2062" w:type="dxa"/>
            <w:vAlign w:val="center"/>
          </w:tcPr>
          <w:p w:rsidR="00F377C9" w:rsidRPr="00F377C9" w:rsidRDefault="00F377C9" w:rsidP="0035314C">
            <w:pPr>
              <w:spacing w:after="0"/>
              <w:ind w:left="-91" w:right="-67"/>
              <w:jc w:val="right"/>
              <w:rPr>
                <w:rFonts w:ascii="Arial Narrow" w:hAnsi="Arial Narrow" w:cs="Arial"/>
                <w:snapToGrid w:val="0"/>
              </w:rPr>
            </w:pPr>
            <w:r w:rsidRPr="00F377C9">
              <w:rPr>
                <w:rFonts w:ascii="Arial Narrow" w:hAnsi="Arial Narrow" w:cs="Arial"/>
                <w:snapToGrid w:val="0"/>
              </w:rPr>
              <w:t>40.543.023</w:t>
            </w:r>
          </w:p>
        </w:tc>
      </w:tr>
      <w:tr w:rsidR="00F377C9" w:rsidRPr="00F377C9" w:rsidTr="0035314C">
        <w:trPr>
          <w:trHeight w:val="198"/>
          <w:jc w:val="center"/>
        </w:trPr>
        <w:tc>
          <w:tcPr>
            <w:tcW w:w="5127" w:type="dxa"/>
            <w:tcBorders>
              <w:bottom w:val="single" w:sz="4" w:space="0" w:color="auto"/>
            </w:tcBorders>
            <w:vAlign w:val="center"/>
          </w:tcPr>
          <w:p w:rsidR="00F377C9" w:rsidRPr="00F377C9" w:rsidRDefault="00F377C9" w:rsidP="00F377C9">
            <w:pPr>
              <w:spacing w:after="0"/>
              <w:ind w:left="71" w:firstLine="0"/>
              <w:rPr>
                <w:rFonts w:ascii="Arial Narrow" w:hAnsi="Arial Narrow" w:cs="Arial"/>
                <w:snapToGrid w:val="0"/>
                <w:color w:val="000000"/>
              </w:rPr>
            </w:pPr>
            <w:r w:rsidRPr="00F377C9">
              <w:rPr>
                <w:rFonts w:ascii="Arial Narrow" w:hAnsi="Arial Narrow" w:cs="Arial"/>
                <w:snapToGrid w:val="0"/>
                <w:color w:val="000000"/>
              </w:rPr>
              <w:t xml:space="preserve">6. Fianzas y depósitos recibidos a corto plazo </w:t>
            </w:r>
          </w:p>
        </w:tc>
        <w:tc>
          <w:tcPr>
            <w:tcW w:w="1647" w:type="dxa"/>
            <w:tcBorders>
              <w:bottom w:val="single" w:sz="4" w:space="0" w:color="auto"/>
            </w:tcBorders>
            <w:vAlign w:val="center"/>
          </w:tcPr>
          <w:p w:rsidR="00F377C9" w:rsidRPr="00F377C9" w:rsidRDefault="00F377C9" w:rsidP="0035314C">
            <w:pPr>
              <w:spacing w:after="0"/>
              <w:ind w:left="-91" w:right="-67" w:firstLine="0"/>
              <w:jc w:val="right"/>
              <w:rPr>
                <w:rFonts w:ascii="Arial Narrow" w:hAnsi="Arial Narrow" w:cs="Arial"/>
                <w:snapToGrid w:val="0"/>
                <w:color w:val="000000"/>
              </w:rPr>
            </w:pPr>
            <w:r w:rsidRPr="00F377C9">
              <w:rPr>
                <w:rFonts w:ascii="Arial Narrow" w:hAnsi="Arial Narrow" w:cs="Arial"/>
                <w:snapToGrid w:val="0"/>
                <w:color w:val="000000"/>
              </w:rPr>
              <w:t>21.765.844</w:t>
            </w:r>
          </w:p>
        </w:tc>
        <w:tc>
          <w:tcPr>
            <w:tcW w:w="2062" w:type="dxa"/>
            <w:tcBorders>
              <w:bottom w:val="single" w:sz="4" w:space="0" w:color="auto"/>
            </w:tcBorders>
            <w:vAlign w:val="center"/>
          </w:tcPr>
          <w:p w:rsidR="00F377C9" w:rsidRPr="00F377C9" w:rsidRDefault="00F377C9" w:rsidP="0035314C">
            <w:pPr>
              <w:spacing w:after="0"/>
              <w:ind w:left="-91" w:right="-67"/>
              <w:jc w:val="right"/>
              <w:rPr>
                <w:rFonts w:ascii="Arial Narrow" w:hAnsi="Arial Narrow" w:cs="Arial"/>
                <w:snapToGrid w:val="0"/>
                <w:color w:val="000000"/>
              </w:rPr>
            </w:pPr>
            <w:r w:rsidRPr="00F377C9">
              <w:rPr>
                <w:rFonts w:ascii="Arial Narrow" w:hAnsi="Arial Narrow" w:cs="Arial"/>
                <w:snapToGrid w:val="0"/>
                <w:color w:val="000000"/>
              </w:rPr>
              <w:t>3.330.339</w:t>
            </w:r>
          </w:p>
        </w:tc>
      </w:tr>
      <w:tr w:rsidR="00F377C9" w:rsidRPr="00F377C9" w:rsidTr="0035314C">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t xml:space="preserve">Total Patrimonio Neto y Pasivo (A+C+D) </w:t>
            </w:r>
          </w:p>
        </w:tc>
        <w:tc>
          <w:tcPr>
            <w:tcW w:w="1647"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spacing w:after="0"/>
              <w:ind w:left="-91" w:right="-67" w:firstLine="0"/>
              <w:jc w:val="right"/>
              <w:rPr>
                <w:rFonts w:ascii="Arial" w:hAnsi="Arial" w:cs="Arial"/>
                <w:snapToGrid w:val="0"/>
                <w:color w:val="000000"/>
                <w:sz w:val="18"/>
                <w:szCs w:val="18"/>
                <w:highlight w:val="yellow"/>
              </w:rPr>
            </w:pPr>
            <w:r w:rsidRPr="00F377C9">
              <w:rPr>
                <w:rFonts w:ascii="Arial" w:hAnsi="Arial" w:cs="Arial"/>
                <w:snapToGrid w:val="0"/>
                <w:color w:val="000000"/>
                <w:sz w:val="18"/>
                <w:szCs w:val="18"/>
              </w:rPr>
              <w:t>3.315.490.400</w:t>
            </w:r>
          </w:p>
        </w:tc>
        <w:tc>
          <w:tcPr>
            <w:tcW w:w="2062" w:type="dxa"/>
            <w:tcBorders>
              <w:top w:val="single" w:sz="4" w:space="0" w:color="auto"/>
              <w:bottom w:val="single" w:sz="4" w:space="0" w:color="auto"/>
            </w:tcBorders>
            <w:shd w:val="clear" w:color="auto" w:fill="8DB3E2" w:themeFill="text2" w:themeFillTint="66"/>
            <w:vAlign w:val="center"/>
          </w:tcPr>
          <w:p w:rsidR="00F377C9" w:rsidRPr="00F377C9" w:rsidRDefault="00F377C9" w:rsidP="0035314C">
            <w:pPr>
              <w:spacing w:after="0"/>
              <w:ind w:left="-91" w:right="-67"/>
              <w:jc w:val="right"/>
              <w:rPr>
                <w:rFonts w:ascii="Arial" w:hAnsi="Arial" w:cs="Arial"/>
                <w:snapToGrid w:val="0"/>
                <w:color w:val="000000"/>
                <w:sz w:val="18"/>
                <w:szCs w:val="18"/>
                <w:highlight w:val="yellow"/>
              </w:rPr>
            </w:pPr>
            <w:r w:rsidRPr="00F377C9">
              <w:rPr>
                <w:rFonts w:ascii="Arial" w:hAnsi="Arial" w:cs="Arial"/>
                <w:snapToGrid w:val="0"/>
                <w:color w:val="000000"/>
                <w:sz w:val="18"/>
                <w:szCs w:val="18"/>
              </w:rPr>
              <w:t>3.202.840.688</w:t>
            </w:r>
          </w:p>
        </w:tc>
      </w:tr>
    </w:tbl>
    <w:p w:rsidR="00F377C9" w:rsidRPr="00F377C9" w:rsidRDefault="00F377C9" w:rsidP="0035314C">
      <w:pPr>
        <w:pStyle w:val="atitulo2"/>
      </w:pPr>
      <w:bookmarkStart w:id="37" w:name="_Toc399859620"/>
      <w:bookmarkStart w:id="38" w:name="_Toc463350245"/>
      <w:bookmarkStart w:id="39" w:name="_Toc494270379"/>
      <w:bookmarkStart w:id="40" w:name="_Toc498515788"/>
      <w:r w:rsidRPr="00F377C9">
        <w:lastRenderedPageBreak/>
        <w:t xml:space="preserve">III.5. Cuenta de Resultados </w:t>
      </w:r>
      <w:bookmarkEnd w:id="37"/>
      <w:bookmarkEnd w:id="38"/>
      <w:r w:rsidRPr="00F377C9">
        <w:t>2016</w:t>
      </w:r>
      <w:bookmarkEnd w:id="39"/>
      <w:bookmarkEnd w:id="40"/>
    </w:p>
    <w:p w:rsidR="00F377C9" w:rsidRPr="00EB7C97" w:rsidRDefault="00AA3E09" w:rsidP="00EB7C97">
      <w:pPr>
        <w:suppressAutoHyphens/>
        <w:spacing w:after="60"/>
        <w:ind w:firstLine="0"/>
        <w:jc w:val="right"/>
        <w:rPr>
          <w:rFonts w:ascii="Arial" w:hAnsi="Arial"/>
          <w:spacing w:val="6"/>
          <w:sz w:val="17"/>
          <w:szCs w:val="17"/>
        </w:rPr>
      </w:pPr>
      <w:r>
        <w:rPr>
          <w:rFonts w:ascii="Arial" w:hAnsi="Arial"/>
          <w:spacing w:val="6"/>
          <w:sz w:val="17"/>
          <w:szCs w:val="17"/>
        </w:rPr>
        <w:t>(</w:t>
      </w:r>
      <w:r w:rsidR="00F377C9" w:rsidRPr="00EB7C97">
        <w:rPr>
          <w:rFonts w:ascii="Arial" w:hAnsi="Arial"/>
          <w:spacing w:val="6"/>
          <w:sz w:val="17"/>
          <w:szCs w:val="17"/>
        </w:rPr>
        <w:t>en euros)</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F377C9" w:rsidRPr="00F377C9" w:rsidTr="0035314C">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t>Debe</w:t>
            </w:r>
          </w:p>
        </w:tc>
        <w:tc>
          <w:tcPr>
            <w:tcW w:w="1867" w:type="dxa"/>
            <w:tcBorders>
              <w:top w:val="single" w:sz="4" w:space="0" w:color="auto"/>
              <w:bottom w:val="single" w:sz="4"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Pr>
                <w:rFonts w:ascii="Arial" w:hAnsi="Arial"/>
                <w:snapToGrid w:val="0"/>
                <w:color w:val="000000"/>
                <w:spacing w:val="6"/>
                <w:sz w:val="18"/>
                <w:szCs w:val="24"/>
                <w:lang w:val="es-ES"/>
              </w:rPr>
              <w:t xml:space="preserve">Ejercicio </w:t>
            </w:r>
            <w:r w:rsidR="00F377C9" w:rsidRPr="00F377C9">
              <w:rPr>
                <w:rFonts w:ascii="Arial" w:hAnsi="Arial"/>
                <w:snapToGrid w:val="0"/>
                <w:color w:val="000000"/>
                <w:spacing w:val="6"/>
                <w:sz w:val="18"/>
                <w:szCs w:val="24"/>
                <w:lang w:val="es-ES"/>
              </w:rPr>
              <w:t>2016</w:t>
            </w:r>
          </w:p>
        </w:tc>
        <w:tc>
          <w:tcPr>
            <w:tcW w:w="1945" w:type="dxa"/>
            <w:tcBorders>
              <w:top w:val="single" w:sz="4" w:space="0" w:color="auto"/>
              <w:bottom w:val="single" w:sz="4"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Pr>
                <w:rFonts w:ascii="Arial" w:hAnsi="Arial"/>
                <w:snapToGrid w:val="0"/>
                <w:color w:val="000000"/>
                <w:spacing w:val="6"/>
                <w:sz w:val="18"/>
                <w:szCs w:val="24"/>
                <w:lang w:val="es-ES"/>
              </w:rPr>
              <w:t xml:space="preserve">Ejercicio </w:t>
            </w:r>
            <w:r w:rsidR="00F377C9" w:rsidRPr="00F377C9">
              <w:rPr>
                <w:rFonts w:ascii="Arial" w:hAnsi="Arial"/>
                <w:snapToGrid w:val="0"/>
                <w:color w:val="000000"/>
                <w:spacing w:val="6"/>
                <w:sz w:val="18"/>
                <w:szCs w:val="24"/>
                <w:lang w:val="es-ES"/>
              </w:rPr>
              <w:t>2015</w:t>
            </w:r>
          </w:p>
        </w:tc>
      </w:tr>
      <w:tr w:rsidR="00F377C9" w:rsidRPr="00542528" w:rsidTr="00542528">
        <w:trPr>
          <w:trHeight w:val="255"/>
          <w:jc w:val="center"/>
        </w:trPr>
        <w:tc>
          <w:tcPr>
            <w:tcW w:w="5080" w:type="dxa"/>
            <w:tcBorders>
              <w:top w:val="single" w:sz="4" w:space="0" w:color="auto"/>
              <w:bottom w:val="single" w:sz="2" w:space="0" w:color="auto"/>
            </w:tcBorders>
            <w:vAlign w:val="center"/>
          </w:tcPr>
          <w:p w:rsidR="00F377C9" w:rsidRPr="00542528" w:rsidRDefault="00F377C9" w:rsidP="00F377C9">
            <w:pPr>
              <w:spacing w:before="60" w:after="60"/>
              <w:ind w:firstLine="0"/>
              <w:rPr>
                <w:rFonts w:ascii="Arial" w:hAnsi="Arial" w:cs="Arial"/>
                <w:snapToGrid w:val="0"/>
                <w:sz w:val="18"/>
                <w:szCs w:val="18"/>
                <w:lang w:eastAsia="es-ES"/>
              </w:rPr>
            </w:pPr>
            <w:r w:rsidRPr="00542528">
              <w:rPr>
                <w:rFonts w:ascii="Arial" w:hAnsi="Arial" w:cs="Arial"/>
                <w:snapToGrid w:val="0"/>
                <w:sz w:val="18"/>
                <w:szCs w:val="18"/>
                <w:lang w:eastAsia="es-ES"/>
              </w:rPr>
              <w:t>A) Gastos</w:t>
            </w:r>
          </w:p>
        </w:tc>
        <w:tc>
          <w:tcPr>
            <w:tcW w:w="1867" w:type="dxa"/>
            <w:tcBorders>
              <w:top w:val="single" w:sz="4" w:space="0" w:color="auto"/>
              <w:bottom w:val="single" w:sz="2" w:space="0" w:color="auto"/>
            </w:tcBorders>
            <w:vAlign w:val="center"/>
          </w:tcPr>
          <w:p w:rsidR="00F377C9" w:rsidRPr="00542528" w:rsidRDefault="00F377C9" w:rsidP="00F377C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F377C9" w:rsidRPr="00542528" w:rsidRDefault="00F377C9" w:rsidP="00F377C9">
            <w:pPr>
              <w:spacing w:before="60" w:after="60" w:line="200" w:lineRule="atLeast"/>
              <w:ind w:firstLine="0"/>
              <w:jc w:val="right"/>
              <w:rPr>
                <w:rFonts w:ascii="Arial" w:hAnsi="Arial" w:cs="Arial"/>
                <w:snapToGrid w:val="0"/>
                <w:color w:val="000000"/>
                <w:sz w:val="18"/>
                <w:szCs w:val="18"/>
                <w:lang w:val="es-ES"/>
              </w:rPr>
            </w:pP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lang w:eastAsia="es-ES"/>
              </w:rPr>
            </w:pPr>
            <w:r w:rsidRPr="00542528">
              <w:rPr>
                <w:rFonts w:ascii="Arial Narrow" w:hAnsi="Arial Narrow" w:cs="Arial"/>
                <w:b/>
                <w:snapToGrid w:val="0"/>
                <w:lang w:eastAsia="es-ES"/>
              </w:rPr>
              <w:t xml:space="preserve">2. Aprovisionamientos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255.636.495</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247.074.642</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b) Consumos del ejercicio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255.636.495</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247.074.642</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sidRPr="00542528">
              <w:rPr>
                <w:rFonts w:ascii="Arial Narrow" w:hAnsi="Arial Narrow" w:cs="Arial"/>
                <w:b/>
                <w:snapToGrid w:val="0"/>
              </w:rPr>
              <w:t>3. Otros gastos de gestión ordinaria</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rPr>
              <w:t>1.580.969.573</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color w:val="000000"/>
              </w:rPr>
              <w:t>1.528.109.374</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a) Gastos de personal.</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1.086.750.594</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1.056.063.420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a.1) Sueldos y salarios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918.698.062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893.838.026</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a.2) Cargas sociales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168.052.532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162.225.394</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b) Prestaciones sociales</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86.009.632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82.591.403</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d) Variación de provisiones de tráfico</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-13.652.380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-30.481.445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right="-526" w:firstLine="0"/>
              <w:rPr>
                <w:rFonts w:ascii="Arial Narrow" w:hAnsi="Arial Narrow" w:cs="Arial"/>
                <w:snapToGrid w:val="0"/>
              </w:rPr>
            </w:pPr>
            <w:r w:rsidRPr="00542528">
              <w:rPr>
                <w:rFonts w:ascii="Arial Narrow" w:hAnsi="Arial Narrow" w:cs="Arial"/>
                <w:snapToGrid w:val="0"/>
              </w:rPr>
              <w:t xml:space="preserve">d.1) Variación de provisiones y pérdidas de créditos incobrables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-13.652.380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-30.481.445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e) Otros gastos de gestión</w:t>
            </w:r>
          </w:p>
        </w:tc>
        <w:tc>
          <w:tcPr>
            <w:tcW w:w="186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color w:val="000000"/>
              </w:rPr>
            </w:pPr>
            <w:r w:rsidRPr="00542528">
              <w:rPr>
                <w:rFonts w:ascii="Arial Narrow" w:hAnsi="Arial Narrow" w:cs="Arial"/>
                <w:snapToGrid w:val="0"/>
                <w:color w:val="000000"/>
              </w:rPr>
              <w:t>321.958.15</w:t>
            </w:r>
            <w:r w:rsidR="00AA3E09">
              <w:rPr>
                <w:rFonts w:ascii="Arial Narrow" w:hAnsi="Arial Narrow" w:cs="Arial"/>
                <w:snapToGrid w:val="0"/>
                <w:color w:val="000000"/>
              </w:rPr>
              <w:t>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311.750.745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e.1) Servicios exteriores</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320.084.098</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309.606.215</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e.2) Tributos </w:t>
            </w:r>
          </w:p>
        </w:tc>
        <w:tc>
          <w:tcPr>
            <w:tcW w:w="186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color w:val="000000"/>
              </w:rPr>
            </w:pPr>
            <w:r w:rsidRPr="00542528">
              <w:rPr>
                <w:rFonts w:ascii="Arial Narrow" w:hAnsi="Arial Narrow" w:cs="Arial"/>
                <w:snapToGrid w:val="0"/>
                <w:color w:val="000000"/>
              </w:rPr>
              <w:t>58.70</w:t>
            </w:r>
            <w:r w:rsidR="00AA3E09">
              <w:rPr>
                <w:rFonts w:ascii="Arial Narrow" w:hAnsi="Arial Narrow" w:cs="Arial"/>
                <w:snapToGrid w:val="0"/>
                <w:color w:val="000000"/>
              </w:rPr>
              <w:t>5</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46.611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AA3E09" w:rsidP="00542528">
            <w:pPr>
              <w:spacing w:after="0"/>
              <w:ind w:firstLine="0"/>
              <w:rPr>
                <w:rFonts w:ascii="Arial Narrow" w:hAnsi="Arial Narrow" w:cs="Arial"/>
                <w:snapToGrid w:val="0"/>
              </w:rPr>
            </w:pPr>
            <w:r>
              <w:rPr>
                <w:rFonts w:ascii="Arial Narrow" w:hAnsi="Arial Narrow" w:cs="Arial"/>
                <w:snapToGrid w:val="0"/>
              </w:rPr>
              <w:t>e</w:t>
            </w:r>
            <w:r w:rsidR="00F377C9" w:rsidRPr="00542528">
              <w:rPr>
                <w:rFonts w:ascii="Arial Narrow" w:hAnsi="Arial Narrow" w:cs="Arial"/>
                <w:snapToGrid w:val="0"/>
              </w:rPr>
              <w:t>.3) Gastos diversos</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1.815.35</w:t>
            </w:r>
            <w:r w:rsidR="00AA3E09">
              <w:rPr>
                <w:rFonts w:ascii="Arial Narrow" w:hAnsi="Arial Narrow" w:cs="Arial"/>
                <w:snapToGrid w:val="0"/>
                <w:color w:val="000000"/>
              </w:rPr>
              <w:t>4</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2.097.919</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f) Gastos financieros y asimilables</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99.016.637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108.086.390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f.1) Por deudas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99.016.637</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108.086.390</w:t>
            </w:r>
          </w:p>
        </w:tc>
      </w:tr>
      <w:tr w:rsidR="00F377C9" w:rsidRPr="00542528" w:rsidTr="00542528">
        <w:trPr>
          <w:trHeight w:val="198"/>
          <w:jc w:val="center"/>
        </w:trPr>
        <w:tc>
          <w:tcPr>
            <w:tcW w:w="5080" w:type="dxa"/>
            <w:tcBorders>
              <w:top w:val="nil"/>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g) Variación de las provisiones de inversiones financieras </w:t>
            </w:r>
          </w:p>
        </w:tc>
        <w:tc>
          <w:tcPr>
            <w:tcW w:w="1867" w:type="dxa"/>
            <w:tcBorders>
              <w:top w:val="nil"/>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886.933</w:t>
            </w:r>
          </w:p>
        </w:tc>
        <w:tc>
          <w:tcPr>
            <w:tcW w:w="1945" w:type="dxa"/>
            <w:tcBorders>
              <w:top w:val="nil"/>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98.339</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sidRPr="00542528">
              <w:rPr>
                <w:rFonts w:ascii="Arial Narrow" w:hAnsi="Arial Narrow" w:cs="Arial"/>
                <w:b/>
                <w:snapToGrid w:val="0"/>
              </w:rPr>
              <w:t xml:space="preserve">4. Transferencias y subvenciones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1.521.120.789</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1.588.472.931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a) Transferencias corrientes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1.429.016.701</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1.471.055.589</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c) Transferencias de capital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92.104.088</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117.417.341</w:t>
            </w:r>
          </w:p>
        </w:tc>
      </w:tr>
      <w:tr w:rsidR="00F377C9" w:rsidRPr="00542528" w:rsidTr="00542528">
        <w:trPr>
          <w:trHeight w:val="255"/>
          <w:jc w:val="center"/>
        </w:trPr>
        <w:tc>
          <w:tcPr>
            <w:tcW w:w="5080"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sidRPr="00542528">
              <w:rPr>
                <w:rFonts w:ascii="Arial Narrow" w:hAnsi="Arial Narrow" w:cs="Arial"/>
                <w:b/>
                <w:snapToGrid w:val="0"/>
              </w:rPr>
              <w:t xml:space="preserve">5. Pérdidas y gastos extraordinarios </w:t>
            </w:r>
          </w:p>
        </w:tc>
        <w:tc>
          <w:tcPr>
            <w:tcW w:w="186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rPr>
              <w:t>111.359.158</w:t>
            </w:r>
          </w:p>
        </w:tc>
        <w:tc>
          <w:tcPr>
            <w:tcW w:w="1945"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rPr>
              <w:t>103.388.926</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a) Pérdidas procedentes del inmovilizado</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144.216</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0</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 xml:space="preserve">c) Gastos extraordinarios </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51.871.860</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50.241.371</w:t>
            </w:r>
          </w:p>
        </w:tc>
      </w:tr>
      <w:tr w:rsidR="00F377C9" w:rsidRPr="00542528" w:rsidTr="00542528">
        <w:trPr>
          <w:trHeight w:val="198"/>
          <w:jc w:val="center"/>
        </w:trPr>
        <w:tc>
          <w:tcPr>
            <w:tcW w:w="5080"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rPr>
            </w:pPr>
            <w:r w:rsidRPr="00542528">
              <w:rPr>
                <w:rFonts w:ascii="Arial Narrow" w:hAnsi="Arial Narrow" w:cs="Arial"/>
                <w:snapToGrid w:val="0"/>
              </w:rPr>
              <w:t>d) Gastos y pérdidas de otros ejercicios</w:t>
            </w:r>
          </w:p>
        </w:tc>
        <w:tc>
          <w:tcPr>
            <w:tcW w:w="186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59.343.082</w:t>
            </w:r>
          </w:p>
        </w:tc>
        <w:tc>
          <w:tcPr>
            <w:tcW w:w="1945"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53.147.555</w:t>
            </w:r>
          </w:p>
        </w:tc>
      </w:tr>
      <w:tr w:rsidR="00F377C9" w:rsidRPr="00542528" w:rsidTr="00542528">
        <w:trPr>
          <w:trHeight w:val="198"/>
          <w:jc w:val="center"/>
        </w:trPr>
        <w:tc>
          <w:tcPr>
            <w:tcW w:w="5080"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lang w:eastAsia="es-ES"/>
              </w:rPr>
            </w:pPr>
            <w:r w:rsidRPr="00542528">
              <w:rPr>
                <w:rFonts w:ascii="Arial" w:hAnsi="Arial" w:cs="Arial"/>
                <w:b/>
                <w:snapToGrid w:val="0"/>
                <w:sz w:val="18"/>
                <w:szCs w:val="18"/>
                <w:lang w:eastAsia="es-ES"/>
              </w:rPr>
              <w:t>Saldo Acreedor (Ahorro)</w:t>
            </w:r>
          </w:p>
        </w:tc>
        <w:tc>
          <w:tcPr>
            <w:tcW w:w="1867"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lang w:eastAsia="es-ES"/>
              </w:rPr>
            </w:pPr>
          </w:p>
        </w:tc>
        <w:tc>
          <w:tcPr>
            <w:tcW w:w="1945" w:type="dxa"/>
            <w:tcBorders>
              <w:top w:val="single" w:sz="2" w:space="0" w:color="auto"/>
              <w:bottom w:val="single" w:sz="4" w:space="0" w:color="auto"/>
            </w:tcBorders>
            <w:vAlign w:val="center"/>
          </w:tcPr>
          <w:p w:rsidR="00F377C9" w:rsidRPr="00542528" w:rsidRDefault="00F377C9" w:rsidP="00542528">
            <w:pPr>
              <w:spacing w:before="60" w:after="60"/>
              <w:ind w:firstLine="0"/>
              <w:rPr>
                <w:rFonts w:ascii="Arial" w:hAnsi="Arial" w:cs="Arial"/>
                <w:b/>
                <w:snapToGrid w:val="0"/>
                <w:sz w:val="18"/>
                <w:szCs w:val="18"/>
                <w:lang w:eastAsia="es-ES"/>
              </w:rPr>
            </w:pPr>
          </w:p>
        </w:tc>
      </w:tr>
      <w:tr w:rsidR="00F377C9" w:rsidRPr="00542528" w:rsidTr="0054252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542528">
              <w:rPr>
                <w:rFonts w:ascii="Arial" w:hAnsi="Arial" w:cs="Arial"/>
                <w:snapToGrid w:val="0"/>
                <w:spacing w:val="6"/>
                <w:sz w:val="18"/>
                <w:szCs w:val="18"/>
              </w:rPr>
              <w:t>Total Debe</w:t>
            </w:r>
          </w:p>
        </w:tc>
        <w:tc>
          <w:tcPr>
            <w:tcW w:w="1867"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542528">
              <w:rPr>
                <w:rFonts w:ascii="Arial" w:hAnsi="Arial" w:cs="Arial"/>
                <w:snapToGrid w:val="0"/>
                <w:spacing w:val="6"/>
                <w:sz w:val="18"/>
                <w:szCs w:val="18"/>
                <w:lang w:val="es-ES"/>
              </w:rPr>
              <w:t>3.469.086.015</w:t>
            </w:r>
          </w:p>
        </w:tc>
        <w:tc>
          <w:tcPr>
            <w:tcW w:w="1945" w:type="dxa"/>
            <w:tcBorders>
              <w:top w:val="single" w:sz="4" w:space="0" w:color="auto"/>
              <w:bottom w:val="single" w:sz="4" w:space="0" w:color="auto"/>
            </w:tcBorders>
            <w:shd w:val="clear" w:color="auto" w:fill="8DB3E2" w:themeFill="text2" w:themeFillTint="66"/>
            <w:vAlign w:val="center"/>
          </w:tcPr>
          <w:p w:rsidR="00F377C9" w:rsidRPr="00542528" w:rsidRDefault="00F377C9" w:rsidP="00F377C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lang w:val="es-ES"/>
              </w:rPr>
            </w:pPr>
            <w:r w:rsidRPr="00542528">
              <w:rPr>
                <w:rFonts w:ascii="Arial" w:hAnsi="Arial" w:cs="Arial"/>
                <w:snapToGrid w:val="0"/>
                <w:spacing w:val="6"/>
                <w:sz w:val="18"/>
                <w:szCs w:val="18"/>
                <w:lang w:val="es-ES"/>
              </w:rPr>
              <w:t>3.467.045.873</w:t>
            </w:r>
          </w:p>
        </w:tc>
      </w:tr>
    </w:tbl>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F377C9" w:rsidRPr="00F377C9" w:rsidRDefault="00F377C9" w:rsidP="00F377C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F377C9">
        <w:rPr>
          <w:rFonts w:ascii="Arial Narrow" w:hAnsi="Arial Narrow"/>
          <w:spacing w:val="6"/>
          <w:sz w:val="18"/>
          <w:szCs w:val="18"/>
        </w:rP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111BC1" w:rsidRPr="00F377C9" w:rsidTr="00111BC1">
        <w:trPr>
          <w:trHeight w:val="255"/>
          <w:jc w:val="center"/>
        </w:trPr>
        <w:tc>
          <w:tcPr>
            <w:tcW w:w="8852" w:type="dxa"/>
            <w:gridSpan w:val="3"/>
            <w:tcBorders>
              <w:top w:val="nil"/>
              <w:bottom w:val="single" w:sz="2" w:space="0" w:color="auto"/>
            </w:tcBorders>
            <w:shd w:val="clear" w:color="auto" w:fill="auto"/>
            <w:vAlign w:val="center"/>
          </w:tcPr>
          <w:p w:rsidR="00111BC1" w:rsidRPr="00111BC1" w:rsidRDefault="00111BC1"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7"/>
                <w:szCs w:val="17"/>
              </w:rPr>
            </w:pPr>
            <w:r w:rsidRPr="00111BC1">
              <w:rPr>
                <w:rFonts w:ascii="Arial" w:hAnsi="Arial"/>
                <w:snapToGrid w:val="0"/>
                <w:spacing w:val="6"/>
                <w:sz w:val="17"/>
                <w:szCs w:val="17"/>
              </w:rPr>
              <w:lastRenderedPageBreak/>
              <w:t>(en euros)</w:t>
            </w:r>
          </w:p>
        </w:tc>
      </w:tr>
      <w:tr w:rsidR="00F377C9" w:rsidRPr="00F377C9" w:rsidTr="00542528">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pacing w:val="6"/>
                <w:sz w:val="18"/>
                <w:szCs w:val="24"/>
              </w:rPr>
              <w:br w:type="page"/>
            </w:r>
            <w:r w:rsidRPr="00F377C9">
              <w:rPr>
                <w:rFonts w:ascii="Arial" w:hAnsi="Arial"/>
                <w:snapToGrid w:val="0"/>
                <w:spacing w:val="6"/>
                <w:sz w:val="18"/>
                <w:szCs w:val="24"/>
              </w:rPr>
              <w:t>Haber</w:t>
            </w:r>
          </w:p>
        </w:tc>
        <w:tc>
          <w:tcPr>
            <w:tcW w:w="1957" w:type="dxa"/>
            <w:tcBorders>
              <w:top w:val="single" w:sz="4" w:space="0" w:color="auto"/>
              <w:bottom w:val="single" w:sz="2"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pacing w:val="6"/>
                <w:sz w:val="18"/>
                <w:szCs w:val="24"/>
              </w:rPr>
              <w:t xml:space="preserve">Ejercicio </w:t>
            </w:r>
            <w:r w:rsidR="00F377C9" w:rsidRPr="00F377C9">
              <w:rPr>
                <w:rFonts w:ascii="Arial" w:hAnsi="Arial"/>
                <w:snapToGrid w:val="0"/>
                <w:spacing w:val="6"/>
                <w:sz w:val="18"/>
                <w:szCs w:val="24"/>
              </w:rPr>
              <w:t>2016</w:t>
            </w:r>
          </w:p>
        </w:tc>
        <w:tc>
          <w:tcPr>
            <w:tcW w:w="2077" w:type="dxa"/>
            <w:tcBorders>
              <w:top w:val="single" w:sz="4" w:space="0" w:color="auto"/>
              <w:bottom w:val="single" w:sz="2" w:space="0" w:color="auto"/>
            </w:tcBorders>
            <w:shd w:val="clear" w:color="auto" w:fill="8DB3E2" w:themeFill="text2" w:themeFillTint="66"/>
            <w:vAlign w:val="center"/>
          </w:tcPr>
          <w:p w:rsidR="00F377C9" w:rsidRPr="00F377C9" w:rsidRDefault="007A489E" w:rsidP="00F377C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pacing w:val="6"/>
                <w:sz w:val="18"/>
                <w:szCs w:val="24"/>
              </w:rPr>
              <w:t xml:space="preserve">Ejercicio </w:t>
            </w:r>
            <w:r w:rsidR="00F377C9" w:rsidRPr="00F377C9">
              <w:rPr>
                <w:rFonts w:ascii="Arial" w:hAnsi="Arial"/>
                <w:snapToGrid w:val="0"/>
                <w:spacing w:val="6"/>
                <w:sz w:val="18"/>
                <w:szCs w:val="24"/>
              </w:rPr>
              <w:t>2015</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snapToGrid w:val="0"/>
                <w:lang w:eastAsia="es-ES"/>
              </w:rPr>
            </w:pPr>
            <w:r w:rsidRPr="00542528">
              <w:rPr>
                <w:rFonts w:ascii="Arial Narrow" w:hAnsi="Arial Narrow" w:cs="Arial"/>
                <w:snapToGrid w:val="0"/>
                <w:lang w:eastAsia="es-ES"/>
              </w:rPr>
              <w:t>B) Ingresos</w:t>
            </w:r>
          </w:p>
        </w:tc>
        <w:tc>
          <w:tcPr>
            <w:tcW w:w="1957" w:type="dxa"/>
            <w:tcBorders>
              <w:top w:val="single" w:sz="2" w:space="0" w:color="auto"/>
              <w:bottom w:val="single" w:sz="2" w:space="0" w:color="auto"/>
            </w:tcBorders>
          </w:tcPr>
          <w:p w:rsidR="00F377C9" w:rsidRPr="00542528" w:rsidRDefault="00F377C9" w:rsidP="00F377C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F377C9" w:rsidRPr="00542528" w:rsidRDefault="00F377C9" w:rsidP="00F377C9">
            <w:pPr>
              <w:spacing w:before="60" w:after="60"/>
              <w:ind w:firstLine="0"/>
              <w:jc w:val="right"/>
              <w:rPr>
                <w:rFonts w:ascii="Arial Narrow" w:hAnsi="Arial Narrow" w:cs="Arial"/>
                <w:snapToGrid w:val="0"/>
                <w:lang w:eastAsia="es-ES"/>
              </w:rPr>
            </w:pP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lang w:eastAsia="es-ES"/>
              </w:rPr>
            </w:pPr>
            <w:r w:rsidRPr="00542528">
              <w:rPr>
                <w:rFonts w:ascii="Arial Narrow" w:hAnsi="Arial Narrow" w:cs="Arial"/>
                <w:b/>
                <w:snapToGrid w:val="0"/>
                <w:lang w:eastAsia="es-ES"/>
              </w:rPr>
              <w:t>1. Ingresos de gestión ordinaria</w:t>
            </w:r>
          </w:p>
        </w:tc>
        <w:tc>
          <w:tcPr>
            <w:tcW w:w="195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b/>
                <w:snapToGrid w:val="0"/>
                <w:color w:val="000000"/>
              </w:rPr>
            </w:pPr>
            <w:r w:rsidRPr="00542528">
              <w:rPr>
                <w:rFonts w:ascii="Arial Narrow" w:hAnsi="Arial Narrow" w:cs="Arial"/>
                <w:b/>
                <w:snapToGrid w:val="0"/>
                <w:color w:val="000000"/>
              </w:rPr>
              <w:t>3.235.275.29</w:t>
            </w:r>
            <w:r w:rsidR="00AA3E09">
              <w:rPr>
                <w:rFonts w:ascii="Arial Narrow" w:hAnsi="Arial Narrow" w:cs="Arial"/>
                <w:b/>
                <w:snapToGrid w:val="0"/>
                <w:color w:val="000000"/>
              </w:rPr>
              <w:t>7</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3.138.435.748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 Ingresos tributarios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3.219.184.07</w:t>
            </w:r>
            <w:r w:rsidR="00AA3E09">
              <w:rPr>
                <w:rFonts w:ascii="Arial Narrow" w:hAnsi="Arial Narrow" w:cs="Arial"/>
                <w:snapToGrid w:val="0"/>
              </w:rPr>
              <w:t>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3.121.188.269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a.1) Impuesto sobre la renta de las personas físicas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1.186.540.933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1.113.962.028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a.2) Impuesto sobre sociedades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205.097.29</w:t>
            </w:r>
            <w:r w:rsidR="00AA3E09">
              <w:rPr>
                <w:rFonts w:ascii="Arial Narrow" w:hAnsi="Arial Narrow" w:cs="Arial"/>
                <w:snapToGrid w:val="0"/>
                <w:color w:val="000000"/>
              </w:rPr>
              <w:t>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213.556.532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a.3) Impuesto sobre sucesiones y donaciones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43.051.133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58.086.629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a.4) Impuesto sobre el patrimonio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31.844.693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44.741.032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a.8) Otros impuestos directos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33.478.970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37.405.785</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a.9) Impuesto sobre transmisiones patrimoniales y AJD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48.797.872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48.329.767</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a.10) Impuesto sobre el valor añadido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1.221.861.729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1.184.256.852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a.11) Impuestos especiales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436.207.944</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409.399.347</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a.12) Impuestos directos extinguidos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19.755</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a.15) Tasas por prestación de servicios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12.303.508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11.430.541</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b) Cotizaciones sociales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2.207.667</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2.405.916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c) Prestaciones de servicios.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13.883.558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14.841.563</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c.1)Precios públicos por prestación de servicios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13.883.558</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14.841.563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lang w:eastAsia="es-ES"/>
              </w:rPr>
            </w:pPr>
            <w:r w:rsidRPr="00542528">
              <w:rPr>
                <w:rFonts w:ascii="Arial Narrow" w:hAnsi="Arial Narrow" w:cs="Arial"/>
                <w:b/>
                <w:snapToGrid w:val="0"/>
                <w:lang w:eastAsia="es-ES"/>
              </w:rPr>
              <w:t>2. Otros ingresos de gestión ordinaria</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99.596.996</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108.622.530</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a) Reintegros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9.139.211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7.793.182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b) Ventas y prestaciones de servicios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40.805.213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40.280.194</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c) Otros ingresos de gestión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38.532.023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39.033.096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c.1) Ingresos accesorios y otros de gestión corriente</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38.532.023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39.033.096</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f) Otros ingresos financieros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11.120.549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21.515.878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f.1) Otros intereses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11.120.549</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21.515.878</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lang w:eastAsia="es-ES"/>
              </w:rPr>
            </w:pPr>
            <w:r w:rsidRPr="00542528">
              <w:rPr>
                <w:rFonts w:ascii="Arial Narrow" w:hAnsi="Arial Narrow" w:cs="Arial"/>
                <w:b/>
                <w:snapToGrid w:val="0"/>
                <w:lang w:eastAsia="es-ES"/>
              </w:rPr>
              <w:t xml:space="preserve">3. Transferencias y subvenciones </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55.047.253</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48.614.883</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 Transferencias corrientes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47.664.041</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36.931.359</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b) Transferencias de capital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7.383.212</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color w:val="000000"/>
              </w:rPr>
            </w:pPr>
            <w:r w:rsidRPr="00542528">
              <w:rPr>
                <w:rFonts w:ascii="Arial Narrow" w:hAnsi="Arial Narrow" w:cs="Arial"/>
                <w:snapToGrid w:val="0"/>
                <w:color w:val="000000"/>
              </w:rPr>
              <w:t>11.683.523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lang w:eastAsia="es-ES"/>
              </w:rPr>
            </w:pPr>
            <w:r w:rsidRPr="00542528">
              <w:rPr>
                <w:rFonts w:ascii="Arial Narrow" w:hAnsi="Arial Narrow" w:cs="Arial"/>
                <w:b/>
                <w:snapToGrid w:val="0"/>
                <w:lang w:eastAsia="es-ES"/>
              </w:rPr>
              <w:t xml:space="preserve">5. Ganancias e ingresos extraordinarios </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rPr>
              <w:t>25.301.020</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rPr>
            </w:pPr>
            <w:r w:rsidRPr="00542528">
              <w:rPr>
                <w:rFonts w:ascii="Arial Narrow" w:hAnsi="Arial Narrow" w:cs="Arial"/>
                <w:b/>
                <w:snapToGrid w:val="0"/>
              </w:rPr>
              <w:t>21.466.342</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 xml:space="preserve">a) Beneficios procedentes del inmovilizado </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1.597.853</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78.631</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c) Ingresos extraordinarios ejercicio corriente</w:t>
            </w:r>
          </w:p>
        </w:tc>
        <w:tc>
          <w:tcPr>
            <w:tcW w:w="1957" w:type="dxa"/>
            <w:tcBorders>
              <w:top w:val="single" w:sz="2" w:space="0" w:color="auto"/>
              <w:bottom w:val="single" w:sz="2" w:space="0" w:color="auto"/>
            </w:tcBorders>
            <w:vAlign w:val="center"/>
          </w:tcPr>
          <w:p w:rsidR="00F377C9" w:rsidRPr="00542528" w:rsidRDefault="00F377C9" w:rsidP="00AA3E09">
            <w:pPr>
              <w:spacing w:after="0"/>
              <w:jc w:val="right"/>
              <w:rPr>
                <w:rFonts w:ascii="Arial Narrow" w:hAnsi="Arial Narrow" w:cs="Arial"/>
                <w:snapToGrid w:val="0"/>
              </w:rPr>
            </w:pPr>
            <w:r w:rsidRPr="00542528">
              <w:rPr>
                <w:rFonts w:ascii="Arial Narrow" w:hAnsi="Arial Narrow" w:cs="Arial"/>
                <w:snapToGrid w:val="0"/>
              </w:rPr>
              <w:t>0</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snapToGrid w:val="0"/>
              </w:rPr>
            </w:pPr>
            <w:r w:rsidRPr="00542528">
              <w:rPr>
                <w:rFonts w:ascii="Arial Narrow" w:hAnsi="Arial Narrow" w:cs="Arial"/>
                <w:snapToGrid w:val="0"/>
              </w:rPr>
              <w:t>66.598</w:t>
            </w:r>
          </w:p>
        </w:tc>
      </w:tr>
      <w:tr w:rsidR="00F377C9" w:rsidRPr="00542528" w:rsidTr="00542528">
        <w:trPr>
          <w:trHeight w:val="198"/>
          <w:jc w:val="center"/>
        </w:trPr>
        <w:tc>
          <w:tcPr>
            <w:tcW w:w="4818" w:type="dxa"/>
            <w:tcBorders>
              <w:top w:val="single" w:sz="2" w:space="0" w:color="auto"/>
              <w:bottom w:val="single" w:sz="2" w:space="0" w:color="auto"/>
            </w:tcBorders>
            <w:vAlign w:val="center"/>
          </w:tcPr>
          <w:p w:rsidR="00F377C9" w:rsidRPr="00542528" w:rsidRDefault="00F377C9" w:rsidP="00542528">
            <w:pPr>
              <w:spacing w:after="0"/>
              <w:ind w:firstLine="0"/>
              <w:rPr>
                <w:rFonts w:ascii="Arial Narrow" w:hAnsi="Arial Narrow" w:cs="Arial"/>
                <w:snapToGrid w:val="0"/>
                <w:lang w:eastAsia="es-ES"/>
              </w:rPr>
            </w:pPr>
            <w:r w:rsidRPr="00542528">
              <w:rPr>
                <w:rFonts w:ascii="Arial Narrow" w:hAnsi="Arial Narrow" w:cs="Arial"/>
                <w:snapToGrid w:val="0"/>
                <w:lang w:eastAsia="es-ES"/>
              </w:rPr>
              <w:t>d) Ingresos y beneficios de otros ejercicios</w:t>
            </w:r>
          </w:p>
        </w:tc>
        <w:tc>
          <w:tcPr>
            <w:tcW w:w="195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rPr>
            </w:pPr>
            <w:r w:rsidRPr="00542528">
              <w:rPr>
                <w:rFonts w:ascii="Arial Narrow" w:hAnsi="Arial Narrow" w:cs="Arial"/>
              </w:rPr>
              <w:t>23.703.167</w:t>
            </w:r>
          </w:p>
        </w:tc>
        <w:tc>
          <w:tcPr>
            <w:tcW w:w="2077" w:type="dxa"/>
            <w:tcBorders>
              <w:top w:val="single" w:sz="2" w:space="0" w:color="auto"/>
              <w:bottom w:val="single" w:sz="2" w:space="0" w:color="auto"/>
            </w:tcBorders>
            <w:vAlign w:val="center"/>
          </w:tcPr>
          <w:p w:rsidR="00F377C9" w:rsidRPr="00542528" w:rsidRDefault="00F377C9" w:rsidP="00542528">
            <w:pPr>
              <w:spacing w:after="0"/>
              <w:jc w:val="right"/>
              <w:rPr>
                <w:rFonts w:ascii="Arial Narrow" w:hAnsi="Arial Narrow" w:cs="Arial"/>
              </w:rPr>
            </w:pPr>
            <w:r w:rsidRPr="00542528">
              <w:rPr>
                <w:rFonts w:ascii="Arial Narrow" w:hAnsi="Arial Narrow" w:cs="Arial"/>
              </w:rPr>
              <w:t>21.321.113</w:t>
            </w:r>
          </w:p>
        </w:tc>
      </w:tr>
      <w:tr w:rsidR="00F377C9" w:rsidRPr="00542528" w:rsidTr="00542528">
        <w:trPr>
          <w:trHeight w:val="255"/>
          <w:jc w:val="center"/>
        </w:trPr>
        <w:tc>
          <w:tcPr>
            <w:tcW w:w="4818" w:type="dxa"/>
            <w:tcBorders>
              <w:top w:val="single" w:sz="2" w:space="0" w:color="auto"/>
              <w:bottom w:val="single" w:sz="2" w:space="0" w:color="auto"/>
            </w:tcBorders>
            <w:vAlign w:val="center"/>
          </w:tcPr>
          <w:p w:rsidR="00F377C9" w:rsidRPr="00542528" w:rsidRDefault="00F377C9" w:rsidP="00F377C9">
            <w:pPr>
              <w:spacing w:before="60" w:after="60"/>
              <w:ind w:firstLine="0"/>
              <w:rPr>
                <w:rFonts w:ascii="Arial Narrow" w:hAnsi="Arial Narrow" w:cs="Arial"/>
                <w:b/>
                <w:snapToGrid w:val="0"/>
              </w:rPr>
            </w:pPr>
            <w:r w:rsidRPr="00542528">
              <w:rPr>
                <w:rFonts w:ascii="Arial Narrow" w:hAnsi="Arial Narrow" w:cs="Arial"/>
                <w:b/>
                <w:snapToGrid w:val="0"/>
              </w:rPr>
              <w:t>Saldo Deudor (Desahorro)</w:t>
            </w:r>
          </w:p>
        </w:tc>
        <w:tc>
          <w:tcPr>
            <w:tcW w:w="195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color w:val="000000"/>
              </w:rPr>
              <w:t>53.865.449</w:t>
            </w:r>
          </w:p>
        </w:tc>
        <w:tc>
          <w:tcPr>
            <w:tcW w:w="2077" w:type="dxa"/>
            <w:tcBorders>
              <w:top w:val="single" w:sz="2" w:space="0" w:color="auto"/>
              <w:bottom w:val="single" w:sz="2" w:space="0" w:color="auto"/>
            </w:tcBorders>
            <w:vAlign w:val="center"/>
          </w:tcPr>
          <w:p w:rsidR="00F377C9" w:rsidRPr="00542528" w:rsidRDefault="00F377C9" w:rsidP="00F377C9">
            <w:pPr>
              <w:spacing w:after="0"/>
              <w:jc w:val="right"/>
              <w:rPr>
                <w:rFonts w:ascii="Arial Narrow" w:hAnsi="Arial Narrow" w:cs="Arial"/>
                <w:b/>
                <w:snapToGrid w:val="0"/>
                <w:color w:val="000000"/>
              </w:rPr>
            </w:pPr>
            <w:r w:rsidRPr="00542528">
              <w:rPr>
                <w:rFonts w:ascii="Arial Narrow" w:hAnsi="Arial Narrow" w:cs="Arial"/>
                <w:b/>
                <w:snapToGrid w:val="0"/>
              </w:rPr>
              <w:t>149.906.370</w:t>
            </w:r>
          </w:p>
        </w:tc>
      </w:tr>
      <w:tr w:rsidR="00F377C9" w:rsidRPr="00F377C9" w:rsidTr="00542528">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F377C9">
              <w:rPr>
                <w:rFonts w:ascii="Arial" w:hAnsi="Arial"/>
                <w:snapToGrid w:val="0"/>
                <w:spacing w:val="6"/>
                <w:sz w:val="18"/>
                <w:szCs w:val="24"/>
              </w:rPr>
              <w:t>Total Haber</w:t>
            </w:r>
          </w:p>
        </w:tc>
        <w:tc>
          <w:tcPr>
            <w:tcW w:w="1957"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spacing w:after="0"/>
              <w:jc w:val="right"/>
              <w:rPr>
                <w:rFonts w:ascii="Arial Narrow" w:hAnsi="Arial Narrow" w:cs="Arial"/>
                <w:snapToGrid w:val="0"/>
                <w:color w:val="000000"/>
              </w:rPr>
            </w:pPr>
            <w:r w:rsidRPr="00F377C9">
              <w:rPr>
                <w:rFonts w:ascii="Arial Narrow" w:hAnsi="Arial Narrow" w:cs="Arial"/>
                <w:snapToGrid w:val="0"/>
                <w:color w:val="000000"/>
              </w:rPr>
              <w:t>3.469.086.015</w:t>
            </w:r>
          </w:p>
        </w:tc>
        <w:tc>
          <w:tcPr>
            <w:tcW w:w="2077" w:type="dxa"/>
            <w:tcBorders>
              <w:top w:val="single" w:sz="2" w:space="0" w:color="auto"/>
              <w:bottom w:val="single" w:sz="4" w:space="0" w:color="auto"/>
            </w:tcBorders>
            <w:shd w:val="clear" w:color="auto" w:fill="8DB3E2" w:themeFill="text2" w:themeFillTint="66"/>
            <w:vAlign w:val="center"/>
          </w:tcPr>
          <w:p w:rsidR="00F377C9" w:rsidRPr="00F377C9" w:rsidRDefault="00F377C9" w:rsidP="00F377C9">
            <w:pPr>
              <w:spacing w:after="0"/>
              <w:jc w:val="right"/>
              <w:rPr>
                <w:rFonts w:ascii="Arial Narrow" w:hAnsi="Arial Narrow" w:cs="Arial"/>
                <w:snapToGrid w:val="0"/>
                <w:color w:val="000000"/>
              </w:rPr>
            </w:pPr>
            <w:r w:rsidRPr="00F377C9">
              <w:rPr>
                <w:rFonts w:ascii="Arial Narrow" w:hAnsi="Arial Narrow" w:cs="Arial"/>
                <w:snapToGrid w:val="0"/>
                <w:color w:val="000000"/>
              </w:rPr>
              <w:t>3.467.045.873</w:t>
            </w:r>
          </w:p>
        </w:tc>
      </w:tr>
    </w:tbl>
    <w:p w:rsidR="00F377C9" w:rsidRPr="00F377C9" w:rsidRDefault="00F377C9" w:rsidP="00F377C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F377C9" w:rsidRPr="00F377C9" w:rsidRDefault="00F377C9" w:rsidP="00F377C9">
      <w:pPr>
        <w:spacing w:before="240" w:after="0"/>
        <w:ind w:firstLine="0"/>
        <w:jc w:val="center"/>
        <w:rPr>
          <w:sz w:val="24"/>
          <w:szCs w:val="24"/>
          <w:lang w:val="es-ES" w:eastAsia="es-ES"/>
        </w:rPr>
      </w:pPr>
    </w:p>
    <w:p w:rsidR="00F377C9" w:rsidRPr="00F377C9" w:rsidRDefault="00F377C9" w:rsidP="00F377C9">
      <w:pPr>
        <w:keepNext/>
        <w:spacing w:after="240"/>
        <w:ind w:firstLine="0"/>
        <w:rPr>
          <w:rFonts w:ascii="Arial (W1)" w:hAnsi="Arial (W1)"/>
          <w:color w:val="000000"/>
          <w:spacing w:val="-4"/>
          <w:kern w:val="28"/>
          <w:sz w:val="25"/>
          <w:szCs w:val="26"/>
        </w:rPr>
      </w:pPr>
      <w:r w:rsidRPr="00F377C9">
        <w:rPr>
          <w:rFonts w:ascii="Arial" w:hAnsi="Arial"/>
          <w:b/>
          <w:color w:val="000000"/>
          <w:kern w:val="28"/>
          <w:sz w:val="25"/>
          <w:szCs w:val="26"/>
        </w:rPr>
        <w:t xml:space="preserve"> </w:t>
      </w:r>
      <w:r w:rsidRPr="00F377C9">
        <w:rPr>
          <w:rFonts w:ascii="Arial (W1)" w:hAnsi="Arial (W1)"/>
          <w:b/>
          <w:color w:val="000000"/>
          <w:spacing w:val="-4"/>
          <w:kern w:val="28"/>
          <w:sz w:val="25"/>
          <w:szCs w:val="26"/>
        </w:rPr>
        <w:br w:type="page"/>
      </w:r>
    </w:p>
    <w:p w:rsidR="004B5DDD" w:rsidRPr="004B5DDD" w:rsidRDefault="004B5DDD" w:rsidP="004B5DDD">
      <w:pPr>
        <w:pStyle w:val="atitulo1"/>
      </w:pPr>
      <w:bookmarkStart w:id="41" w:name="_Toc463350246"/>
      <w:bookmarkStart w:id="42" w:name="_Toc494270380"/>
      <w:bookmarkStart w:id="43" w:name="_Toc498515789"/>
      <w:r w:rsidRPr="004B5DDD">
        <w:lastRenderedPageBreak/>
        <w:t>IV. Conclusiones y recomendaciones</w:t>
      </w:r>
      <w:bookmarkEnd w:id="41"/>
      <w:bookmarkEnd w:id="42"/>
      <w:bookmarkEnd w:id="43"/>
      <w:r w:rsidRPr="004B5DDD">
        <w:t xml:space="preserve"> </w:t>
      </w:r>
    </w:p>
    <w:p w:rsidR="004B5DDD" w:rsidRPr="004B5DDD" w:rsidRDefault="004B5DDD" w:rsidP="004B5DDD">
      <w:pPr>
        <w:pStyle w:val="texto"/>
      </w:pPr>
      <w:r w:rsidRPr="004B5DDD">
        <w:t>A continuación describimos aquellas observaciones y conclusiones obtenidas del trabajo realizado, así como las recomendaciones que esta Cámara entiende que pueden ayudar a mejorar la gestión.</w:t>
      </w:r>
    </w:p>
    <w:p w:rsidR="004B5DDD" w:rsidRPr="004B5DDD" w:rsidRDefault="004B5DDD" w:rsidP="004B5DDD">
      <w:pPr>
        <w:pStyle w:val="atitulo2"/>
        <w:spacing w:before="240"/>
      </w:pPr>
      <w:bookmarkStart w:id="44" w:name="_Toc463350247"/>
      <w:bookmarkStart w:id="45" w:name="_Toc494270381"/>
      <w:bookmarkStart w:id="46" w:name="_Toc498515790"/>
      <w:r w:rsidRPr="004B5DDD">
        <w:t>IV.1. Delimitación del Sector Público Foral en 201</w:t>
      </w:r>
      <w:bookmarkEnd w:id="44"/>
      <w:r w:rsidRPr="004B5DDD">
        <w:t>6</w:t>
      </w:r>
      <w:bookmarkEnd w:id="45"/>
      <w:bookmarkEnd w:id="46"/>
    </w:p>
    <w:p w:rsidR="004B5DDD" w:rsidRPr="004B5DDD" w:rsidRDefault="004B5DDD" w:rsidP="004B5DDD">
      <w:pPr>
        <w:pStyle w:val="texto"/>
      </w:pPr>
      <w:r w:rsidRPr="004B5DDD">
        <w:t xml:space="preserve">La delimitación del Sector Público Foral correspondiente a 2016 puede ser analizada desde dos puntos de vista: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A efectos de la Ley Foral de la Hacienda Pública de Navarra.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De acuerdo con las normas de estabilidad presupuestaria/contabilidad n</w:t>
      </w:r>
      <w:r w:rsidRPr="004B5DDD">
        <w:rPr>
          <w:rFonts w:cs="Arial"/>
        </w:rPr>
        <w:t>a</w:t>
      </w:r>
      <w:r w:rsidRPr="004B5DDD">
        <w:rPr>
          <w:rFonts w:cs="Arial"/>
        </w:rPr>
        <w:t>cional.</w:t>
      </w:r>
    </w:p>
    <w:p w:rsidR="004B5DDD" w:rsidRPr="004B5DDD" w:rsidRDefault="004B5DDD" w:rsidP="004B5DDD">
      <w:pPr>
        <w:pStyle w:val="atitulo3"/>
      </w:pPr>
      <w:bookmarkStart w:id="47" w:name="_Toc402180169"/>
      <w:r w:rsidRPr="004B5DDD">
        <w:t>IV.1.1. Sector Público Foral según la Ley Foral 13/2007, de 4 de abril, de la Hacienda Pública de Navarra</w:t>
      </w:r>
      <w:bookmarkEnd w:id="47"/>
    </w:p>
    <w:p w:rsidR="004B5DDD" w:rsidRPr="004B5DDD" w:rsidRDefault="004B5DDD" w:rsidP="004B5DDD">
      <w:pPr>
        <w:pStyle w:val="texto"/>
      </w:pPr>
      <w:r w:rsidRPr="004B5DDD">
        <w:t>El Sector Público Foral está integrado, en 2016, a efectos de la citada Ley Foral 13/2007, por:</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 Administración de la Comunidad Foral y sus OOAA adscritos.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Parlamento de Navarra y sus órganos dependientes, esto es, Cámara de Comptos y Defensor del Pueblo.</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Consejo de Navarra.</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Las sociedades públicas de la Comunidad Foral de Navarra y de sus org</w:t>
      </w:r>
      <w:r w:rsidRPr="004B5DDD">
        <w:rPr>
          <w:rFonts w:cs="Arial"/>
        </w:rPr>
        <w:t>a</w:t>
      </w:r>
      <w:r w:rsidRPr="004B5DDD">
        <w:rPr>
          <w:rFonts w:cs="Arial"/>
        </w:rPr>
        <w:t xml:space="preserve">nismos públicos, de acuerdo con lo establecido en la Ley Foral 14/2007, de 4 de abril, del Patrimonio de Navarra. </w:t>
      </w:r>
    </w:p>
    <w:p w:rsidR="004B5DDD" w:rsidRPr="004B5DDD" w:rsidRDefault="004B5DD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Las fundaciones públicas creadas por la Administración de la Comunidad Foral de Navarra y sus organismos públicos y las que siendo privadas, post</w:t>
      </w:r>
      <w:r w:rsidRPr="004B5DDD">
        <w:rPr>
          <w:rFonts w:cs="Arial"/>
        </w:rPr>
        <w:t>e</w:t>
      </w:r>
      <w:r w:rsidRPr="004B5DDD">
        <w:rPr>
          <w:rFonts w:cs="Arial"/>
        </w:rPr>
        <w:t>riormente, reúnan los requisitos para su consideración como públicas (artículo 125 de la Ley Foral 15/2004, de 3 de diciembre, de la Administración de la Comunidad Foral de Navarra).</w:t>
      </w:r>
    </w:p>
    <w:p w:rsidR="004B5DDD" w:rsidRPr="004B5DDD" w:rsidRDefault="004B5DDD" w:rsidP="004B5DDD">
      <w:pPr>
        <w:spacing w:after="0"/>
        <w:ind w:left="284" w:firstLine="0"/>
        <w:rPr>
          <w:i/>
          <w:spacing w:val="6"/>
          <w:sz w:val="26"/>
          <w:szCs w:val="24"/>
          <w:lang w:val="es-ES"/>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4B5DDD" w:rsidRPr="004B5DDD" w:rsidRDefault="004B5DDD" w:rsidP="004B5DDD">
      <w:pPr>
        <w:tabs>
          <w:tab w:val="center" w:pos="2835"/>
          <w:tab w:val="center" w:pos="3969"/>
          <w:tab w:val="center" w:pos="5103"/>
          <w:tab w:val="center" w:pos="6237"/>
          <w:tab w:val="center" w:pos="7371"/>
        </w:tabs>
        <w:ind w:firstLine="284"/>
        <w:rPr>
          <w:spacing w:val="6"/>
          <w:sz w:val="26"/>
          <w:szCs w:val="24"/>
        </w:rPr>
      </w:pPr>
    </w:p>
    <w:p w:rsidR="00DE777D" w:rsidRDefault="00773DBC" w:rsidP="00DE777D">
      <w:pPr>
        <w:pStyle w:val="texto"/>
      </w:pPr>
      <w:r>
        <w:br w:type="page"/>
      </w:r>
      <w:r w:rsidR="00DE777D" w:rsidRPr="000E2288">
        <w:lastRenderedPageBreak/>
        <w:t>La representación gráfica del sector público foral</w:t>
      </w:r>
      <w:r w:rsidR="00DE777D">
        <w:t xml:space="preserve"> a 31 de diciembre de 2016</w:t>
      </w:r>
      <w:r w:rsidR="00DE777D" w:rsidRPr="000E2288">
        <w:t xml:space="preserve"> era la siguiente:</w:t>
      </w:r>
    </w:p>
    <w:p w:rsidR="006D1903" w:rsidRDefault="006D1903" w:rsidP="00DE777D">
      <w:pPr>
        <w:pStyle w:val="texto"/>
      </w:pPr>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6D1903" w:rsidRDefault="00DD6441" w:rsidP="006D1903">
                            <w:pPr>
                              <w:ind w:firstLine="0"/>
                              <w:jc w:val="center"/>
                              <w:rPr>
                                <w:rFonts w:ascii="Arial" w:hAnsi="Arial" w:cs="Arial"/>
                                <w:sz w:val="22"/>
                                <w:szCs w:val="22"/>
                              </w:rPr>
                            </w:pPr>
                            <w:r w:rsidRPr="006D1903">
                              <w:rPr>
                                <w:rFonts w:ascii="Arial" w:hAnsi="Arial" w:cs="Arial"/>
                                <w:sz w:val="22"/>
                                <w:szCs w:val="22"/>
                              </w:rPr>
                              <w:t>Sector Público Foral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" filled="f" strokecolor="black [3213]" strokeweight=".5pt">
                <v:textbox>
                  <w:txbxContent>
                    <w:p w:rsidR="00DD6441" w:rsidRPr="006D1903" w:rsidRDefault="00DD6441" w:rsidP="006D1903">
                      <w:pPr>
                        <w:ind w:firstLine="0"/>
                        <w:jc w:val="center"/>
                        <w:rPr>
                          <w:rFonts w:ascii="Arial" w:hAnsi="Arial" w:cs="Arial"/>
                          <w:sz w:val="22"/>
                          <w:szCs w:val="22"/>
                        </w:rPr>
                      </w:pPr>
                      <w:r w:rsidRPr="006D1903">
                        <w:rPr>
                          <w:rFonts w:ascii="Arial" w:hAnsi="Arial" w:cs="Arial"/>
                          <w:sz w:val="22"/>
                          <w:szCs w:val="22"/>
                        </w:rPr>
                        <w:t>Sector Público Foral 2016</w:t>
                      </w:r>
                    </w:p>
                  </w:txbxContent>
                </v:textbox>
              </v:shape>
            </w:pict>
          </mc:Fallback>
        </mc:AlternateContent>
      </w:r>
    </w:p>
    <w:p w:rsidR="006D1903" w:rsidRDefault="00041818" w:rsidP="00DE777D">
      <w:pPr>
        <w:pStyle w:val="texto"/>
      </w:pPr>
      <w:r>
        <w:rPr>
          <w:noProof/>
          <w:lang w:val="es-ES" w:eastAsia="es-ES"/>
        </w:rPr>
        <mc:AlternateContent>
          <mc:Choice Requires="wps">
            <w:drawing>
              <wp:anchor distT="0" distB="0" distL="114300" distR="114300" simplePos="0" relativeHeight="251815936" behindDoc="0" locked="0" layoutInCell="1" allowOverlap="1" wp14:anchorId="61F4E110" wp14:editId="0A6B0127">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7 Conector recto"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" strokecolor="black [3213]" strokeweight=".5pt"/>
            </w:pict>
          </mc:Fallback>
        </mc:AlternateContent>
      </w:r>
      <w:r>
        <w:rPr>
          <w:noProof/>
          <w:lang w:val="es-ES" w:eastAsia="es-ES"/>
        </w:rPr>
        <mc:AlternateContent>
          <mc:Choice Requires="wps">
            <w:drawing>
              <wp:anchor distT="0" distB="0" distL="114300" distR="114300" simplePos="0" relativeHeight="251813888" behindDoc="0" locked="0" layoutInCell="1" allowOverlap="1" wp14:anchorId="491E8727" wp14:editId="3333B2D1">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6 Conector recto"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" strokecolor="black [3213]" strokeweight=".5pt"/>
            </w:pict>
          </mc:Fallback>
        </mc:AlternateContent>
      </w:r>
      <w:r w:rsidR="007663B8">
        <w:rPr>
          <w:noProof/>
          <w:lang w:val="es-ES" w:eastAsia="es-ES"/>
        </w:rPr>
        <mc:AlternateContent>
          <mc:Choice Requires="wps">
            <w:drawing>
              <wp:anchor distT="0" distB="0" distL="114300" distR="114300" simplePos="0" relativeHeight="251817984" behindDoc="0" locked="0" layoutInCell="1" allowOverlap="1" wp14:anchorId="615FD8FC" wp14:editId="35142C51">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8 Conector recto"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" strokecolor="black [3213]" strokeweight=".5pt"/>
            </w:pict>
          </mc:Fallback>
        </mc:AlternateContent>
      </w:r>
      <w:r w:rsidR="007663B8">
        <w:rPr>
          <w:noProof/>
          <w:lang w:val="es-ES" w:eastAsia="es-ES"/>
        </w:rPr>
        <mc:AlternateContent>
          <mc:Choice Requires="wps">
            <w:drawing>
              <wp:anchor distT="0" distB="0" distL="114300" distR="114300" simplePos="0" relativeHeight="251811840" behindDoc="0" locked="0" layoutInCell="1" allowOverlap="1" wp14:anchorId="7138047E" wp14:editId="0D114844">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5 Conector recto"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" strokecolor="black [3213]" strokeweight=".5pt"/>
            </w:pict>
          </mc:Fallback>
        </mc:AlternateContent>
      </w:r>
    </w:p>
    <w:p w:rsidR="006D1903" w:rsidRDefault="00EB080E" w:rsidP="00DE777D">
      <w:pPr>
        <w:pStyle w:val="texto"/>
      </w:pPr>
      <w:r>
        <w:rPr>
          <w:noProof/>
          <w:lang w:val="es-ES" w:eastAsia="es-ES"/>
        </w:rPr>
        <mc:AlternateContent>
          <mc:Choice Requires="wps">
            <w:drawing>
              <wp:anchor distT="0" distB="0" distL="114300" distR="114300" simplePos="0" relativeHeight="251672576" behindDoc="0" locked="0" layoutInCell="1" allowOverlap="1" wp14:anchorId="605C6EC9" wp14:editId="55130E54">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Default="00DD6441" w:rsidP="00EB080E">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DD6441" w:rsidRPr="00EB080E" w:rsidRDefault="00DD6441" w:rsidP="00EB080E">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" filled="f" strokecolor="black [3213]" strokeweight=".5pt">
                <v:textbox>
                  <w:txbxContent>
                    <w:p w:rsidR="00DD6441" w:rsidRDefault="00DD6441" w:rsidP="00EB080E">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DD6441" w:rsidRPr="00EB080E" w:rsidRDefault="00DD6441" w:rsidP="00EB080E">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57198947" wp14:editId="09B43DB1">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" filled="f" strokecolor="black [3213]" strokeweight=".5pt">
                <v:textbox>
                  <w:txbxContent>
                    <w:p w:rsidR="00DD6441" w:rsidRPr="00EB080E" w:rsidRDefault="00DD6441" w:rsidP="00EB080E">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62AF5B0F" wp14:editId="7C452B48">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" filled="f" strokecolor="black [3213]" strokeweight=".5pt">
                <v:textbox>
                  <w:txbxContent>
                    <w:p w:rsidR="00DD6441" w:rsidRPr="00EB080E" w:rsidRDefault="00DD6441" w:rsidP="00EB080E">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rsidR="006D1903" w:rsidRDefault="007663B8" w:rsidP="00DE777D">
      <w:pPr>
        <w:pStyle w:val="texto"/>
      </w:pPr>
      <w:r>
        <w:rPr>
          <w:noProof/>
          <w:lang w:val="es-ES" w:eastAsia="es-ES"/>
        </w:rPr>
        <mc:AlternateContent>
          <mc:Choice Requires="wps">
            <w:drawing>
              <wp:anchor distT="0" distB="0" distL="114300" distR="114300" simplePos="0" relativeHeight="251809792" behindDoc="0" locked="0" layoutInCell="1" allowOverlap="1" wp14:anchorId="049A6B63" wp14:editId="33165C9A">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4 Conector recto"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" strokecolor="black [3213]" strokeweight=".5pt"/>
            </w:pict>
          </mc:Fallback>
        </mc:AlternateContent>
      </w:r>
    </w:p>
    <w:p w:rsidR="006D1903" w:rsidRDefault="007663B8" w:rsidP="00DE777D">
      <w:pPr>
        <w:pStyle w:val="texto"/>
      </w:pPr>
      <w:r>
        <w:rPr>
          <w:noProof/>
          <w:lang w:val="es-ES" w:eastAsia="es-ES"/>
        </w:rPr>
        <mc:AlternateContent>
          <mc:Choice Requires="wps">
            <w:drawing>
              <wp:anchor distT="0" distB="0" distL="114300" distR="114300" simplePos="0" relativeHeight="251805696" behindDoc="0" locked="0" layoutInCell="1" allowOverlap="1" wp14:anchorId="33E5397C" wp14:editId="7BDB2708">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2 Conector recto"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" strokecolor="black [3213]" strokeweight=".5pt"/>
            </w:pict>
          </mc:Fallback>
        </mc:AlternateContent>
      </w:r>
      <w:r>
        <w:rPr>
          <w:noProof/>
          <w:lang w:val="es-ES" w:eastAsia="es-ES"/>
        </w:rPr>
        <mc:AlternateContent>
          <mc:Choice Requires="wps">
            <w:drawing>
              <wp:anchor distT="0" distB="0" distL="114300" distR="114300" simplePos="0" relativeHeight="251807744" behindDoc="0" locked="0" layoutInCell="1" allowOverlap="1" wp14:anchorId="657541B8" wp14:editId="5E6716DE">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3 Conector recto"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" strokecolor="black [3213]" strokeweight=".5pt"/>
            </w:pict>
          </mc:Fallback>
        </mc:AlternateContent>
      </w:r>
      <w:r w:rsidR="00E44B9D">
        <w:rPr>
          <w:noProof/>
          <w:lang w:val="es-ES" w:eastAsia="es-ES"/>
        </w:rPr>
        <mc:AlternateContent>
          <mc:Choice Requires="wps">
            <w:drawing>
              <wp:anchor distT="0" distB="0" distL="114300" distR="114300" simplePos="0" relativeHeight="251801600" behindDoc="0" locked="0" layoutInCell="1" allowOverlap="1" wp14:anchorId="0AC4C04B" wp14:editId="3911C314">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" strokecolor="black [3213]" strokeweight=".5pt"/>
            </w:pict>
          </mc:Fallback>
        </mc:AlternateContent>
      </w:r>
      <w:r w:rsidR="00E44B9D">
        <w:rPr>
          <w:noProof/>
          <w:lang w:val="es-ES" w:eastAsia="es-ES"/>
        </w:rPr>
        <mc:AlternateContent>
          <mc:Choice Requires="wps">
            <w:drawing>
              <wp:anchor distT="0" distB="0" distL="114300" distR="114300" simplePos="0" relativeHeight="251803648" behindDoc="0" locked="0" layoutInCell="1" allowOverlap="1" wp14:anchorId="7975BB31" wp14:editId="349B3A57">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1 Conector recto"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" strokecolor="black [3213]" strokeweight=".5pt"/>
            </w:pict>
          </mc:Fallback>
        </mc:AlternateContent>
      </w:r>
      <w:r w:rsidR="00737C11">
        <w:rPr>
          <w:noProof/>
          <w:lang w:val="es-ES" w:eastAsia="es-ES"/>
        </w:rPr>
        <mc:AlternateContent>
          <mc:Choice Requires="wps">
            <w:drawing>
              <wp:anchor distT="0" distB="0" distL="114300" distR="114300" simplePos="0" relativeHeight="251799552" behindDoc="0" locked="0" layoutInCell="1" allowOverlap="1" wp14:anchorId="4219F8E4" wp14:editId="796E2222">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" strokecolor="black [3213]" strokeweight=".5pt"/>
            </w:pict>
          </mc:Fallback>
        </mc:AlternateContent>
      </w:r>
      <w:r w:rsidR="00737C11">
        <w:rPr>
          <w:noProof/>
          <w:lang w:val="es-ES" w:eastAsia="es-ES"/>
        </w:rPr>
        <mc:AlternateContent>
          <mc:Choice Requires="wps">
            <w:drawing>
              <wp:anchor distT="0" distB="0" distL="114300" distR="114300" simplePos="0" relativeHeight="251797504" behindDoc="0" locked="0" layoutInCell="1" allowOverlap="1" wp14:anchorId="1120745B" wp14:editId="251C803B">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" strokecolor="black [3213]" strokeweight=".5pt"/>
            </w:pict>
          </mc:Fallback>
        </mc:AlternateContent>
      </w:r>
      <w:r w:rsidR="003804A9">
        <w:rPr>
          <w:noProof/>
          <w:lang w:val="es-ES" w:eastAsia="es-ES"/>
        </w:rPr>
        <mc:AlternateContent>
          <mc:Choice Requires="wps">
            <w:drawing>
              <wp:anchor distT="0" distB="0" distL="114300" distR="114300" simplePos="0" relativeHeight="251793408" behindDoc="0" locked="0" layoutInCell="1" allowOverlap="1" wp14:anchorId="5170219D" wp14:editId="55C65721">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" strokecolor="black [3213]" strokeweight=".5pt"/>
            </w:pict>
          </mc:Fallback>
        </mc:AlternateContent>
      </w:r>
      <w:r w:rsidR="00FE545B">
        <w:rPr>
          <w:noProof/>
          <w:lang w:val="es-ES" w:eastAsia="es-ES"/>
        </w:rPr>
        <mc:AlternateContent>
          <mc:Choice Requires="wps">
            <w:drawing>
              <wp:anchor distT="0" distB="0" distL="114300" distR="114300" simplePos="0" relativeHeight="251727872" behindDoc="0" locked="0" layoutInCell="1" allowOverlap="1" wp14:anchorId="6458FEEC" wp14:editId="4538A0F1">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" strokecolor="black [3213]" strokeweight=".5pt"/>
            </w:pict>
          </mc:Fallback>
        </mc:AlternateContent>
      </w:r>
      <w:r w:rsidR="00C33468">
        <w:rPr>
          <w:noProof/>
          <w:lang w:val="es-ES" w:eastAsia="es-ES"/>
        </w:rPr>
        <mc:AlternateContent>
          <mc:Choice Requires="wps">
            <w:drawing>
              <wp:anchor distT="0" distB="0" distL="114300" distR="114300" simplePos="0" relativeHeight="251674624" behindDoc="0" locked="0" layoutInCell="1" allowOverlap="1" wp14:anchorId="61F36730" wp14:editId="51CA92D3">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Default="00DD6441" w:rsidP="00C33468">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DD6441" w:rsidRPr="00C33468" w:rsidRDefault="00DD6441" w:rsidP="00C33468">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1" type="#_x0000_t176" style="position:absolute;left:0;text-align:left;margin-left:185.55pt;margin-top:15.15pt;width:75.8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" filled="f" strokecolor="black [3213]" strokeweight=".5pt">
                <v:textbox>
                  <w:txbxContent>
                    <w:p w:rsidR="00DD6441" w:rsidRDefault="00DD6441" w:rsidP="00C33468">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DD6441" w:rsidRPr="00C33468" w:rsidRDefault="00DD6441" w:rsidP="00C33468">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v:textbox>
              </v:shape>
            </w:pict>
          </mc:Fallback>
        </mc:AlternateContent>
      </w:r>
      <w:r w:rsidR="00C33468">
        <w:rPr>
          <w:noProof/>
          <w:lang w:val="es-ES" w:eastAsia="es-ES"/>
        </w:rPr>
        <mc:AlternateContent>
          <mc:Choice Requires="wps">
            <w:drawing>
              <wp:anchor distT="0" distB="0" distL="114300" distR="114300" simplePos="0" relativeHeight="251666432" behindDoc="0" locked="0" layoutInCell="1" allowOverlap="1" wp14:anchorId="636F8231" wp14:editId="47E26DF6">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DD6441" w:rsidRPr="00EB080E" w:rsidRDefault="00DD6441" w:rsidP="00C33468">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2" type="#_x0000_t176" style="position:absolute;left:0;text-align:left;margin-left:266.7pt;margin-top:15.15pt;width:68.1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" filled="f" strokecolor="black [3213]" strokeweight=".5pt">
                <v:textbox>
                  <w:txbxContent>
                    <w:p w:rsidR="00DD6441" w:rsidRPr="00C33468" w:rsidRDefault="00DD6441" w:rsidP="00C33468">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DD6441" w:rsidRPr="00EB080E" w:rsidRDefault="00DD6441" w:rsidP="00C33468">
                      <w:pPr>
                        <w:spacing w:after="0"/>
                        <w:ind w:left="-168" w:right="-237" w:firstLine="0"/>
                        <w:jc w:val="center"/>
                        <w:rPr>
                          <w:rFonts w:ascii="Arial" w:hAnsi="Arial" w:cs="Arial"/>
                          <w:sz w:val="18"/>
                          <w:szCs w:val="18"/>
                        </w:rPr>
                      </w:pPr>
                    </w:p>
                  </w:txbxContent>
                </v:textbox>
              </v:shape>
            </w:pict>
          </mc:Fallback>
        </mc:AlternateContent>
      </w:r>
      <w:r w:rsidR="00EB080E">
        <w:rPr>
          <w:noProof/>
          <w:lang w:val="es-ES" w:eastAsia="es-ES"/>
        </w:rPr>
        <mc:AlternateContent>
          <mc:Choice Requires="wps">
            <w:drawing>
              <wp:anchor distT="0" distB="0" distL="114300" distR="114300" simplePos="0" relativeHeight="251678720" behindDoc="0" locked="0" layoutInCell="1" allowOverlap="1" wp14:anchorId="54A1603D" wp14:editId="4DF5F740">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EB080E">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(4)</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" filled="f" strokecolor="black [3213]" strokeweight=".5pt">
                <v:textbox>
                  <w:txbxContent>
                    <w:p w:rsidR="00DD6441" w:rsidRPr="00C33468" w:rsidRDefault="00DD6441" w:rsidP="00EB080E">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(4)</w:t>
                      </w:r>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r w:rsidR="00EB080E">
        <w:rPr>
          <w:noProof/>
          <w:lang w:val="es-ES" w:eastAsia="es-ES"/>
        </w:rPr>
        <mc:AlternateContent>
          <mc:Choice Requires="wps">
            <w:drawing>
              <wp:anchor distT="0" distB="0" distL="114300" distR="114300" simplePos="0" relativeHeight="251676672" behindDoc="0" locked="0" layoutInCell="1" allowOverlap="1" wp14:anchorId="701B2C16" wp14:editId="5D774007">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before="120" w:after="0"/>
                              <w:ind w:left="-142" w:right="-74" w:firstLine="0"/>
                              <w:jc w:val="center"/>
                              <w:rPr>
                                <w:rFonts w:ascii="Arial" w:hAnsi="Arial" w:cs="Arial"/>
                                <w:sz w:val="16"/>
                                <w:szCs w:val="16"/>
                              </w:rPr>
                            </w:pPr>
                            <w:r>
                              <w:rPr>
                                <w:rFonts w:ascii="Arial" w:hAnsi="Arial" w:cs="Arial"/>
                                <w:sz w:val="16"/>
                                <w:szCs w:val="16"/>
                              </w:rPr>
                              <w:t>CPEN,SLU</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" filled="f" strokecolor="black [3213]" strokeweight=".5pt">
                <v:textbox>
                  <w:txbxContent>
                    <w:p w:rsidR="00DD6441" w:rsidRPr="00EB080E" w:rsidRDefault="00DD6441" w:rsidP="00EB080E">
                      <w:pPr>
                        <w:spacing w:before="120" w:after="0"/>
                        <w:ind w:left="-142" w:right="-74" w:firstLine="0"/>
                        <w:jc w:val="center"/>
                        <w:rPr>
                          <w:rFonts w:ascii="Arial" w:hAnsi="Arial" w:cs="Arial"/>
                          <w:sz w:val="16"/>
                          <w:szCs w:val="16"/>
                        </w:rPr>
                      </w:pPr>
                      <w:r>
                        <w:rPr>
                          <w:rFonts w:ascii="Arial" w:hAnsi="Arial" w:cs="Arial"/>
                          <w:sz w:val="16"/>
                          <w:szCs w:val="16"/>
                        </w:rPr>
                        <w:t>CPEN</w:t>
                      </w:r>
                      <w:proofErr w:type="gramStart"/>
                      <w:r>
                        <w:rPr>
                          <w:rFonts w:ascii="Arial" w:hAnsi="Arial" w:cs="Arial"/>
                          <w:sz w:val="16"/>
                          <w:szCs w:val="16"/>
                        </w:rPr>
                        <w:t>,SLU</w:t>
                      </w:r>
                      <w:proofErr w:type="gramEnd"/>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p>
    <w:p w:rsidR="006D1903" w:rsidRDefault="00041818" w:rsidP="00DE777D">
      <w:pPr>
        <w:pStyle w:val="texto"/>
      </w:pPr>
      <w:r>
        <w:rPr>
          <w:noProof/>
          <w:lang w:val="es-ES" w:eastAsia="es-ES"/>
        </w:rPr>
        <mc:AlternateContent>
          <mc:Choice Requires="wps">
            <w:drawing>
              <wp:anchor distT="0" distB="0" distL="114300" distR="114300" simplePos="0" relativeHeight="251731968" behindDoc="0" locked="0" layoutInCell="1" allowOverlap="1" wp14:anchorId="7797E605" wp14:editId="19604C99">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" strokecolor="black [3213]" strokeweight=".5pt"/>
            </w:pict>
          </mc:Fallback>
        </mc:AlternateContent>
      </w:r>
      <w:r>
        <w:rPr>
          <w:noProof/>
          <w:lang w:val="es-ES" w:eastAsia="es-ES"/>
        </w:rPr>
        <mc:AlternateContent>
          <mc:Choice Requires="wps">
            <w:drawing>
              <wp:anchor distT="0" distB="0" distL="114300" distR="114300" simplePos="0" relativeHeight="251729920" behindDoc="0" locked="0" layoutInCell="1" allowOverlap="1" wp14:anchorId="184351C7" wp14:editId="69A4EFFF">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" strokecolor="black [3213]" strokeweight=".5pt"/>
            </w:pict>
          </mc:Fallback>
        </mc:AlternateContent>
      </w:r>
      <w:r w:rsidR="00D77651">
        <w:rPr>
          <w:noProof/>
          <w:lang w:val="es-ES" w:eastAsia="es-ES"/>
        </w:rPr>
        <mc:AlternateContent>
          <mc:Choice Requires="wps">
            <w:drawing>
              <wp:anchor distT="0" distB="0" distL="114300" distR="114300" simplePos="0" relativeHeight="251724800" behindDoc="0" locked="0" layoutInCell="1" allowOverlap="1" wp14:anchorId="6E40067D" wp14:editId="2945E44B">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480AAA">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" filled="f" strokecolor="black [3213]" strokeweight=".5pt">
                <v:textbox>
                  <w:txbxContent>
                    <w:p w:rsidR="00DD6441" w:rsidRPr="00EB080E" w:rsidRDefault="00DD6441" w:rsidP="00480AAA">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sidR="00EB080E">
        <w:rPr>
          <w:noProof/>
          <w:lang w:val="es-ES" w:eastAsia="es-ES"/>
        </w:rPr>
        <mc:AlternateContent>
          <mc:Choice Requires="wps">
            <w:drawing>
              <wp:anchor distT="0" distB="0" distL="114300" distR="114300" simplePos="0" relativeHeight="251668480" behindDoc="0" locked="0" layoutInCell="1" allowOverlap="1" wp14:anchorId="7953E6E3" wp14:editId="22CD83E9">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EB080E" w:rsidRDefault="00DD6441" w:rsidP="00EB080E">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" filled="f" strokecolor="black [3213]" strokeweight=".5pt">
                <v:textbox>
                  <w:txbxContent>
                    <w:p w:rsidR="00DD6441" w:rsidRPr="00EB080E" w:rsidRDefault="00DD6441" w:rsidP="00EB080E">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91360" behindDoc="0" locked="0" layoutInCell="1" allowOverlap="1" wp14:anchorId="467CF784" wp14:editId="43306449">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" strokecolor="black [3213]" strokeweight=".5pt"/>
            </w:pict>
          </mc:Fallback>
        </mc:AlternateContent>
      </w:r>
      <w:r>
        <w:rPr>
          <w:noProof/>
          <w:lang w:val="es-ES" w:eastAsia="es-ES"/>
        </w:rPr>
        <mc:AlternateContent>
          <mc:Choice Requires="wps">
            <w:drawing>
              <wp:anchor distT="0" distB="0" distL="114300" distR="114300" simplePos="0" relativeHeight="251734016" behindDoc="0" locked="0" layoutInCell="1" allowOverlap="1" wp14:anchorId="75E9D591" wp14:editId="26B316C9">
                <wp:simplePos x="0" y="0"/>
                <wp:positionH relativeFrom="column">
                  <wp:posOffset>5801360</wp:posOffset>
                </wp:positionH>
                <wp:positionV relativeFrom="paragraph">
                  <wp:posOffset>24765</wp:posOffset>
                </wp:positionV>
                <wp:extent cx="0" cy="2867025"/>
                <wp:effectExtent l="0" t="0" r="19050" b="9525"/>
                <wp:wrapNone/>
                <wp:docPr id="55" name="55 Conector recto"/>
                <wp:cNvGraphicFramePr/>
                <a:graphic xmlns:a="http://schemas.openxmlformats.org/drawingml/2006/main">
                  <a:graphicData uri="http://schemas.microsoft.com/office/word/2010/wordprocessingShape">
                    <wps:wsp>
                      <wps:cNvCnPr/>
                      <wps:spPr>
                        <a:xfrm>
                          <a:off x="0" y="0"/>
                          <a:ext cx="0" cy="2867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5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" strokecolor="black [3213]" strokeweight=".5pt"/>
            </w:pict>
          </mc:Fallback>
        </mc:AlternateContent>
      </w:r>
      <w:r w:rsidR="00C33468">
        <w:rPr>
          <w:noProof/>
          <w:lang w:val="es-ES" w:eastAsia="es-ES"/>
        </w:rPr>
        <mc:AlternateContent>
          <mc:Choice Requires="wps">
            <w:drawing>
              <wp:anchor distT="0" distB="0" distL="114300" distR="114300" simplePos="0" relativeHeight="251680768" behindDoc="0" locked="0" layoutInCell="1" allowOverlap="1" wp14:anchorId="5B7EF575" wp14:editId="309B7CF8">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DD6441" w:rsidRPr="00EB080E" w:rsidRDefault="00DD6441" w:rsidP="00EB080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5.9pt;margin-top:18.25pt;width:62.4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" filled="f" strokecolor="black [3213]" strokeweight=".5pt">
                <v:textbox>
                  <w:txbxContent>
                    <w:p w:rsidR="00DD6441" w:rsidRPr="00C33468" w:rsidRDefault="00DD6441" w:rsidP="00C33468">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DD6441" w:rsidRPr="00EB080E" w:rsidRDefault="00DD6441" w:rsidP="00EB080E">
                      <w:pPr>
                        <w:spacing w:after="0"/>
                        <w:ind w:left="-142" w:right="-73" w:firstLine="0"/>
                        <w:jc w:val="center"/>
                        <w:rPr>
                          <w:rFonts w:ascii="Arial" w:hAnsi="Arial" w:cs="Arial"/>
                          <w:sz w:val="18"/>
                          <w:szCs w:val="18"/>
                        </w:rPr>
                      </w:pPr>
                    </w:p>
                  </w:txbxContent>
                </v:textbox>
              </v:shape>
            </w:pict>
          </mc:Fallback>
        </mc:AlternateContent>
      </w:r>
    </w:p>
    <w:p w:rsidR="006D1903" w:rsidRDefault="006D1903" w:rsidP="00DE777D">
      <w:pPr>
        <w:pStyle w:val="texto"/>
      </w:pPr>
    </w:p>
    <w:p w:rsidR="006D1903" w:rsidRDefault="00C33468" w:rsidP="00DE777D">
      <w:pPr>
        <w:pStyle w:val="texto"/>
      </w:pPr>
      <w:r>
        <w:rPr>
          <w:noProof/>
          <w:lang w:val="es-ES" w:eastAsia="es-ES"/>
        </w:rPr>
        <mc:AlternateContent>
          <mc:Choice Requires="wps">
            <w:drawing>
              <wp:anchor distT="0" distB="0" distL="114300" distR="114300" simplePos="0" relativeHeight="251685887" behindDoc="0" locked="0" layoutInCell="1" allowOverlap="1" wp14:anchorId="58160C69" wp14:editId="60E6FB93">
                <wp:simplePos x="0" y="0"/>
                <wp:positionH relativeFrom="column">
                  <wp:posOffset>2472563</wp:posOffset>
                </wp:positionH>
                <wp:positionV relativeFrom="paragraph">
                  <wp:posOffset>70739</wp:posOffset>
                </wp:positionV>
                <wp:extent cx="767080" cy="505968"/>
                <wp:effectExtent l="0" t="0" r="13970" b="27940"/>
                <wp:wrapNone/>
                <wp:docPr id="21" name="21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5.55pt;width:60.4pt;height:39.85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v:textbox>
              </v:shape>
            </w:pict>
          </mc:Fallback>
        </mc:AlternateContent>
      </w:r>
    </w:p>
    <w:p w:rsidR="006D1903" w:rsidRDefault="00AC6C74" w:rsidP="00DE777D">
      <w:pPr>
        <w:pStyle w:val="texto"/>
      </w:pPr>
      <w:r>
        <w:rPr>
          <w:noProof/>
          <w:lang w:val="es-ES" w:eastAsia="es-ES"/>
        </w:rPr>
        <mc:AlternateContent>
          <mc:Choice Requires="wps">
            <w:drawing>
              <wp:anchor distT="0" distB="0" distL="114300" distR="114300" simplePos="0" relativeHeight="251657215" behindDoc="0" locked="0" layoutInCell="1" allowOverlap="1" wp14:anchorId="75A98666" wp14:editId="0395DE29">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5 Conector recto"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" strokecolor="black [3213]" strokeweight=".5pt"/>
            </w:pict>
          </mc:Fallback>
        </mc:AlternateContent>
      </w:r>
      <w:r w:rsidR="001C000F">
        <w:rPr>
          <w:noProof/>
          <w:lang w:val="es-ES" w:eastAsia="es-ES"/>
        </w:rPr>
        <mc:AlternateContent>
          <mc:Choice Requires="wps">
            <w:drawing>
              <wp:anchor distT="0" distB="0" distL="114300" distR="114300" simplePos="0" relativeHeight="251717632" behindDoc="0" locked="0" layoutInCell="1" allowOverlap="1" wp14:anchorId="4FB04076" wp14:editId="37A5C69C">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Miguel Servert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89312" behindDoc="0" locked="0" layoutInCell="1" allowOverlap="1" wp14:anchorId="16505626" wp14:editId="2305A5AE">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4 Conector recto"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" strokecolor="black [3213]" strokeweight=".5pt"/>
            </w:pict>
          </mc:Fallback>
        </mc:AlternateContent>
      </w:r>
      <w:r w:rsidR="00C33468">
        <w:rPr>
          <w:noProof/>
          <w:lang w:val="es-ES" w:eastAsia="es-ES"/>
        </w:rPr>
        <mc:AlternateContent>
          <mc:Choice Requires="wps">
            <w:drawing>
              <wp:anchor distT="0" distB="0" distL="114300" distR="114300" simplePos="0" relativeHeight="251684864" behindDoc="0" locked="0" layoutInCell="1" allowOverlap="1" wp14:anchorId="4EABBF73" wp14:editId="2DDC8D26">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p>
    <w:p w:rsidR="006D1903" w:rsidRDefault="00985627" w:rsidP="00DE777D">
      <w:pPr>
        <w:pStyle w:val="texto"/>
      </w:pPr>
      <w:r>
        <w:rPr>
          <w:noProof/>
          <w:lang w:val="es-ES" w:eastAsia="es-ES"/>
        </w:rPr>
        <mc:AlternateContent>
          <mc:Choice Requires="wps">
            <w:drawing>
              <wp:anchor distT="0" distB="0" distL="114300" distR="114300" simplePos="0" relativeHeight="251736064" behindDoc="0" locked="0" layoutInCell="1" allowOverlap="1" wp14:anchorId="3E5E1FDA" wp14:editId="3BF8D346">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" strokecolor="black [3213]" strokeweight=".5pt"/>
            </w:pict>
          </mc:Fallback>
        </mc:AlternateContent>
      </w:r>
      <w:r w:rsidR="00FE545B">
        <w:rPr>
          <w:noProof/>
          <w:lang w:val="es-ES" w:eastAsia="es-ES"/>
        </w:rPr>
        <mc:AlternateContent>
          <mc:Choice Requires="wps">
            <w:drawing>
              <wp:anchor distT="0" distB="0" distL="114300" distR="114300" simplePos="0" relativeHeight="251718656" behindDoc="0" locked="0" layoutInCell="1" allowOverlap="1" wp14:anchorId="6EBA0203" wp14:editId="70EC3109">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Conserv.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72.15pt;margin-top:11.25pt;width:60.4pt;height:2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87264" behindDoc="0" locked="0" layoutInCell="1" allowOverlap="1" wp14:anchorId="4646DC86" wp14:editId="2786DE91">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" strokecolor="black [3213]" strokeweight=".5pt"/>
            </w:pict>
          </mc:Fallback>
        </mc:AlternateContent>
      </w:r>
      <w:r w:rsidR="00FE545B">
        <w:rPr>
          <w:noProof/>
          <w:lang w:val="es-ES" w:eastAsia="es-ES"/>
        </w:rPr>
        <mc:AlternateContent>
          <mc:Choice Requires="wps">
            <w:drawing>
              <wp:anchor distT="0" distB="0" distL="114300" distR="114300" simplePos="0" relativeHeight="251705344" behindDoc="0" locked="0" layoutInCell="1" allowOverlap="1" wp14:anchorId="4739DD1B" wp14:editId="11E41ED7">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2" type="#_x0000_t176" style="position:absolute;left:0;text-align:left;margin-left:281.7pt;margin-top:77.1pt;width:39.8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sidR="00FE545B">
        <w:rPr>
          <w:noProof/>
          <w:lang w:val="es-ES" w:eastAsia="es-ES"/>
        </w:rPr>
        <mc:AlternateContent>
          <mc:Choice Requires="wps">
            <w:drawing>
              <wp:anchor distT="0" distB="0" distL="114300" distR="114300" simplePos="0" relativeHeight="251701248" behindDoc="0" locked="0" layoutInCell="1" allowOverlap="1" wp14:anchorId="2550A760" wp14:editId="2231E64B">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3" type="#_x0000_t176" style="position:absolute;left:0;text-align:left;margin-left:281.7pt;margin-top:14.7pt;width:39.8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HTN</w:t>
                      </w:r>
                    </w:p>
                  </w:txbxContent>
                </v:textbox>
              </v:shape>
            </w:pict>
          </mc:Fallback>
        </mc:AlternateContent>
      </w:r>
      <w:r w:rsidR="004A7B7A">
        <w:rPr>
          <w:noProof/>
          <w:lang w:val="es-ES" w:eastAsia="es-ES"/>
        </w:rPr>
        <mc:AlternateContent>
          <mc:Choice Requires="wps">
            <w:drawing>
              <wp:anchor distT="0" distB="0" distL="114300" distR="114300" simplePos="0" relativeHeight="251726848" behindDoc="0" locked="0" layoutInCell="1" allowOverlap="1" wp14:anchorId="7CCFBC60" wp14:editId="487AAD21">
                <wp:simplePos x="0" y="0"/>
                <wp:positionH relativeFrom="column">
                  <wp:posOffset>-342266</wp:posOffset>
                </wp:positionH>
                <wp:positionV relativeFrom="paragraph">
                  <wp:posOffset>257175</wp:posOffset>
                </wp:positionV>
                <wp:extent cx="2447925" cy="126682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266825"/>
                        </a:xfrm>
                        <a:prstGeom prst="flowChartAlternateProcess">
                          <a:avLst/>
                        </a:prstGeom>
                        <a:noFill/>
                        <a:ln w="6350">
                          <a:noFill/>
                        </a:ln>
                      </wps:spPr>
                      <wps:style>
                        <a:lnRef idx="2">
                          <a:schemeClr val="accent2"/>
                        </a:lnRef>
                        <a:fillRef idx="1">
                          <a:schemeClr val="lt1"/>
                        </a:fillRef>
                        <a:effectRef idx="0">
                          <a:schemeClr val="accent2"/>
                        </a:effectRef>
                        <a:fontRef idx="minor">
                          <a:schemeClr val="dk1"/>
                        </a:fontRef>
                      </wps:style>
                      <wps:txbx>
                        <w:txbxContent>
                          <w:p w:rsidR="00DD6441" w:rsidRPr="004A7B7A" w:rsidRDefault="00DD6441" w:rsidP="00C33468">
                            <w:pPr>
                              <w:spacing w:after="0"/>
                              <w:ind w:left="-112" w:right="-64" w:firstLine="0"/>
                              <w:jc w:val="center"/>
                              <w:rPr>
                                <w:rFonts w:ascii="Arial" w:hAnsi="Arial" w:cs="Arial"/>
                                <w:w w:val="88"/>
                                <w:sz w:val="16"/>
                                <w:szCs w:val="16"/>
                              </w:rPr>
                            </w:pPr>
                            <w:r w:rsidRPr="004A7B7A">
                              <w:rPr>
                                <w:rFonts w:ascii="Arial" w:hAnsi="Arial" w:cs="Arial"/>
                                <w:w w:val="88"/>
                                <w:sz w:val="16"/>
                                <w:szCs w:val="16"/>
                              </w:rPr>
                              <w:t>ORGANISMOS AUTÓNOMOS</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Salud-Osasunbidea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DD6441" w:rsidRPr="004A7B7A" w:rsidRDefault="00DD6441" w:rsidP="004A7B7A">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DD6441" w:rsidRPr="004A7B7A" w:rsidRDefault="00DD6441" w:rsidP="00036B9E">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4" type="#_x0000_t176" style="position:absolute;left:0;text-align:left;margin-left:-26.95pt;margin-top:20.25pt;width:192.75pt;height:9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" filled="f" stroked="f" strokeweight=".5pt">
                <v:textbox>
                  <w:txbxContent>
                    <w:p w:rsidR="00DD6441" w:rsidRPr="004A7B7A" w:rsidRDefault="00DD6441" w:rsidP="00C33468">
                      <w:pPr>
                        <w:spacing w:after="0"/>
                        <w:ind w:left="-112" w:right="-64" w:firstLine="0"/>
                        <w:jc w:val="center"/>
                        <w:rPr>
                          <w:rFonts w:ascii="Arial" w:hAnsi="Arial" w:cs="Arial"/>
                          <w:w w:val="88"/>
                          <w:sz w:val="16"/>
                          <w:szCs w:val="16"/>
                        </w:rPr>
                      </w:pPr>
                      <w:r w:rsidRPr="004A7B7A">
                        <w:rPr>
                          <w:rFonts w:ascii="Arial" w:hAnsi="Arial" w:cs="Arial"/>
                          <w:w w:val="88"/>
                          <w:sz w:val="16"/>
                          <w:szCs w:val="16"/>
                        </w:rPr>
                        <w:t>ORGANISMOS AUTÓNOMOS</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rsidR="00DD6441" w:rsidRPr="004A7B7A" w:rsidRDefault="00DD6441" w:rsidP="004A7B7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DD6441" w:rsidRPr="004A7B7A" w:rsidRDefault="00DD6441" w:rsidP="004A7B7A">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DD6441" w:rsidRPr="004A7B7A" w:rsidRDefault="00DD6441" w:rsidP="00036B9E">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v:textbox>
              </v:shape>
            </w:pict>
          </mc:Fallback>
        </mc:AlternateContent>
      </w:r>
      <w:r w:rsidR="00C33468">
        <w:rPr>
          <w:noProof/>
          <w:lang w:val="es-ES" w:eastAsia="es-ES"/>
        </w:rPr>
        <mc:AlternateContent>
          <mc:Choice Requires="wps">
            <w:drawing>
              <wp:anchor distT="0" distB="0" distL="114300" distR="114300" simplePos="0" relativeHeight="251686912" behindDoc="0" locked="0" layoutInCell="1" allowOverlap="1" wp14:anchorId="3E76C3FF" wp14:editId="6D49D856">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v:textbox>
              </v:shape>
            </w:pict>
          </mc:Fallback>
        </mc:AlternateContent>
      </w:r>
    </w:p>
    <w:p w:rsidR="006D1903" w:rsidRDefault="00480AAA" w:rsidP="00DE777D">
      <w:pPr>
        <w:pStyle w:val="texto"/>
      </w:pPr>
      <w:r>
        <w:rPr>
          <w:noProof/>
          <w:lang w:val="es-ES" w:eastAsia="es-ES"/>
        </w:rPr>
        <mc:AlternateContent>
          <mc:Choice Requires="wps">
            <w:drawing>
              <wp:anchor distT="0" distB="0" distL="114300" distR="114300" simplePos="0" relativeHeight="251777024" behindDoc="0" locked="0" layoutInCell="1" allowOverlap="1" wp14:anchorId="38861014" wp14:editId="0A2393E7">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" strokecolor="black [3213]" strokeweight=".5pt"/>
            </w:pict>
          </mc:Fallback>
        </mc:AlternateContent>
      </w:r>
      <w:r w:rsidR="00985627">
        <w:rPr>
          <w:noProof/>
          <w:lang w:val="es-ES" w:eastAsia="es-ES"/>
        </w:rPr>
        <mc:AlternateContent>
          <mc:Choice Requires="wps">
            <w:drawing>
              <wp:anchor distT="0" distB="0" distL="114300" distR="114300" simplePos="0" relativeHeight="251752448" behindDoc="0" locked="0" layoutInCell="1" allowOverlap="1" wp14:anchorId="330B0A5A" wp14:editId="4998E427">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6 Conector recto"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" strokecolor="black [3213]" strokeweight=".5pt"/>
            </w:pict>
          </mc:Fallback>
        </mc:AlternateContent>
      </w:r>
      <w:r w:rsidR="00985627">
        <w:rPr>
          <w:noProof/>
          <w:lang w:val="es-ES" w:eastAsia="es-ES"/>
        </w:rPr>
        <mc:AlternateContent>
          <mc:Choice Requires="wps">
            <w:drawing>
              <wp:anchor distT="0" distB="0" distL="114300" distR="114300" simplePos="0" relativeHeight="251738112" behindDoc="0" locked="0" layoutInCell="1" allowOverlap="1" wp14:anchorId="5EAA4DC5" wp14:editId="467671F5">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9 Conector recto"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" strokecolor="black [3213]" strokeweight=".5pt"/>
            </w:pict>
          </mc:Fallback>
        </mc:AlternateContent>
      </w:r>
      <w:r w:rsidR="001C000F">
        <w:rPr>
          <w:noProof/>
          <w:lang w:val="es-ES" w:eastAsia="es-ES"/>
        </w:rPr>
        <mc:AlternateContent>
          <mc:Choice Requires="wps">
            <w:drawing>
              <wp:anchor distT="0" distB="0" distL="114300" distR="114300" simplePos="0" relativeHeight="251720704" behindDoc="0" locked="0" layoutInCell="1" allowOverlap="1" wp14:anchorId="44FD5F1E" wp14:editId="4736CFC0">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72.15pt;margin-top:14.4pt;width:60.4pt;height:2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85216" behindDoc="0" locked="0" layoutInCell="1" allowOverlap="1" wp14:anchorId="7D5048C6" wp14:editId="0C04CAEB">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" strokecolor="black [3213]" strokeweight=".5pt"/>
            </w:pict>
          </mc:Fallback>
        </mc:AlternateContent>
      </w:r>
      <w:r w:rsidR="00480AAA">
        <w:rPr>
          <w:noProof/>
          <w:lang w:val="es-ES" w:eastAsia="es-ES"/>
        </w:rPr>
        <mc:AlternateContent>
          <mc:Choice Requires="wps">
            <w:drawing>
              <wp:anchor distT="0" distB="0" distL="114300" distR="114300" simplePos="0" relativeHeight="251779072" behindDoc="0" locked="0" layoutInCell="1" allowOverlap="1" wp14:anchorId="71CB102B" wp14:editId="16383863">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" strokecolor="black [3213]" strokeweight=".5pt"/>
            </w:pict>
          </mc:Fallback>
        </mc:AlternateContent>
      </w:r>
      <w:r w:rsidR="00480AAA">
        <w:rPr>
          <w:noProof/>
          <w:lang w:val="es-ES" w:eastAsia="es-ES"/>
        </w:rPr>
        <mc:AlternateContent>
          <mc:Choice Requires="wps">
            <w:drawing>
              <wp:anchor distT="0" distB="0" distL="114300" distR="114300" simplePos="0" relativeHeight="251774976" behindDoc="0" locked="0" layoutInCell="1" allowOverlap="1" wp14:anchorId="007ED05C" wp14:editId="1C0C1358">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" strokecolor="black [3213]" strokeweight=".5pt"/>
            </w:pict>
          </mc:Fallback>
        </mc:AlternateContent>
      </w:r>
      <w:r w:rsidR="005948A7">
        <w:rPr>
          <w:noProof/>
          <w:lang w:val="es-ES" w:eastAsia="es-ES"/>
        </w:rPr>
        <mc:AlternateContent>
          <mc:Choice Requires="wps">
            <w:drawing>
              <wp:anchor distT="0" distB="0" distL="114300" distR="114300" simplePos="0" relativeHeight="251703296" behindDoc="0" locked="0" layoutInCell="1" allowOverlap="1" wp14:anchorId="1CCCC807" wp14:editId="77226EC2">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7" type="#_x0000_t176" style="position:absolute;left:0;text-align:left;margin-left:281.7pt;margin-top:4.4pt;width:39.85pt;height: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r w:rsidR="005948A7">
        <w:rPr>
          <w:noProof/>
          <w:lang w:val="es-ES" w:eastAsia="es-ES"/>
        </w:rPr>
        <mc:AlternateContent>
          <mc:Choice Requires="wps">
            <w:drawing>
              <wp:anchor distT="0" distB="0" distL="114300" distR="114300" simplePos="0" relativeHeight="251688960" behindDoc="0" locked="0" layoutInCell="1" allowOverlap="1" wp14:anchorId="7F000DD8" wp14:editId="402023F6">
                <wp:simplePos x="0" y="0"/>
                <wp:positionH relativeFrom="column">
                  <wp:posOffset>2472055</wp:posOffset>
                </wp:positionH>
                <wp:positionV relativeFrom="paragraph">
                  <wp:posOffset>104775</wp:posOffset>
                </wp:positionV>
                <wp:extent cx="767080" cy="505968"/>
                <wp:effectExtent l="0" t="0" r="13970" b="27940"/>
                <wp:wrapNone/>
                <wp:docPr id="26" name="26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8" type="#_x0000_t176" style="position:absolute;left:0;text-align:left;margin-left:194.65pt;margin-top:8.25pt;width:60.4pt;height:3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v:textbox>
              </v:shape>
            </w:pict>
          </mc:Fallback>
        </mc:AlternateContent>
      </w:r>
    </w:p>
    <w:p w:rsidR="006D1903" w:rsidRDefault="00480AAA" w:rsidP="00DE777D">
      <w:pPr>
        <w:pStyle w:val="texto"/>
      </w:pPr>
      <w:r>
        <w:rPr>
          <w:noProof/>
          <w:lang w:val="es-ES" w:eastAsia="es-ES"/>
        </w:rPr>
        <mc:AlternateContent>
          <mc:Choice Requires="wps">
            <w:drawing>
              <wp:anchor distT="0" distB="0" distL="114300" distR="114300" simplePos="0" relativeHeight="251781120" behindDoc="0" locked="0" layoutInCell="1" allowOverlap="1" wp14:anchorId="0F52148D" wp14:editId="5AEB0BE2">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0 Conector recto"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" strokecolor="black [3213]" strokeweight=".5pt"/>
            </w:pict>
          </mc:Fallback>
        </mc:AlternateContent>
      </w:r>
      <w:r w:rsidR="00985627">
        <w:rPr>
          <w:noProof/>
          <w:lang w:val="es-ES" w:eastAsia="es-ES"/>
        </w:rPr>
        <mc:AlternateContent>
          <mc:Choice Requires="wps">
            <w:drawing>
              <wp:anchor distT="0" distB="0" distL="114300" distR="114300" simplePos="0" relativeHeight="251740160" behindDoc="0" locked="0" layoutInCell="1" allowOverlap="1" wp14:anchorId="0633D2D1" wp14:editId="0D2B5D1E">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0 Conector recto"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" strokecolor="black [3213]" strokeweight=".5pt"/>
            </w:pict>
          </mc:Fallback>
        </mc:AlternateContent>
      </w:r>
      <w:r w:rsidR="001C000F">
        <w:rPr>
          <w:noProof/>
          <w:lang w:val="es-ES" w:eastAsia="es-ES"/>
        </w:rPr>
        <mc:AlternateContent>
          <mc:Choice Requires="wps">
            <w:drawing>
              <wp:anchor distT="0" distB="0" distL="114300" distR="114300" simplePos="0" relativeHeight="251722752" behindDoc="0" locked="0" layoutInCell="1" allowOverlap="1" wp14:anchorId="539FFC6C" wp14:editId="3BA3A1BD">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rsidR="006D1903" w:rsidRDefault="003804A9" w:rsidP="00DE777D">
      <w:pPr>
        <w:pStyle w:val="texto"/>
      </w:pPr>
      <w:r>
        <w:rPr>
          <w:noProof/>
          <w:lang w:val="es-ES" w:eastAsia="es-ES"/>
        </w:rPr>
        <mc:AlternateContent>
          <mc:Choice Requires="wps">
            <w:drawing>
              <wp:anchor distT="0" distB="0" distL="114300" distR="114300" simplePos="0" relativeHeight="251772928" behindDoc="0" locked="0" layoutInCell="1" allowOverlap="1" wp14:anchorId="1F4B3861" wp14:editId="23BE9EC2">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6 Conector recto"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" strokecolor="black [3213]" strokeweight=".5pt"/>
            </w:pict>
          </mc:Fallback>
        </mc:AlternateContent>
      </w:r>
      <w:r w:rsidR="005948A7">
        <w:rPr>
          <w:noProof/>
          <w:lang w:val="es-ES" w:eastAsia="es-ES"/>
        </w:rPr>
        <mc:AlternateContent>
          <mc:Choice Requires="wps">
            <w:drawing>
              <wp:anchor distT="0" distB="0" distL="114300" distR="114300" simplePos="0" relativeHeight="251691008" behindDoc="0" locked="0" layoutInCell="1" allowOverlap="1" wp14:anchorId="701D3058" wp14:editId="2AD486D9">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rsidR="005948A7" w:rsidRDefault="00985627" w:rsidP="00DE777D">
      <w:pPr>
        <w:pStyle w:val="texto"/>
      </w:pPr>
      <w:r>
        <w:rPr>
          <w:noProof/>
          <w:lang w:val="es-ES" w:eastAsia="es-ES"/>
        </w:rPr>
        <mc:AlternateContent>
          <mc:Choice Requires="wps">
            <w:drawing>
              <wp:anchor distT="0" distB="0" distL="114300" distR="114300" simplePos="0" relativeHeight="251742208" behindDoc="0" locked="0" layoutInCell="1" allowOverlap="1" wp14:anchorId="772117E7" wp14:editId="4B9EE68A">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1 Conector recto"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" strokecolor="black [3213]" strokeweight=".5pt"/>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70880" behindDoc="0" locked="0" layoutInCell="1" allowOverlap="1" wp14:anchorId="08A26734" wp14:editId="595DDE93">
                <wp:simplePos x="0" y="0"/>
                <wp:positionH relativeFrom="column">
                  <wp:posOffset>4087495</wp:posOffset>
                </wp:positionH>
                <wp:positionV relativeFrom="paragraph">
                  <wp:posOffset>194945</wp:posOffset>
                </wp:positionV>
                <wp:extent cx="151131" cy="0"/>
                <wp:effectExtent l="0" t="0" r="20320" b="19050"/>
                <wp:wrapNone/>
                <wp:docPr id="95" name="95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5.35pt" to="333.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" strokecolor="black [3213]" strokeweight=".5pt"/>
            </w:pict>
          </mc:Fallback>
        </mc:AlternateContent>
      </w:r>
      <w:r w:rsidR="00985627">
        <w:rPr>
          <w:noProof/>
          <w:lang w:val="es-ES" w:eastAsia="es-ES"/>
        </w:rPr>
        <mc:AlternateContent>
          <mc:Choice Requires="wps">
            <w:drawing>
              <wp:anchor distT="0" distB="0" distL="114300" distR="114300" simplePos="0" relativeHeight="251760640" behindDoc="0" locked="0" layoutInCell="1" allowOverlap="1" wp14:anchorId="01309F73" wp14:editId="41619D6C">
                <wp:simplePos x="0" y="0"/>
                <wp:positionH relativeFrom="column">
                  <wp:posOffset>3239136</wp:posOffset>
                </wp:positionH>
                <wp:positionV relativeFrom="paragraph">
                  <wp:posOffset>204470</wp:posOffset>
                </wp:positionV>
                <wp:extent cx="504824" cy="86995"/>
                <wp:effectExtent l="0" t="0" r="29210" b="27305"/>
                <wp:wrapNone/>
                <wp:docPr id="90" name="90 Conector recto"/>
                <wp:cNvGraphicFramePr/>
                <a:graphic xmlns:a="http://schemas.openxmlformats.org/drawingml/2006/main">
                  <a:graphicData uri="http://schemas.microsoft.com/office/word/2010/wordprocessingShape">
                    <wps:wsp>
                      <wps:cNvCnPr/>
                      <wps:spPr>
                        <a:xfrm flipH="1">
                          <a:off x="0" y="0"/>
                          <a:ext cx="504824" cy="869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94.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" strokecolor="black [3213]" strokeweight=".5pt"/>
            </w:pict>
          </mc:Fallback>
        </mc:AlternateContent>
      </w:r>
      <w:r w:rsidR="005948A7">
        <w:rPr>
          <w:noProof/>
          <w:lang w:val="es-ES" w:eastAsia="es-ES"/>
        </w:rPr>
        <mc:AlternateContent>
          <mc:Choice Requires="wps">
            <w:drawing>
              <wp:anchor distT="0" distB="0" distL="114300" distR="114300" simplePos="0" relativeHeight="251707392" behindDoc="0" locked="0" layoutInCell="1" allowOverlap="1" wp14:anchorId="58E11D3D" wp14:editId="4F2B8CC5">
                <wp:simplePos x="0" y="0"/>
                <wp:positionH relativeFrom="column">
                  <wp:posOffset>3744595</wp:posOffset>
                </wp:positionH>
                <wp:positionV relativeFrom="paragraph">
                  <wp:posOffset>71120</wp:posOffset>
                </wp:positionV>
                <wp:extent cx="343535" cy="225552"/>
                <wp:effectExtent l="0" t="0" r="18415" b="22225"/>
                <wp:wrapNone/>
                <wp:docPr id="36" name="36 Proceso alternativo"/>
                <wp:cNvGraphicFramePr/>
                <a:graphic xmlns:a="http://schemas.openxmlformats.org/drawingml/2006/main">
                  <a:graphicData uri="http://schemas.microsoft.com/office/word/2010/wordprocessingShape">
                    <wps:wsp>
                      <wps:cNvSpPr/>
                      <wps:spPr>
                        <a:xfrm>
                          <a:off x="0" y="0"/>
                          <a:ext cx="343535"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1" type="#_x0000_t176" style="position:absolute;left:0;text-align:left;margin-left:294.85pt;margin-top:5.6pt;width:27.05pt;height:1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sidR="005948A7">
        <w:rPr>
          <w:noProof/>
          <w:lang w:val="es-ES" w:eastAsia="es-ES"/>
        </w:rPr>
        <mc:AlternateContent>
          <mc:Choice Requires="wps">
            <w:drawing>
              <wp:anchor distT="0" distB="0" distL="114300" distR="114300" simplePos="0" relativeHeight="251693056" behindDoc="0" locked="0" layoutInCell="1" allowOverlap="1" wp14:anchorId="54C432B6" wp14:editId="05DA6575">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2" type="#_x0000_t176" style="position:absolute;left:0;text-align:left;margin-left:194.65pt;margin-top:18.45pt;width:60.4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rsidR="005948A7" w:rsidRDefault="00111BC1" w:rsidP="00DE777D">
      <w:pPr>
        <w:pStyle w:val="texto"/>
      </w:pPr>
      <w:r>
        <w:rPr>
          <w:noProof/>
          <w:lang w:val="es-ES" w:eastAsia="es-ES"/>
        </w:rPr>
        <mc:AlternateContent>
          <mc:Choice Requires="wps">
            <w:drawing>
              <wp:anchor distT="0" distB="0" distL="114300" distR="114300" simplePos="0" relativeHeight="251820032" behindDoc="0" locked="0" layoutInCell="1" allowOverlap="1" wp14:anchorId="288E0FCD" wp14:editId="6D010323">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sidR="00480AAA">
        <w:rPr>
          <w:noProof/>
          <w:lang w:val="es-ES" w:eastAsia="es-ES"/>
        </w:rPr>
        <mc:AlternateContent>
          <mc:Choice Requires="wps">
            <w:drawing>
              <wp:anchor distT="0" distB="0" distL="114300" distR="114300" simplePos="0" relativeHeight="251762688" behindDoc="0" locked="0" layoutInCell="1" allowOverlap="1" wp14:anchorId="4815A85A" wp14:editId="01E863EF">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" strokecolor="black [3213]" strokeweight=".5pt"/>
            </w:pict>
          </mc:Fallback>
        </mc:AlternateContent>
      </w:r>
      <w:r w:rsidR="00985627">
        <w:rPr>
          <w:noProof/>
          <w:lang w:val="es-ES" w:eastAsia="es-ES"/>
        </w:rPr>
        <mc:AlternateContent>
          <mc:Choice Requires="wps">
            <w:drawing>
              <wp:anchor distT="0" distB="0" distL="114300" distR="114300" simplePos="0" relativeHeight="251744256" behindDoc="0" locked="0" layoutInCell="1" allowOverlap="1" wp14:anchorId="6629A8DF" wp14:editId="6740692C">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2 Conector recto"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" strokecolor="black [3213]" strokeweight=".5pt"/>
            </w:pict>
          </mc:Fallback>
        </mc:AlternateContent>
      </w:r>
      <w:r w:rsidR="005948A7">
        <w:rPr>
          <w:noProof/>
          <w:lang w:val="es-ES" w:eastAsia="es-ES"/>
        </w:rPr>
        <mc:AlternateContent>
          <mc:Choice Requires="wps">
            <w:drawing>
              <wp:anchor distT="0" distB="0" distL="114300" distR="114300" simplePos="0" relativeHeight="251709440" behindDoc="0" locked="0" layoutInCell="1" allowOverlap="1" wp14:anchorId="5E120C4F" wp14:editId="756F20FE">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3" type="#_x0000_t176" style="position:absolute;left:0;text-align:left;margin-left:281.7pt;margin-top:7.5pt;width:39.85pt;height:1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711488" behindDoc="0" locked="0" layoutInCell="1" allowOverlap="1" wp14:anchorId="28AC1ED8" wp14:editId="6E281DC8">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4" type="#_x0000_t176" style="position:absolute;left:0;text-align:left;margin-left:281.7pt;margin-top:20.55pt;width:39.8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v:textbox>
              </v:shape>
            </w:pict>
          </mc:Fallback>
        </mc:AlternateContent>
      </w:r>
      <w:r>
        <w:rPr>
          <w:noProof/>
          <w:lang w:val="es-ES" w:eastAsia="es-ES"/>
        </w:rPr>
        <mc:AlternateContent>
          <mc:Choice Requires="wps">
            <w:drawing>
              <wp:anchor distT="0" distB="0" distL="114300" distR="114300" simplePos="0" relativeHeight="251695104" behindDoc="0" locked="0" layoutInCell="1" allowOverlap="1" wp14:anchorId="617EC941" wp14:editId="57FBA358">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5" type="#_x0000_t176" style="position:absolute;left:0;text-align:left;margin-left:194.65pt;margin-top:17.25pt;width:60.4pt;height: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v:textbox>
              </v:shape>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83168" behindDoc="0" locked="0" layoutInCell="1" allowOverlap="1" wp14:anchorId="0FE89D17" wp14:editId="69DF3FFD">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" strokecolor="black [3213]" strokeweight=".5pt"/>
            </w:pict>
          </mc:Fallback>
        </mc:AlternateContent>
      </w:r>
      <w:r>
        <w:rPr>
          <w:noProof/>
          <w:lang w:val="es-ES" w:eastAsia="es-ES"/>
        </w:rPr>
        <mc:AlternateContent>
          <mc:Choice Requires="wps">
            <w:drawing>
              <wp:anchor distT="0" distB="0" distL="114300" distR="114300" simplePos="0" relativeHeight="251768832" behindDoc="0" locked="0" layoutInCell="1" allowOverlap="1" wp14:anchorId="398038E5" wp14:editId="0713897A">
                <wp:simplePos x="0" y="0"/>
                <wp:positionH relativeFrom="column">
                  <wp:posOffset>4087495</wp:posOffset>
                </wp:positionH>
                <wp:positionV relativeFrom="paragraph">
                  <wp:posOffset>101600</wp:posOffset>
                </wp:positionV>
                <wp:extent cx="151131" cy="0"/>
                <wp:effectExtent l="0" t="0" r="20320" b="19050"/>
                <wp:wrapNone/>
                <wp:docPr id="94" name="94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pt" to="3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" strokecolor="black [3213]" strokeweight=".5pt"/>
            </w:pict>
          </mc:Fallback>
        </mc:AlternateContent>
      </w:r>
      <w:r w:rsidR="00985627">
        <w:rPr>
          <w:noProof/>
          <w:lang w:val="es-ES" w:eastAsia="es-ES"/>
        </w:rPr>
        <mc:AlternateContent>
          <mc:Choice Requires="wps">
            <w:drawing>
              <wp:anchor distT="0" distB="0" distL="114300" distR="114300" simplePos="0" relativeHeight="251746304" behindDoc="0" locked="0" layoutInCell="1" allowOverlap="1" wp14:anchorId="7EDF2E09" wp14:editId="52F5FCAA">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3 Conector recto"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" strokecolor="black [3213]" strokeweight=".5pt"/>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697152" behindDoc="0" locked="0" layoutInCell="1" allowOverlap="1" wp14:anchorId="41EAE717" wp14:editId="6BB03552">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6" type="#_x0000_t176" style="position:absolute;left:0;text-align:left;margin-left:194.7pt;margin-top:15.6pt;width:60.4pt;height:4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v:textbox>
              </v:shape>
            </w:pict>
          </mc:Fallback>
        </mc:AlternateContent>
      </w:r>
    </w:p>
    <w:p w:rsidR="005948A7" w:rsidRDefault="00985627" w:rsidP="00DE777D">
      <w:pPr>
        <w:pStyle w:val="texto"/>
      </w:pPr>
      <w:r>
        <w:rPr>
          <w:noProof/>
          <w:lang w:val="es-ES" w:eastAsia="es-ES"/>
        </w:rPr>
        <mc:AlternateContent>
          <mc:Choice Requires="wps">
            <w:drawing>
              <wp:anchor distT="0" distB="0" distL="114300" distR="114300" simplePos="0" relativeHeight="251748352" behindDoc="0" locked="0" layoutInCell="1" allowOverlap="1" wp14:anchorId="61FA6E11" wp14:editId="5F5D75F0">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4 Conector recto"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" strokecolor="black [3213]" strokeweight=".5pt"/>
            </w:pict>
          </mc:Fallback>
        </mc:AlternateContent>
      </w:r>
    </w:p>
    <w:p w:rsidR="005948A7" w:rsidRDefault="005948A7" w:rsidP="00DE777D">
      <w:pPr>
        <w:pStyle w:val="texto"/>
      </w:pPr>
      <w:r>
        <w:rPr>
          <w:noProof/>
          <w:lang w:val="es-ES" w:eastAsia="es-ES"/>
        </w:rPr>
        <mc:AlternateContent>
          <mc:Choice Requires="wps">
            <w:drawing>
              <wp:anchor distT="0" distB="0" distL="114300" distR="114300" simplePos="0" relativeHeight="251713536" behindDoc="0" locked="0" layoutInCell="1" allowOverlap="1" wp14:anchorId="145798FE" wp14:editId="7F94FF1E">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7" type="#_x0000_t176" style="position:absolute;left:0;text-align:left;margin-left:281.7pt;margin-top:21.05pt;width:39.85pt;height: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66784" behindDoc="0" locked="0" layoutInCell="1" allowOverlap="1" wp14:anchorId="20CAFDBD" wp14:editId="2674F74E">
                <wp:simplePos x="0" y="0"/>
                <wp:positionH relativeFrom="column">
                  <wp:posOffset>4087495</wp:posOffset>
                </wp:positionH>
                <wp:positionV relativeFrom="paragraph">
                  <wp:posOffset>110490</wp:posOffset>
                </wp:positionV>
                <wp:extent cx="151131" cy="0"/>
                <wp:effectExtent l="0" t="0" r="20320" b="19050"/>
                <wp:wrapNone/>
                <wp:docPr id="93" name="93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3 Conector recto"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7pt" to="3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" strokecolor="black [3213]" strokeweight=".5pt"/>
            </w:pict>
          </mc:Fallback>
        </mc:AlternateContent>
      </w:r>
      <w:r w:rsidR="00985627">
        <w:rPr>
          <w:noProof/>
          <w:lang w:val="es-ES" w:eastAsia="es-ES"/>
        </w:rPr>
        <mc:AlternateContent>
          <mc:Choice Requires="wps">
            <w:drawing>
              <wp:anchor distT="0" distB="0" distL="114300" distR="114300" simplePos="0" relativeHeight="251756544" behindDoc="0" locked="0" layoutInCell="1" allowOverlap="1" wp14:anchorId="3F326B8E" wp14:editId="0C54F5B7">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" strokecolor="black [3213]" strokeweight=".5pt"/>
            </w:pict>
          </mc:Fallback>
        </mc:AlternateContent>
      </w:r>
      <w:r w:rsidR="00985627">
        <w:rPr>
          <w:noProof/>
          <w:lang w:val="es-ES" w:eastAsia="es-ES"/>
        </w:rPr>
        <mc:AlternateContent>
          <mc:Choice Requires="wps">
            <w:drawing>
              <wp:anchor distT="0" distB="0" distL="114300" distR="114300" simplePos="0" relativeHeight="251750400" behindDoc="0" locked="0" layoutInCell="1" allowOverlap="1" wp14:anchorId="326319C4" wp14:editId="1EE03518">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5 Conector recto"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" strokecolor="black [3213]" strokeweight=".5pt"/>
            </w:pict>
          </mc:Fallback>
        </mc:AlternateContent>
      </w:r>
      <w:r w:rsidR="005948A7">
        <w:rPr>
          <w:noProof/>
          <w:lang w:val="es-ES" w:eastAsia="es-ES"/>
        </w:rPr>
        <mc:AlternateContent>
          <mc:Choice Requires="wps">
            <w:drawing>
              <wp:anchor distT="0" distB="0" distL="114300" distR="114300" simplePos="0" relativeHeight="251699200" behindDoc="0" locked="0" layoutInCell="1" allowOverlap="1" wp14:anchorId="1A6198BC" wp14:editId="2D2D34EC">
                <wp:simplePos x="0" y="0"/>
                <wp:positionH relativeFrom="column">
                  <wp:posOffset>2472055</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8" type="#_x0000_t176" style="position:absolute;left:0;text-align:left;margin-left:194.65pt;margin-top:12.15pt;width:60.4pt;height:1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" filled="f" strokecolor="black [3213]" strokeweight=".5pt">
                <v:textbox>
                  <w:txbxContent>
                    <w:p w:rsidR="00DD6441" w:rsidRPr="00C33468" w:rsidRDefault="00DD6441" w:rsidP="00C33468">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p>
    <w:p w:rsidR="005948A7" w:rsidRDefault="00480AAA" w:rsidP="00DE777D">
      <w:pPr>
        <w:pStyle w:val="texto"/>
      </w:pPr>
      <w:r>
        <w:rPr>
          <w:noProof/>
          <w:lang w:val="es-ES" w:eastAsia="es-ES"/>
        </w:rPr>
        <mc:AlternateContent>
          <mc:Choice Requires="wps">
            <w:drawing>
              <wp:anchor distT="0" distB="0" distL="114300" distR="114300" simplePos="0" relativeHeight="251754496" behindDoc="0" locked="0" layoutInCell="1" allowOverlap="1" wp14:anchorId="2DBFB337" wp14:editId="2E4B1694">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7 Conector recto"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" strokecolor="black [3213]" strokeweight=".5pt"/>
            </w:pict>
          </mc:Fallback>
        </mc:AlternateContent>
      </w:r>
      <w:r w:rsidR="00985627">
        <w:rPr>
          <w:noProof/>
          <w:lang w:val="es-ES" w:eastAsia="es-ES"/>
        </w:rPr>
        <mc:AlternateContent>
          <mc:Choice Requires="wps">
            <w:drawing>
              <wp:anchor distT="0" distB="0" distL="114300" distR="114300" simplePos="0" relativeHeight="251758592" behindDoc="0" locked="0" layoutInCell="1" allowOverlap="1" wp14:anchorId="0073BA07" wp14:editId="72B44A60">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" strokecolor="black [3213]" strokeweight=".5pt"/>
            </w:pict>
          </mc:Fallback>
        </mc:AlternateContent>
      </w:r>
      <w:r w:rsidR="005948A7">
        <w:rPr>
          <w:noProof/>
          <w:lang w:val="es-ES" w:eastAsia="es-ES"/>
        </w:rPr>
        <mc:AlternateContent>
          <mc:Choice Requires="wps">
            <w:drawing>
              <wp:anchor distT="0" distB="0" distL="114300" distR="114300" simplePos="0" relativeHeight="251715584" behindDoc="0" locked="0" layoutInCell="1" allowOverlap="1" wp14:anchorId="147A3F36" wp14:editId="30D7B55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59" type="#_x0000_t176" style="position:absolute;left:0;text-align:left;margin-left:281.7pt;margin-top:5.95pt;width:39.85pt;height:1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" filled="f" strokecolor="black [3213]" strokeweight=".5pt">
                <v:textbox>
                  <w:txbxContent>
                    <w:p w:rsidR="00DD6441" w:rsidRPr="00C33468" w:rsidRDefault="00DD6441" w:rsidP="00C33468">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rsidR="005948A7" w:rsidRPr="000E2288" w:rsidRDefault="005948A7" w:rsidP="00DE777D">
      <w:pPr>
        <w:pStyle w:val="texto"/>
      </w:pPr>
    </w:p>
    <w:p w:rsidR="00DE777D" w:rsidRPr="007663B8" w:rsidRDefault="00DE777D" w:rsidP="007663B8">
      <w:pPr>
        <w:pStyle w:val="texto"/>
      </w:pPr>
      <w:r w:rsidRPr="007663B8">
        <w:lastRenderedPageBreak/>
        <w:t>Del análisis del gráfico anterior destacamos los siguientes aspectos:</w:t>
      </w:r>
    </w:p>
    <w:p w:rsidR="00DE777D" w:rsidRPr="00846868" w:rsidRDefault="00DE777D"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31 de diciembre de 2016 existían nueve departamentos y ocho OOAA</w:t>
      </w:r>
      <w:r w:rsidRPr="00846868">
        <w:rPr>
          <w:rFonts w:cs="Arial"/>
        </w:rPr>
        <w:t xml:space="preserve"> adscritos a la Administración de la Comunidad Foral.</w:t>
      </w:r>
    </w:p>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B7C97">
        <w:rPr>
          <w:rFonts w:cs="Arial"/>
        </w:rPr>
        <w:t>La Administración de la Comunidad Foral participaba mayoritariamente en el capital de 17 empresas a la fecha indicada. Participaba directamente en la empresa Corporación Pública Empresarial de Navarra, S.L.U., (CPEN) en la que posee el 100 por cien del capital, e indirectamente, a través de la CPEN</w:t>
      </w:r>
      <w:r w:rsidR="00111BC1">
        <w:rPr>
          <w:rFonts w:cs="Arial"/>
        </w:rPr>
        <w:t xml:space="preserve"> y de sus sociedades dependientes</w:t>
      </w:r>
      <w:r w:rsidRPr="00EB7C97">
        <w:rPr>
          <w:rFonts w:cs="Arial"/>
        </w:rPr>
        <w:t>, en las 16</w:t>
      </w:r>
      <w:r>
        <w:rPr>
          <w:rFonts w:cs="Arial"/>
        </w:rPr>
        <w:t xml:space="preserve"> sociedades siguientes:</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552"/>
        <w:gridCol w:w="3139"/>
      </w:tblGrid>
      <w:tr w:rsidR="00EB7C97" w:rsidRPr="00EB7C97" w:rsidTr="00EB7C97">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EB7C97">
              <w:rPr>
                <w:rFonts w:ascii="Arial" w:hAnsi="Arial" w:cs="Arial"/>
                <w:spacing w:val="6"/>
                <w:sz w:val="16"/>
                <w:szCs w:val="16"/>
              </w:rPr>
              <w:t xml:space="preserve">Empresa Pública </w:t>
            </w:r>
          </w:p>
        </w:tc>
        <w:tc>
          <w:tcPr>
            <w:tcW w:w="1552"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Porcentaje</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participac. CPEN</w:t>
            </w:r>
          </w:p>
        </w:tc>
        <w:tc>
          <w:tcPr>
            <w:tcW w:w="3139" w:type="dxa"/>
            <w:tcBorders>
              <w:top w:val="single" w:sz="4" w:space="0" w:color="auto"/>
              <w:left w:val="nil"/>
              <w:bottom w:val="single" w:sz="4" w:space="0" w:color="000000"/>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Actividad económica</w:t>
            </w:r>
          </w:p>
        </w:tc>
      </w:tr>
      <w:tr w:rsidR="00EB7C97" w:rsidRPr="00EB7C97" w:rsidTr="00EB7C97">
        <w:trPr>
          <w:trHeight w:val="198"/>
          <w:jc w:val="center"/>
        </w:trPr>
        <w:tc>
          <w:tcPr>
            <w:tcW w:w="4106"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Europeo de Empresas e Innovación, S.L. (CEIN)</w:t>
            </w:r>
          </w:p>
        </w:tc>
        <w:tc>
          <w:tcPr>
            <w:tcW w:w="1552"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4"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Innovación y Emprendedores</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Navarro de Aprendizaje de Idiomas, S.A. (CNAI)</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Educación y Talento</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Ciudad Agroalimentaria de Tudela, S.L. (CAT)</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Gestión Ambiental de Navarra, S.A. (GAN)</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Medio Ambiente</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Instituto Navarro de Tecnologías e Infraestructuras Agro</w:t>
            </w:r>
            <w:r w:rsidRPr="00EB7C97">
              <w:rPr>
                <w:rFonts w:ascii="Arial Narrow" w:hAnsi="Arial Narrow" w:cs="Arial"/>
                <w:sz w:val="18"/>
                <w:szCs w:val="18"/>
                <w:lang w:val="es-ES" w:eastAsia="es-ES"/>
              </w:rPr>
              <w:t>a</w:t>
            </w:r>
            <w:r w:rsidRPr="00EB7C97">
              <w:rPr>
                <w:rFonts w:ascii="Arial Narrow" w:hAnsi="Arial Narrow" w:cs="Arial"/>
                <w:sz w:val="18"/>
                <w:szCs w:val="18"/>
                <w:lang w:val="es-ES" w:eastAsia="es-ES"/>
              </w:rPr>
              <w:t>limentarias, S.A. (INTIA)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de Cultura, Deporte y Ocio, S.L. (NICDO)</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Infraestructuras Temáticas, Culturales, Ocio y Deporte</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Locales, S.A. (NILSA)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Infraestructuras locales</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Servicios y Tecnologías, S.A. (NASERTIC)</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Servicios y Tecnología para las AAPP</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Suelo y Vivienda, S.A. (NASUVINSA)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Suelo y Vivienda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Potasas de Subiza, S.A.U. (POSUSA)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Actividad medioambiental y recomposición tejido industrial</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Salinas de Navarra, S.A.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76</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Producción y comercialización de sal y derivados</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Sociedad de Desarrollo de Navarra, S.L. (SODENA)</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Económica y Financiación</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Natural Climate Systems, S.A. (MIYABI)</w:t>
            </w:r>
          </w:p>
        </w:tc>
        <w:tc>
          <w:tcPr>
            <w:tcW w:w="1552" w:type="dxa"/>
            <w:tcBorders>
              <w:top w:val="single" w:sz="2" w:space="0" w:color="000000"/>
              <w:left w:val="nil"/>
              <w:bottom w:val="single" w:sz="2" w:space="0" w:color="000000"/>
              <w:right w:val="nil"/>
            </w:tcBorders>
            <w:vAlign w:val="center"/>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construcción y rehabilitación con criterios de eficiencia energética</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Start Up Capital Navarra, S.L.</w:t>
            </w:r>
          </w:p>
        </w:tc>
        <w:tc>
          <w:tcPr>
            <w:tcW w:w="1552"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59,5</w:t>
            </w:r>
          </w:p>
        </w:tc>
        <w:tc>
          <w:tcPr>
            <w:tcW w:w="3139"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y fomento de empresas</w:t>
            </w:r>
          </w:p>
        </w:tc>
      </w:tr>
      <w:tr w:rsidR="00EB7C97" w:rsidRPr="00EB7C97" w:rsidTr="00EB7C97">
        <w:trPr>
          <w:trHeight w:val="198"/>
          <w:jc w:val="center"/>
        </w:trPr>
        <w:tc>
          <w:tcPr>
            <w:tcW w:w="4106" w:type="dxa"/>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Trabajos Catastrales, S.A. (TRACASA)</w:t>
            </w:r>
          </w:p>
        </w:tc>
        <w:tc>
          <w:tcPr>
            <w:tcW w:w="1552" w:type="dxa"/>
            <w:vMerge w:val="restart"/>
            <w:tcBorders>
              <w:top w:val="single" w:sz="2" w:space="0" w:color="000000"/>
              <w:left w:val="nil"/>
              <w:bottom w:val="single" w:sz="2" w:space="0" w:color="000000"/>
              <w:right w:val="nil"/>
            </w:tcBorders>
            <w:vAlign w:val="center"/>
            <w:hideMark/>
          </w:tcPr>
          <w:p w:rsidR="00EB7C97" w:rsidRPr="00EB7C97" w:rsidRDefault="00EB7C97" w:rsidP="00EB7C97">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3139" w:type="dxa"/>
            <w:vMerge w:val="restart"/>
            <w:tcBorders>
              <w:top w:val="single" w:sz="2" w:space="0" w:color="000000"/>
              <w:left w:val="nil"/>
              <w:bottom w:val="single" w:sz="2" w:space="0" w:color="000000"/>
              <w:right w:val="nil"/>
            </w:tcBorders>
            <w:vAlign w:val="center"/>
            <w:hideMark/>
          </w:tcPr>
          <w:p w:rsidR="00EB7C97" w:rsidRPr="00EB7C97" w:rsidRDefault="00EB7C97" w:rsidP="00EB7C97">
            <w:pPr>
              <w:spacing w:after="0"/>
              <w:ind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Hacienda y Patrimonio</w:t>
            </w:r>
          </w:p>
        </w:tc>
      </w:tr>
      <w:tr w:rsidR="00EB7C97" w:rsidRPr="00EB7C97" w:rsidTr="00EB7C97">
        <w:trPr>
          <w:trHeight w:val="198"/>
          <w:jc w:val="center"/>
        </w:trPr>
        <w:tc>
          <w:tcPr>
            <w:tcW w:w="4106" w:type="dxa"/>
            <w:tcBorders>
              <w:top w:val="single" w:sz="2" w:space="0" w:color="000000"/>
              <w:left w:val="nil"/>
              <w:bottom w:val="single" w:sz="4"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TRACASA Instrumental, S.L.</w:t>
            </w:r>
          </w:p>
        </w:tc>
        <w:tc>
          <w:tcPr>
            <w:tcW w:w="1552" w:type="dxa"/>
            <w:vMerge/>
            <w:tcBorders>
              <w:top w:val="single" w:sz="2" w:space="0" w:color="000000"/>
              <w:left w:val="nil"/>
              <w:bottom w:val="single" w:sz="4" w:space="0" w:color="000000"/>
              <w:right w:val="nil"/>
            </w:tcBorders>
            <w:vAlign w:val="center"/>
          </w:tcPr>
          <w:p w:rsidR="00EB7C97" w:rsidRPr="00EB7C97" w:rsidRDefault="00EB7C97" w:rsidP="00EB7C97">
            <w:pPr>
              <w:spacing w:after="0"/>
              <w:ind w:left="-94" w:firstLine="0"/>
              <w:jc w:val="center"/>
              <w:rPr>
                <w:rFonts w:ascii="Arial Narrow" w:hAnsi="Arial Narrow" w:cs="Arial"/>
                <w:sz w:val="18"/>
                <w:szCs w:val="18"/>
                <w:lang w:val="es-ES" w:eastAsia="es-ES"/>
              </w:rPr>
            </w:pPr>
          </w:p>
        </w:tc>
        <w:tc>
          <w:tcPr>
            <w:tcW w:w="3139" w:type="dxa"/>
            <w:vMerge/>
            <w:tcBorders>
              <w:top w:val="single" w:sz="2" w:space="0" w:color="000000"/>
              <w:left w:val="nil"/>
              <w:bottom w:val="single" w:sz="4" w:space="0" w:color="000000"/>
              <w:right w:val="nil"/>
            </w:tcBorders>
            <w:vAlign w:val="center"/>
          </w:tcPr>
          <w:p w:rsidR="00EB7C97" w:rsidRPr="00EB7C97" w:rsidRDefault="00EB7C97" w:rsidP="00EB7C97">
            <w:pPr>
              <w:spacing w:after="0"/>
              <w:ind w:firstLine="0"/>
              <w:jc w:val="left"/>
              <w:rPr>
                <w:rFonts w:ascii="Arial Narrow" w:hAnsi="Arial Narrow" w:cs="Arial"/>
                <w:sz w:val="18"/>
                <w:szCs w:val="18"/>
                <w:lang w:val="es-ES" w:eastAsia="es-ES"/>
              </w:rPr>
            </w:pPr>
          </w:p>
        </w:tc>
      </w:tr>
    </w:tbl>
    <w:p w:rsidR="00EB7C97" w:rsidRPr="00EB7C97" w:rsidRDefault="00EB7C97" w:rsidP="00EB7C97">
      <w:pPr>
        <w:pStyle w:val="texto"/>
        <w:spacing w:before="240"/>
      </w:pPr>
      <w:r w:rsidRPr="00EB7C97">
        <w:t>En comparación con 2015</w:t>
      </w:r>
      <w:r w:rsidR="0041738F">
        <w:t>, y en cumplimiento de la Directiva Europea 2014/24/CE,</w:t>
      </w:r>
      <w:r w:rsidRPr="00EB7C97">
        <w:t xml:space="preserve"> destaca la constitución en marzo de 2016 de la sociedad TRAC</w:t>
      </w:r>
      <w:r w:rsidRPr="00EB7C97">
        <w:t>A</w:t>
      </w:r>
      <w:r w:rsidRPr="00EB7C97">
        <w:t>SA Instrumental S.L.</w:t>
      </w:r>
    </w:p>
    <w:p w:rsidR="00EB7C97" w:rsidRPr="00EB7C97" w:rsidRDefault="0041738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L</w:t>
      </w:r>
      <w:r w:rsidR="00EB7C97" w:rsidRPr="00EB7C97">
        <w:rPr>
          <w:rFonts w:cs="Arial"/>
        </w:rPr>
        <w:t>as fundaciones públicas de la Administración de la Comunidad Foral a 31 de diciembre de 2016 era</w:t>
      </w:r>
      <w:r>
        <w:rPr>
          <w:rFonts w:cs="Arial"/>
        </w:rPr>
        <w:t>n las</w:t>
      </w:r>
      <w:r w:rsidR="00EB7C97" w:rsidRPr="00EB7C97">
        <w:rPr>
          <w:rFonts w:cs="Arial"/>
        </w:rPr>
        <w:t xml:space="preserve"> siguiente</w:t>
      </w:r>
      <w:r>
        <w:rPr>
          <w:rFonts w:cs="Arial"/>
        </w:rPr>
        <w:t>s</w:t>
      </w:r>
      <w:r w:rsidR="00EB7C97" w:rsidRPr="00EB7C97">
        <w:rPr>
          <w:rFonts w:cs="Arial"/>
        </w:rPr>
        <w:t xml:space="preserve">: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EB7C97" w:rsidRPr="00EB7C97" w:rsidTr="00EB7C97">
        <w:trPr>
          <w:trHeight w:val="284"/>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Fundación</w:t>
            </w:r>
            <w:r w:rsidR="00111BC1">
              <w:rPr>
                <w:rFonts w:ascii="Arial" w:hAnsi="Arial" w:cs="Arial"/>
                <w:spacing w:val="6"/>
                <w:sz w:val="18"/>
                <w:szCs w:val="18"/>
              </w:rPr>
              <w:t xml:space="preserve"> Pública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Objeto</w:t>
            </w:r>
          </w:p>
        </w:tc>
      </w:tr>
      <w:tr w:rsidR="00EB7C97" w:rsidRPr="00EB7C97" w:rsidTr="00EB7C97">
        <w:trPr>
          <w:trHeight w:val="198"/>
          <w:jc w:val="center"/>
        </w:trPr>
        <w:tc>
          <w:tcPr>
            <w:tcW w:w="3944" w:type="dxa"/>
            <w:tcBorders>
              <w:top w:val="single" w:sz="4"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Baluarte</w:t>
            </w:r>
          </w:p>
        </w:tc>
        <w:tc>
          <w:tcPr>
            <w:tcW w:w="4892" w:type="dxa"/>
            <w:tcBorders>
              <w:top w:val="single" w:sz="4"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Promoción actividades culturales en Baluarte</w:t>
            </w:r>
          </w:p>
        </w:tc>
      </w:tr>
      <w:tr w:rsidR="00EB7C97" w:rsidRPr="00EB7C97" w:rsidTr="00EB7C97">
        <w:trPr>
          <w:trHeight w:val="198"/>
          <w:jc w:val="center"/>
        </w:trPr>
        <w:tc>
          <w:tcPr>
            <w:tcW w:w="3944"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del Patrimonio Histórico de Navarra</w:t>
            </w:r>
          </w:p>
        </w:tc>
        <w:tc>
          <w:tcPr>
            <w:tcW w:w="4892"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y restauración de Bienes de interés cultural</w:t>
            </w:r>
          </w:p>
        </w:tc>
      </w:tr>
      <w:tr w:rsidR="00EB7C97" w:rsidRPr="00EB7C97" w:rsidTr="00EB7C97">
        <w:trPr>
          <w:trHeight w:val="198"/>
          <w:jc w:val="center"/>
        </w:trPr>
        <w:tc>
          <w:tcPr>
            <w:tcW w:w="3944"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Miguel Servet</w:t>
            </w:r>
          </w:p>
        </w:tc>
        <w:tc>
          <w:tcPr>
            <w:tcW w:w="4892" w:type="dxa"/>
            <w:tcBorders>
              <w:top w:val="single" w:sz="2" w:space="0" w:color="auto"/>
              <w:left w:val="nil"/>
              <w:bottom w:val="single" w:sz="2"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Fomento de la investigación sanitaria</w:t>
            </w:r>
          </w:p>
        </w:tc>
      </w:tr>
      <w:tr w:rsidR="00EB7C97" w:rsidRPr="00EB7C97" w:rsidTr="00EB7C97">
        <w:trPr>
          <w:trHeight w:val="198"/>
          <w:jc w:val="center"/>
        </w:trPr>
        <w:tc>
          <w:tcPr>
            <w:tcW w:w="3944" w:type="dxa"/>
            <w:tcBorders>
              <w:top w:val="single" w:sz="2" w:space="0" w:color="auto"/>
              <w:left w:val="nil"/>
              <w:bottom w:val="single" w:sz="4"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Tutela de las Personas Adultas</w:t>
            </w:r>
          </w:p>
        </w:tc>
        <w:tc>
          <w:tcPr>
            <w:tcW w:w="4892" w:type="dxa"/>
            <w:tcBorders>
              <w:top w:val="single" w:sz="2" w:space="0" w:color="auto"/>
              <w:left w:val="nil"/>
              <w:bottom w:val="single" w:sz="4" w:space="0" w:color="auto"/>
              <w:right w:val="nil"/>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Atención y tutela de personas mayores de edad e incapacitadas</w:t>
            </w:r>
          </w:p>
        </w:tc>
      </w:tr>
    </w:tbl>
    <w:p w:rsidR="00EB7C97" w:rsidRPr="00EB7C97" w:rsidRDefault="00EB7C97" w:rsidP="00EB7C97">
      <w:pPr>
        <w:pStyle w:val="texto"/>
        <w:spacing w:before="240"/>
        <w:rPr>
          <w:lang w:val="es-ES"/>
        </w:rPr>
      </w:pPr>
      <w:r w:rsidRPr="00EB7C97">
        <w:rPr>
          <w:lang w:val="es-ES"/>
        </w:rPr>
        <w:t xml:space="preserve">Hay que tener en cuenta que, en octubre de 2016, el Gobierno de Navarra acordó la extinción de la Fundación Pablo Sarasate, </w:t>
      </w:r>
      <w:r w:rsidR="00916D71">
        <w:rPr>
          <w:lang w:val="es-ES"/>
        </w:rPr>
        <w:t xml:space="preserve">que fue absorbida por la </w:t>
      </w:r>
      <w:r w:rsidRPr="00EB7C97">
        <w:rPr>
          <w:lang w:val="es-ES"/>
        </w:rPr>
        <w:t>Fundación Baluarte.</w:t>
      </w:r>
    </w:p>
    <w:p w:rsidR="0041738F" w:rsidRDefault="00EB7C97" w:rsidP="00EB7C97">
      <w:pPr>
        <w:pStyle w:val="texto"/>
        <w:rPr>
          <w:lang w:val="es-ES"/>
        </w:rPr>
      </w:pPr>
      <w:r w:rsidRPr="00EB7C97">
        <w:rPr>
          <w:lang w:val="es-ES"/>
        </w:rPr>
        <w:lastRenderedPageBreak/>
        <w:t>A pesar de que la memoria de las Cuentas Generales indica que en el m</w:t>
      </w:r>
      <w:r w:rsidRPr="00EB7C97">
        <w:rPr>
          <w:lang w:val="es-ES"/>
        </w:rPr>
        <w:t>o</w:t>
      </w:r>
      <w:r w:rsidRPr="00EB7C97">
        <w:rPr>
          <w:lang w:val="es-ES"/>
        </w:rPr>
        <w:t>mento de su redacción la Fundación Baluarte no había remitido sus cuentas, e</w:t>
      </w:r>
      <w:r w:rsidRPr="00EB7C97">
        <w:rPr>
          <w:lang w:val="es-ES"/>
        </w:rPr>
        <w:t>s</w:t>
      </w:r>
      <w:r w:rsidRPr="00EB7C97">
        <w:rPr>
          <w:lang w:val="es-ES"/>
        </w:rPr>
        <w:t xml:space="preserve">ta </w:t>
      </w:r>
      <w:r w:rsidR="0041738F">
        <w:rPr>
          <w:lang w:val="es-ES"/>
        </w:rPr>
        <w:t>entidad</w:t>
      </w:r>
      <w:r w:rsidRPr="00EB7C97">
        <w:rPr>
          <w:lang w:val="es-ES"/>
        </w:rPr>
        <w:t xml:space="preserve"> las envió posteriormente y hemos incluido sus datos. </w:t>
      </w:r>
    </w:p>
    <w:p w:rsidR="00EB7C97" w:rsidRPr="00EB7C97" w:rsidRDefault="00EB7C97" w:rsidP="00EB7C97">
      <w:pPr>
        <w:pStyle w:val="texto"/>
        <w:rPr>
          <w:lang w:val="es-ES"/>
        </w:rPr>
      </w:pPr>
      <w:r w:rsidRPr="00EB7C97">
        <w:rPr>
          <w:lang w:val="es-ES"/>
        </w:rPr>
        <w:t>En concreto, los principales datos económicos y de personal a 31 de dicie</w:t>
      </w:r>
      <w:r w:rsidRPr="00EB7C97">
        <w:rPr>
          <w:lang w:val="es-ES"/>
        </w:rPr>
        <w:t>m</w:t>
      </w:r>
      <w:r w:rsidRPr="00EB7C97">
        <w:rPr>
          <w:lang w:val="es-ES"/>
        </w:rPr>
        <w:t>bre de 2016 de las entidades que componen el Sector Público Foral, ampliados y comentados en la memoria de las Cuentas Generales, son los siguientes:</w:t>
      </w:r>
    </w:p>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EB7C97">
        <w:rPr>
          <w:rFonts w:cs="Arial"/>
        </w:rPr>
        <w:t>Administración de la Comunidad Foral</w:t>
      </w:r>
    </w:p>
    <w:p w:rsidR="00EB7C97" w:rsidRPr="00EB7C97" w:rsidRDefault="00EB7C97" w:rsidP="00EB7C97">
      <w:pPr>
        <w:suppressAutoHyphens/>
        <w:spacing w:after="60"/>
        <w:ind w:firstLine="0"/>
        <w:jc w:val="right"/>
        <w:rPr>
          <w:rFonts w:ascii="Arial" w:hAnsi="Arial"/>
          <w:spacing w:val="6"/>
          <w:sz w:val="17"/>
          <w:szCs w:val="17"/>
        </w:rPr>
      </w:pPr>
      <w:r w:rsidRPr="00EB7C97">
        <w:rPr>
          <w:rFonts w:ascii="Arial" w:hAnsi="Arial"/>
          <w:spacing w:val="6"/>
          <w:sz w:val="17"/>
          <w:szCs w:val="17"/>
        </w:rPr>
        <w:t>(millones de euros)</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B7C97" w:rsidRPr="00EB7C97" w:rsidTr="004F6DCC">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Derechos</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reconocidos</w:t>
            </w: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Obligaciones</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B7C97">
              <w:rPr>
                <w:rFonts w:ascii="Arial" w:hAnsi="Arial" w:cs="Arial"/>
                <w:spacing w:val="6"/>
                <w:sz w:val="17"/>
                <w:szCs w:val="17"/>
              </w:rPr>
              <w:t>reconocidas</w:t>
            </w:r>
          </w:p>
        </w:tc>
      </w:tr>
      <w:tr w:rsidR="00EB7C97" w:rsidRPr="004F6DCC" w:rsidTr="004F6DCC">
        <w:trPr>
          <w:cantSplit/>
          <w:trHeight w:val="198"/>
          <w:jc w:val="center"/>
        </w:trPr>
        <w:tc>
          <w:tcPr>
            <w:tcW w:w="3083" w:type="dxa"/>
            <w:tcBorders>
              <w:top w:val="single" w:sz="4" w:space="0" w:color="auto"/>
              <w:left w:val="nil"/>
              <w:bottom w:val="single" w:sz="2" w:space="0" w:color="auto"/>
              <w:right w:val="nil"/>
            </w:tcBorders>
            <w:vAlign w:val="center"/>
            <w:hideMark/>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Departamentos</w:t>
            </w:r>
          </w:p>
        </w:tc>
        <w:tc>
          <w:tcPr>
            <w:tcW w:w="2564"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721,65</w:t>
            </w:r>
          </w:p>
        </w:tc>
        <w:tc>
          <w:tcPr>
            <w:tcW w:w="3170"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2.194,61</w:t>
            </w:r>
          </w:p>
        </w:tc>
      </w:tr>
      <w:tr w:rsidR="00EB7C97" w:rsidRPr="004F6DCC" w:rsidTr="004F6DCC">
        <w:trPr>
          <w:cantSplit/>
          <w:trHeight w:val="198"/>
          <w:jc w:val="center"/>
        </w:trPr>
        <w:tc>
          <w:tcPr>
            <w:tcW w:w="3083" w:type="dxa"/>
            <w:tcBorders>
              <w:top w:val="single" w:sz="2" w:space="0" w:color="auto"/>
              <w:left w:val="nil"/>
              <w:bottom w:val="single" w:sz="4" w:space="0" w:color="auto"/>
              <w:right w:val="nil"/>
            </w:tcBorders>
            <w:vAlign w:val="center"/>
            <w:hideMark/>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Organismos Autónomos</w:t>
            </w:r>
          </w:p>
        </w:tc>
        <w:tc>
          <w:tcPr>
            <w:tcW w:w="2564"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3.336,42</w:t>
            </w:r>
          </w:p>
        </w:tc>
        <w:tc>
          <w:tcPr>
            <w:tcW w:w="3170"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1.771,99</w:t>
            </w:r>
          </w:p>
        </w:tc>
      </w:tr>
      <w:tr w:rsidR="00EB7C97" w:rsidRPr="00EB7C97" w:rsidTr="004F6DCC">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left"/>
              <w:rPr>
                <w:rFonts w:ascii="Arial Narrow" w:hAnsi="Arial Narrow" w:cs="Arial"/>
                <w:sz w:val="19"/>
                <w:szCs w:val="19"/>
                <w:lang w:val="es-ES" w:eastAsia="es-ES"/>
              </w:rPr>
            </w:pPr>
            <w:r w:rsidRPr="00EB7C97">
              <w:rPr>
                <w:rFonts w:ascii="Arial Narrow" w:hAnsi="Arial Narrow" w:cs="Arial"/>
                <w:sz w:val="19"/>
                <w:szCs w:val="19"/>
                <w:lang w:val="es-ES" w:eastAsia="es-ES"/>
              </w:rPr>
              <w:t>Total</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right"/>
              <w:rPr>
                <w:rFonts w:ascii="Arial Narrow" w:hAnsi="Arial Narrow" w:cs="Arial"/>
                <w:sz w:val="19"/>
                <w:szCs w:val="19"/>
                <w:lang w:val="es-ES" w:eastAsia="es-ES"/>
              </w:rPr>
            </w:pPr>
            <w:r w:rsidRPr="00EB7C97">
              <w:rPr>
                <w:rFonts w:ascii="Arial Narrow" w:hAnsi="Arial Narrow" w:cs="Arial"/>
                <w:sz w:val="19"/>
                <w:szCs w:val="19"/>
                <w:lang w:val="es-ES" w:eastAsia="es-ES"/>
              </w:rPr>
              <w:fldChar w:fldCharType="begin"/>
            </w:r>
            <w:r w:rsidRPr="00EB7C97">
              <w:rPr>
                <w:rFonts w:ascii="Arial Narrow" w:hAnsi="Arial Narrow" w:cs="Arial"/>
                <w:sz w:val="19"/>
                <w:szCs w:val="19"/>
                <w:lang w:val="es-ES" w:eastAsia="es-ES"/>
              </w:rPr>
              <w:instrText xml:space="preserve"> =SUM(ABOVE) </w:instrText>
            </w:r>
            <w:r w:rsidRPr="00EB7C97">
              <w:rPr>
                <w:rFonts w:ascii="Arial Narrow" w:hAnsi="Arial Narrow" w:cs="Arial"/>
                <w:sz w:val="19"/>
                <w:szCs w:val="19"/>
                <w:lang w:val="es-ES" w:eastAsia="es-ES"/>
              </w:rPr>
              <w:fldChar w:fldCharType="separate"/>
            </w:r>
            <w:r w:rsidRPr="00EB7C97">
              <w:rPr>
                <w:rFonts w:ascii="Arial Narrow" w:hAnsi="Arial Narrow" w:cs="Arial"/>
                <w:sz w:val="19"/>
                <w:szCs w:val="19"/>
                <w:lang w:val="es-ES" w:eastAsia="es-ES"/>
              </w:rPr>
              <w:t>4.058,07</w:t>
            </w:r>
            <w:r w:rsidRPr="00EB7C97">
              <w:rPr>
                <w:rFonts w:ascii="Arial Narrow" w:hAnsi="Arial Narrow" w:cs="Arial"/>
                <w:sz w:val="19"/>
                <w:szCs w:val="19"/>
                <w:lang w:val="es-ES" w:eastAsia="es-ES"/>
              </w:rPr>
              <w:fldChar w:fldCharType="end"/>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spacing w:after="0"/>
              <w:ind w:firstLine="0"/>
              <w:jc w:val="right"/>
              <w:rPr>
                <w:rFonts w:ascii="Arial Narrow" w:hAnsi="Arial Narrow" w:cs="Arial"/>
                <w:sz w:val="19"/>
                <w:szCs w:val="19"/>
                <w:lang w:val="es-ES" w:eastAsia="es-ES"/>
              </w:rPr>
            </w:pPr>
            <w:r w:rsidRPr="00EB7C97">
              <w:rPr>
                <w:rFonts w:ascii="Arial Narrow" w:hAnsi="Arial Narrow" w:cs="Arial"/>
                <w:sz w:val="19"/>
                <w:szCs w:val="19"/>
                <w:lang w:val="es-ES" w:eastAsia="es-ES"/>
              </w:rPr>
              <w:t>3.966,60</w:t>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Sociedades públicas consolidadas</w:t>
      </w:r>
    </w:p>
    <w:p w:rsidR="00EB7C97" w:rsidRPr="004F6DCC" w:rsidRDefault="00EB7C97" w:rsidP="004F6DCC">
      <w:pPr>
        <w:tabs>
          <w:tab w:val="left" w:pos="480"/>
        </w:tabs>
        <w:spacing w:after="40"/>
        <w:ind w:firstLine="0"/>
        <w:jc w:val="right"/>
        <w:rPr>
          <w:rFonts w:ascii="Arial" w:hAnsi="Arial"/>
          <w:spacing w:val="6"/>
          <w:sz w:val="17"/>
          <w:szCs w:val="17"/>
        </w:rPr>
      </w:pPr>
      <w:r w:rsidRPr="004F6DCC">
        <w:rPr>
          <w:rFonts w:ascii="Arial" w:hAnsi="Arial"/>
          <w:spacing w:val="6"/>
          <w:sz w:val="17"/>
          <w:szCs w:val="17"/>
        </w:rPr>
        <w:t>(miles de euros)</w:t>
      </w:r>
    </w:p>
    <w:tbl>
      <w:tblPr>
        <w:tblW w:w="8856"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279"/>
      </w:tblGrid>
      <w:tr w:rsidR="00EB7C97" w:rsidRPr="00EB7C97" w:rsidTr="00EB7C97">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Subvenciones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Admón.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Endeudamiento largo plazo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Patrimonio</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 xml:space="preserve"> neto</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Nº medio de empleados</w:t>
            </w:r>
          </w:p>
        </w:tc>
      </w:tr>
      <w:tr w:rsidR="00EB7C97" w:rsidRPr="004F6DCC" w:rsidTr="004F6DCC">
        <w:trPr>
          <w:trHeight w:val="198"/>
          <w:jc w:val="center"/>
        </w:trPr>
        <w:tc>
          <w:tcPr>
            <w:tcW w:w="2314"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F6DCC">
              <w:rPr>
                <w:rFonts w:ascii="Arial Narrow" w:hAnsi="Arial Narrow"/>
                <w:spacing w:val="6"/>
              </w:rPr>
              <w:t xml:space="preserve">Datos tras consolidación </w:t>
            </w:r>
            <w:r w:rsidR="0041738F">
              <w:rPr>
                <w:rFonts w:ascii="Arial Narrow" w:hAnsi="Arial Narrow"/>
                <w:spacing w:val="6"/>
              </w:rPr>
              <w:t xml:space="preserve">de las 17 </w:t>
            </w:r>
            <w:r w:rsidRPr="004F6DCC">
              <w:rPr>
                <w:rFonts w:ascii="Arial Narrow" w:hAnsi="Arial Narrow"/>
                <w:spacing w:val="6"/>
              </w:rPr>
              <w:t>sociedades</w:t>
            </w:r>
          </w:p>
        </w:tc>
        <w:tc>
          <w:tcPr>
            <w:tcW w:w="1134" w:type="dxa"/>
            <w:tcBorders>
              <w:top w:val="single" w:sz="4" w:space="0" w:color="auto"/>
              <w:left w:val="nil"/>
              <w:bottom w:val="single" w:sz="4" w:space="0" w:color="auto"/>
              <w:right w:val="nil"/>
            </w:tcBorders>
            <w:vAlign w:val="center"/>
          </w:tcPr>
          <w:p w:rsidR="00EB7C97" w:rsidRPr="004F6DCC" w:rsidRDefault="00EB7C97" w:rsidP="00111BC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w:t>
            </w:r>
            <w:r w:rsidR="00111BC1">
              <w:rPr>
                <w:rFonts w:ascii="Arial Narrow" w:hAnsi="Arial Narrow"/>
                <w:spacing w:val="6"/>
              </w:rPr>
              <w:t>4.520</w:t>
            </w:r>
          </w:p>
        </w:tc>
        <w:tc>
          <w:tcPr>
            <w:tcW w:w="1396"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20.599</w:t>
            </w:r>
          </w:p>
        </w:tc>
        <w:tc>
          <w:tcPr>
            <w:tcW w:w="1519"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132.512</w:t>
            </w:r>
          </w:p>
        </w:tc>
        <w:tc>
          <w:tcPr>
            <w:tcW w:w="1214"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634.429</w:t>
            </w:r>
          </w:p>
        </w:tc>
        <w:tc>
          <w:tcPr>
            <w:tcW w:w="1279" w:type="dxa"/>
            <w:tcBorders>
              <w:top w:val="single" w:sz="4" w:space="0" w:color="auto"/>
              <w:left w:val="nil"/>
              <w:bottom w:val="single" w:sz="4" w:space="0" w:color="auto"/>
              <w:right w:val="nil"/>
            </w:tcBorders>
            <w:vAlign w:val="center"/>
          </w:tcPr>
          <w:p w:rsidR="00EB7C97" w:rsidRPr="004F6DCC"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4F6DCC">
              <w:rPr>
                <w:rFonts w:ascii="Arial Narrow" w:hAnsi="Arial Narrow"/>
                <w:spacing w:val="6"/>
              </w:rPr>
              <w:t>1.111</w:t>
            </w:r>
            <w:r w:rsidRPr="004F6DCC">
              <w:rPr>
                <w:rFonts w:ascii="Arial Narrow" w:hAnsi="Arial Narrow"/>
                <w:spacing w:val="6"/>
              </w:rPr>
              <w:fldChar w:fldCharType="begin"/>
            </w:r>
            <w:r w:rsidRPr="004F6DCC">
              <w:rPr>
                <w:rFonts w:ascii="Arial Narrow" w:hAnsi="Arial Narrow"/>
                <w:spacing w:val="6"/>
              </w:rPr>
              <w:instrText xml:space="preserve"> =SUM(ABOVE) </w:instrText>
            </w:r>
            <w:r w:rsidRPr="004F6DCC">
              <w:rPr>
                <w:rFonts w:ascii="Arial Narrow" w:hAnsi="Arial Narrow"/>
                <w:spacing w:val="6"/>
              </w:rPr>
              <w:fldChar w:fldCharType="end"/>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Fundaciones</w:t>
      </w:r>
    </w:p>
    <w:p w:rsidR="00EB7C97" w:rsidRPr="004F6DCC" w:rsidRDefault="00EB7C97" w:rsidP="00EB7C97">
      <w:pPr>
        <w:tabs>
          <w:tab w:val="left" w:pos="480"/>
        </w:tabs>
        <w:spacing w:after="40"/>
        <w:ind w:firstLine="0"/>
        <w:jc w:val="right"/>
        <w:rPr>
          <w:rFonts w:ascii="Arial" w:hAnsi="Arial"/>
          <w:spacing w:val="6"/>
          <w:sz w:val="17"/>
          <w:szCs w:val="17"/>
        </w:rPr>
      </w:pPr>
      <w:r w:rsidRPr="004F6DCC">
        <w:rPr>
          <w:rFonts w:ascii="Arial" w:hAnsi="Arial"/>
          <w:spacing w:val="6"/>
          <w:sz w:val="17"/>
          <w:szCs w:val="17"/>
        </w:rPr>
        <w:t>(miles de euros)</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B7C97" w:rsidRPr="00EB7C97" w:rsidTr="004F6DCC">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Fundaciones</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Patrimonio</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 neto</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Nº medio de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empleados</w:t>
            </w:r>
          </w:p>
        </w:tc>
      </w:tr>
      <w:tr w:rsidR="00EB7C97" w:rsidRPr="004F6DCC" w:rsidTr="004F6DCC">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Total cuatro fundaciones públicas</w:t>
            </w:r>
          </w:p>
        </w:tc>
        <w:tc>
          <w:tcPr>
            <w:tcW w:w="1521"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-398</w:t>
            </w:r>
          </w:p>
        </w:tc>
        <w:tc>
          <w:tcPr>
            <w:tcW w:w="1555"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1.227</w:t>
            </w:r>
          </w:p>
        </w:tc>
        <w:tc>
          <w:tcPr>
            <w:tcW w:w="1625" w:type="dxa"/>
            <w:tcBorders>
              <w:top w:val="single" w:sz="4" w:space="0" w:color="auto"/>
              <w:left w:val="nil"/>
              <w:bottom w:val="single" w:sz="4" w:space="0" w:color="auto"/>
              <w:right w:val="nil"/>
            </w:tcBorders>
            <w:shd w:val="clear" w:color="auto" w:fill="auto"/>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84</w:t>
            </w:r>
          </w:p>
        </w:tc>
      </w:tr>
    </w:tbl>
    <w:p w:rsidR="00EB7C97" w:rsidRP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rsidRPr="00EB7C97">
        <w:rPr>
          <w:rFonts w:cs="Arial"/>
        </w:rPr>
        <w:t>Otras entidades</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EB7C97" w:rsidRPr="00EB7C97" w:rsidTr="004F6DCC">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Entidad</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Derechos</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reconocidos</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Obligaciones</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reconocidas</w:t>
            </w: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Remanente devuelto a la Hacienda Foral</w:t>
            </w:r>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Personal a </w:t>
            </w:r>
          </w:p>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31-12-2016</w:t>
            </w:r>
          </w:p>
        </w:tc>
      </w:tr>
      <w:tr w:rsidR="00EB7C97" w:rsidRPr="004F6DCC" w:rsidTr="004F6DCC">
        <w:trPr>
          <w:trHeight w:val="198"/>
          <w:jc w:val="center"/>
        </w:trPr>
        <w:tc>
          <w:tcPr>
            <w:tcW w:w="2142" w:type="dxa"/>
            <w:tcBorders>
              <w:top w:val="single" w:sz="4" w:space="0" w:color="auto"/>
              <w:left w:val="nil"/>
              <w:bottom w:val="single" w:sz="2" w:space="0" w:color="auto"/>
              <w:right w:val="nil"/>
            </w:tcBorders>
            <w:vAlign w:val="center"/>
            <w:hideMark/>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Parlamento de Navarra</w:t>
            </w:r>
          </w:p>
        </w:tc>
        <w:tc>
          <w:tcPr>
            <w:tcW w:w="1669"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13.017.611</w:t>
            </w:r>
          </w:p>
        </w:tc>
        <w:tc>
          <w:tcPr>
            <w:tcW w:w="1669"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11.074.454</w:t>
            </w:r>
          </w:p>
        </w:tc>
        <w:tc>
          <w:tcPr>
            <w:tcW w:w="2048"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1.918.794</w:t>
            </w:r>
          </w:p>
        </w:tc>
        <w:tc>
          <w:tcPr>
            <w:tcW w:w="1291" w:type="dxa"/>
            <w:tcBorders>
              <w:top w:val="single" w:sz="4"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73</w:t>
            </w:r>
          </w:p>
        </w:tc>
      </w:tr>
      <w:tr w:rsidR="00EB7C97" w:rsidRPr="004F6DCC" w:rsidTr="004F6DCC">
        <w:trPr>
          <w:trHeight w:val="198"/>
          <w:jc w:val="center"/>
        </w:trPr>
        <w:tc>
          <w:tcPr>
            <w:tcW w:w="2142"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Cámara de Comptos</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2.591.611</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2.454.111</w:t>
            </w:r>
          </w:p>
        </w:tc>
        <w:tc>
          <w:tcPr>
            <w:tcW w:w="2048"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183.824</w:t>
            </w:r>
          </w:p>
        </w:tc>
        <w:tc>
          <w:tcPr>
            <w:tcW w:w="1291"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34</w:t>
            </w:r>
          </w:p>
        </w:tc>
      </w:tr>
      <w:tr w:rsidR="00EB7C97" w:rsidRPr="004F6DCC" w:rsidTr="004F6DCC">
        <w:trPr>
          <w:trHeight w:val="198"/>
          <w:jc w:val="center"/>
        </w:trPr>
        <w:tc>
          <w:tcPr>
            <w:tcW w:w="2142"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Defensor del Pueblo</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756.515</w:t>
            </w:r>
          </w:p>
        </w:tc>
        <w:tc>
          <w:tcPr>
            <w:tcW w:w="1669"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667.400</w:t>
            </w:r>
          </w:p>
        </w:tc>
        <w:tc>
          <w:tcPr>
            <w:tcW w:w="2048"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89.115</w:t>
            </w:r>
          </w:p>
        </w:tc>
        <w:tc>
          <w:tcPr>
            <w:tcW w:w="1291" w:type="dxa"/>
            <w:tcBorders>
              <w:top w:val="single" w:sz="2" w:space="0" w:color="auto"/>
              <w:left w:val="nil"/>
              <w:bottom w:val="single" w:sz="2"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7</w:t>
            </w:r>
          </w:p>
        </w:tc>
      </w:tr>
      <w:tr w:rsidR="00EB7C97" w:rsidRPr="004F6DCC" w:rsidTr="004F6DCC">
        <w:trPr>
          <w:trHeight w:val="198"/>
          <w:jc w:val="center"/>
        </w:trPr>
        <w:tc>
          <w:tcPr>
            <w:tcW w:w="2142"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left"/>
              <w:rPr>
                <w:rFonts w:ascii="Arial Narrow" w:hAnsi="Arial Narrow" w:cs="Arial"/>
                <w:lang w:val="es-ES" w:eastAsia="es-ES"/>
              </w:rPr>
            </w:pPr>
            <w:r w:rsidRPr="004F6DCC">
              <w:rPr>
                <w:rFonts w:ascii="Arial Narrow" w:hAnsi="Arial Narrow" w:cs="Arial"/>
                <w:lang w:val="es-ES" w:eastAsia="es-ES"/>
              </w:rPr>
              <w:t>Consejo de Navarra</w:t>
            </w:r>
          </w:p>
        </w:tc>
        <w:tc>
          <w:tcPr>
            <w:tcW w:w="1669"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369.972</w:t>
            </w:r>
          </w:p>
        </w:tc>
        <w:tc>
          <w:tcPr>
            <w:tcW w:w="1669"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294.759</w:t>
            </w:r>
          </w:p>
        </w:tc>
        <w:tc>
          <w:tcPr>
            <w:tcW w:w="2048"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75.214</w:t>
            </w:r>
          </w:p>
        </w:tc>
        <w:tc>
          <w:tcPr>
            <w:tcW w:w="1291" w:type="dxa"/>
            <w:tcBorders>
              <w:top w:val="single" w:sz="2" w:space="0" w:color="auto"/>
              <w:left w:val="nil"/>
              <w:bottom w:val="single" w:sz="4" w:space="0" w:color="auto"/>
              <w:right w:val="nil"/>
            </w:tcBorders>
            <w:vAlign w:val="center"/>
          </w:tcPr>
          <w:p w:rsidR="00EB7C97" w:rsidRPr="004F6DCC" w:rsidRDefault="00EB7C97" w:rsidP="00EB7C97">
            <w:pPr>
              <w:spacing w:after="0"/>
              <w:ind w:firstLine="0"/>
              <w:jc w:val="right"/>
              <w:rPr>
                <w:rFonts w:ascii="Arial Narrow" w:hAnsi="Arial Narrow" w:cs="Arial"/>
                <w:lang w:val="es-ES" w:eastAsia="es-ES"/>
              </w:rPr>
            </w:pPr>
            <w:r w:rsidRPr="004F6DCC">
              <w:rPr>
                <w:rFonts w:ascii="Arial Narrow" w:hAnsi="Arial Narrow" w:cs="Arial"/>
                <w:lang w:val="es-ES" w:eastAsia="es-ES"/>
              </w:rPr>
              <w:t>2</w:t>
            </w:r>
          </w:p>
        </w:tc>
      </w:tr>
    </w:tbl>
    <w:p w:rsidR="00EB7C97" w:rsidRPr="00EB7C97" w:rsidRDefault="00EB7C97" w:rsidP="004F6DCC">
      <w:pPr>
        <w:pStyle w:val="atitulo3"/>
        <w:spacing w:before="240"/>
      </w:pPr>
      <w:bookmarkStart w:id="48" w:name="_Toc418853773"/>
      <w:bookmarkStart w:id="49" w:name="_Toc402180170"/>
      <w:r w:rsidRPr="00EB7C97">
        <w:t>IV.1.2. Sector Administración Pública de Navarra según la Ley Orgánica 2/2012, de 27 de abril, de Estabilidad Presupuestaria y Sostenibilidad Financiera</w:t>
      </w:r>
      <w:bookmarkEnd w:id="48"/>
      <w:bookmarkEnd w:id="49"/>
    </w:p>
    <w:p w:rsidR="00EB7C97" w:rsidRPr="00EB7C97" w:rsidRDefault="00EB7C97" w:rsidP="004F6DCC">
      <w:pPr>
        <w:pStyle w:val="texto"/>
      </w:pPr>
      <w:r w:rsidRPr="00EB7C97">
        <w:t xml:space="preserve">En términos de contabilidad nacional (SEC´2010), </w:t>
      </w:r>
      <w:r w:rsidRPr="00EB7C97">
        <w:rPr>
          <w:spacing w:val="4"/>
        </w:rPr>
        <w:t>para</w:t>
      </w:r>
      <w:r w:rsidRPr="00EB7C97">
        <w:t xml:space="preserve"> 2016, se consideran Sector Administración Pública de Navarra:</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t>La Administración de la Comunidad Foral y sus organismos autónomos.</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t>El Parlamento de Navarra y sus entes dependientes.</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4F6DCC">
        <w:rPr>
          <w:rFonts w:cs="Arial"/>
        </w:rPr>
        <w:t>La Universidad Pública de Navarra.</w:t>
      </w:r>
    </w:p>
    <w:p w:rsidR="00EB7C97" w:rsidRPr="004F6DCC"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lastRenderedPageBreak/>
        <w:t>Las sociedades públicas de la Comunidad Foral que prestan servicios o produzcan bienes que no se financian mayoritariamente con ingresos comerci</w:t>
      </w:r>
      <w:r w:rsidRPr="004F6DCC">
        <w:rPr>
          <w:rFonts w:cs="Arial"/>
        </w:rPr>
        <w:t>a</w:t>
      </w:r>
      <w:r w:rsidRPr="004F6DCC">
        <w:rPr>
          <w:rFonts w:cs="Arial"/>
        </w:rPr>
        <w:t>les. En concreto, para 2016 se consideran administraciones públicas las 13 s</w:t>
      </w:r>
      <w:r w:rsidRPr="004F6DCC">
        <w:rPr>
          <w:rFonts w:cs="Arial"/>
        </w:rPr>
        <w:t>o</w:t>
      </w:r>
      <w:r w:rsidRPr="004F6DCC">
        <w:rPr>
          <w:rFonts w:cs="Arial"/>
        </w:rPr>
        <w:t xml:space="preserve">ciedades siguientes: CPEN, CNAI, CEIN, CAT, GAN, INTIA, NICDO, </w:t>
      </w:r>
      <w:r w:rsidR="00132A11" w:rsidRPr="004F6DCC">
        <w:rPr>
          <w:rFonts w:cs="Arial"/>
        </w:rPr>
        <w:t>Nase</w:t>
      </w:r>
      <w:r w:rsidR="00132A11" w:rsidRPr="004F6DCC">
        <w:rPr>
          <w:rFonts w:cs="Arial"/>
        </w:rPr>
        <w:t>r</w:t>
      </w:r>
      <w:r w:rsidR="00132A11" w:rsidRPr="004F6DCC">
        <w:rPr>
          <w:rFonts w:cs="Arial"/>
        </w:rPr>
        <w:t xml:space="preserve">tic, Sodena, Tracasa </w:t>
      </w:r>
      <w:r w:rsidR="00132A11">
        <w:rPr>
          <w:rFonts w:cs="Arial"/>
        </w:rPr>
        <w:t>y</w:t>
      </w:r>
      <w:r w:rsidR="00132A11" w:rsidRPr="004F6DCC">
        <w:rPr>
          <w:rFonts w:cs="Arial"/>
        </w:rPr>
        <w:t xml:space="preserve"> Tracasa</w:t>
      </w:r>
      <w:r w:rsidR="00132A11">
        <w:rPr>
          <w:rFonts w:cs="Arial"/>
        </w:rPr>
        <w:t xml:space="preserve"> </w:t>
      </w:r>
      <w:r w:rsidR="00111BC1">
        <w:rPr>
          <w:rFonts w:cs="Arial"/>
        </w:rPr>
        <w:t>Instrumental</w:t>
      </w:r>
      <w:r w:rsidRPr="004F6DCC">
        <w:rPr>
          <w:rFonts w:cs="Arial"/>
        </w:rPr>
        <w:t xml:space="preserve"> (añadida este año al crearse en marzo de 2016), Start UP Capital Navarra,</w:t>
      </w:r>
      <w:r w:rsidR="0041738F">
        <w:rPr>
          <w:rFonts w:cs="Arial"/>
        </w:rPr>
        <w:t xml:space="preserve"> </w:t>
      </w:r>
      <w:r w:rsidRPr="004F6DCC">
        <w:rPr>
          <w:rFonts w:cs="Arial"/>
        </w:rPr>
        <w:t>y Caviar Per Se que se encuentra en liquidación, y se incluye por primera vez este año.</w:t>
      </w:r>
    </w:p>
    <w:p w:rsidR="00EB7C97" w:rsidRPr="00C843E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284"/>
      </w:pPr>
      <w:r w:rsidRPr="00C843EB">
        <w:rPr>
          <w:rFonts w:cs="Arial"/>
        </w:rPr>
        <w:t xml:space="preserve">Las nueve fundaciones de la Comunidad Foral </w:t>
      </w:r>
      <w:r w:rsidR="00C843EB" w:rsidRPr="00C843EB">
        <w:rPr>
          <w:rFonts w:cs="Arial"/>
        </w:rPr>
        <w:t xml:space="preserve">eran las </w:t>
      </w:r>
      <w:r w:rsidRPr="00C843EB">
        <w:rPr>
          <w:rFonts w:ascii="Times New (W1)" w:hAnsi="Times New (W1)"/>
          <w:spacing w:val="4"/>
        </w:rPr>
        <w:t xml:space="preserve">cuatro fundaciones propiamente públicas detalladas previamente </w:t>
      </w:r>
      <w:r w:rsidR="00C843EB" w:rsidRPr="00C843EB">
        <w:rPr>
          <w:rFonts w:ascii="Times New (W1)" w:hAnsi="Times New (W1)"/>
          <w:spacing w:val="4"/>
        </w:rPr>
        <w:t>(</w:t>
      </w:r>
      <w:r w:rsidRPr="00C843EB">
        <w:rPr>
          <w:rFonts w:ascii="Times New (W1)" w:hAnsi="Times New (W1)"/>
          <w:spacing w:val="4"/>
        </w:rPr>
        <w:t>más la Fundación Pablo Sarasate extinguida en octubre de 2016</w:t>
      </w:r>
      <w:r w:rsidR="00C843EB" w:rsidRPr="00C843EB">
        <w:rPr>
          <w:rFonts w:ascii="Times New (W1)" w:hAnsi="Times New (W1)"/>
          <w:spacing w:val="4"/>
        </w:rPr>
        <w:t>)</w:t>
      </w:r>
      <w:r w:rsidR="00C843EB">
        <w:rPr>
          <w:rFonts w:ascii="Times New (W1)" w:hAnsi="Times New (W1)"/>
          <w:spacing w:val="4"/>
        </w:rPr>
        <w:t>,</w:t>
      </w:r>
      <w:r w:rsidR="00C843EB" w:rsidRPr="00C843EB">
        <w:rPr>
          <w:rFonts w:ascii="Times New (W1)" w:hAnsi="Times New (W1)"/>
          <w:spacing w:val="4"/>
        </w:rPr>
        <w:t xml:space="preserve"> y otras fun</w:t>
      </w:r>
      <w:r w:rsidR="00C843EB">
        <w:rPr>
          <w:rFonts w:ascii="Times New (W1)" w:hAnsi="Times New (W1)"/>
          <w:spacing w:val="4"/>
        </w:rPr>
        <w:t>d</w:t>
      </w:r>
      <w:r w:rsidRPr="00C843EB">
        <w:t>aciones con dependencia económ</w:t>
      </w:r>
      <w:r w:rsidRPr="00C843EB">
        <w:t>i</w:t>
      </w:r>
      <w:r w:rsidRPr="00C843EB">
        <w:t>ca: Fundación Cener-Ciemat, Fundación Amado Alonso, Fundación Centro de Arte Contemporáneo de Huarte (considerada en este ejercicio por primera vez) y Fundación Centro de Recursos Ambientales de Navarra (CRANA)</w:t>
      </w:r>
      <w:r w:rsidR="00C843EB">
        <w:t>,</w:t>
      </w:r>
      <w:r w:rsidRPr="00C843EB">
        <w:t xml:space="preserve"> que fue liquidada en agosto de 2016 integrándose sus bienes y su actividad en la soci</w:t>
      </w:r>
      <w:r w:rsidRPr="00C843EB">
        <w:t>e</w:t>
      </w:r>
      <w:r w:rsidRPr="00C843EB">
        <w:t xml:space="preserve">dad GAN. </w:t>
      </w:r>
    </w:p>
    <w:p w:rsidR="00EB7C97" w:rsidRPr="004F6DCC" w:rsidRDefault="00EB7C97" w:rsidP="004F6DCC">
      <w:pPr>
        <w:pStyle w:val="atitulo2"/>
        <w:spacing w:before="240"/>
        <w:rPr>
          <w:bCs w:val="0"/>
          <w:iCs w:val="0"/>
        </w:rPr>
      </w:pPr>
      <w:bookmarkStart w:id="50" w:name="_Toc463350248"/>
      <w:bookmarkStart w:id="51" w:name="_Toc494270382"/>
      <w:bookmarkStart w:id="52" w:name="_Toc498515791"/>
      <w:r w:rsidRPr="004F6DCC">
        <w:rPr>
          <w:bCs w:val="0"/>
          <w:iCs w:val="0"/>
        </w:rPr>
        <w:t>IV.2. Presupuestos generales de Navarra 201</w:t>
      </w:r>
      <w:bookmarkEnd w:id="50"/>
      <w:r w:rsidRPr="004F6DCC">
        <w:rPr>
          <w:bCs w:val="0"/>
          <w:iCs w:val="0"/>
        </w:rPr>
        <w:t>6</w:t>
      </w:r>
      <w:bookmarkEnd w:id="51"/>
      <w:bookmarkEnd w:id="52"/>
    </w:p>
    <w:p w:rsidR="00EB7C97" w:rsidRPr="00EB7C97" w:rsidRDefault="00EB7C97" w:rsidP="004F6DCC">
      <w:pPr>
        <w:pStyle w:val="texto"/>
      </w:pPr>
      <w:r w:rsidRPr="00EB7C97">
        <w:t xml:space="preserve">En noviembre de 2015, el Gobierno aprueba el límite de gasto no financiero para 2016 fijándolo en 3.478 millones, un 3,23 por ciento superior al de 2015 (esto es, 109 millones). </w:t>
      </w:r>
    </w:p>
    <w:p w:rsidR="00EB7C97" w:rsidRPr="00EB7C97" w:rsidRDefault="00EB7C97" w:rsidP="004F6DCC">
      <w:pPr>
        <w:pStyle w:val="texto"/>
      </w:pPr>
      <w:r w:rsidRPr="00EB7C97">
        <w:t>El 29 de enero de 2016 se aprobó la Ley Foral de Presupuestos Genera</w:t>
      </w:r>
      <w:r w:rsidR="00111BC1">
        <w:t>les de Navarra para el año 2016 con un importe de 4.005,31 millones de euros.</w:t>
      </w:r>
    </w:p>
    <w:p w:rsidR="00EB7C97" w:rsidRPr="00EB7C97" w:rsidRDefault="00EB7C97" w:rsidP="004F6DCC">
      <w:pPr>
        <w:pStyle w:val="texto"/>
        <w:rPr>
          <w:lang w:val="es-ES"/>
        </w:rPr>
      </w:pPr>
      <w:r w:rsidRPr="00EB7C97">
        <w:t>E</w:t>
      </w:r>
      <w:r w:rsidRPr="00EB7C97">
        <w:rPr>
          <w:lang w:val="es-ES"/>
        </w:rPr>
        <w:t>l presupuesto de 2016 incluye, entre sus partidas de gastos, un Fondo de Contingencia, de acuerdo con las exigencias de la LOEPySF, dotado inicia</w:t>
      </w:r>
      <w:r w:rsidRPr="00EB7C97">
        <w:rPr>
          <w:lang w:val="es-ES"/>
        </w:rPr>
        <w:t>l</w:t>
      </w:r>
      <w:r w:rsidRPr="00EB7C97">
        <w:rPr>
          <w:lang w:val="es-ES"/>
        </w:rPr>
        <w:t>mente con 5,3 millones de euros para hacer frente a necesidades inaplazables de carácter no discrecional que no hubieran podido preverse en los presupue</w:t>
      </w:r>
      <w:r w:rsidRPr="00EB7C97">
        <w:rPr>
          <w:lang w:val="es-ES"/>
        </w:rPr>
        <w:t>s</w:t>
      </w:r>
      <w:r w:rsidRPr="00EB7C97">
        <w:rPr>
          <w:lang w:val="es-ES"/>
        </w:rPr>
        <w:t>tos. La regulación de este fondo está recogida en el artículo 42 de la Ley Foral de Hacienda Pública de Navarra.</w:t>
      </w:r>
    </w:p>
    <w:p w:rsidR="00EB7C97" w:rsidRPr="00EB7C97" w:rsidRDefault="00EB7C97" w:rsidP="00111BC1">
      <w:pPr>
        <w:spacing w:before="240" w:after="120"/>
        <w:ind w:firstLine="284"/>
        <w:jc w:val="left"/>
        <w:rPr>
          <w:rFonts w:ascii="Arial" w:hAnsi="Arial"/>
          <w:i/>
          <w:iCs/>
          <w:color w:val="000000"/>
          <w:spacing w:val="10"/>
          <w:kern w:val="28"/>
          <w:sz w:val="25"/>
          <w:szCs w:val="26"/>
          <w:lang w:val="es-ES"/>
        </w:rPr>
      </w:pPr>
      <w:r w:rsidRPr="00EB7C97">
        <w:rPr>
          <w:rFonts w:ascii="Arial" w:hAnsi="Arial"/>
          <w:i/>
          <w:iCs/>
          <w:color w:val="000000"/>
          <w:spacing w:val="10"/>
          <w:kern w:val="28"/>
          <w:sz w:val="25"/>
          <w:szCs w:val="26"/>
          <w:lang w:val="es-ES"/>
        </w:rPr>
        <w:t>Modificaciones presupuestarias</w:t>
      </w:r>
    </w:p>
    <w:p w:rsidR="00EB7C97" w:rsidRPr="00EB7C97" w:rsidRDefault="00EB7C97" w:rsidP="005D1F79">
      <w:pPr>
        <w:pStyle w:val="texto"/>
        <w:spacing w:after="120"/>
        <w:rPr>
          <w:lang w:val="es-ES"/>
        </w:rPr>
      </w:pPr>
      <w:r w:rsidRPr="00EB7C97">
        <w:rPr>
          <w:lang w:val="es-ES"/>
        </w:rPr>
        <w:t xml:space="preserve">Las modificaciones presupuestarias de gastos aprobadas durante el año 2016, </w:t>
      </w:r>
      <w:r w:rsidR="005D1F79">
        <w:rPr>
          <w:lang w:val="es-ES"/>
        </w:rPr>
        <w:t>fueron las siguientes</w:t>
      </w:r>
      <w:r w:rsidRPr="00EB7C97">
        <w:rPr>
          <w:lang w:val="es-ES"/>
        </w:rPr>
        <w:t>:</w:t>
      </w:r>
    </w:p>
    <w:tbl>
      <w:tblPr>
        <w:tblW w:w="8857" w:type="dxa"/>
        <w:jc w:val="center"/>
        <w:tblInd w:w="49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95"/>
        <w:gridCol w:w="2835"/>
        <w:gridCol w:w="2678"/>
        <w:gridCol w:w="49"/>
      </w:tblGrid>
      <w:tr w:rsidR="005D1F79" w:rsidRPr="00EB7C97" w:rsidTr="00041818">
        <w:trPr>
          <w:trHeight w:val="255"/>
          <w:jc w:val="center"/>
        </w:trPr>
        <w:tc>
          <w:tcPr>
            <w:tcW w:w="8857" w:type="dxa"/>
            <w:gridSpan w:val="4"/>
            <w:tcBorders>
              <w:top w:val="nil"/>
              <w:bottom w:val="single" w:sz="4" w:space="0" w:color="auto"/>
            </w:tcBorders>
            <w:shd w:val="clear" w:color="auto" w:fill="auto"/>
            <w:vAlign w:val="center"/>
          </w:tcPr>
          <w:p w:rsidR="005D1F79" w:rsidRPr="005D1F79" w:rsidRDefault="005D1F79" w:rsidP="00EB7C97">
            <w:pPr>
              <w:spacing w:after="0"/>
              <w:ind w:left="50"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(en miles de euros)</w:t>
            </w:r>
          </w:p>
        </w:tc>
      </w:tr>
      <w:tr w:rsidR="00EB7C97" w:rsidRPr="00EB7C97" w:rsidTr="00892833">
        <w:trPr>
          <w:gridAfter w:val="1"/>
          <w:wAfter w:w="49" w:type="dxa"/>
          <w:trHeight w:val="255"/>
          <w:jc w:val="center"/>
        </w:trPr>
        <w:tc>
          <w:tcPr>
            <w:tcW w:w="3295" w:type="dxa"/>
            <w:tcBorders>
              <w:bottom w:val="single" w:sz="4" w:space="0" w:color="auto"/>
            </w:tcBorders>
            <w:shd w:val="clear" w:color="auto" w:fill="8DB3E2" w:themeFill="text2" w:themeFillTint="66"/>
            <w:vAlign w:val="center"/>
            <w:hideMark/>
          </w:tcPr>
          <w:p w:rsidR="00041818" w:rsidRDefault="00EB7C97" w:rsidP="00EB7C97">
            <w:pPr>
              <w:spacing w:after="0"/>
              <w:ind w:left="50" w:firstLine="0"/>
              <w:jc w:val="lef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 xml:space="preserve">Modificaciones </w:t>
            </w:r>
          </w:p>
          <w:p w:rsidR="00EB7C97" w:rsidRPr="00EB7C97" w:rsidRDefault="00EB7C97" w:rsidP="00EB7C97">
            <w:pPr>
              <w:spacing w:after="0"/>
              <w:ind w:left="50" w:firstLine="0"/>
              <w:jc w:val="lef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Presupuestarias</w:t>
            </w:r>
          </w:p>
        </w:tc>
        <w:tc>
          <w:tcPr>
            <w:tcW w:w="2835" w:type="dxa"/>
            <w:tcBorders>
              <w:bottom w:val="single" w:sz="4" w:space="0" w:color="auto"/>
            </w:tcBorders>
            <w:shd w:val="clear" w:color="auto" w:fill="8DB3E2" w:themeFill="text2" w:themeFillTint="66"/>
            <w:vAlign w:val="center"/>
            <w:hideMark/>
          </w:tcPr>
          <w:p w:rsidR="00041818" w:rsidRDefault="00EB7C97" w:rsidP="005D1F79">
            <w:pPr>
              <w:spacing w:after="0"/>
              <w:ind w:left="50" w:firstLine="0"/>
              <w:jc w:val="righ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 xml:space="preserve">Financiadas </w:t>
            </w:r>
          </w:p>
          <w:p w:rsidR="00EB7C97" w:rsidRPr="00EB7C97" w:rsidRDefault="00EB7C97" w:rsidP="005D1F79">
            <w:pPr>
              <w:spacing w:after="0"/>
              <w:ind w:left="50" w:firstLine="0"/>
              <w:jc w:val="righ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con mayores ingresos</w:t>
            </w:r>
          </w:p>
        </w:tc>
        <w:tc>
          <w:tcPr>
            <w:tcW w:w="2678" w:type="dxa"/>
            <w:tcBorders>
              <w:bottom w:val="single" w:sz="4" w:space="0" w:color="auto"/>
            </w:tcBorders>
            <w:shd w:val="clear" w:color="auto" w:fill="8DB3E2" w:themeFill="text2" w:themeFillTint="66"/>
            <w:vAlign w:val="center"/>
            <w:hideMark/>
          </w:tcPr>
          <w:p w:rsidR="00041818" w:rsidRDefault="00EB7C97" w:rsidP="005D1F79">
            <w:pPr>
              <w:spacing w:after="0"/>
              <w:ind w:left="50" w:firstLine="0"/>
              <w:jc w:val="righ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 xml:space="preserve">Financiadas </w:t>
            </w:r>
          </w:p>
          <w:p w:rsidR="00EB7C97" w:rsidRPr="00EB7C97" w:rsidRDefault="00EB7C97" w:rsidP="005D1F79">
            <w:pPr>
              <w:spacing w:after="0"/>
              <w:ind w:left="50" w:firstLine="0"/>
              <w:jc w:val="right"/>
              <w:rPr>
                <w:rFonts w:ascii="Arial" w:hAnsi="Arial" w:cs="Arial"/>
                <w:bCs/>
                <w:color w:val="000000"/>
                <w:sz w:val="18"/>
                <w:szCs w:val="18"/>
                <w:lang w:val="es-ES" w:eastAsia="es-ES"/>
              </w:rPr>
            </w:pPr>
            <w:r w:rsidRPr="00EB7C97">
              <w:rPr>
                <w:rFonts w:ascii="Arial" w:hAnsi="Arial" w:cs="Arial"/>
                <w:bCs/>
                <w:color w:val="000000"/>
                <w:sz w:val="18"/>
                <w:szCs w:val="18"/>
                <w:lang w:val="es-ES" w:eastAsia="es-ES"/>
              </w:rPr>
              <w:t>con minor. otros gastos</w:t>
            </w:r>
          </w:p>
        </w:tc>
      </w:tr>
      <w:tr w:rsidR="00EB7C97" w:rsidRPr="00EB7C97" w:rsidTr="00892833">
        <w:trPr>
          <w:gridAfter w:val="1"/>
          <w:wAfter w:w="49" w:type="dxa"/>
          <w:trHeight w:val="198"/>
          <w:jc w:val="center"/>
        </w:trPr>
        <w:tc>
          <w:tcPr>
            <w:tcW w:w="3295" w:type="dxa"/>
            <w:tcBorders>
              <w:bottom w:val="single" w:sz="2" w:space="0" w:color="auto"/>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Ampliaciones de crédito</w:t>
            </w:r>
          </w:p>
        </w:tc>
        <w:tc>
          <w:tcPr>
            <w:tcW w:w="2835" w:type="dxa"/>
            <w:tcBorders>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15.926</w:t>
            </w:r>
          </w:p>
        </w:tc>
        <w:tc>
          <w:tcPr>
            <w:tcW w:w="2678" w:type="dxa"/>
            <w:tcBorders>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62.140</w:t>
            </w:r>
          </w:p>
        </w:tc>
      </w:tr>
      <w:tr w:rsidR="00EB7C97" w:rsidRPr="00EB7C97" w:rsidTr="00892833">
        <w:trPr>
          <w:gridAfter w:val="1"/>
          <w:wAfter w:w="49" w:type="dxa"/>
          <w:trHeight w:val="198"/>
          <w:jc w:val="center"/>
        </w:trPr>
        <w:tc>
          <w:tcPr>
            <w:tcW w:w="3295" w:type="dxa"/>
            <w:tcBorders>
              <w:top w:val="single" w:sz="2" w:space="0" w:color="auto"/>
              <w:bottom w:val="single" w:sz="2" w:space="0" w:color="auto"/>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Generaciones de crédito</w:t>
            </w:r>
          </w:p>
        </w:tc>
        <w:tc>
          <w:tcPr>
            <w:tcW w:w="2835"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21.385</w:t>
            </w:r>
          </w:p>
        </w:tc>
        <w:tc>
          <w:tcPr>
            <w:tcW w:w="2678"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0 </w:t>
            </w:r>
          </w:p>
        </w:tc>
      </w:tr>
      <w:tr w:rsidR="00EB7C97" w:rsidRPr="00EB7C97" w:rsidTr="00892833">
        <w:trPr>
          <w:gridAfter w:val="1"/>
          <w:wAfter w:w="49" w:type="dxa"/>
          <w:trHeight w:val="198"/>
          <w:jc w:val="center"/>
        </w:trPr>
        <w:tc>
          <w:tcPr>
            <w:tcW w:w="3295" w:type="dxa"/>
            <w:tcBorders>
              <w:top w:val="single" w:sz="2" w:space="0" w:color="auto"/>
              <w:bottom w:val="single" w:sz="2" w:space="0" w:color="auto"/>
            </w:tcBorders>
            <w:vAlign w:val="center"/>
            <w:hideMark/>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Suplementos de crédito</w:t>
            </w:r>
          </w:p>
        </w:tc>
        <w:tc>
          <w:tcPr>
            <w:tcW w:w="2835"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0 </w:t>
            </w:r>
          </w:p>
        </w:tc>
        <w:tc>
          <w:tcPr>
            <w:tcW w:w="2678" w:type="dxa"/>
            <w:tcBorders>
              <w:top w:val="single" w:sz="2" w:space="0" w:color="auto"/>
              <w:bottom w:val="single" w:sz="2" w:space="0" w:color="auto"/>
            </w:tcBorders>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529</w:t>
            </w:r>
          </w:p>
        </w:tc>
      </w:tr>
      <w:tr w:rsidR="00EB7C97" w:rsidRPr="00EB7C97" w:rsidTr="00892833">
        <w:trPr>
          <w:gridAfter w:val="1"/>
          <w:wAfter w:w="49" w:type="dxa"/>
          <w:trHeight w:val="198"/>
          <w:jc w:val="center"/>
        </w:trPr>
        <w:tc>
          <w:tcPr>
            <w:tcW w:w="3295" w:type="dxa"/>
            <w:tcBorders>
              <w:top w:val="single" w:sz="2" w:space="0" w:color="auto"/>
            </w:tcBorders>
            <w:vAlign w:val="center"/>
            <w:hideMark/>
          </w:tcPr>
          <w:p w:rsidR="00EB7C97" w:rsidRPr="00EB7C97" w:rsidRDefault="00EB7C97" w:rsidP="00892833">
            <w:pPr>
              <w:spacing w:after="0"/>
              <w:ind w:firstLine="0"/>
              <w:jc w:val="left"/>
              <w:rPr>
                <w:rFonts w:ascii="Arial Narrow" w:hAnsi="Arial Narrow" w:cs="Arial"/>
                <w:lang w:val="es-ES" w:eastAsia="es-ES"/>
              </w:rPr>
            </w:pPr>
            <w:r w:rsidRPr="00EB7C97">
              <w:rPr>
                <w:rFonts w:ascii="Arial Narrow" w:hAnsi="Arial Narrow" w:cs="Arial"/>
                <w:lang w:val="es-ES" w:eastAsia="es-ES"/>
              </w:rPr>
              <w:t xml:space="preserve">Crédito </w:t>
            </w:r>
            <w:r w:rsidR="00892833">
              <w:rPr>
                <w:rFonts w:ascii="Arial Narrow" w:hAnsi="Arial Narrow" w:cs="Arial"/>
                <w:lang w:val="es-ES" w:eastAsia="es-ES"/>
              </w:rPr>
              <w:t>e</w:t>
            </w:r>
            <w:r w:rsidRPr="00EB7C97">
              <w:rPr>
                <w:rFonts w:ascii="Arial Narrow" w:hAnsi="Arial Narrow" w:cs="Arial"/>
                <w:lang w:val="es-ES" w:eastAsia="es-ES"/>
              </w:rPr>
              <w:t>xtraordinario</w:t>
            </w:r>
          </w:p>
        </w:tc>
        <w:tc>
          <w:tcPr>
            <w:tcW w:w="2835" w:type="dxa"/>
            <w:tcBorders>
              <w:top w:val="single" w:sz="2" w:space="0" w:color="auto"/>
            </w:tcBorders>
            <w:noWrap/>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3.109 </w:t>
            </w:r>
          </w:p>
        </w:tc>
        <w:tc>
          <w:tcPr>
            <w:tcW w:w="2678" w:type="dxa"/>
            <w:tcBorders>
              <w:top w:val="single" w:sz="2" w:space="0" w:color="auto"/>
            </w:tcBorders>
            <w:noWrap/>
            <w:vAlign w:val="center"/>
            <w:hideMark/>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3.386</w:t>
            </w:r>
          </w:p>
        </w:tc>
      </w:tr>
      <w:tr w:rsidR="0041738F" w:rsidRPr="0041738F" w:rsidTr="00892833">
        <w:trPr>
          <w:gridAfter w:val="1"/>
          <w:wAfter w:w="49" w:type="dxa"/>
          <w:trHeight w:val="255"/>
          <w:jc w:val="center"/>
        </w:trPr>
        <w:tc>
          <w:tcPr>
            <w:tcW w:w="3295" w:type="dxa"/>
            <w:tcBorders>
              <w:top w:val="single" w:sz="2" w:space="0" w:color="auto"/>
            </w:tcBorders>
            <w:shd w:val="clear" w:color="auto" w:fill="8DB3E2" w:themeFill="text2" w:themeFillTint="66"/>
            <w:vAlign w:val="center"/>
          </w:tcPr>
          <w:p w:rsidR="0041738F" w:rsidRPr="0041738F" w:rsidRDefault="0041738F" w:rsidP="00EB7C97">
            <w:pPr>
              <w:spacing w:after="0"/>
              <w:ind w:firstLine="0"/>
              <w:jc w:val="left"/>
              <w:rPr>
                <w:rFonts w:ascii="Arial" w:hAnsi="Arial" w:cs="Arial"/>
                <w:sz w:val="18"/>
                <w:szCs w:val="18"/>
                <w:lang w:val="es-ES" w:eastAsia="es-ES"/>
              </w:rPr>
            </w:pPr>
            <w:r w:rsidRPr="0041738F">
              <w:rPr>
                <w:rFonts w:ascii="Arial" w:hAnsi="Arial" w:cs="Arial"/>
                <w:sz w:val="18"/>
                <w:szCs w:val="18"/>
                <w:lang w:val="es-ES" w:eastAsia="es-ES"/>
              </w:rPr>
              <w:t>Total 2016</w:t>
            </w:r>
          </w:p>
        </w:tc>
        <w:tc>
          <w:tcPr>
            <w:tcW w:w="2835" w:type="dxa"/>
            <w:tcBorders>
              <w:top w:val="single" w:sz="2" w:space="0" w:color="auto"/>
            </w:tcBorders>
            <w:shd w:val="clear" w:color="auto" w:fill="8DB3E2" w:themeFill="text2" w:themeFillTint="66"/>
            <w:noWrap/>
            <w:vAlign w:val="center"/>
          </w:tcPr>
          <w:p w:rsidR="0041738F" w:rsidRPr="0041738F" w:rsidRDefault="0041738F" w:rsidP="00EB7C97">
            <w:pPr>
              <w:spacing w:after="0"/>
              <w:ind w:firstLine="0"/>
              <w:jc w:val="right"/>
              <w:rPr>
                <w:rFonts w:ascii="Arial" w:hAnsi="Arial" w:cs="Arial"/>
                <w:sz w:val="18"/>
                <w:szCs w:val="18"/>
                <w:lang w:val="es-ES" w:eastAsia="es-ES"/>
              </w:rPr>
            </w:pPr>
            <w:r w:rsidRPr="0041738F">
              <w:rPr>
                <w:rFonts w:ascii="Arial" w:hAnsi="Arial" w:cs="Arial"/>
                <w:sz w:val="18"/>
                <w:szCs w:val="18"/>
                <w:lang w:val="es-ES" w:eastAsia="es-ES"/>
              </w:rPr>
              <w:t>40.420</w:t>
            </w:r>
          </w:p>
        </w:tc>
        <w:tc>
          <w:tcPr>
            <w:tcW w:w="2678" w:type="dxa"/>
            <w:tcBorders>
              <w:top w:val="single" w:sz="2" w:space="0" w:color="auto"/>
            </w:tcBorders>
            <w:shd w:val="clear" w:color="auto" w:fill="8DB3E2" w:themeFill="text2" w:themeFillTint="66"/>
            <w:noWrap/>
            <w:vAlign w:val="center"/>
          </w:tcPr>
          <w:p w:rsidR="0041738F" w:rsidRPr="0041738F" w:rsidRDefault="0041738F" w:rsidP="00EB7C97">
            <w:pPr>
              <w:spacing w:after="0"/>
              <w:ind w:firstLine="0"/>
              <w:jc w:val="right"/>
              <w:rPr>
                <w:rFonts w:ascii="Arial" w:hAnsi="Arial" w:cs="Arial"/>
                <w:sz w:val="18"/>
                <w:szCs w:val="18"/>
                <w:lang w:val="es-ES" w:eastAsia="es-ES"/>
              </w:rPr>
            </w:pPr>
            <w:r w:rsidRPr="0041738F">
              <w:rPr>
                <w:rFonts w:ascii="Arial" w:hAnsi="Arial" w:cs="Arial"/>
                <w:sz w:val="18"/>
                <w:szCs w:val="18"/>
                <w:lang w:val="es-ES" w:eastAsia="es-ES"/>
              </w:rPr>
              <w:t>66.055</w:t>
            </w:r>
          </w:p>
        </w:tc>
      </w:tr>
    </w:tbl>
    <w:p w:rsidR="00EB7C97" w:rsidRPr="00EB7C97" w:rsidRDefault="00EB7C97" w:rsidP="00054885">
      <w:pPr>
        <w:pStyle w:val="texto"/>
        <w:spacing w:before="240"/>
        <w:rPr>
          <w:lang w:val="es-ES"/>
        </w:rPr>
      </w:pPr>
      <w:r w:rsidRPr="00EB7C97">
        <w:rPr>
          <w:lang w:val="es-ES"/>
        </w:rPr>
        <w:t>A efectos presupuestarios, solo las modificaciones financiadas con mayores ingresos implican una modificación del total de créditos del presupuesto. Ad</w:t>
      </w:r>
      <w:r w:rsidRPr="00EB7C97">
        <w:rPr>
          <w:lang w:val="es-ES"/>
        </w:rPr>
        <w:t>e</w:t>
      </w:r>
      <w:r w:rsidRPr="00EB7C97">
        <w:rPr>
          <w:lang w:val="es-ES"/>
        </w:rPr>
        <w:lastRenderedPageBreak/>
        <w:t>más, en el cuadro anterior no se incluyen las transferencias de créditos. Estas operaciones tampoco tienen efecto presupuestario sobre el importe total de cr</w:t>
      </w:r>
      <w:r w:rsidRPr="00EB7C97">
        <w:rPr>
          <w:lang w:val="es-ES"/>
        </w:rPr>
        <w:t>é</w:t>
      </w:r>
      <w:r w:rsidRPr="00EB7C97">
        <w:rPr>
          <w:lang w:val="es-ES"/>
        </w:rPr>
        <w:t>ditos.</w:t>
      </w:r>
    </w:p>
    <w:p w:rsidR="00EB7C97" w:rsidRPr="00EB7C97" w:rsidRDefault="00EB7C97" w:rsidP="00DD7945">
      <w:pPr>
        <w:pStyle w:val="texto"/>
        <w:rPr>
          <w:lang w:val="es-ES"/>
        </w:rPr>
      </w:pPr>
      <w:r w:rsidRPr="00EB7C97">
        <w:rPr>
          <w:lang w:val="es-ES"/>
        </w:rPr>
        <w:t xml:space="preserve">Por su parte, el Fondo de Contingencia previsto se utilizó en un 85 por ciento (4,5 millones de euros), por acuerdo del Gobierno de Navarra, para financiar </w:t>
      </w:r>
      <w:r w:rsidR="00242CEF">
        <w:rPr>
          <w:lang w:val="es-ES"/>
        </w:rPr>
        <w:t>conjuntamente con otras fuentes</w:t>
      </w:r>
      <w:r w:rsidRPr="00EB7C97">
        <w:rPr>
          <w:lang w:val="es-ES"/>
        </w:rPr>
        <w:t xml:space="preserve"> intereses de demora de devolución de ingresos indebidos (78 por ciento) y alguna partida de gastos de personal (22 por cie</w:t>
      </w:r>
      <w:r w:rsidRPr="00EB7C97">
        <w:rPr>
          <w:lang w:val="es-ES"/>
        </w:rPr>
        <w:t>n</w:t>
      </w:r>
      <w:r w:rsidRPr="00EB7C97">
        <w:rPr>
          <w:lang w:val="es-ES"/>
        </w:rPr>
        <w:t>to).</w:t>
      </w:r>
    </w:p>
    <w:p w:rsidR="00EB7C97" w:rsidRPr="00EB7C97" w:rsidRDefault="00EB7C97" w:rsidP="00DD7945">
      <w:pPr>
        <w:pStyle w:val="texto"/>
        <w:rPr>
          <w:lang w:val="es-ES"/>
        </w:rPr>
      </w:pPr>
      <w:r w:rsidRPr="00EB7C97">
        <w:rPr>
          <w:lang w:val="es-ES"/>
        </w:rPr>
        <w:t>La Cámara de Comptos emitió, a solicitud del Parlamento y de acuerdo con la normativa vigente, informes de legalidad sobre las modificaciones pres</w:t>
      </w:r>
      <w:r w:rsidRPr="00EB7C97">
        <w:rPr>
          <w:lang w:val="es-ES"/>
        </w:rPr>
        <w:t>u</w:t>
      </w:r>
      <w:r w:rsidRPr="00EB7C97">
        <w:rPr>
          <w:lang w:val="es-ES"/>
        </w:rPr>
        <w:t xml:space="preserve">puestarias del ejercicio cuya competencia corresponde al </w:t>
      </w:r>
      <w:r w:rsidR="00242CEF">
        <w:rPr>
          <w:lang w:val="es-ES"/>
        </w:rPr>
        <w:t>c</w:t>
      </w:r>
      <w:r w:rsidRPr="00EB7C97">
        <w:rPr>
          <w:lang w:val="es-ES"/>
        </w:rPr>
        <w:t>onsejero de Hacie</w:t>
      </w:r>
      <w:r w:rsidRPr="00EB7C97">
        <w:rPr>
          <w:lang w:val="es-ES"/>
        </w:rPr>
        <w:t>n</w:t>
      </w:r>
      <w:r w:rsidRPr="00EB7C97">
        <w:rPr>
          <w:lang w:val="es-ES"/>
        </w:rPr>
        <w:t>da, concluyendo que fueron aprobadas por el órgano competente y se respet</w:t>
      </w:r>
      <w:r w:rsidRPr="00EB7C97">
        <w:rPr>
          <w:lang w:val="es-ES"/>
        </w:rPr>
        <w:t>a</w:t>
      </w:r>
      <w:r w:rsidRPr="00EB7C97">
        <w:rPr>
          <w:lang w:val="es-ES"/>
        </w:rPr>
        <w:t>ron las limitaciones legales establecidas en la normativa presupuestaria aprob</w:t>
      </w:r>
      <w:r w:rsidRPr="00EB7C97">
        <w:rPr>
          <w:lang w:val="es-ES"/>
        </w:rPr>
        <w:t>a</w:t>
      </w:r>
      <w:r w:rsidRPr="00EB7C97">
        <w:rPr>
          <w:lang w:val="es-ES"/>
        </w:rPr>
        <w:t>da, entre ellas la pertinencia de las fuentes de financiación. El importe total de modificaciones informadas por esta Cámara ascendió a 13</w:t>
      </w:r>
      <w:r w:rsidR="00111BC1">
        <w:rPr>
          <w:lang w:val="es-ES"/>
        </w:rPr>
        <w:t>3</w:t>
      </w:r>
      <w:r w:rsidRPr="00EB7C97">
        <w:rPr>
          <w:lang w:val="es-ES"/>
        </w:rPr>
        <w:t>,28 millones.</w:t>
      </w:r>
    </w:p>
    <w:p w:rsidR="00EB7C97" w:rsidRPr="00EB7C97" w:rsidRDefault="00EB7C97" w:rsidP="00DD7945">
      <w:pPr>
        <w:pStyle w:val="texto"/>
        <w:rPr>
          <w:lang w:val="es-ES"/>
        </w:rPr>
      </w:pPr>
      <w:r w:rsidRPr="00EB7C97">
        <w:rPr>
          <w:lang w:val="es-ES"/>
        </w:rPr>
        <w:t>Los créditos no disponibles a 31 de diciembre de 2016 ascienden a 1,34 m</w:t>
      </w:r>
      <w:r w:rsidRPr="00EB7C97">
        <w:rPr>
          <w:lang w:val="es-ES"/>
        </w:rPr>
        <w:t>i</w:t>
      </w:r>
      <w:r w:rsidRPr="00EB7C97">
        <w:rPr>
          <w:lang w:val="es-ES"/>
        </w:rPr>
        <w:t>llones de euros relacionados fundamentalmente con las obras del Plan Director del Centro Psicogeriátrico (8</w:t>
      </w:r>
      <w:r w:rsidR="00111BC1">
        <w:rPr>
          <w:lang w:val="es-ES"/>
        </w:rPr>
        <w:t>1</w:t>
      </w:r>
      <w:r w:rsidRPr="00EB7C97">
        <w:rPr>
          <w:lang w:val="es-ES"/>
        </w:rPr>
        <w:t xml:space="preserve"> por ciento del total)</w:t>
      </w:r>
      <w:r w:rsidRPr="00EB7C97">
        <w:t>.</w:t>
      </w:r>
      <w:r w:rsidRPr="00EB7C97">
        <w:rPr>
          <w:lang w:val="es-ES"/>
        </w:rPr>
        <w:t xml:space="preserve"> </w:t>
      </w:r>
    </w:p>
    <w:p w:rsidR="00EB7C97" w:rsidRPr="00EB7C97" w:rsidRDefault="00EB7C97" w:rsidP="00DD7945">
      <w:pPr>
        <w:pStyle w:val="texto"/>
        <w:rPr>
          <w:lang w:val="es-ES"/>
        </w:rPr>
      </w:pPr>
      <w:r w:rsidRPr="00EB7C97">
        <w:rPr>
          <w:lang w:val="es-ES"/>
        </w:rPr>
        <w:t xml:space="preserve">Por otro lado, tal como se indicaba en informes </w:t>
      </w:r>
      <w:r w:rsidR="00BA0678">
        <w:rPr>
          <w:lang w:val="es-ES"/>
        </w:rPr>
        <w:t>de ejercicios anteriores</w:t>
      </w:r>
      <w:r w:rsidRPr="00EB7C97">
        <w:rPr>
          <w:lang w:val="es-ES"/>
        </w:rPr>
        <w:t xml:space="preserve"> de esta Cámara, el presupuesto inicial de gastos de 2016 incluye un crédito de 11,5 millones para el Plan de Infraestructuras Locales que se financia con r</w:t>
      </w:r>
      <w:r w:rsidRPr="00EB7C97">
        <w:rPr>
          <w:lang w:val="es-ES"/>
        </w:rPr>
        <w:t>e</w:t>
      </w:r>
      <w:r w:rsidRPr="00EB7C97">
        <w:rPr>
          <w:lang w:val="es-ES"/>
        </w:rPr>
        <w:t>manente de tesorería afectado; en nuestra opinión, tal operación debía haberse incorporado a ese presupuesto inicial mediante la oportuna modificación pres</w:t>
      </w:r>
      <w:r w:rsidRPr="00EB7C97">
        <w:rPr>
          <w:lang w:val="es-ES"/>
        </w:rPr>
        <w:t>u</w:t>
      </w:r>
      <w:r w:rsidRPr="00EB7C97">
        <w:rPr>
          <w:lang w:val="es-ES"/>
        </w:rPr>
        <w:t xml:space="preserve">puestaria. </w:t>
      </w:r>
    </w:p>
    <w:p w:rsidR="00EB7C97" w:rsidRPr="00EB7C97" w:rsidRDefault="0041738F" w:rsidP="00DD7945">
      <w:pPr>
        <w:pStyle w:val="texto"/>
        <w:rPr>
          <w:i/>
        </w:rPr>
      </w:pPr>
      <w:r>
        <w:rPr>
          <w:i/>
        </w:rPr>
        <w:t>Tal y como viene insistiendo esta Cámara en informes anteriores, r</w:t>
      </w:r>
      <w:r w:rsidR="00EB7C97" w:rsidRPr="00EB7C97">
        <w:rPr>
          <w:i/>
        </w:rPr>
        <w:t>ecome</w:t>
      </w:r>
      <w:r w:rsidR="00EB7C97" w:rsidRPr="00EB7C97">
        <w:rPr>
          <w:i/>
        </w:rPr>
        <w:t>n</w:t>
      </w:r>
      <w:r w:rsidR="00EB7C97" w:rsidRPr="00EB7C97">
        <w:rPr>
          <w:i/>
        </w:rPr>
        <w:t>damos no incluir en los créditos iniciales del presupuesto de gastos aquellos gastos financiados con remanente de tesorería afectado.</w:t>
      </w:r>
    </w:p>
    <w:p w:rsidR="00EB7C97" w:rsidRPr="00EB7C97" w:rsidRDefault="00EB7C97" w:rsidP="00DD7945">
      <w:pPr>
        <w:pStyle w:val="atitulo2"/>
        <w:spacing w:before="240"/>
      </w:pPr>
      <w:bookmarkStart w:id="53" w:name="_Toc463350249"/>
      <w:bookmarkStart w:id="54" w:name="_Toc494270383"/>
      <w:bookmarkStart w:id="55" w:name="_Toc498515792"/>
      <w:r w:rsidRPr="00EB7C97">
        <w:t>IV.3. Situación económico-financiera del Gobierno de Navarra y sus o</w:t>
      </w:r>
      <w:r w:rsidRPr="00EB7C97">
        <w:t>r</w:t>
      </w:r>
      <w:r w:rsidRPr="00EB7C97">
        <w:t>ganismos autónomos a 31 de diciembre de 201</w:t>
      </w:r>
      <w:bookmarkEnd w:id="53"/>
      <w:r w:rsidRPr="00EB7C97">
        <w:t>6</w:t>
      </w:r>
      <w:bookmarkEnd w:id="54"/>
      <w:bookmarkEnd w:id="55"/>
    </w:p>
    <w:p w:rsidR="00EB7C97" w:rsidRPr="00EB7C97" w:rsidRDefault="00EB7C97" w:rsidP="00DD7945">
      <w:pPr>
        <w:pStyle w:val="texto"/>
        <w:rPr>
          <w:lang w:val="es-ES"/>
        </w:rPr>
      </w:pPr>
      <w:r w:rsidRPr="00EB7C97">
        <w:rPr>
          <w:lang w:val="es-ES"/>
        </w:rPr>
        <w:t>Los créditos iniciales para gastos experimentan vía modificaciones un i</w:t>
      </w:r>
      <w:r w:rsidRPr="00EB7C97">
        <w:rPr>
          <w:lang w:val="es-ES"/>
        </w:rPr>
        <w:t>n</w:t>
      </w:r>
      <w:r w:rsidRPr="00EB7C97">
        <w:rPr>
          <w:lang w:val="es-ES"/>
        </w:rPr>
        <w:t>cremento neto del uno por ciento (40,42 millones), alcanzando los créditos co</w:t>
      </w:r>
      <w:r w:rsidRPr="00EB7C97">
        <w:rPr>
          <w:lang w:val="es-ES"/>
        </w:rPr>
        <w:t>n</w:t>
      </w:r>
      <w:r w:rsidRPr="00EB7C97">
        <w:rPr>
          <w:lang w:val="es-ES"/>
        </w:rPr>
        <w:t xml:space="preserve">solidados un importe de 4.045,73 millones. </w:t>
      </w:r>
    </w:p>
    <w:p w:rsidR="00EB7C97" w:rsidRPr="00EB7C97" w:rsidRDefault="00EB7C97" w:rsidP="00DD7945">
      <w:pPr>
        <w:pStyle w:val="texto"/>
        <w:rPr>
          <w:lang w:val="es-ES"/>
        </w:rPr>
      </w:pPr>
      <w:r w:rsidRPr="00EB7C97">
        <w:rPr>
          <w:lang w:val="es-ES"/>
        </w:rPr>
        <w:t>Las obligaciones reconocidas en 2016 suponen un importe de 3.966,59 m</w:t>
      </w:r>
      <w:r w:rsidRPr="00EB7C97">
        <w:rPr>
          <w:lang w:val="es-ES"/>
        </w:rPr>
        <w:t>i</w:t>
      </w:r>
      <w:r w:rsidRPr="00EB7C97">
        <w:rPr>
          <w:lang w:val="es-ES"/>
        </w:rPr>
        <w:t>llones, con un porcentaje de ejecución y pago del 98 y 96 por ciento respect</w:t>
      </w:r>
      <w:r w:rsidRPr="00EB7C97">
        <w:rPr>
          <w:lang w:val="es-ES"/>
        </w:rPr>
        <w:t>i</w:t>
      </w:r>
      <w:r w:rsidRPr="00EB7C97">
        <w:rPr>
          <w:lang w:val="es-ES"/>
        </w:rPr>
        <w:t xml:space="preserve">vamente. </w:t>
      </w:r>
    </w:p>
    <w:p w:rsidR="00EB7C97" w:rsidRDefault="00EB7C97" w:rsidP="00DD7945">
      <w:pPr>
        <w:pStyle w:val="texto"/>
        <w:rPr>
          <w:lang w:val="es-ES"/>
        </w:rPr>
      </w:pPr>
      <w:r w:rsidRPr="00EB7C97">
        <w:rPr>
          <w:lang w:val="es-ES"/>
        </w:rPr>
        <w:t xml:space="preserve">Los derechos reconocidos netos ascienden a 4.058,07 millones, con un grado de cumplimiento del 100 por </w:t>
      </w:r>
      <w:r w:rsidR="0041738F">
        <w:rPr>
          <w:lang w:val="es-ES"/>
        </w:rPr>
        <w:t>cien</w:t>
      </w:r>
      <w:r w:rsidRPr="00EB7C97">
        <w:rPr>
          <w:lang w:val="es-ES"/>
        </w:rPr>
        <w:t xml:space="preserve"> y un porcentaje de recaudación neta del 97 por ciento. </w:t>
      </w:r>
    </w:p>
    <w:p w:rsidR="00EB7C97" w:rsidRPr="00EB7C97" w:rsidRDefault="00EB7C97" w:rsidP="00DD7945">
      <w:pPr>
        <w:pStyle w:val="texto"/>
        <w:rPr>
          <w:lang w:val="es-ES"/>
        </w:rPr>
      </w:pPr>
      <w:r w:rsidRPr="00EB7C97">
        <w:rPr>
          <w:lang w:val="es-ES"/>
        </w:rPr>
        <w:lastRenderedPageBreak/>
        <w:t>Sobre la ejecución general de 2016, señalamos:</w:t>
      </w:r>
    </w:p>
    <w:p w:rsidR="00EB7C97" w:rsidRPr="00054885"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054885">
        <w:rPr>
          <w:rFonts w:cs="Arial"/>
        </w:rPr>
        <w:t>Cada 100 euros gastados por el Gobierno de Navarra en 2016 se han dest</w:t>
      </w:r>
      <w:r w:rsidRPr="00054885">
        <w:rPr>
          <w:rFonts w:cs="Arial"/>
        </w:rPr>
        <w:t>i</w:t>
      </w:r>
      <w:r w:rsidRPr="00054885">
        <w:rPr>
          <w:rFonts w:cs="Arial"/>
        </w:rPr>
        <w:t>nado y financiado de la siguiente manera: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88"/>
        <w:gridCol w:w="869"/>
        <w:gridCol w:w="1149"/>
        <w:gridCol w:w="2552"/>
        <w:gridCol w:w="869"/>
        <w:gridCol w:w="1019"/>
      </w:tblGrid>
      <w:tr w:rsidR="00EB7C97" w:rsidRPr="00EB7C97" w:rsidTr="00132A11">
        <w:trPr>
          <w:trHeight w:hRule="exact" w:val="496"/>
          <w:jc w:val="center"/>
        </w:trPr>
        <w:tc>
          <w:tcPr>
            <w:tcW w:w="2388"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EB7C97">
              <w:rPr>
                <w:rFonts w:ascii="Arial" w:hAnsi="Arial" w:cs="Arial"/>
                <w:spacing w:val="6"/>
                <w:sz w:val="18"/>
                <w:szCs w:val="24"/>
              </w:rPr>
              <w:t>Naturaleza del gasto</w:t>
            </w:r>
          </w:p>
        </w:tc>
        <w:tc>
          <w:tcPr>
            <w:tcW w:w="869" w:type="dxa"/>
            <w:tcBorders>
              <w:right w:val="nil"/>
            </w:tcBorders>
            <w:shd w:val="clear" w:color="auto" w:fill="8DB3E2" w:themeFill="text2" w:themeFillTint="66"/>
            <w:vAlign w:val="center"/>
          </w:tcPr>
          <w:p w:rsidR="00EB7C97" w:rsidRPr="00EB7C97" w:rsidRDefault="00EB7C97" w:rsidP="00EB7C97">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EB7C97">
              <w:rPr>
                <w:rFonts w:ascii="Arial" w:hAnsi="Arial" w:cs="Arial"/>
                <w:spacing w:val="6"/>
                <w:sz w:val="18"/>
                <w:szCs w:val="24"/>
              </w:rPr>
              <w:t xml:space="preserve">Importe 2015 </w:t>
            </w:r>
          </w:p>
        </w:tc>
        <w:tc>
          <w:tcPr>
            <w:tcW w:w="1149" w:type="dxa"/>
            <w:tcBorders>
              <w:left w:val="nil"/>
              <w:right w:val="nil"/>
            </w:tcBorders>
            <w:shd w:val="clear" w:color="auto" w:fill="8DB3E2" w:themeFill="text2" w:themeFillTint="66"/>
            <w:vAlign w:val="center"/>
          </w:tcPr>
          <w:p w:rsidR="00EB7C97" w:rsidRPr="00EB7C97" w:rsidRDefault="00EB7C97" w:rsidP="00892833">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sidRPr="00EB7C97">
              <w:rPr>
                <w:rFonts w:ascii="Arial" w:hAnsi="Arial" w:cs="Arial"/>
                <w:spacing w:val="6"/>
                <w:sz w:val="18"/>
                <w:szCs w:val="24"/>
              </w:rPr>
              <w:t>Importe 2016</w:t>
            </w:r>
          </w:p>
        </w:tc>
        <w:tc>
          <w:tcPr>
            <w:tcW w:w="2552" w:type="dxa"/>
            <w:tcBorders>
              <w:lef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24"/>
              </w:rPr>
            </w:pPr>
            <w:r w:rsidRPr="00EB7C97">
              <w:rPr>
                <w:rFonts w:ascii="Arial" w:hAnsi="Arial" w:cs="Arial"/>
                <w:spacing w:val="6"/>
                <w:sz w:val="18"/>
                <w:szCs w:val="24"/>
              </w:rPr>
              <w:t>Fuente de financiación</w:t>
            </w:r>
          </w:p>
        </w:tc>
        <w:tc>
          <w:tcPr>
            <w:tcW w:w="869"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EB7C97">
              <w:rPr>
                <w:rFonts w:ascii="Arial" w:hAnsi="Arial" w:cs="Arial"/>
                <w:spacing w:val="6"/>
                <w:sz w:val="18"/>
                <w:szCs w:val="24"/>
              </w:rPr>
              <w:t>Importe 2015</w:t>
            </w:r>
          </w:p>
        </w:tc>
        <w:tc>
          <w:tcPr>
            <w:tcW w:w="1019"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EB7C97">
              <w:rPr>
                <w:rFonts w:ascii="Arial" w:hAnsi="Arial" w:cs="Arial"/>
                <w:spacing w:val="6"/>
                <w:sz w:val="18"/>
                <w:szCs w:val="24"/>
              </w:rPr>
              <w:t>Importe 2016</w:t>
            </w:r>
          </w:p>
        </w:tc>
      </w:tr>
      <w:tr w:rsidR="00EB7C97" w:rsidRPr="00EB7C97" w:rsidTr="00132A11">
        <w:trPr>
          <w:trHeight w:val="198"/>
          <w:jc w:val="center"/>
        </w:trPr>
        <w:tc>
          <w:tcPr>
            <w:tcW w:w="2388" w:type="dxa"/>
            <w:tcBorders>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Personal</w:t>
            </w:r>
          </w:p>
        </w:tc>
        <w:tc>
          <w:tcPr>
            <w:tcW w:w="869" w:type="dxa"/>
            <w:tcBorders>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29</w:t>
            </w:r>
          </w:p>
        </w:tc>
        <w:tc>
          <w:tcPr>
            <w:tcW w:w="1149" w:type="dxa"/>
            <w:tcBorders>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30</w:t>
            </w:r>
          </w:p>
        </w:tc>
        <w:tc>
          <w:tcPr>
            <w:tcW w:w="2552" w:type="dxa"/>
            <w:tcBorders>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Ingresos tributarios</w:t>
            </w:r>
          </w:p>
        </w:tc>
        <w:tc>
          <w:tcPr>
            <w:tcW w:w="869" w:type="dxa"/>
            <w:tcBorders>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83</w:t>
            </w:r>
          </w:p>
        </w:tc>
        <w:tc>
          <w:tcPr>
            <w:tcW w:w="1019" w:type="dxa"/>
            <w:tcBorders>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82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892833">
            <w:pPr>
              <w:spacing w:after="0"/>
              <w:ind w:firstLine="0"/>
              <w:jc w:val="left"/>
              <w:rPr>
                <w:rFonts w:ascii="Arial Narrow" w:hAnsi="Arial Narrow" w:cs="Arial"/>
                <w:lang w:val="es-ES" w:eastAsia="es-ES"/>
              </w:rPr>
            </w:pPr>
            <w:r w:rsidRPr="00EB7C97">
              <w:rPr>
                <w:rFonts w:ascii="Arial Narrow" w:hAnsi="Arial Narrow" w:cs="Arial"/>
                <w:lang w:val="es-ES" w:eastAsia="es-ES"/>
              </w:rPr>
              <w:t>Bienes corrientes y serv</w:t>
            </w:r>
            <w:r w:rsidR="00892833">
              <w:rPr>
                <w:rFonts w:ascii="Arial Narrow" w:hAnsi="Arial Narrow" w:cs="Arial"/>
                <w:lang w:val="es-ES" w:eastAsia="es-ES"/>
              </w:rPr>
              <w:t>icios</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14</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15</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Ingresos por transferencias</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2</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Gastos transferencias</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41</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38</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132A11">
            <w:pPr>
              <w:spacing w:after="0"/>
              <w:ind w:firstLine="0"/>
              <w:jc w:val="left"/>
              <w:rPr>
                <w:rFonts w:ascii="Arial Narrow" w:hAnsi="Arial Narrow" w:cs="Arial"/>
                <w:lang w:val="es-ES" w:eastAsia="es-ES"/>
              </w:rPr>
            </w:pPr>
            <w:r w:rsidRPr="00EB7C97">
              <w:rPr>
                <w:rFonts w:ascii="Arial Narrow" w:hAnsi="Arial Narrow" w:cs="Arial"/>
                <w:lang w:val="es-ES" w:eastAsia="es-ES"/>
              </w:rPr>
              <w:t>Ing</w:t>
            </w:r>
            <w:r w:rsidR="00132A11">
              <w:rPr>
                <w:rFonts w:ascii="Arial Narrow" w:hAnsi="Arial Narrow" w:cs="Arial"/>
                <w:lang w:val="es-ES" w:eastAsia="es-ES"/>
              </w:rPr>
              <w:t>resos</w:t>
            </w:r>
            <w:r w:rsidRPr="00EB7C97">
              <w:rPr>
                <w:rFonts w:ascii="Arial Narrow" w:hAnsi="Arial Narrow" w:cs="Arial"/>
                <w:lang w:val="es-ES" w:eastAsia="es-ES"/>
              </w:rPr>
              <w:t xml:space="preserve"> patrimoniales y otros</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3</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2</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Inversiones reales</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2</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2</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Endeudamiento</w:t>
            </w: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12</w:t>
            </w: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14</w:t>
            </w:r>
          </w:p>
        </w:tc>
      </w:tr>
      <w:tr w:rsidR="00EB7C97" w:rsidRPr="00EB7C97" w:rsidTr="00132A11">
        <w:trPr>
          <w:trHeight w:val="198"/>
          <w:jc w:val="center"/>
        </w:trPr>
        <w:tc>
          <w:tcPr>
            <w:tcW w:w="2388" w:type="dxa"/>
            <w:tcBorders>
              <w:top w:val="single" w:sz="2" w:space="0" w:color="auto"/>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Carga financiera</w:t>
            </w:r>
          </w:p>
        </w:tc>
        <w:tc>
          <w:tcPr>
            <w:tcW w:w="869" w:type="dxa"/>
            <w:tcBorders>
              <w:top w:val="single" w:sz="2" w:space="0" w:color="auto"/>
              <w:bottom w:val="single" w:sz="2"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11</w:t>
            </w:r>
          </w:p>
        </w:tc>
        <w:tc>
          <w:tcPr>
            <w:tcW w:w="1149" w:type="dxa"/>
            <w:tcBorders>
              <w:top w:val="single" w:sz="2" w:space="0" w:color="auto"/>
              <w:left w:val="nil"/>
              <w:bottom w:val="single" w:sz="2"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13</w:t>
            </w:r>
          </w:p>
        </w:tc>
        <w:tc>
          <w:tcPr>
            <w:tcW w:w="2552" w:type="dxa"/>
            <w:tcBorders>
              <w:top w:val="single" w:sz="2" w:space="0" w:color="auto"/>
              <w:left w:val="nil"/>
              <w:bottom w:val="single" w:sz="2"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p>
        </w:tc>
        <w:tc>
          <w:tcPr>
            <w:tcW w:w="86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c>
          <w:tcPr>
            <w:tcW w:w="1019" w:type="dxa"/>
            <w:tcBorders>
              <w:top w:val="single" w:sz="2" w:space="0" w:color="auto"/>
              <w:bottom w:val="single" w:sz="2"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r>
      <w:tr w:rsidR="00EB7C97" w:rsidRPr="00EB7C97" w:rsidTr="00132A11">
        <w:trPr>
          <w:trHeight w:val="198"/>
          <w:jc w:val="center"/>
        </w:trPr>
        <w:tc>
          <w:tcPr>
            <w:tcW w:w="2388" w:type="dxa"/>
            <w:tcBorders>
              <w:top w:val="single" w:sz="2" w:space="0" w:color="auto"/>
              <w:bottom w:val="single" w:sz="4"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Activos financieros</w:t>
            </w:r>
          </w:p>
        </w:tc>
        <w:tc>
          <w:tcPr>
            <w:tcW w:w="869" w:type="dxa"/>
            <w:tcBorders>
              <w:top w:val="single" w:sz="2" w:space="0" w:color="auto"/>
              <w:bottom w:val="single" w:sz="4" w:space="0" w:color="auto"/>
              <w:right w:val="nil"/>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r w:rsidRPr="00EB7C97">
              <w:rPr>
                <w:rFonts w:ascii="Arial Narrow" w:hAnsi="Arial Narrow" w:cs="Arial"/>
                <w:lang w:val="es-ES" w:eastAsia="es-ES"/>
              </w:rPr>
              <w:t>3</w:t>
            </w:r>
          </w:p>
        </w:tc>
        <w:tc>
          <w:tcPr>
            <w:tcW w:w="1149" w:type="dxa"/>
            <w:tcBorders>
              <w:top w:val="single" w:sz="2" w:space="0" w:color="auto"/>
              <w:left w:val="nil"/>
              <w:bottom w:val="single" w:sz="4" w:space="0" w:color="auto"/>
              <w:right w:val="nil"/>
            </w:tcBorders>
            <w:shd w:val="clear" w:color="auto" w:fill="auto"/>
            <w:vAlign w:val="center"/>
          </w:tcPr>
          <w:p w:rsidR="00EB7C97" w:rsidRPr="00EB7C97" w:rsidRDefault="00EB7C97" w:rsidP="00892833">
            <w:pPr>
              <w:tabs>
                <w:tab w:val="left" w:pos="1212"/>
                <w:tab w:val="left" w:pos="1296"/>
              </w:tabs>
              <w:spacing w:after="0"/>
              <w:ind w:right="132" w:firstLine="0"/>
              <w:jc w:val="right"/>
              <w:rPr>
                <w:rFonts w:ascii="Arial Narrow" w:hAnsi="Arial Narrow" w:cs="Arial"/>
                <w:lang w:val="es-ES" w:eastAsia="es-ES"/>
              </w:rPr>
            </w:pPr>
            <w:r w:rsidRPr="00EB7C97">
              <w:rPr>
                <w:rFonts w:ascii="Arial Narrow" w:hAnsi="Arial Narrow" w:cs="Arial"/>
                <w:lang w:val="es-ES" w:eastAsia="es-ES"/>
              </w:rPr>
              <w:t>2</w:t>
            </w:r>
          </w:p>
        </w:tc>
        <w:tc>
          <w:tcPr>
            <w:tcW w:w="2552" w:type="dxa"/>
            <w:tcBorders>
              <w:top w:val="single" w:sz="2" w:space="0" w:color="auto"/>
              <w:left w:val="nil"/>
              <w:bottom w:val="single" w:sz="4" w:space="0" w:color="auto"/>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p>
        </w:tc>
        <w:tc>
          <w:tcPr>
            <w:tcW w:w="869" w:type="dxa"/>
            <w:tcBorders>
              <w:top w:val="single" w:sz="2" w:space="0" w:color="auto"/>
              <w:bottom w:val="single" w:sz="4"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c>
          <w:tcPr>
            <w:tcW w:w="1019" w:type="dxa"/>
            <w:tcBorders>
              <w:top w:val="single" w:sz="2" w:space="0" w:color="auto"/>
              <w:bottom w:val="single" w:sz="4" w:space="0" w:color="auto"/>
            </w:tcBorders>
            <w:shd w:val="clear" w:color="auto" w:fill="auto"/>
            <w:vAlign w:val="center"/>
          </w:tcPr>
          <w:p w:rsidR="00EB7C97" w:rsidRPr="00EB7C97" w:rsidRDefault="00EB7C97" w:rsidP="00EB7C97">
            <w:pPr>
              <w:tabs>
                <w:tab w:val="left" w:pos="1212"/>
                <w:tab w:val="left" w:pos="1296"/>
              </w:tabs>
              <w:spacing w:after="0"/>
              <w:ind w:firstLine="0"/>
              <w:jc w:val="right"/>
              <w:rPr>
                <w:rFonts w:ascii="Arial Narrow" w:hAnsi="Arial Narrow" w:cs="Arial"/>
                <w:lang w:val="es-ES" w:eastAsia="es-ES"/>
              </w:rPr>
            </w:pPr>
          </w:p>
        </w:tc>
      </w:tr>
      <w:tr w:rsidR="00EB7C97" w:rsidRPr="00EB7C97" w:rsidTr="00132A11">
        <w:trPr>
          <w:trHeight w:hRule="exact" w:val="255"/>
          <w:jc w:val="center"/>
        </w:trPr>
        <w:tc>
          <w:tcPr>
            <w:tcW w:w="2388"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top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lang w:val="es-ES" w:eastAsia="es-ES"/>
              </w:rPr>
            </w:pPr>
            <w:r w:rsidRPr="00EB7C97">
              <w:rPr>
                <w:rFonts w:ascii="Arial" w:hAnsi="Arial"/>
                <w:spacing w:val="6"/>
                <w:sz w:val="18"/>
                <w:szCs w:val="24"/>
                <w:lang w:val="es-ES" w:eastAsia="es-ES"/>
              </w:rPr>
              <w:t>100</w:t>
            </w:r>
          </w:p>
        </w:tc>
        <w:tc>
          <w:tcPr>
            <w:tcW w:w="1149" w:type="dxa"/>
            <w:tcBorders>
              <w:top w:val="single" w:sz="4" w:space="0" w:color="auto"/>
              <w:left w:val="nil"/>
              <w:right w:val="nil"/>
            </w:tcBorders>
            <w:shd w:val="clear" w:color="auto" w:fill="8DB3E2" w:themeFill="text2" w:themeFillTint="66"/>
            <w:vAlign w:val="center"/>
          </w:tcPr>
          <w:p w:rsidR="00EB7C97" w:rsidRPr="00EB7C97" w:rsidRDefault="00EB7C97" w:rsidP="00892833">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lang w:val="es-ES" w:eastAsia="es-ES"/>
              </w:rPr>
            </w:pPr>
            <w:r w:rsidRPr="00EB7C97">
              <w:rPr>
                <w:rFonts w:ascii="Arial" w:hAnsi="Arial"/>
                <w:spacing w:val="6"/>
                <w:sz w:val="18"/>
                <w:szCs w:val="24"/>
                <w:lang w:val="es-ES" w:eastAsia="es-ES"/>
              </w:rPr>
              <w:t>100</w:t>
            </w:r>
          </w:p>
        </w:tc>
        <w:tc>
          <w:tcPr>
            <w:tcW w:w="2552" w:type="dxa"/>
            <w:tcBorders>
              <w:top w:val="single" w:sz="4" w:space="0" w:color="auto"/>
              <w:lef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EB7C97">
              <w:rPr>
                <w:rFonts w:ascii="Arial" w:hAnsi="Arial"/>
                <w:spacing w:val="6"/>
                <w:sz w:val="18"/>
                <w:szCs w:val="24"/>
                <w:lang w:val="es-ES" w:eastAsia="es-ES"/>
              </w:rPr>
              <w:t>100</w:t>
            </w:r>
          </w:p>
        </w:tc>
        <w:tc>
          <w:tcPr>
            <w:tcW w:w="1019" w:type="dxa"/>
            <w:tcBorders>
              <w:top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EB7C97">
              <w:rPr>
                <w:rFonts w:ascii="Arial" w:hAnsi="Arial"/>
                <w:spacing w:val="6"/>
                <w:sz w:val="18"/>
                <w:szCs w:val="24"/>
                <w:lang w:val="es-ES" w:eastAsia="es-ES"/>
              </w:rPr>
              <w:t>100</w:t>
            </w:r>
          </w:p>
        </w:tc>
      </w:tr>
    </w:tbl>
    <w:p w:rsidR="00EB7C97" w:rsidRPr="00054885"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054885">
        <w:rPr>
          <w:rFonts w:cs="Arial"/>
        </w:rPr>
        <w:t>El gasto presupuestario de 2016</w:t>
      </w:r>
      <w:r w:rsidR="00242CEF">
        <w:rPr>
          <w:rFonts w:cs="Arial"/>
        </w:rPr>
        <w:t>,</w:t>
      </w:r>
      <w:r w:rsidRPr="00054885">
        <w:rPr>
          <w:rFonts w:cs="Arial"/>
        </w:rPr>
        <w:t xml:space="preserve"> atendiendo a su finalidad o función</w:t>
      </w:r>
      <w:r w:rsidR="00242CEF">
        <w:rPr>
          <w:rFonts w:cs="Arial"/>
        </w:rPr>
        <w:t>,</w:t>
      </w:r>
      <w:r w:rsidRPr="00054885">
        <w:rPr>
          <w:rFonts w:cs="Arial"/>
        </w:rPr>
        <w:t xml:space="preserve"> fue el siguiente: </w:t>
      </w:r>
    </w:p>
    <w:tbl>
      <w:tblPr>
        <w:tblW w:w="8830" w:type="dxa"/>
        <w:jc w:val="center"/>
        <w:tblCellMar>
          <w:left w:w="70" w:type="dxa"/>
          <w:right w:w="70" w:type="dxa"/>
        </w:tblCellMar>
        <w:tblLook w:val="04A0" w:firstRow="1" w:lastRow="0" w:firstColumn="1" w:lastColumn="0" w:noHBand="0" w:noVBand="1"/>
      </w:tblPr>
      <w:tblGrid>
        <w:gridCol w:w="4709"/>
        <w:gridCol w:w="1417"/>
        <w:gridCol w:w="1418"/>
        <w:gridCol w:w="1286"/>
      </w:tblGrid>
      <w:tr w:rsidR="001A35E1" w:rsidRPr="001A35E1" w:rsidTr="00275E02">
        <w:trPr>
          <w:trHeight w:val="255"/>
          <w:jc w:val="center"/>
        </w:trPr>
        <w:tc>
          <w:tcPr>
            <w:tcW w:w="8830"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1A35E1">
              <w:rPr>
                <w:rFonts w:ascii="Arial" w:hAnsi="Arial" w:cs="Arial"/>
                <w:spacing w:val="6"/>
                <w:sz w:val="17"/>
                <w:szCs w:val="17"/>
              </w:rPr>
              <w:t>(en miles de euros)</w:t>
            </w:r>
          </w:p>
        </w:tc>
      </w:tr>
      <w:tr w:rsidR="00EB7C97" w:rsidRPr="00054885" w:rsidTr="00275E02">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054885" w:rsidRDefault="00EB7C97" w:rsidP="00EB7C97">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054885">
              <w:rPr>
                <w:rFonts w:ascii="Arial" w:hAnsi="Arial" w:cs="Arial"/>
                <w:spacing w:val="6"/>
                <w:sz w:val="18"/>
                <w:szCs w:val="18"/>
              </w:rPr>
              <w:t>Política de gasto</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54885">
              <w:rPr>
                <w:rFonts w:ascii="Arial" w:hAnsi="Arial" w:cs="Arial"/>
                <w:spacing w:val="6"/>
                <w:sz w:val="18"/>
                <w:szCs w:val="18"/>
              </w:rPr>
              <w:t>Obligaciones 2015</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54885">
              <w:rPr>
                <w:rFonts w:ascii="Arial" w:hAnsi="Arial" w:cs="Arial"/>
                <w:spacing w:val="6"/>
                <w:sz w:val="18"/>
                <w:szCs w:val="18"/>
              </w:rPr>
              <w:t>Obligaciones 2016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E60AF"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v</w:t>
            </w:r>
            <w:r w:rsidR="00EB7C97" w:rsidRPr="00054885">
              <w:rPr>
                <w:rFonts w:ascii="Arial" w:hAnsi="Arial" w:cs="Arial"/>
                <w:spacing w:val="6"/>
                <w:sz w:val="18"/>
                <w:szCs w:val="18"/>
              </w:rPr>
              <w:t>ariación 2016/2015</w:t>
            </w:r>
          </w:p>
        </w:tc>
      </w:tr>
      <w:tr w:rsidR="00EB7C97" w:rsidRPr="00054885" w:rsidTr="00275E02">
        <w:trPr>
          <w:trHeight w:val="255"/>
          <w:jc w:val="center"/>
        </w:trPr>
        <w:tc>
          <w:tcPr>
            <w:tcW w:w="4709" w:type="dxa"/>
            <w:tcBorders>
              <w:top w:val="single" w:sz="4"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lang w:val="es-ES" w:eastAsia="es-ES"/>
              </w:rPr>
            </w:pPr>
            <w:r w:rsidRPr="00054885">
              <w:rPr>
                <w:rFonts w:ascii="Arial Narrow" w:hAnsi="Arial Narrow" w:cs="Arial"/>
                <w:b/>
                <w:lang w:val="es-ES" w:eastAsia="es-ES"/>
              </w:rPr>
              <w:t>Servicios públicos básicos</w:t>
            </w:r>
          </w:p>
        </w:tc>
        <w:tc>
          <w:tcPr>
            <w:tcW w:w="1417"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114.295</w:t>
            </w:r>
          </w:p>
        </w:tc>
        <w:tc>
          <w:tcPr>
            <w:tcW w:w="1418"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118.271</w:t>
            </w:r>
          </w:p>
        </w:tc>
        <w:tc>
          <w:tcPr>
            <w:tcW w:w="1286" w:type="dxa"/>
            <w:tcBorders>
              <w:top w:val="single" w:sz="4"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Justicia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25.837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27.267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Seguridad ciudadana e instituciones penitenciarias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82.959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84.203</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Política exterior</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5.499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6.801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24</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lang w:val="es-ES" w:eastAsia="es-ES"/>
              </w:rPr>
            </w:pPr>
            <w:r w:rsidRPr="00054885">
              <w:rPr>
                <w:rFonts w:ascii="Arial Narrow" w:hAnsi="Arial Narrow" w:cs="Arial"/>
                <w:b/>
                <w:lang w:val="es-ES" w:eastAsia="es-ES"/>
              </w:rPr>
              <w:t>Actuaciones de protección y promoción social</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451.559</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467.972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4</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Pensiones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96.371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100.217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Otras prestaciones económicas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6.733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2.202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-67</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Servicios sociales y promoción social</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256.686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285.145</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Fomento del empleo</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45.456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41.681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Acceso a la vivienda y fomento de la edificación</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46.313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38.727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-16</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lang w:val="es-ES" w:eastAsia="es-ES"/>
              </w:rPr>
            </w:pPr>
            <w:r w:rsidRPr="00054885">
              <w:rPr>
                <w:rFonts w:ascii="Arial Narrow" w:hAnsi="Arial Narrow" w:cs="Arial"/>
                <w:b/>
                <w:lang w:val="es-ES" w:eastAsia="es-ES"/>
              </w:rPr>
              <w:t>Producción de bienes públicos de carácter preferente</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1.580.932</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1.616.171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Sanidad</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958.343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974.784</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Educación</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580.374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597.856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Cultura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42.215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43.531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3</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lang w:val="es-ES" w:eastAsia="es-ES"/>
              </w:rPr>
            </w:pPr>
            <w:r w:rsidRPr="00054885">
              <w:rPr>
                <w:rFonts w:ascii="Arial Narrow" w:hAnsi="Arial Narrow" w:cs="Arial"/>
                <w:b/>
                <w:lang w:val="es-ES" w:eastAsia="es-ES"/>
              </w:rPr>
              <w:t>Actuaciones de carácter económico</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319.641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321.516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Agricultura, ganadería y alimentación</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78.231</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80.551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Industria y energía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18.286</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18.664</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Comercio, Turismo y Pymes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7.025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6.609</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Subvenciones al transporte</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24.057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24.172</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0,5</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Infraestructuras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134.863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121.713</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-10</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Investigación, desarrollo e innovación</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51.614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64.436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25</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Otras actuaciones de carácter económico</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5.565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5.371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-3</w:t>
            </w:r>
          </w:p>
        </w:tc>
      </w:tr>
      <w:tr w:rsidR="00EB7C97" w:rsidRPr="00054885" w:rsidTr="00275E02">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b/>
                <w:lang w:val="es-ES" w:eastAsia="es-ES"/>
              </w:rPr>
            </w:pPr>
            <w:r w:rsidRPr="00054885">
              <w:rPr>
                <w:rFonts w:ascii="Arial Narrow" w:hAnsi="Arial Narrow" w:cs="Arial"/>
                <w:b/>
                <w:lang w:val="es-ES" w:eastAsia="es-ES"/>
              </w:rPr>
              <w:t>Actuaciones de carácter general</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1.447.535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1.442.669</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b/>
                <w:lang w:val="es-ES" w:eastAsia="es-ES"/>
              </w:rPr>
            </w:pPr>
            <w:r w:rsidRPr="00054885">
              <w:rPr>
                <w:rFonts w:ascii="Arial Narrow" w:hAnsi="Arial Narrow" w:cs="Arial"/>
                <w:b/>
                <w:lang w:val="es-ES" w:eastAsia="es-ES"/>
              </w:rPr>
              <w:t>-0,3</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Alta dirección</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18.893</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17.746</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Servicios de carácter general</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136.267</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100.977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-26</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Administración financiera y tributaria</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15.354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18.708</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Convenio Económico con el Estado</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617.975</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541.107</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-12</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Otros Convenios con el Estado</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8.500</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8.500</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0</w:t>
            </w:r>
          </w:p>
        </w:tc>
      </w:tr>
      <w:tr w:rsidR="00EB7C97" w:rsidRPr="00054885" w:rsidTr="00275E02">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Transferencias a administraciones locales</w:t>
            </w:r>
          </w:p>
        </w:tc>
        <w:tc>
          <w:tcPr>
            <w:tcW w:w="1417"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236.144</w:t>
            </w:r>
          </w:p>
        </w:tc>
        <w:tc>
          <w:tcPr>
            <w:tcW w:w="1418"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240.381</w:t>
            </w:r>
          </w:p>
        </w:tc>
        <w:tc>
          <w:tcPr>
            <w:tcW w:w="1286" w:type="dxa"/>
            <w:tcBorders>
              <w:top w:val="single" w:sz="2" w:space="0" w:color="auto"/>
              <w:left w:val="nil"/>
              <w:bottom w:val="single" w:sz="2"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w:t>
            </w:r>
          </w:p>
        </w:tc>
      </w:tr>
      <w:tr w:rsidR="00EB7C97" w:rsidRPr="00054885" w:rsidTr="00275E02">
        <w:trPr>
          <w:trHeight w:val="198"/>
          <w:jc w:val="center"/>
        </w:trPr>
        <w:tc>
          <w:tcPr>
            <w:tcW w:w="4709" w:type="dxa"/>
            <w:tcBorders>
              <w:top w:val="single" w:sz="2" w:space="0" w:color="auto"/>
              <w:left w:val="nil"/>
              <w:bottom w:val="single" w:sz="4" w:space="0" w:color="auto"/>
              <w:right w:val="nil"/>
            </w:tcBorders>
            <w:shd w:val="clear" w:color="auto" w:fill="auto"/>
            <w:noWrap/>
            <w:vAlign w:val="center"/>
            <w:hideMark/>
          </w:tcPr>
          <w:p w:rsidR="00EB7C97" w:rsidRPr="00054885" w:rsidRDefault="00EB7C97" w:rsidP="00EB7C97">
            <w:pPr>
              <w:spacing w:after="0"/>
              <w:ind w:firstLine="0"/>
              <w:jc w:val="left"/>
              <w:rPr>
                <w:rFonts w:ascii="Arial Narrow" w:hAnsi="Arial Narrow" w:cs="Arial"/>
                <w:lang w:val="es-ES" w:eastAsia="es-ES"/>
              </w:rPr>
            </w:pPr>
            <w:r w:rsidRPr="00054885">
              <w:rPr>
                <w:rFonts w:ascii="Arial Narrow" w:hAnsi="Arial Narrow" w:cs="Arial"/>
                <w:lang w:val="es-ES" w:eastAsia="es-ES"/>
              </w:rPr>
              <w:t>Deuda pública</w:t>
            </w:r>
          </w:p>
        </w:tc>
        <w:tc>
          <w:tcPr>
            <w:tcW w:w="1417" w:type="dxa"/>
            <w:tcBorders>
              <w:top w:val="single" w:sz="2" w:space="0" w:color="auto"/>
              <w:left w:val="nil"/>
              <w:bottom w:val="single" w:sz="4" w:space="0" w:color="auto"/>
              <w:right w:val="nil"/>
            </w:tcBorders>
            <w:shd w:val="clear" w:color="auto" w:fill="auto"/>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414.402</w:t>
            </w:r>
          </w:p>
        </w:tc>
        <w:tc>
          <w:tcPr>
            <w:tcW w:w="1418" w:type="dxa"/>
            <w:tcBorders>
              <w:top w:val="single" w:sz="2" w:space="0" w:color="auto"/>
              <w:left w:val="nil"/>
              <w:bottom w:val="single" w:sz="4" w:space="0" w:color="auto"/>
              <w:right w:val="nil"/>
            </w:tcBorders>
            <w:shd w:val="clear" w:color="auto" w:fill="auto"/>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515.250</w:t>
            </w:r>
          </w:p>
        </w:tc>
        <w:tc>
          <w:tcPr>
            <w:tcW w:w="1286" w:type="dxa"/>
            <w:tcBorders>
              <w:top w:val="single" w:sz="2" w:space="0" w:color="auto"/>
              <w:left w:val="nil"/>
              <w:bottom w:val="single" w:sz="4" w:space="0" w:color="auto"/>
              <w:right w:val="nil"/>
            </w:tcBorders>
            <w:vAlign w:val="center"/>
          </w:tcPr>
          <w:p w:rsidR="00EB7C97" w:rsidRPr="00054885" w:rsidRDefault="00EB7C97" w:rsidP="00EB7C97">
            <w:pPr>
              <w:tabs>
                <w:tab w:val="left" w:pos="1212"/>
                <w:tab w:val="left" w:pos="1296"/>
              </w:tabs>
              <w:spacing w:after="0"/>
              <w:ind w:firstLine="0"/>
              <w:jc w:val="right"/>
              <w:rPr>
                <w:rFonts w:ascii="Arial Narrow" w:hAnsi="Arial Narrow" w:cs="Arial"/>
                <w:lang w:val="es-ES" w:eastAsia="es-ES"/>
              </w:rPr>
            </w:pPr>
            <w:r w:rsidRPr="00054885">
              <w:rPr>
                <w:rFonts w:ascii="Arial Narrow" w:hAnsi="Arial Narrow" w:cs="Arial"/>
                <w:lang w:val="es-ES" w:eastAsia="es-ES"/>
              </w:rPr>
              <w:t>24</w:t>
            </w:r>
          </w:p>
        </w:tc>
      </w:tr>
      <w:tr w:rsidR="00EB7C97" w:rsidRPr="00054885" w:rsidTr="00275E02">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054885" w:rsidRDefault="00EB7C97" w:rsidP="00EB7C97">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054885">
              <w:rPr>
                <w:rFonts w:ascii="Arial" w:hAnsi="Arial" w:cs="Arial"/>
                <w:spacing w:val="6"/>
                <w:sz w:val="18"/>
                <w:szCs w:val="18"/>
              </w:rPr>
              <w:t>Total</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54885">
              <w:rPr>
                <w:rFonts w:ascii="Arial" w:hAnsi="Arial" w:cs="Arial"/>
                <w:spacing w:val="6"/>
                <w:sz w:val="18"/>
                <w:szCs w:val="18"/>
              </w:rPr>
              <w:t>3.913.963</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54885">
              <w:rPr>
                <w:rFonts w:ascii="Arial" w:hAnsi="Arial" w:cs="Arial"/>
                <w:spacing w:val="6"/>
                <w:sz w:val="18"/>
                <w:szCs w:val="18"/>
              </w:rPr>
              <w:t>3.966.599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B7C97" w:rsidRPr="00054885" w:rsidRDefault="00EB7C97" w:rsidP="00EB7C97">
            <w:pPr>
              <w:tabs>
                <w:tab w:val="left" w:pos="1212"/>
                <w:tab w:val="left" w:pos="1296"/>
              </w:tabs>
              <w:spacing w:after="0"/>
              <w:ind w:firstLine="0"/>
              <w:jc w:val="right"/>
              <w:rPr>
                <w:rFonts w:ascii="Arial" w:hAnsi="Arial" w:cs="Arial"/>
                <w:sz w:val="18"/>
                <w:szCs w:val="18"/>
                <w:lang w:val="es-ES" w:eastAsia="es-ES"/>
              </w:rPr>
            </w:pPr>
            <w:r w:rsidRPr="00054885">
              <w:rPr>
                <w:rFonts w:ascii="Arial" w:hAnsi="Arial" w:cs="Arial"/>
                <w:sz w:val="18"/>
                <w:szCs w:val="18"/>
                <w:lang w:val="es-ES" w:eastAsia="es-ES"/>
              </w:rPr>
              <w:t>1</w:t>
            </w:r>
          </w:p>
        </w:tc>
      </w:tr>
    </w:tbl>
    <w:p w:rsidR="00EB7C97" w:rsidRPr="00EB7C97" w:rsidRDefault="00EB7C97" w:rsidP="00054885">
      <w:pPr>
        <w:pStyle w:val="texto"/>
        <w:spacing w:before="240"/>
        <w:rPr>
          <w:lang w:val="es-ES"/>
        </w:rPr>
      </w:pPr>
      <w:r w:rsidRPr="00EB7C97">
        <w:rPr>
          <w:lang w:val="es-ES"/>
        </w:rPr>
        <w:lastRenderedPageBreak/>
        <w:t>En 2016, destaca el gasto en sanidad y en educación con el 25 y 15 por cie</w:t>
      </w:r>
      <w:r w:rsidRPr="00EB7C97">
        <w:rPr>
          <w:lang w:val="es-ES"/>
        </w:rPr>
        <w:t>n</w:t>
      </w:r>
      <w:r w:rsidRPr="00EB7C97">
        <w:rPr>
          <w:lang w:val="es-ES"/>
        </w:rPr>
        <w:t>to, respectivamente del gasto total. Además</w:t>
      </w:r>
      <w:r w:rsidR="00242CEF">
        <w:rPr>
          <w:lang w:val="es-ES"/>
        </w:rPr>
        <w:t>,</w:t>
      </w:r>
      <w:r w:rsidRPr="00EB7C97">
        <w:rPr>
          <w:lang w:val="es-ES"/>
        </w:rPr>
        <w:t xml:space="preserve"> subrayamos el Convenio con el Estado, la deuda pública y los servicios sociales y promoción social, que as</w:t>
      </w:r>
      <w:r w:rsidRPr="00EB7C97">
        <w:rPr>
          <w:lang w:val="es-ES"/>
        </w:rPr>
        <w:t>u</w:t>
      </w:r>
      <w:r w:rsidRPr="00EB7C97">
        <w:rPr>
          <w:lang w:val="es-ES"/>
        </w:rPr>
        <w:t xml:space="preserve">men el 14, 13 y siete por ciento, respectivamente. </w:t>
      </w:r>
    </w:p>
    <w:p w:rsidR="00EB7C97" w:rsidRPr="00EB7C97" w:rsidRDefault="00EB7C97" w:rsidP="00054885">
      <w:pPr>
        <w:pStyle w:val="texto"/>
        <w:rPr>
          <w:lang w:val="es-ES"/>
        </w:rPr>
      </w:pPr>
      <w:r w:rsidRPr="00EB7C97">
        <w:rPr>
          <w:lang w:val="es-ES"/>
        </w:rPr>
        <w:t xml:space="preserve">Sobre 2015, </w:t>
      </w:r>
      <w:r w:rsidR="008B0269">
        <w:rPr>
          <w:lang w:val="es-ES"/>
        </w:rPr>
        <w:t>se observa un</w:t>
      </w:r>
      <w:r w:rsidRPr="00EB7C97">
        <w:rPr>
          <w:lang w:val="es-ES"/>
        </w:rPr>
        <w:t xml:space="preserve"> incremento del 24 por ciento en la deuda pública, del 22 por ciento en admini</w:t>
      </w:r>
      <w:r w:rsidR="00A23128">
        <w:rPr>
          <w:lang w:val="es-ES"/>
        </w:rPr>
        <w:t>stración financiera y tributaria</w:t>
      </w:r>
      <w:r w:rsidRPr="00EB7C97">
        <w:rPr>
          <w:lang w:val="es-ES"/>
        </w:rPr>
        <w:t xml:space="preserve"> y del 11 por ciento en servic</w:t>
      </w:r>
      <w:r w:rsidR="008B0269">
        <w:rPr>
          <w:lang w:val="es-ES"/>
        </w:rPr>
        <w:t>ios sociales y promoción social; además</w:t>
      </w:r>
      <w:r w:rsidR="00242CEF">
        <w:rPr>
          <w:lang w:val="es-ES"/>
        </w:rPr>
        <w:t>,</w:t>
      </w:r>
      <w:r w:rsidR="008B0269">
        <w:rPr>
          <w:lang w:val="es-ES"/>
        </w:rPr>
        <w:t xml:space="preserve"> se ha reducido en un</w:t>
      </w:r>
      <w:r w:rsidRPr="00EB7C97">
        <w:rPr>
          <w:lang w:val="es-ES"/>
        </w:rPr>
        <w:t xml:space="preserve"> </w:t>
      </w:r>
      <w:r w:rsidR="00111BC1">
        <w:rPr>
          <w:lang w:val="es-ES"/>
        </w:rPr>
        <w:t xml:space="preserve">26 por ciento </w:t>
      </w:r>
      <w:r w:rsidR="00242CEF">
        <w:rPr>
          <w:lang w:val="es-ES"/>
        </w:rPr>
        <w:t>el gasto en</w:t>
      </w:r>
      <w:r w:rsidR="00111BC1">
        <w:rPr>
          <w:lang w:val="es-ES"/>
        </w:rPr>
        <w:t xml:space="preserve"> servicios de carácter general, </w:t>
      </w:r>
      <w:r w:rsidR="008B0269">
        <w:rPr>
          <w:lang w:val="es-ES"/>
        </w:rPr>
        <w:t>en un</w:t>
      </w:r>
      <w:r w:rsidR="00111BC1">
        <w:rPr>
          <w:lang w:val="es-ES"/>
        </w:rPr>
        <w:t xml:space="preserve"> </w:t>
      </w:r>
      <w:r w:rsidRPr="00EB7C97">
        <w:rPr>
          <w:lang w:val="es-ES"/>
        </w:rPr>
        <w:t xml:space="preserve">16 por ciento el acceso a la vivienda y fomento de la edificación, y </w:t>
      </w:r>
      <w:r w:rsidR="008B0269">
        <w:rPr>
          <w:lang w:val="es-ES"/>
        </w:rPr>
        <w:t>en un</w:t>
      </w:r>
      <w:r w:rsidRPr="00EB7C97">
        <w:rPr>
          <w:lang w:val="es-ES"/>
        </w:rPr>
        <w:t xml:space="preserve"> </w:t>
      </w:r>
      <w:r w:rsidR="00111BC1">
        <w:rPr>
          <w:lang w:val="es-ES"/>
        </w:rPr>
        <w:t>12</w:t>
      </w:r>
      <w:r w:rsidRPr="00EB7C97">
        <w:rPr>
          <w:lang w:val="es-ES"/>
        </w:rPr>
        <w:t xml:space="preserve"> por ciento el Convenio Económico con el Estado motivado por la discrepancia citada previamente. </w:t>
      </w:r>
    </w:p>
    <w:p w:rsidR="00EB7C97" w:rsidRPr="00EB7C97" w:rsidRDefault="00EB7C97" w:rsidP="00054885">
      <w:pPr>
        <w:spacing w:before="240" w:after="240"/>
        <w:ind w:firstLine="284"/>
        <w:jc w:val="left"/>
        <w:rPr>
          <w:rFonts w:ascii="Arial" w:hAnsi="Arial"/>
          <w:i/>
          <w:iCs/>
          <w:color w:val="000000"/>
          <w:spacing w:val="10"/>
          <w:kern w:val="28"/>
          <w:sz w:val="25"/>
          <w:szCs w:val="26"/>
          <w:lang w:val="es-ES"/>
        </w:rPr>
      </w:pPr>
      <w:r w:rsidRPr="00EB7C97">
        <w:rPr>
          <w:rFonts w:ascii="Arial" w:hAnsi="Arial"/>
          <w:i/>
          <w:iCs/>
          <w:color w:val="000000"/>
          <w:spacing w:val="10"/>
          <w:kern w:val="28"/>
          <w:sz w:val="25"/>
          <w:szCs w:val="26"/>
          <w:lang w:val="es-ES"/>
        </w:rPr>
        <w:t>Indicadores</w:t>
      </w:r>
    </w:p>
    <w:p w:rsidR="00EB7C97" w:rsidRPr="00EB7C97" w:rsidRDefault="00EB7C97" w:rsidP="00EB7C97">
      <w:pPr>
        <w:tabs>
          <w:tab w:val="left" w:pos="480"/>
        </w:tabs>
        <w:spacing w:after="240"/>
        <w:ind w:firstLine="284"/>
        <w:rPr>
          <w:spacing w:val="2"/>
          <w:sz w:val="26"/>
          <w:szCs w:val="24"/>
        </w:rPr>
      </w:pPr>
      <w:r w:rsidRPr="00EB7C97">
        <w:rPr>
          <w:spacing w:val="2"/>
          <w:sz w:val="26"/>
          <w:szCs w:val="24"/>
          <w:lang w:val="es-ES"/>
        </w:rPr>
        <w:t>En el cuadro siguiente, se muestra, en miles de euros, la evolución de un co</w:t>
      </w:r>
      <w:r w:rsidRPr="00EB7C97">
        <w:rPr>
          <w:spacing w:val="2"/>
          <w:sz w:val="26"/>
          <w:szCs w:val="24"/>
          <w:lang w:val="es-ES"/>
        </w:rPr>
        <w:t>n</w:t>
      </w:r>
      <w:r w:rsidRPr="00EB7C97">
        <w:rPr>
          <w:spacing w:val="2"/>
          <w:sz w:val="26"/>
          <w:szCs w:val="24"/>
          <w:lang w:val="es-ES"/>
        </w:rPr>
        <w:t>junto de indicadores de la Administración de la Comunidad Foral en 2015 y 2016:</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1A35E1" w:rsidRPr="001A35E1" w:rsidTr="00275E02">
        <w:trPr>
          <w:trHeight w:val="255"/>
        </w:trPr>
        <w:tc>
          <w:tcPr>
            <w:tcW w:w="8848"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cs="Arial"/>
                <w:spacing w:val="6"/>
                <w:sz w:val="17"/>
                <w:szCs w:val="17"/>
              </w:rPr>
              <w:t>(en miles de euros)</w:t>
            </w:r>
          </w:p>
        </w:tc>
      </w:tr>
      <w:tr w:rsidR="00EB7C97" w:rsidRPr="00EB7C97" w:rsidTr="00275E02">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spacing w:after="0"/>
              <w:ind w:firstLine="0"/>
              <w:rPr>
                <w:rFonts w:ascii="Arial" w:hAnsi="Arial" w:cs="Arial"/>
                <w:color w:val="000000"/>
                <w:sz w:val="18"/>
                <w:szCs w:val="18"/>
                <w:lang w:val="es-ES" w:eastAsia="es-ES"/>
              </w:rPr>
            </w:pPr>
            <w:r w:rsidRPr="00EB7C97">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spacing w:after="0"/>
              <w:ind w:firstLine="0"/>
              <w:jc w:val="right"/>
              <w:rPr>
                <w:rFonts w:ascii="Arial" w:hAnsi="Arial" w:cs="Arial"/>
                <w:color w:val="000000"/>
                <w:sz w:val="18"/>
                <w:szCs w:val="18"/>
                <w:lang w:val="es-ES" w:eastAsia="es-ES"/>
              </w:rPr>
            </w:pPr>
            <w:r w:rsidRPr="00EB7C97">
              <w:rPr>
                <w:rFonts w:ascii="Arial" w:hAnsi="Arial" w:cs="Arial"/>
                <w:color w:val="000000"/>
                <w:sz w:val="18"/>
                <w:szCs w:val="18"/>
                <w:lang w:val="es-ES" w:eastAsia="es-ES"/>
              </w:rPr>
              <w:t>2015</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spacing w:after="0"/>
              <w:ind w:firstLine="0"/>
              <w:jc w:val="right"/>
              <w:rPr>
                <w:rFonts w:ascii="Arial" w:hAnsi="Arial" w:cs="Arial"/>
                <w:color w:val="000000"/>
                <w:sz w:val="18"/>
                <w:szCs w:val="18"/>
                <w:lang w:val="es-ES" w:eastAsia="es-ES"/>
              </w:rPr>
            </w:pPr>
            <w:r w:rsidRPr="00EB7C97">
              <w:rPr>
                <w:rFonts w:ascii="Arial" w:hAnsi="Arial" w:cs="Arial"/>
                <w:color w:val="000000"/>
                <w:sz w:val="18"/>
                <w:szCs w:val="18"/>
                <w:lang w:val="es-ES" w:eastAsia="es-ES"/>
              </w:rPr>
              <w:t>2016</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EB7C97" w:rsidRPr="00EB7C97" w:rsidRDefault="00EE60AF"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w:t>
            </w:r>
            <w:r w:rsidR="00EB7C97" w:rsidRPr="00EB7C97">
              <w:rPr>
                <w:rFonts w:ascii="Arial" w:hAnsi="Arial" w:cs="Arial"/>
                <w:spacing w:val="6"/>
                <w:sz w:val="18"/>
                <w:szCs w:val="24"/>
              </w:rPr>
              <w:t>ariación  2016/2015</w:t>
            </w:r>
          </w:p>
        </w:tc>
      </w:tr>
      <w:tr w:rsidR="00EB7C97" w:rsidRPr="00EB7C97" w:rsidTr="00275E02">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 xml:space="preserve">Gasto total </w:t>
            </w:r>
          </w:p>
        </w:tc>
        <w:tc>
          <w:tcPr>
            <w:tcW w:w="1438" w:type="dxa"/>
            <w:tcBorders>
              <w:top w:val="single" w:sz="4" w:space="0" w:color="auto"/>
              <w:left w:val="nil"/>
              <w:bottom w:val="single" w:sz="2" w:space="0" w:color="auto"/>
              <w:right w:val="nil"/>
            </w:tcBorders>
            <w:shd w:val="clear" w:color="auto" w:fill="auto"/>
            <w:vAlign w:val="center"/>
            <w:hideMark/>
          </w:tcPr>
          <w:p w:rsidR="00EB7C97" w:rsidRPr="00EB7C97" w:rsidRDefault="00EB7C97" w:rsidP="008B0269">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3.913.</w:t>
            </w:r>
            <w:r w:rsidR="008B0269">
              <w:rPr>
                <w:rFonts w:ascii="Arial Narrow" w:hAnsi="Arial Narrow"/>
                <w:color w:val="000000"/>
                <w:lang w:val="es-ES" w:eastAsia="es-ES"/>
              </w:rPr>
              <w:t>963</w:t>
            </w:r>
          </w:p>
        </w:tc>
        <w:tc>
          <w:tcPr>
            <w:tcW w:w="1559" w:type="dxa"/>
            <w:tcBorders>
              <w:top w:val="single" w:sz="4"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3.966.599</w:t>
            </w:r>
          </w:p>
        </w:tc>
        <w:tc>
          <w:tcPr>
            <w:tcW w:w="1320" w:type="dxa"/>
            <w:tcBorders>
              <w:top w:val="single" w:sz="4"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Gastos corrientes (cap. 1 a 4)</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3.280.</w:t>
            </w:r>
            <w:r w:rsidR="008B0269">
              <w:rPr>
                <w:rFonts w:ascii="Arial Narrow" w:hAnsi="Arial Narrow"/>
                <w:color w:val="000000"/>
                <w:lang w:val="es-ES" w:eastAsia="es-ES"/>
              </w:rPr>
              <w:t>412</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3.285.771</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0,2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Gastos de funcionamiento (cap. 1,2 y 4)</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3.171.</w:t>
            </w:r>
            <w:r w:rsidR="008B0269">
              <w:rPr>
                <w:rFonts w:ascii="Arial Narrow" w:hAnsi="Arial Narrow"/>
                <w:color w:val="000000"/>
                <w:lang w:val="es-ES" w:eastAsia="es-ES"/>
              </w:rPr>
              <w:t>947</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3.181.873</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0,3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Gastos de capital (cap. 6 y 7)</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209.278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176.874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Gastos operaciones financieras (cap. 8 y 9)</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424.224</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503.954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19</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Ingreso total</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3.876.563</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4.058.068</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Ingresos corrientes (cap.1 a 5)</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3.283.446</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3.382.506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Ingresos tributarios (cap.1 a 3)</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3.234.908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3.325.605</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Porcentaje ingresos tributarios sobre gastos corrientes</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99</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101</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2380F">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Recaudación líquida tributaria</w:t>
            </w:r>
            <w:r w:rsidR="00111BC1" w:rsidRPr="0082380F">
              <w:rPr>
                <w:rFonts w:ascii="Arial Narrow" w:hAnsi="Arial Narrow"/>
                <w:color w:val="000000"/>
                <w:vertAlign w:val="superscript"/>
                <w:lang w:val="es-ES" w:eastAsia="es-ES"/>
              </w:rPr>
              <w:t>(2)</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 xml:space="preserve">3.198.430 </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3.249.732</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 xml:space="preserve">Porcentaje Recaudación líquida tributaria sobre el PIB </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17,53</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17,09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Ingresos de capital (cap.6 y 7)</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43.075</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23.143</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-46</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Ingresos operaciones financieras (cap.8 y 9)</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550.043</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652.419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19</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 xml:space="preserve">Saldo presupuestario no financiero </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8B0269">
            <w:pPr>
              <w:spacing w:after="0"/>
              <w:ind w:firstLine="0"/>
              <w:jc w:val="right"/>
              <w:rPr>
                <w:rFonts w:ascii="Arial Narrow" w:hAnsi="Arial Narrow"/>
                <w:lang w:val="es-ES" w:eastAsia="es-ES"/>
              </w:rPr>
            </w:pPr>
            <w:r w:rsidRPr="00EB7C97">
              <w:rPr>
                <w:rFonts w:ascii="Arial Narrow" w:hAnsi="Arial Narrow"/>
                <w:lang w:val="es-ES" w:eastAsia="es-ES"/>
              </w:rPr>
              <w:t>-163.</w:t>
            </w:r>
            <w:r w:rsidR="008B0269">
              <w:rPr>
                <w:rFonts w:ascii="Arial Narrow" w:hAnsi="Arial Narrow"/>
                <w:lang w:val="es-ES" w:eastAsia="es-ES"/>
              </w:rPr>
              <w:t>217</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-56.996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65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lang w:val="es-ES" w:eastAsia="es-ES"/>
              </w:rPr>
            </w:pPr>
            <w:r w:rsidRPr="00EB7C97">
              <w:rPr>
                <w:rFonts w:ascii="Arial Narrow" w:hAnsi="Arial Narrow"/>
                <w:lang w:val="es-ES" w:eastAsia="es-ES"/>
              </w:rPr>
              <w:t>Resultado presupuestario ajustado</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-23.</w:t>
            </w:r>
            <w:r w:rsidR="008B0269">
              <w:rPr>
                <w:rFonts w:ascii="Arial Narrow" w:hAnsi="Arial Narrow"/>
                <w:lang w:val="es-ES" w:eastAsia="es-ES"/>
              </w:rPr>
              <w:t>941</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113.036</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B0269">
            <w:pPr>
              <w:spacing w:after="0"/>
              <w:ind w:firstLine="0"/>
              <w:jc w:val="right"/>
              <w:rPr>
                <w:rFonts w:ascii="Arial Narrow" w:hAnsi="Arial Narrow"/>
                <w:lang w:val="es-ES" w:eastAsia="es-ES"/>
              </w:rPr>
            </w:pPr>
            <w:r w:rsidRPr="00EB7C97">
              <w:rPr>
                <w:rFonts w:ascii="Arial Narrow" w:hAnsi="Arial Narrow"/>
                <w:lang w:val="es-ES" w:eastAsia="es-ES"/>
              </w:rPr>
              <w:t>57</w:t>
            </w:r>
            <w:r w:rsidR="008B0269">
              <w:rPr>
                <w:rFonts w:ascii="Arial Narrow" w:hAnsi="Arial Narrow"/>
                <w:lang w:val="es-ES" w:eastAsia="es-ES"/>
              </w:rPr>
              <w:t>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Remanente de Tesorería para Gastos Generales</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-238.100</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-183.622</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FF0000"/>
                <w:lang w:val="es-ES" w:eastAsia="es-ES"/>
              </w:rPr>
            </w:pPr>
            <w:r w:rsidRPr="00EB7C97">
              <w:rPr>
                <w:rFonts w:ascii="Arial Narrow" w:hAnsi="Arial Narrow"/>
                <w:lang w:val="es-ES" w:eastAsia="es-ES"/>
              </w:rPr>
              <w:t>23</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Ahorro Bruto</w:t>
            </w:r>
          </w:p>
        </w:tc>
        <w:tc>
          <w:tcPr>
            <w:tcW w:w="1438"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111.</w:t>
            </w:r>
            <w:r w:rsidR="008B0269">
              <w:rPr>
                <w:rFonts w:ascii="Arial Narrow" w:hAnsi="Arial Narrow"/>
                <w:color w:val="000000"/>
                <w:lang w:val="es-ES" w:eastAsia="es-ES"/>
              </w:rPr>
              <w:t>499</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200.633</w:t>
            </w:r>
          </w:p>
        </w:tc>
        <w:tc>
          <w:tcPr>
            <w:tcW w:w="1320"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80</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Carga financiera (cap. 3 y 9)</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415.741</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519.977</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Ahorro neto</w:t>
            </w:r>
          </w:p>
        </w:tc>
        <w:tc>
          <w:tcPr>
            <w:tcW w:w="1438"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-304.</w:t>
            </w:r>
            <w:r w:rsidR="008B0269">
              <w:rPr>
                <w:rFonts w:ascii="Arial Narrow" w:hAnsi="Arial Narrow"/>
                <w:lang w:val="es-ES" w:eastAsia="es-ES"/>
              </w:rPr>
              <w:t>242</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-319.344</w:t>
            </w:r>
          </w:p>
        </w:tc>
        <w:tc>
          <w:tcPr>
            <w:tcW w:w="1320" w:type="dxa"/>
            <w:tcBorders>
              <w:top w:val="single" w:sz="2" w:space="0" w:color="auto"/>
              <w:left w:val="nil"/>
              <w:bottom w:val="single" w:sz="2" w:space="0" w:color="auto"/>
              <w:right w:val="nil"/>
            </w:tcBorders>
            <w:shd w:val="clear" w:color="auto" w:fill="auto"/>
            <w:noWrap/>
            <w:vAlign w:val="center"/>
          </w:tcPr>
          <w:p w:rsidR="00EB7C97" w:rsidRPr="00EB7C97" w:rsidRDefault="008B0269" w:rsidP="00EB7C97">
            <w:pPr>
              <w:spacing w:after="0"/>
              <w:ind w:firstLine="0"/>
              <w:jc w:val="right"/>
              <w:rPr>
                <w:rFonts w:ascii="Arial Narrow" w:hAnsi="Arial Narrow"/>
                <w:lang w:val="es-ES" w:eastAsia="es-ES"/>
              </w:rPr>
            </w:pPr>
            <w:r>
              <w:rPr>
                <w:rFonts w:ascii="Arial Narrow" w:hAnsi="Arial Narrow"/>
                <w:lang w:val="es-ES" w:eastAsia="es-ES"/>
              </w:rPr>
              <w:t>-</w:t>
            </w:r>
            <w:r w:rsidR="00EB7C97" w:rsidRPr="00EB7C97">
              <w:rPr>
                <w:rFonts w:ascii="Arial Narrow" w:hAnsi="Arial Narrow"/>
                <w:lang w:val="es-ES" w:eastAsia="es-ES"/>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lang w:val="es-ES" w:eastAsia="es-ES"/>
              </w:rPr>
            </w:pPr>
            <w:r w:rsidRPr="00EB7C97">
              <w:rPr>
                <w:rFonts w:ascii="Arial Narrow" w:hAnsi="Arial Narrow"/>
                <w:lang w:val="es-ES" w:eastAsia="es-ES"/>
              </w:rPr>
              <w:t>Resultados del ejercicio (desahorro)</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-149.906</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-53.865</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64</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lang w:val="es-ES" w:eastAsia="es-ES"/>
              </w:rPr>
            </w:pPr>
            <w:r w:rsidRPr="00EB7C97">
              <w:rPr>
                <w:rFonts w:ascii="Arial Narrow" w:hAnsi="Arial Narrow"/>
                <w:lang w:val="es-ES" w:eastAsia="es-ES"/>
              </w:rPr>
              <w:t>Fondos propios</w:t>
            </w:r>
          </w:p>
        </w:tc>
        <w:tc>
          <w:tcPr>
            <w:tcW w:w="1438"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-247.753</w:t>
            </w:r>
          </w:p>
        </w:tc>
        <w:tc>
          <w:tcPr>
            <w:tcW w:w="1559" w:type="dxa"/>
            <w:tcBorders>
              <w:top w:val="single" w:sz="2" w:space="0" w:color="auto"/>
              <w:left w:val="nil"/>
              <w:bottom w:val="single" w:sz="2"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-301.678</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22</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lang w:val="es-ES" w:eastAsia="es-ES"/>
              </w:rPr>
            </w:pPr>
            <w:r w:rsidRPr="00EB7C97">
              <w:rPr>
                <w:rFonts w:ascii="Arial Narrow" w:hAnsi="Arial Narrow"/>
                <w:lang w:val="es-ES" w:eastAsia="es-ES"/>
              </w:rPr>
              <w:t>Deuda financiera del Gobierno de Navarra</w:t>
            </w:r>
            <w:r w:rsidRPr="00EB7C97">
              <w:rPr>
                <w:rFonts w:ascii="Arial Narrow" w:hAnsi="Arial Narrow"/>
                <w:vertAlign w:val="superscript"/>
                <w:lang w:val="es-ES" w:eastAsia="es-ES"/>
              </w:rPr>
              <w:t xml:space="preserve">  (1)</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2.898.861</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3.057.559</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5</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82380F">
            <w:pPr>
              <w:spacing w:after="0"/>
              <w:ind w:firstLine="0"/>
              <w:jc w:val="left"/>
              <w:rPr>
                <w:rFonts w:ascii="Arial Narrow" w:hAnsi="Arial Narrow"/>
                <w:lang w:val="es-ES" w:eastAsia="es-ES"/>
              </w:rPr>
            </w:pPr>
            <w:r w:rsidRPr="00EB7C97">
              <w:rPr>
                <w:rFonts w:ascii="Arial Narrow" w:hAnsi="Arial Narrow"/>
                <w:lang w:val="es-ES" w:eastAsia="es-ES"/>
              </w:rPr>
              <w:t xml:space="preserve">Porcentaje de la </w:t>
            </w:r>
            <w:r w:rsidR="0082380F">
              <w:rPr>
                <w:rFonts w:ascii="Arial Narrow" w:hAnsi="Arial Narrow"/>
                <w:lang w:val="es-ES" w:eastAsia="es-ES"/>
              </w:rPr>
              <w:t>d</w:t>
            </w:r>
            <w:r w:rsidRPr="00EB7C97">
              <w:rPr>
                <w:rFonts w:ascii="Arial Narrow" w:hAnsi="Arial Narrow"/>
                <w:lang w:val="es-ES" w:eastAsia="es-ES"/>
              </w:rPr>
              <w:t>euda sobre ingresos corrientes</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88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lang w:val="es-ES" w:eastAsia="es-ES"/>
              </w:rPr>
            </w:pPr>
            <w:r w:rsidRPr="00EB7C97">
              <w:rPr>
                <w:rFonts w:ascii="Arial Narrow" w:hAnsi="Arial Narrow"/>
                <w:lang w:val="es-ES" w:eastAsia="es-ES"/>
              </w:rPr>
              <w:t>90</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w:t>
            </w:r>
          </w:p>
        </w:tc>
      </w:tr>
      <w:tr w:rsidR="00EB7C97" w:rsidRPr="00EB7C97" w:rsidTr="00275E0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Avales constituidos (saldo vivo)</w:t>
            </w:r>
          </w:p>
        </w:tc>
        <w:tc>
          <w:tcPr>
            <w:tcW w:w="1438" w:type="dxa"/>
            <w:tcBorders>
              <w:top w:val="single" w:sz="2" w:space="0" w:color="auto"/>
              <w:left w:val="nil"/>
              <w:bottom w:val="single" w:sz="2"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179.628</w:t>
            </w:r>
          </w:p>
        </w:tc>
        <w:tc>
          <w:tcPr>
            <w:tcW w:w="1559" w:type="dxa"/>
            <w:tcBorders>
              <w:top w:val="single" w:sz="2" w:space="0" w:color="auto"/>
              <w:left w:val="nil"/>
              <w:bottom w:val="single" w:sz="2" w:space="0" w:color="auto"/>
              <w:right w:val="nil"/>
            </w:tcBorders>
            <w:shd w:val="clear" w:color="auto" w:fill="auto"/>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163.524</w:t>
            </w:r>
          </w:p>
        </w:tc>
        <w:tc>
          <w:tcPr>
            <w:tcW w:w="1320" w:type="dxa"/>
            <w:tcBorders>
              <w:top w:val="single" w:sz="2" w:space="0" w:color="auto"/>
              <w:left w:val="nil"/>
              <w:bottom w:val="single" w:sz="2"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-9</w:t>
            </w:r>
          </w:p>
        </w:tc>
      </w:tr>
      <w:tr w:rsidR="00EB7C97" w:rsidRPr="00EB7C97" w:rsidTr="00275E02">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EB7C97" w:rsidRPr="00EB7C97" w:rsidRDefault="00EB7C97" w:rsidP="00EB7C97">
            <w:pPr>
              <w:spacing w:after="0"/>
              <w:ind w:firstLine="0"/>
              <w:jc w:val="left"/>
              <w:rPr>
                <w:rFonts w:ascii="Arial Narrow" w:hAnsi="Arial Narrow"/>
                <w:color w:val="000000"/>
                <w:lang w:val="es-ES" w:eastAsia="es-ES"/>
              </w:rPr>
            </w:pPr>
            <w:r w:rsidRPr="00EB7C97">
              <w:rPr>
                <w:rFonts w:ascii="Arial Narrow" w:hAnsi="Arial Narrow"/>
                <w:color w:val="000000"/>
                <w:lang w:val="es-ES" w:eastAsia="es-ES"/>
              </w:rPr>
              <w:t>Compromisos de gastos presup. ejercicios futuros</w:t>
            </w:r>
          </w:p>
        </w:tc>
        <w:tc>
          <w:tcPr>
            <w:tcW w:w="1438" w:type="dxa"/>
            <w:tcBorders>
              <w:top w:val="single" w:sz="2" w:space="0" w:color="auto"/>
              <w:left w:val="nil"/>
              <w:bottom w:val="single" w:sz="4" w:space="0" w:color="auto"/>
              <w:right w:val="nil"/>
            </w:tcBorders>
            <w:shd w:val="clear" w:color="auto" w:fill="auto"/>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3.864.253</w:t>
            </w:r>
          </w:p>
        </w:tc>
        <w:tc>
          <w:tcPr>
            <w:tcW w:w="1559" w:type="dxa"/>
            <w:tcBorders>
              <w:top w:val="single" w:sz="2" w:space="0" w:color="auto"/>
              <w:left w:val="nil"/>
              <w:bottom w:val="single" w:sz="4" w:space="0" w:color="auto"/>
              <w:right w:val="nil"/>
            </w:tcBorders>
            <w:shd w:val="clear" w:color="auto" w:fill="auto"/>
            <w:noWrap/>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3.948.964</w:t>
            </w:r>
          </w:p>
        </w:tc>
        <w:tc>
          <w:tcPr>
            <w:tcW w:w="1320" w:type="dxa"/>
            <w:tcBorders>
              <w:top w:val="single" w:sz="2" w:space="0" w:color="auto"/>
              <w:left w:val="nil"/>
              <w:bottom w:val="single" w:sz="4" w:space="0" w:color="auto"/>
              <w:right w:val="nil"/>
            </w:tcBorders>
            <w:shd w:val="clear" w:color="auto" w:fill="auto"/>
            <w:noWrap/>
            <w:vAlign w:val="center"/>
            <w:hideMark/>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w:t>
            </w:r>
          </w:p>
        </w:tc>
      </w:tr>
    </w:tbl>
    <w:p w:rsidR="00EB7C97" w:rsidRPr="0082380F" w:rsidRDefault="00EB7C97" w:rsidP="00E042B5">
      <w:pPr>
        <w:pStyle w:val="Prrafodelista"/>
        <w:numPr>
          <w:ilvl w:val="0"/>
          <w:numId w:val="11"/>
        </w:numPr>
        <w:spacing w:before="60"/>
        <w:ind w:left="284" w:hanging="284"/>
        <w:rPr>
          <w:rFonts w:ascii="Arial" w:hAnsi="Arial" w:cs="Arial"/>
          <w:sz w:val="16"/>
          <w:szCs w:val="18"/>
        </w:rPr>
      </w:pPr>
      <w:r w:rsidRPr="0082380F">
        <w:rPr>
          <w:rFonts w:ascii="Arial" w:hAnsi="Arial" w:cs="Arial"/>
          <w:sz w:val="16"/>
          <w:szCs w:val="18"/>
        </w:rPr>
        <w:t>A coste amortizado</w:t>
      </w:r>
      <w:r w:rsidR="00892833">
        <w:rPr>
          <w:rFonts w:ascii="Arial" w:hAnsi="Arial" w:cs="Arial"/>
          <w:sz w:val="16"/>
          <w:szCs w:val="18"/>
        </w:rPr>
        <w:t>.</w:t>
      </w:r>
    </w:p>
    <w:p w:rsidR="0082380F" w:rsidRPr="0082380F" w:rsidRDefault="0082380F" w:rsidP="00664032">
      <w:pPr>
        <w:pStyle w:val="Prrafodelista"/>
        <w:numPr>
          <w:ilvl w:val="0"/>
          <w:numId w:val="11"/>
        </w:numPr>
        <w:spacing w:before="120"/>
        <w:ind w:left="284" w:hanging="284"/>
        <w:rPr>
          <w:rFonts w:ascii="Arial" w:hAnsi="Arial" w:cs="Arial"/>
          <w:sz w:val="16"/>
          <w:szCs w:val="18"/>
        </w:rPr>
      </w:pPr>
      <w:r w:rsidRPr="0082380F">
        <w:rPr>
          <w:rFonts w:ascii="Arial" w:hAnsi="Arial" w:cs="Arial"/>
          <w:sz w:val="16"/>
          <w:szCs w:val="18"/>
        </w:rPr>
        <w:t>Se entiende por recaudación líquida los cobros en efectivo del ejercicio corriente y de cerrados más las formalizaciones y compensaciones menos las devoluciones</w:t>
      </w:r>
      <w:r w:rsidR="00892833">
        <w:rPr>
          <w:rFonts w:ascii="Arial" w:hAnsi="Arial" w:cs="Arial"/>
          <w:sz w:val="16"/>
          <w:szCs w:val="18"/>
        </w:rPr>
        <w:t>.</w:t>
      </w:r>
    </w:p>
    <w:p w:rsidR="001A35E1" w:rsidRDefault="001A35E1" w:rsidP="00054885">
      <w:pPr>
        <w:pStyle w:val="texto"/>
      </w:pPr>
    </w:p>
    <w:p w:rsidR="001A35E1" w:rsidRDefault="001A35E1" w:rsidP="00054885">
      <w:pPr>
        <w:pStyle w:val="texto"/>
      </w:pPr>
    </w:p>
    <w:p w:rsidR="00EB7C97" w:rsidRPr="00EB7C97" w:rsidRDefault="00EB7C97" w:rsidP="00054885">
      <w:pPr>
        <w:pStyle w:val="texto"/>
      </w:pPr>
      <w:r w:rsidRPr="00EB7C97">
        <w:lastRenderedPageBreak/>
        <w:t>De la evolución anterior destacamos:</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C5ED9">
        <w:rPr>
          <w:rFonts w:cs="Arial"/>
        </w:rPr>
        <w:t>En 2016, los gastos totales se han mantenido prácticamente igual que en 2015 aumentando tan solo un uno por ciento (52,74 millones). Atendiendo a su naturaleza, los corrientes se han incrementado en un 0,2 por ciento, en tanto que los de operaciones financieras lo han hecho en un 19 por ciento, dismin</w:t>
      </w:r>
      <w:r w:rsidRPr="003C5ED9">
        <w:rPr>
          <w:rFonts w:cs="Arial"/>
        </w:rPr>
        <w:t>u</w:t>
      </w:r>
      <w:r w:rsidRPr="003C5ED9">
        <w:rPr>
          <w:rFonts w:cs="Arial"/>
        </w:rPr>
        <w:t>yendo los de capital un 15 por ciento.</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C5ED9">
        <w:rPr>
          <w:rFonts w:cs="Arial"/>
        </w:rPr>
        <w:t>Los ingresos totales de 2016 han aumentado respecto a los de 2015 en un cinco por ciento (181,51 millones). Los ingresos tributarios y los corrientes fueron un tres por ciento superiores, frente a los de capital que se redujeron un 46 por ciento; por otro lado, los derivados de operaciones financieras se incr</w:t>
      </w:r>
      <w:r w:rsidRPr="003C5ED9">
        <w:rPr>
          <w:rFonts w:cs="Arial"/>
        </w:rPr>
        <w:t>e</w:t>
      </w:r>
      <w:r w:rsidRPr="003C5ED9">
        <w:rPr>
          <w:rFonts w:cs="Arial"/>
        </w:rPr>
        <w:t>mentaron un 19 por ciento.</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C5ED9">
        <w:rPr>
          <w:rFonts w:cs="Arial"/>
        </w:rPr>
        <w:t xml:space="preserve"> En ambos ejercicios, los ingresos tributarios solo permiten financiar el v</w:t>
      </w:r>
      <w:r w:rsidRPr="003C5ED9">
        <w:rPr>
          <w:rFonts w:cs="Arial"/>
        </w:rPr>
        <w:t>o</w:t>
      </w:r>
      <w:r w:rsidRPr="003C5ED9">
        <w:rPr>
          <w:rFonts w:cs="Arial"/>
        </w:rPr>
        <w:t>lumen de gasto corriente de la administración, si bien en 2016 se aprecia cierta mejoría con un porcentaje del 101 por ciento frente al 99 por ciento de 2015.</w:t>
      </w:r>
    </w:p>
    <w:p w:rsidR="001F3380"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1F3380">
        <w:rPr>
          <w:rFonts w:cs="Arial"/>
        </w:rPr>
        <w:t>L</w:t>
      </w:r>
      <w:r w:rsidR="001F3380" w:rsidRPr="001F3380">
        <w:rPr>
          <w:rFonts w:cs="Arial"/>
        </w:rPr>
        <w:t>a recaudación tributaria líquida supone un 17 por ciento del PIB</w:t>
      </w:r>
      <w:r w:rsidR="001F3380">
        <w:rPr>
          <w:rStyle w:val="Refdenotaalpie"/>
          <w:rFonts w:cs="Arial"/>
        </w:rPr>
        <w:footnoteReference w:id="1"/>
      </w:r>
      <w:r w:rsidR="001F3380" w:rsidRPr="001F3380">
        <w:rPr>
          <w:rFonts w:cs="Arial"/>
        </w:rPr>
        <w:t xml:space="preserve"> de N</w:t>
      </w:r>
      <w:r w:rsidR="001F3380" w:rsidRPr="001F3380">
        <w:rPr>
          <w:rFonts w:cs="Arial"/>
        </w:rPr>
        <w:t>a</w:t>
      </w:r>
      <w:r w:rsidR="001F3380" w:rsidRPr="001F3380">
        <w:rPr>
          <w:rFonts w:cs="Arial"/>
        </w:rPr>
        <w:t xml:space="preserve">varra, porcentaje similar al de 2015. </w:t>
      </w:r>
      <w:r w:rsidR="001F3380">
        <w:rPr>
          <w:rFonts w:cs="Arial"/>
        </w:rPr>
        <w:t>S</w:t>
      </w:r>
      <w:r w:rsidRPr="001F3380">
        <w:rPr>
          <w:rFonts w:cs="Arial"/>
        </w:rPr>
        <w:t>e ha incrementado un dos por ciento</w:t>
      </w:r>
      <w:r w:rsidR="001F3380">
        <w:rPr>
          <w:rFonts w:cs="Arial"/>
        </w:rPr>
        <w:t xml:space="preserve"> re</w:t>
      </w:r>
      <w:r w:rsidR="001F3380">
        <w:rPr>
          <w:rFonts w:cs="Arial"/>
        </w:rPr>
        <w:t>s</w:t>
      </w:r>
      <w:r w:rsidR="001F3380">
        <w:rPr>
          <w:rFonts w:cs="Arial"/>
        </w:rPr>
        <w:t>pecto al año anterior.</w:t>
      </w:r>
    </w:p>
    <w:p w:rsidR="00EB7C97" w:rsidRPr="001F3380"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1F3380">
        <w:rPr>
          <w:rFonts w:cs="Arial"/>
        </w:rPr>
        <w:t>El saldo presupuestario no financiero de 2016 ha sido negativo en 57 m</w:t>
      </w:r>
      <w:r w:rsidRPr="001F3380">
        <w:rPr>
          <w:rFonts w:cs="Arial"/>
        </w:rPr>
        <w:t>i</w:t>
      </w:r>
      <w:r w:rsidRPr="001F3380">
        <w:rPr>
          <w:rFonts w:cs="Arial"/>
        </w:rPr>
        <w:t>llones, mejorando respecto a 2015 en un 65 por ciento.</w:t>
      </w:r>
    </w:p>
    <w:p w:rsidR="00EB7C97" w:rsidRPr="003C5ED9"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C5ED9">
        <w:rPr>
          <w:rFonts w:cs="Arial"/>
        </w:rPr>
        <w:t xml:space="preserve">El remanente de tesorería para gastos generales de 2016 es negativo en 183,62 millones; </w:t>
      </w:r>
      <w:r w:rsidR="008B0269">
        <w:rPr>
          <w:rFonts w:cs="Arial"/>
        </w:rPr>
        <w:t>este</w:t>
      </w:r>
      <w:r w:rsidRPr="003C5ED9">
        <w:rPr>
          <w:rFonts w:cs="Arial"/>
        </w:rPr>
        <w:t xml:space="preserve"> valor negativo disminuye un 23 por ciento</w:t>
      </w:r>
      <w:r w:rsidR="008B0269">
        <w:rPr>
          <w:rFonts w:cs="Arial"/>
        </w:rPr>
        <w:t xml:space="preserve"> respecto a 2015</w:t>
      </w:r>
      <w:r w:rsidRPr="003C5ED9">
        <w:rPr>
          <w:rFonts w:cs="Arial"/>
        </w:rPr>
        <w:t xml:space="preserve"> tal y como se muestra a continuación:</w:t>
      </w:r>
    </w:p>
    <w:p w:rsidR="008B7A1B" w:rsidRPr="003C5ED9" w:rsidRDefault="008B7A1B" w:rsidP="008B7A1B">
      <w:pPr>
        <w:keepLines/>
        <w:spacing w:after="60"/>
        <w:ind w:left="68" w:firstLine="0"/>
        <w:jc w:val="right"/>
        <w:rPr>
          <w:rFonts w:ascii="Arial" w:hAnsi="Arial"/>
          <w:spacing w:val="6"/>
          <w:sz w:val="17"/>
          <w:szCs w:val="17"/>
        </w:rPr>
      </w:pPr>
      <w:r w:rsidRPr="003C5ED9">
        <w:rPr>
          <w:rFonts w:ascii="Arial" w:hAnsi="Arial"/>
          <w:spacing w:val="6"/>
          <w:sz w:val="17"/>
          <w:szCs w:val="17"/>
        </w:rPr>
        <w:t>(en miles de euros)</w:t>
      </w:r>
    </w:p>
    <w:tbl>
      <w:tblPr>
        <w:tblW w:w="882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69"/>
        <w:gridCol w:w="994"/>
        <w:gridCol w:w="994"/>
        <w:gridCol w:w="994"/>
        <w:gridCol w:w="994"/>
        <w:gridCol w:w="994"/>
        <w:gridCol w:w="994"/>
        <w:gridCol w:w="994"/>
      </w:tblGrid>
      <w:tr w:rsidR="00EB7C97" w:rsidRPr="00EB7C97" w:rsidTr="008B7A1B">
        <w:trPr>
          <w:trHeight w:val="255"/>
          <w:jc w:val="center"/>
        </w:trPr>
        <w:tc>
          <w:tcPr>
            <w:tcW w:w="1869"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Magnitud</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2010</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2011</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2012</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2013</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2014</w:t>
            </w:r>
          </w:p>
        </w:tc>
        <w:tc>
          <w:tcPr>
            <w:tcW w:w="994"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2015</w:t>
            </w:r>
          </w:p>
        </w:tc>
        <w:tc>
          <w:tcPr>
            <w:tcW w:w="994"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2016</w:t>
            </w:r>
          </w:p>
        </w:tc>
      </w:tr>
      <w:tr w:rsidR="00EB7C97" w:rsidRPr="00EB7C97" w:rsidTr="008B7A1B">
        <w:trPr>
          <w:trHeight w:val="198"/>
          <w:jc w:val="center"/>
        </w:trPr>
        <w:tc>
          <w:tcPr>
            <w:tcW w:w="1869" w:type="dxa"/>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 xml:space="preserve">Remanente Tesorería </w:t>
            </w:r>
          </w:p>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gastos generales</w:t>
            </w:r>
          </w:p>
        </w:tc>
        <w:tc>
          <w:tcPr>
            <w:tcW w:w="994" w:type="dxa"/>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-126.369</w:t>
            </w:r>
          </w:p>
        </w:tc>
        <w:tc>
          <w:tcPr>
            <w:tcW w:w="994" w:type="dxa"/>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-174.939</w:t>
            </w:r>
          </w:p>
        </w:tc>
        <w:tc>
          <w:tcPr>
            <w:tcW w:w="994" w:type="dxa"/>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-239.750</w:t>
            </w:r>
          </w:p>
        </w:tc>
        <w:tc>
          <w:tcPr>
            <w:tcW w:w="994" w:type="dxa"/>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-221.192</w:t>
            </w:r>
          </w:p>
        </w:tc>
        <w:tc>
          <w:tcPr>
            <w:tcW w:w="994" w:type="dxa"/>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-184.088</w:t>
            </w:r>
          </w:p>
        </w:tc>
        <w:tc>
          <w:tcPr>
            <w:tcW w:w="994" w:type="dxa"/>
            <w:vAlign w:val="center"/>
          </w:tcPr>
          <w:p w:rsidR="00EB7C97" w:rsidRPr="00EB7C97" w:rsidRDefault="00EB7C97" w:rsidP="00EB7C97">
            <w:pPr>
              <w:spacing w:after="0"/>
              <w:ind w:firstLine="0"/>
              <w:jc w:val="right"/>
              <w:rPr>
                <w:rFonts w:ascii="Arial Narrow" w:hAnsi="Arial Narrow"/>
                <w:color w:val="000000"/>
                <w:lang w:val="es-ES" w:eastAsia="es-ES"/>
              </w:rPr>
            </w:pPr>
            <w:r w:rsidRPr="00EB7C97">
              <w:rPr>
                <w:rFonts w:ascii="Arial Narrow" w:hAnsi="Arial Narrow"/>
                <w:color w:val="000000"/>
                <w:lang w:val="es-ES" w:eastAsia="es-ES"/>
              </w:rPr>
              <w:t>-238.100</w:t>
            </w:r>
          </w:p>
        </w:tc>
        <w:tc>
          <w:tcPr>
            <w:tcW w:w="994" w:type="dxa"/>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-183.622</w:t>
            </w:r>
          </w:p>
        </w:tc>
      </w:tr>
    </w:tbl>
    <w:p w:rsidR="00EB7C97" w:rsidRPr="00EB7C97" w:rsidRDefault="00EB7C97" w:rsidP="008B7A1B">
      <w:pPr>
        <w:pStyle w:val="texto"/>
        <w:spacing w:before="240"/>
      </w:pPr>
      <w:r w:rsidRPr="00EB7C97">
        <w:t xml:space="preserve">A pesar de que en 2016 el valor mejora, sigue siendo negativo, lo que pone de relieve tanto un déficit real de tesorería como la imposibilidad de financiar por esta vía gastos en ejercicios futuros. </w:t>
      </w:r>
    </w:p>
    <w:p w:rsidR="00EB7C97" w:rsidRPr="00EB7C97" w:rsidRDefault="00EB7C97" w:rsidP="008B7A1B">
      <w:pPr>
        <w:pStyle w:val="texto"/>
        <w:rPr>
          <w:i/>
        </w:rPr>
      </w:pPr>
      <w:r w:rsidRPr="00EB7C97">
        <w:rPr>
          <w:i/>
        </w:rPr>
        <w:t>Como viene insistiendo esta Cámara en informes anterio</w:t>
      </w:r>
      <w:r w:rsidR="0082380F">
        <w:rPr>
          <w:i/>
        </w:rPr>
        <w:t xml:space="preserve">res, recomendamos que se regulen </w:t>
      </w:r>
      <w:r w:rsidRPr="00EB7C97">
        <w:rPr>
          <w:i/>
        </w:rPr>
        <w:t>las medidas precisas para financiar tal remanente negativo.</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B7A1B">
        <w:rPr>
          <w:rFonts w:cs="Arial"/>
        </w:rPr>
        <w:t>El ahorro bruto</w:t>
      </w:r>
      <w:r w:rsidR="009004D2">
        <w:rPr>
          <w:rStyle w:val="Refdenotaalpie"/>
          <w:rFonts w:cs="Arial"/>
        </w:rPr>
        <w:footnoteReference w:id="2"/>
      </w:r>
      <w:r w:rsidRPr="008B7A1B">
        <w:rPr>
          <w:rFonts w:cs="Arial"/>
        </w:rPr>
        <w:t xml:space="preserve"> ha aumentado un 80 por ciento hasta alcanzar los 200,63 millones, si bien esta cuantía es claramente insuficiente para hacer frente a la </w:t>
      </w:r>
      <w:r w:rsidRPr="008B7A1B">
        <w:rPr>
          <w:rFonts w:cs="Arial"/>
        </w:rPr>
        <w:lastRenderedPageBreak/>
        <w:t>carga financiera, generándose un ahorro neto</w:t>
      </w:r>
      <w:r w:rsidR="009004D2">
        <w:rPr>
          <w:rStyle w:val="Refdenotaalpie"/>
          <w:rFonts w:cs="Arial"/>
        </w:rPr>
        <w:footnoteReference w:id="3"/>
      </w:r>
      <w:r w:rsidRPr="008B7A1B">
        <w:rPr>
          <w:rFonts w:cs="Arial"/>
        </w:rPr>
        <w:t xml:space="preserve"> negativo de 319,34 millones, v</w:t>
      </w:r>
      <w:r w:rsidRPr="008B7A1B">
        <w:rPr>
          <w:rFonts w:cs="Arial"/>
        </w:rPr>
        <w:t>a</w:t>
      </w:r>
      <w:r w:rsidRPr="008B7A1B">
        <w:rPr>
          <w:rFonts w:cs="Arial"/>
        </w:rPr>
        <w:t>lor que empeora un cinco por ciento respecto a 2015.</w:t>
      </w:r>
    </w:p>
    <w:p w:rsidR="00EB7C97" w:rsidRPr="008B7A1B" w:rsidRDefault="00242CE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resultado del ejercicio</w:t>
      </w:r>
      <w:r w:rsidR="00EB7C97" w:rsidRPr="008B7A1B">
        <w:rPr>
          <w:rFonts w:cs="Arial"/>
        </w:rPr>
        <w:t xml:space="preserve"> sigue siendo negativo (desahorro) en 53,86 m</w:t>
      </w:r>
      <w:r w:rsidR="00EB7C97" w:rsidRPr="008B7A1B">
        <w:rPr>
          <w:rFonts w:cs="Arial"/>
        </w:rPr>
        <w:t>i</w:t>
      </w:r>
      <w:r w:rsidR="00EB7C97" w:rsidRPr="008B7A1B">
        <w:rPr>
          <w:rFonts w:cs="Arial"/>
        </w:rPr>
        <w:t xml:space="preserve">llones, mejorando en este caso dicho valor negativo sobre 2015 en un 64 por ciento. </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B7A1B">
        <w:rPr>
          <w:rFonts w:cs="Arial"/>
        </w:rPr>
        <w:t>Como consecuencia de los valores negativos de los resultados del ejercicio desde 2008, los fondos propios presentan, en 2016, un saldo negativo de 301,68 millones. Sobre 2015, se ha incrementado ese valor negativo en un 22 por cie</w:t>
      </w:r>
      <w:r w:rsidRPr="008B7A1B">
        <w:rPr>
          <w:rFonts w:cs="Arial"/>
        </w:rPr>
        <w:t>n</w:t>
      </w:r>
      <w:r w:rsidRPr="008B7A1B">
        <w:rPr>
          <w:rFonts w:cs="Arial"/>
        </w:rPr>
        <w:t>to.</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B7A1B">
        <w:rPr>
          <w:rFonts w:cs="Arial"/>
        </w:rPr>
        <w:t>La deuda financiera, a coste amortizado, a 31 de diciembre de 2016 a</w:t>
      </w:r>
      <w:r w:rsidRPr="008B7A1B">
        <w:rPr>
          <w:rFonts w:cs="Arial"/>
        </w:rPr>
        <w:t>s</w:t>
      </w:r>
      <w:r w:rsidRPr="008B7A1B">
        <w:rPr>
          <w:rFonts w:cs="Arial"/>
        </w:rPr>
        <w:t>ciende a 3.057,56 millones, un cinco por ciento más que el año anterior; el 11 por ciento de la misma tiene un vencimiento a corto plazo. Sobre los ingresos corrientes representa el 90 por ciento, dos puntos porcentuales más que el eje</w:t>
      </w:r>
      <w:r w:rsidRPr="008B7A1B">
        <w:rPr>
          <w:rFonts w:cs="Arial"/>
        </w:rPr>
        <w:t>r</w:t>
      </w:r>
      <w:r w:rsidRPr="008B7A1B">
        <w:rPr>
          <w:rFonts w:cs="Arial"/>
        </w:rPr>
        <w:t xml:space="preserve">cicio anterior. </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8B7A1B">
        <w:rPr>
          <w:rFonts w:cs="Arial"/>
        </w:rPr>
        <w:t xml:space="preserve">La evolución presupuestaria de la deuda neta </w:t>
      </w:r>
      <w:r w:rsidR="009004D2">
        <w:rPr>
          <w:rFonts w:cs="Arial"/>
        </w:rPr>
        <w:t xml:space="preserve">- </w:t>
      </w:r>
      <w:r w:rsidRPr="008B7A1B">
        <w:rPr>
          <w:rFonts w:cs="Arial"/>
        </w:rPr>
        <w:t>deuda concertada menos deuda amortizada</w:t>
      </w:r>
      <w:r w:rsidR="000E5DD3">
        <w:rPr>
          <w:rFonts w:cs="Arial"/>
        </w:rPr>
        <w:t>-</w:t>
      </w:r>
      <w:r w:rsidRPr="008B7A1B">
        <w:rPr>
          <w:rFonts w:cs="Arial"/>
        </w:rPr>
        <w:t xml:space="preserve"> por ejercicio y para el periodo de 2009 a 2016, se refleja en el siguiente cuadro:</w:t>
      </w:r>
    </w:p>
    <w:tbl>
      <w:tblPr>
        <w:tblW w:w="871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2"/>
        <w:gridCol w:w="851"/>
        <w:gridCol w:w="850"/>
        <w:gridCol w:w="993"/>
        <w:gridCol w:w="850"/>
        <w:gridCol w:w="851"/>
        <w:gridCol w:w="850"/>
        <w:gridCol w:w="850"/>
      </w:tblGrid>
      <w:tr w:rsidR="001A35E1" w:rsidRPr="00EB7C97" w:rsidTr="001A35E1">
        <w:trPr>
          <w:trHeight w:val="255"/>
          <w:jc w:val="center"/>
        </w:trPr>
        <w:tc>
          <w:tcPr>
            <w:tcW w:w="8717" w:type="dxa"/>
            <w:gridSpan w:val="9"/>
            <w:tcBorders>
              <w:top w:val="nil"/>
              <w:bottom w:val="single" w:sz="4" w:space="0" w:color="000000"/>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cs="Arial"/>
                <w:spacing w:val="6"/>
                <w:sz w:val="17"/>
                <w:szCs w:val="17"/>
              </w:rPr>
              <w:t>(en millones de euros)</w:t>
            </w:r>
          </w:p>
        </w:tc>
      </w:tr>
      <w:tr w:rsidR="00EB7C97" w:rsidRPr="00EB7C97" w:rsidTr="008B7A1B">
        <w:trPr>
          <w:trHeight w:val="255"/>
          <w:jc w:val="center"/>
        </w:trPr>
        <w:tc>
          <w:tcPr>
            <w:tcW w:w="163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Deuda Neta</w:t>
            </w:r>
          </w:p>
        </w:tc>
        <w:tc>
          <w:tcPr>
            <w:tcW w:w="99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2009</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2010</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2011</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2012</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2013</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2014</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2015</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EB7C97" w:rsidRPr="00EB7C97" w:rsidTr="008B7A1B">
        <w:trPr>
          <w:trHeight w:val="198"/>
          <w:jc w:val="center"/>
        </w:trPr>
        <w:tc>
          <w:tcPr>
            <w:tcW w:w="1630"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Deuda concertada</w:t>
            </w:r>
          </w:p>
        </w:tc>
        <w:tc>
          <w:tcPr>
            <w:tcW w:w="992"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214,7</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595,2</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483,2</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418,9</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463,7</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492,6</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446,9</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579,7</w:t>
            </w:r>
          </w:p>
        </w:tc>
      </w:tr>
      <w:tr w:rsidR="00EB7C97" w:rsidRPr="00EB7C97" w:rsidTr="008B7A1B">
        <w:trPr>
          <w:trHeight w:val="198"/>
          <w:jc w:val="center"/>
        </w:trPr>
        <w:tc>
          <w:tcPr>
            <w:tcW w:w="163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Deuda amortizada</w:t>
            </w:r>
          </w:p>
        </w:tc>
        <w:tc>
          <w:tcPr>
            <w:tcW w:w="992"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0,03</w:t>
            </w:r>
          </w:p>
        </w:tc>
        <w:tc>
          <w:tcPr>
            <w:tcW w:w="851"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103,2</w:t>
            </w:r>
          </w:p>
        </w:tc>
        <w:tc>
          <w:tcPr>
            <w:tcW w:w="85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91,2</w:t>
            </w:r>
          </w:p>
        </w:tc>
        <w:tc>
          <w:tcPr>
            <w:tcW w:w="993"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107,3</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193,2</w:t>
            </w:r>
          </w:p>
        </w:tc>
        <w:tc>
          <w:tcPr>
            <w:tcW w:w="851"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296,5</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307,2</w:t>
            </w:r>
          </w:p>
        </w:tc>
        <w:tc>
          <w:tcPr>
            <w:tcW w:w="850"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416,1</w:t>
            </w:r>
          </w:p>
        </w:tc>
      </w:tr>
      <w:tr w:rsidR="00EB7C97" w:rsidRPr="00EB7C97" w:rsidTr="008B7A1B">
        <w:trPr>
          <w:trHeight w:val="255"/>
          <w:jc w:val="center"/>
        </w:trPr>
        <w:tc>
          <w:tcPr>
            <w:tcW w:w="1630"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Total deuda neta</w:t>
            </w:r>
          </w:p>
        </w:tc>
        <w:tc>
          <w:tcPr>
            <w:tcW w:w="992" w:type="dxa"/>
            <w:shd w:val="clear" w:color="auto" w:fill="8DB3E2" w:themeFill="text2" w:themeFillTint="66"/>
            <w:noWrap/>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214,</w:t>
            </w:r>
            <w:r w:rsidR="0082380F">
              <w:rPr>
                <w:rFonts w:ascii="Arial" w:hAnsi="Arial" w:cs="Arial"/>
                <w:spacing w:val="6"/>
                <w:sz w:val="18"/>
                <w:szCs w:val="24"/>
              </w:rPr>
              <w:t>6</w:t>
            </w:r>
            <w:r w:rsidRPr="00EB7C97">
              <w:rPr>
                <w:rFonts w:ascii="Arial" w:hAnsi="Arial" w:cs="Arial"/>
                <w:spacing w:val="6"/>
                <w:sz w:val="18"/>
                <w:szCs w:val="24"/>
              </w:rPr>
              <w:t>7</w:t>
            </w:r>
          </w:p>
        </w:tc>
        <w:tc>
          <w:tcPr>
            <w:tcW w:w="851"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492,0</w:t>
            </w:r>
          </w:p>
        </w:tc>
        <w:tc>
          <w:tcPr>
            <w:tcW w:w="850" w:type="dxa"/>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392,0</w:t>
            </w:r>
          </w:p>
        </w:tc>
        <w:tc>
          <w:tcPr>
            <w:tcW w:w="993"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311,6</w:t>
            </w:r>
          </w:p>
        </w:tc>
        <w:tc>
          <w:tcPr>
            <w:tcW w:w="850"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270,5</w:t>
            </w:r>
          </w:p>
        </w:tc>
        <w:tc>
          <w:tcPr>
            <w:tcW w:w="851"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196,1</w:t>
            </w:r>
          </w:p>
        </w:tc>
        <w:tc>
          <w:tcPr>
            <w:tcW w:w="850" w:type="dxa"/>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139,7</w:t>
            </w:r>
          </w:p>
        </w:tc>
        <w:tc>
          <w:tcPr>
            <w:tcW w:w="850" w:type="dxa"/>
            <w:shd w:val="clear" w:color="auto" w:fill="8DB3E2" w:themeFill="text2" w:themeFillTint="66"/>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163,6</w:t>
            </w:r>
          </w:p>
        </w:tc>
      </w:tr>
    </w:tbl>
    <w:p w:rsidR="00EB7C97" w:rsidRPr="00EB7C97" w:rsidRDefault="00EB7C97" w:rsidP="008B7A1B">
      <w:pPr>
        <w:pStyle w:val="texto"/>
        <w:spacing w:before="240"/>
      </w:pPr>
      <w:r w:rsidRPr="00EB7C97">
        <w:t>El mayor valor de deuda neta se observa en 2010 con 492 millones, y de</w:t>
      </w:r>
      <w:r w:rsidRPr="00EB7C97">
        <w:t>s</w:t>
      </w:r>
      <w:r w:rsidRPr="00EB7C97">
        <w:t>pués de ese ejercicio, su importe se va reduciendo de forma significativa</w:t>
      </w:r>
      <w:r w:rsidR="008B0269">
        <w:t>. De</w:t>
      </w:r>
      <w:r w:rsidR="008B0269">
        <w:t>s</w:t>
      </w:r>
      <w:r w:rsidR="008B0269">
        <w:t xml:space="preserve">taca además que </w:t>
      </w:r>
      <w:r w:rsidRPr="00EB7C97">
        <w:t>la deuda concertada se ha incrementado en 2016 de forma si</w:t>
      </w:r>
      <w:r w:rsidRPr="00EB7C97">
        <w:t>g</w:t>
      </w:r>
      <w:r w:rsidRPr="00EB7C97">
        <w:t>nificativa</w:t>
      </w:r>
      <w:r w:rsidR="008B0269">
        <w:t xml:space="preserve">, y, por </w:t>
      </w:r>
      <w:r w:rsidRPr="00EB7C97">
        <w:t>otro lado, la deuda amortizada también ha aumentado alca</w:t>
      </w:r>
      <w:r w:rsidRPr="00EB7C97">
        <w:t>n</w:t>
      </w:r>
      <w:r w:rsidRPr="00EB7C97">
        <w:t xml:space="preserve">zando los 416 millones, el valor más alto de los últimos años. </w:t>
      </w:r>
      <w:r w:rsidR="008B0269">
        <w:t>Al respecto hay que mencionar que en 2016 se amortizó anticipadamente un préstamo de 70 m</w:t>
      </w:r>
      <w:r w:rsidR="008B0269">
        <w:t>i</w:t>
      </w:r>
      <w:r w:rsidR="008B0269">
        <w:t>llones de euros que vencía en 2019, si bien para realizar esta operación hubo que concertar un préstamo por ese importe.</w:t>
      </w:r>
    </w:p>
    <w:p w:rsidR="00EB7C97" w:rsidRPr="00EB7C97" w:rsidRDefault="00EB7C97" w:rsidP="008B7A1B">
      <w:pPr>
        <w:pStyle w:val="texto"/>
      </w:pPr>
      <w:r w:rsidRPr="00EB7C97">
        <w:t>En definitiva, se</w:t>
      </w:r>
      <w:r w:rsidR="008B0269">
        <w:t xml:space="preserve"> va</w:t>
      </w:r>
      <w:r w:rsidRPr="00EB7C97">
        <w:t xml:space="preserve"> incrementa</w:t>
      </w:r>
      <w:r w:rsidR="008B0269">
        <w:t>ndo</w:t>
      </w:r>
      <w:r w:rsidRPr="00EB7C97">
        <w:t xml:space="preserve"> progresivamente el importe de la deuda concertada que se destina a financiar los vencimientos de la misma.</w:t>
      </w:r>
    </w:p>
    <w:p w:rsidR="00EB7C97" w:rsidRPr="008B7A1B"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B7A1B">
        <w:rPr>
          <w:rFonts w:cs="Arial"/>
        </w:rPr>
        <w:t>Los gastos presupuestarios comprometidos para ejercicios futuros ascie</w:t>
      </w:r>
      <w:r w:rsidRPr="008B7A1B">
        <w:rPr>
          <w:rFonts w:cs="Arial"/>
        </w:rPr>
        <w:t>n</w:t>
      </w:r>
      <w:r w:rsidRPr="008B7A1B">
        <w:rPr>
          <w:rFonts w:cs="Arial"/>
        </w:rPr>
        <w:t>den a 3.</w:t>
      </w:r>
      <w:r w:rsidR="0082380F">
        <w:rPr>
          <w:rFonts w:cs="Arial"/>
        </w:rPr>
        <w:t>948,96</w:t>
      </w:r>
      <w:r w:rsidRPr="008B7A1B">
        <w:rPr>
          <w:rFonts w:cs="Arial"/>
        </w:rPr>
        <w:t xml:space="preserve"> millones, de los que el 88 por ciento corresponden a la carga f</w:t>
      </w:r>
      <w:r w:rsidRPr="008B7A1B">
        <w:rPr>
          <w:rFonts w:cs="Arial"/>
        </w:rPr>
        <w:t>i</w:t>
      </w:r>
      <w:r w:rsidRPr="008B7A1B">
        <w:rPr>
          <w:rFonts w:cs="Arial"/>
        </w:rPr>
        <w:t>nanciera de la deuda. Respecto a los datos de 2015, estos gastos se han incr</w:t>
      </w:r>
      <w:r w:rsidRPr="008B7A1B">
        <w:rPr>
          <w:rFonts w:cs="Arial"/>
        </w:rPr>
        <w:t>e</w:t>
      </w:r>
      <w:r w:rsidRPr="008B7A1B">
        <w:rPr>
          <w:rFonts w:cs="Arial"/>
        </w:rPr>
        <w:t xml:space="preserve">mentado en un dos por ciento. </w:t>
      </w:r>
    </w:p>
    <w:p w:rsidR="008B7A1B" w:rsidRDefault="008B7A1B">
      <w:pPr>
        <w:spacing w:after="0"/>
        <w:ind w:firstLine="0"/>
        <w:jc w:val="left"/>
        <w:rPr>
          <w:spacing w:val="6"/>
          <w:sz w:val="26"/>
          <w:szCs w:val="24"/>
        </w:rPr>
      </w:pPr>
      <w:r>
        <w:rPr>
          <w:spacing w:val="6"/>
          <w:sz w:val="26"/>
          <w:szCs w:val="24"/>
        </w:rPr>
        <w:br w:type="page"/>
      </w:r>
    </w:p>
    <w:p w:rsidR="00EB7C97" w:rsidRPr="00EB7C97" w:rsidRDefault="001A35E1" w:rsidP="001A35E1">
      <w:pPr>
        <w:pStyle w:val="texto"/>
        <w:spacing w:after="120"/>
      </w:pPr>
      <w:r>
        <w:lastRenderedPageBreak/>
        <w:t>Su detalle por capítulo y año</w:t>
      </w:r>
      <w:r w:rsidR="00EB7C97" w:rsidRPr="00EB7C97">
        <w:t xml:space="preserve"> es el siguiente:</w:t>
      </w:r>
    </w:p>
    <w:tbl>
      <w:tblPr>
        <w:tblW w:w="8833" w:type="dxa"/>
        <w:tblInd w:w="70" w:type="dxa"/>
        <w:tblCellMar>
          <w:left w:w="70" w:type="dxa"/>
          <w:right w:w="70" w:type="dxa"/>
        </w:tblCellMar>
        <w:tblLook w:val="0000" w:firstRow="0" w:lastRow="0" w:firstColumn="0" w:lastColumn="0" w:noHBand="0" w:noVBand="0"/>
      </w:tblPr>
      <w:tblGrid>
        <w:gridCol w:w="2996"/>
        <w:gridCol w:w="833"/>
        <w:gridCol w:w="1102"/>
        <w:gridCol w:w="902"/>
        <w:gridCol w:w="1040"/>
        <w:gridCol w:w="1072"/>
        <w:gridCol w:w="888"/>
      </w:tblGrid>
      <w:tr w:rsidR="001A35E1" w:rsidRPr="001A35E1" w:rsidTr="001A35E1">
        <w:trPr>
          <w:trHeight w:val="255"/>
        </w:trPr>
        <w:tc>
          <w:tcPr>
            <w:tcW w:w="8833" w:type="dxa"/>
            <w:gridSpan w:val="7"/>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EB7C97" w:rsidRPr="00EB7C97" w:rsidTr="008B7A1B">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EB7C97">
              <w:rPr>
                <w:rFonts w:ascii="Arial" w:hAnsi="Arial"/>
                <w:spacing w:val="6"/>
                <w:sz w:val="18"/>
                <w:szCs w:val="24"/>
              </w:rPr>
              <w:t>Capítulo</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2017</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2018</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2019</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Resto</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 xml:space="preserve">Total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 s/total</w:t>
            </w:r>
          </w:p>
        </w:tc>
      </w:tr>
      <w:tr w:rsidR="00EB7C97" w:rsidRPr="008B7A1B" w:rsidTr="008B7A1B">
        <w:trPr>
          <w:trHeight w:val="198"/>
        </w:trPr>
        <w:tc>
          <w:tcPr>
            <w:tcW w:w="2996"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1  Gastos de personal</w:t>
            </w:r>
          </w:p>
        </w:tc>
        <w:tc>
          <w:tcPr>
            <w:tcW w:w="833"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76</w:t>
            </w:r>
          </w:p>
        </w:tc>
        <w:tc>
          <w:tcPr>
            <w:tcW w:w="110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0</w:t>
            </w:r>
          </w:p>
        </w:tc>
        <w:tc>
          <w:tcPr>
            <w:tcW w:w="90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0</w:t>
            </w:r>
          </w:p>
        </w:tc>
        <w:tc>
          <w:tcPr>
            <w:tcW w:w="1040"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0</w:t>
            </w:r>
          </w:p>
        </w:tc>
        <w:tc>
          <w:tcPr>
            <w:tcW w:w="1072"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76</w:t>
            </w:r>
          </w:p>
        </w:tc>
        <w:tc>
          <w:tcPr>
            <w:tcW w:w="888" w:type="dxa"/>
            <w:tcBorders>
              <w:top w:val="single" w:sz="4"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0</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2  Gastos corrientes bienes y servicios</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163.324</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29.188</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6.372</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238</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199.122</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5</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3  Gastos financieros</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87.056</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75.689</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62.323</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255.527</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480.595</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4  Transferencias corrientes</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41.941</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4.620</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4.288</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3.650</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54.499</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6  Inversiones reales</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47.688</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28.145</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14.261</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1.382</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91.476</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7  Transferencias de capital</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53.168</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9.037</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4.281</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7.235</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73.721</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w:t>
            </w:r>
          </w:p>
        </w:tc>
      </w:tr>
      <w:tr w:rsidR="00EB7C97" w:rsidRPr="008B7A1B" w:rsidTr="008B7A1B">
        <w:trPr>
          <w:trHeight w:val="198"/>
        </w:trPr>
        <w:tc>
          <w:tcPr>
            <w:tcW w:w="2996"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8  Activos financieros</w:t>
            </w:r>
          </w:p>
        </w:tc>
        <w:tc>
          <w:tcPr>
            <w:tcW w:w="833"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9.350</w:t>
            </w:r>
          </w:p>
        </w:tc>
        <w:tc>
          <w:tcPr>
            <w:tcW w:w="11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8.350</w:t>
            </w:r>
          </w:p>
        </w:tc>
        <w:tc>
          <w:tcPr>
            <w:tcW w:w="90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7.350</w:t>
            </w:r>
          </w:p>
        </w:tc>
        <w:tc>
          <w:tcPr>
            <w:tcW w:w="1040"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26.450</w:t>
            </w:r>
          </w:p>
        </w:tc>
        <w:tc>
          <w:tcPr>
            <w:tcW w:w="1072"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51.500</w:t>
            </w:r>
          </w:p>
        </w:tc>
        <w:tc>
          <w:tcPr>
            <w:tcW w:w="888" w:type="dxa"/>
            <w:tcBorders>
              <w:top w:val="single" w:sz="2" w:space="0" w:color="auto"/>
              <w:left w:val="nil"/>
              <w:bottom w:val="single" w:sz="2"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1</w:t>
            </w:r>
          </w:p>
        </w:tc>
      </w:tr>
      <w:tr w:rsidR="00EB7C97" w:rsidRPr="008B7A1B" w:rsidTr="008B7A1B">
        <w:trPr>
          <w:trHeight w:val="198"/>
        </w:trPr>
        <w:tc>
          <w:tcPr>
            <w:tcW w:w="2996"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left"/>
              <w:rPr>
                <w:rFonts w:ascii="Arial Narrow" w:hAnsi="Arial Narrow" w:cs="Arial"/>
                <w:lang w:val="es-ES" w:eastAsia="es-ES"/>
              </w:rPr>
            </w:pPr>
            <w:r w:rsidRPr="008B7A1B">
              <w:rPr>
                <w:rFonts w:ascii="Arial Narrow" w:hAnsi="Arial Narrow" w:cs="Arial"/>
                <w:lang w:val="es-ES" w:eastAsia="es-ES"/>
              </w:rPr>
              <w:t>9  Pasivos financieros</w:t>
            </w:r>
          </w:p>
        </w:tc>
        <w:tc>
          <w:tcPr>
            <w:tcW w:w="833"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293.930</w:t>
            </w:r>
          </w:p>
        </w:tc>
        <w:tc>
          <w:tcPr>
            <w:tcW w:w="110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240.981</w:t>
            </w:r>
          </w:p>
        </w:tc>
        <w:tc>
          <w:tcPr>
            <w:tcW w:w="90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257.656</w:t>
            </w:r>
          </w:p>
        </w:tc>
        <w:tc>
          <w:tcPr>
            <w:tcW w:w="1040"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2.205.406</w:t>
            </w:r>
          </w:p>
        </w:tc>
        <w:tc>
          <w:tcPr>
            <w:tcW w:w="1072"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2.997.973</w:t>
            </w:r>
          </w:p>
        </w:tc>
        <w:tc>
          <w:tcPr>
            <w:tcW w:w="888" w:type="dxa"/>
            <w:tcBorders>
              <w:top w:val="single" w:sz="2"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r w:rsidRPr="008B7A1B">
              <w:rPr>
                <w:rFonts w:ascii="Arial Narrow" w:hAnsi="Arial Narrow" w:cs="Arial"/>
                <w:lang w:val="es-ES" w:eastAsia="es-ES"/>
              </w:rPr>
              <w:t>76</w:t>
            </w:r>
          </w:p>
        </w:tc>
      </w:tr>
      <w:tr w:rsidR="00EB7C97" w:rsidRPr="00EB7C97" w:rsidTr="008B7A1B">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lang w:val="es-ES" w:eastAsia="es-ES"/>
              </w:rPr>
            </w:pPr>
            <w:r w:rsidRPr="00EB7C97">
              <w:rPr>
                <w:rFonts w:ascii="Arial" w:hAnsi="Arial"/>
                <w:spacing w:val="6"/>
                <w:sz w:val="18"/>
                <w:szCs w:val="18"/>
                <w:lang w:val="es-ES" w:eastAsia="es-ES"/>
              </w:rPr>
              <w:t>Total gastos ejercicios futuros</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696.53</w:t>
            </w:r>
            <w:r w:rsidR="0082380F">
              <w:rPr>
                <w:rFonts w:ascii="Arial" w:hAnsi="Arial" w:cs="Arial"/>
                <w:spacing w:val="6"/>
                <w:sz w:val="18"/>
                <w:szCs w:val="24"/>
              </w:rPr>
              <w:t>3</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396.010</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356.531</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2.499.888</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3.948.964</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100</w:t>
            </w:r>
          </w:p>
        </w:tc>
      </w:tr>
      <w:tr w:rsidR="00EB7C97" w:rsidRPr="008B7A1B" w:rsidTr="008B7A1B">
        <w:trPr>
          <w:trHeight w:val="198"/>
        </w:trPr>
        <w:tc>
          <w:tcPr>
            <w:tcW w:w="2996"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left"/>
              <w:rPr>
                <w:rFonts w:ascii="Arial" w:hAnsi="Arial" w:cs="Arial"/>
                <w:i/>
                <w:lang w:val="es-ES" w:eastAsia="es-ES"/>
              </w:rPr>
            </w:pPr>
            <w:r w:rsidRPr="008B7A1B">
              <w:rPr>
                <w:rFonts w:ascii="Arial Narrow" w:hAnsi="Arial Narrow" w:cs="Arial"/>
                <w:i/>
                <w:lang w:val="es-ES" w:eastAsia="es-ES"/>
              </w:rPr>
              <w:t>Porcentaje/año</w:t>
            </w:r>
          </w:p>
        </w:tc>
        <w:tc>
          <w:tcPr>
            <w:tcW w:w="833"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lang w:val="es-ES" w:eastAsia="es-ES"/>
              </w:rPr>
            </w:pPr>
            <w:r w:rsidRPr="008B7A1B">
              <w:rPr>
                <w:rFonts w:ascii="Arial Narrow" w:hAnsi="Arial Narrow" w:cs="Arial"/>
                <w:i/>
                <w:lang w:val="es-ES" w:eastAsia="es-ES"/>
              </w:rPr>
              <w:t>18</w:t>
            </w:r>
          </w:p>
        </w:tc>
        <w:tc>
          <w:tcPr>
            <w:tcW w:w="110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lang w:val="es-ES" w:eastAsia="es-ES"/>
              </w:rPr>
            </w:pPr>
            <w:r w:rsidRPr="008B7A1B">
              <w:rPr>
                <w:rFonts w:ascii="Arial Narrow" w:hAnsi="Arial Narrow" w:cs="Arial"/>
                <w:i/>
                <w:lang w:val="es-ES" w:eastAsia="es-ES"/>
              </w:rPr>
              <w:t>10</w:t>
            </w:r>
          </w:p>
        </w:tc>
        <w:tc>
          <w:tcPr>
            <w:tcW w:w="90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lang w:val="es-ES" w:eastAsia="es-ES"/>
              </w:rPr>
            </w:pPr>
            <w:r w:rsidRPr="008B7A1B">
              <w:rPr>
                <w:rFonts w:ascii="Arial Narrow" w:hAnsi="Arial Narrow" w:cs="Arial"/>
                <w:i/>
                <w:lang w:val="es-ES" w:eastAsia="es-ES"/>
              </w:rPr>
              <w:t>9</w:t>
            </w:r>
          </w:p>
        </w:tc>
        <w:tc>
          <w:tcPr>
            <w:tcW w:w="1040"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lang w:val="es-ES" w:eastAsia="es-ES"/>
              </w:rPr>
            </w:pPr>
            <w:r w:rsidRPr="008B7A1B">
              <w:rPr>
                <w:rFonts w:ascii="Arial Narrow" w:hAnsi="Arial Narrow" w:cs="Arial"/>
                <w:i/>
                <w:lang w:val="es-ES" w:eastAsia="es-ES"/>
              </w:rPr>
              <w:t>63</w:t>
            </w:r>
          </w:p>
        </w:tc>
        <w:tc>
          <w:tcPr>
            <w:tcW w:w="1072"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i/>
                <w:lang w:val="es-ES" w:eastAsia="es-ES"/>
              </w:rPr>
            </w:pPr>
            <w:r w:rsidRPr="008B7A1B">
              <w:rPr>
                <w:rFonts w:ascii="Arial Narrow" w:hAnsi="Arial Narrow" w:cs="Arial"/>
                <w:i/>
                <w:lang w:val="es-ES" w:eastAsia="es-ES"/>
              </w:rPr>
              <w:t>100</w:t>
            </w:r>
          </w:p>
        </w:tc>
        <w:tc>
          <w:tcPr>
            <w:tcW w:w="888" w:type="dxa"/>
            <w:tcBorders>
              <w:top w:val="single" w:sz="4" w:space="0" w:color="auto"/>
              <w:left w:val="nil"/>
              <w:bottom w:val="single" w:sz="4" w:space="0" w:color="auto"/>
              <w:right w:val="nil"/>
            </w:tcBorders>
            <w:shd w:val="clear" w:color="auto" w:fill="auto"/>
            <w:noWrap/>
            <w:vAlign w:val="center"/>
          </w:tcPr>
          <w:p w:rsidR="00EB7C97" w:rsidRPr="008B7A1B" w:rsidRDefault="00EB7C97" w:rsidP="00EB7C97">
            <w:pPr>
              <w:spacing w:after="0"/>
              <w:ind w:firstLine="0"/>
              <w:jc w:val="right"/>
              <w:rPr>
                <w:rFonts w:ascii="Arial Narrow" w:hAnsi="Arial Narrow" w:cs="Arial"/>
                <w:lang w:val="es-ES" w:eastAsia="es-ES"/>
              </w:rPr>
            </w:pPr>
          </w:p>
        </w:tc>
      </w:tr>
    </w:tbl>
    <w:p w:rsidR="00EB7C97" w:rsidRPr="00EB7C97" w:rsidRDefault="00EB7C97" w:rsidP="008B7A1B">
      <w:pPr>
        <w:pStyle w:val="texto"/>
        <w:spacing w:before="240"/>
      </w:pPr>
      <w:r w:rsidRPr="00EB7C97">
        <w:t>Los gastos anteriores no incluyen las obligaciones actuariales del montepío de funcionarios, ni los gastos derivados de los proyectos ejecutados mediante la fórmula de colaboración público-privada, ni los estimados de los préstamos de interés variable.</w:t>
      </w:r>
    </w:p>
    <w:p w:rsidR="00EB7C97" w:rsidRPr="00EB7C97" w:rsidRDefault="00EB7C97" w:rsidP="001A35E1">
      <w:pPr>
        <w:pStyle w:val="texto"/>
        <w:spacing w:after="120"/>
      </w:pPr>
      <w:r w:rsidRPr="00EB7C97">
        <w:t>Al respecto destacamos que la memoria incluye información relacionada con los flujos de pago previsibles derivados de los peajes en la sombra, que no se incluyen en los compromisos de gastos futuros por considerar que su cuantía es incierta</w:t>
      </w:r>
      <w:r w:rsidRPr="008B7A1B">
        <w:rPr>
          <w:vertAlign w:val="superscript"/>
        </w:rPr>
        <w:footnoteReference w:id="4"/>
      </w:r>
      <w:r w:rsidRPr="008B7A1B">
        <w:rPr>
          <w:vertAlign w:val="superscript"/>
        </w:rPr>
        <w:t>.</w:t>
      </w:r>
      <w:r w:rsidRPr="00EB7C97">
        <w:t xml:space="preserve"> Estas previsiones de gasto futuro se tratan como pasivos contingentes y son las siguientes:</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9"/>
        <w:gridCol w:w="827"/>
        <w:gridCol w:w="909"/>
        <w:gridCol w:w="909"/>
        <w:gridCol w:w="1200"/>
        <w:gridCol w:w="1087"/>
        <w:gridCol w:w="12"/>
      </w:tblGrid>
      <w:tr w:rsidR="008B0269" w:rsidRPr="00EB7C97" w:rsidTr="00DF6A11">
        <w:trPr>
          <w:gridAfter w:val="1"/>
          <w:wAfter w:w="12" w:type="dxa"/>
          <w:trHeight w:val="255"/>
        </w:trPr>
        <w:tc>
          <w:tcPr>
            <w:tcW w:w="8761" w:type="dxa"/>
            <w:gridSpan w:val="6"/>
            <w:tcBorders>
              <w:bottom w:val="single" w:sz="4" w:space="0" w:color="auto"/>
            </w:tcBorders>
            <w:shd w:val="clear" w:color="auto" w:fill="auto"/>
            <w:vAlign w:val="center"/>
          </w:tcPr>
          <w:p w:rsidR="008B0269" w:rsidRPr="001A35E1" w:rsidRDefault="008B0269" w:rsidP="00DF6A11">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sidRPr="001A35E1">
              <w:rPr>
                <w:rFonts w:ascii="Arial" w:hAnsi="Arial" w:cs="Arial"/>
                <w:spacing w:val="6"/>
                <w:sz w:val="17"/>
                <w:szCs w:val="17"/>
              </w:rPr>
              <w:t>(en miles de euros)</w:t>
            </w:r>
          </w:p>
        </w:tc>
      </w:tr>
      <w:tr w:rsidR="008B0269" w:rsidRPr="00EB7C97" w:rsidTr="00DF6A11">
        <w:trPr>
          <w:trHeight w:val="255"/>
        </w:trPr>
        <w:tc>
          <w:tcPr>
            <w:tcW w:w="3829" w:type="dxa"/>
            <w:tcBorders>
              <w:top w:val="single" w:sz="4" w:space="0" w:color="auto"/>
              <w:bottom w:val="single" w:sz="4" w:space="0" w:color="auto"/>
            </w:tcBorders>
            <w:shd w:val="clear" w:color="auto" w:fill="8DB3E2" w:themeFill="text2" w:themeFillTint="66"/>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sidRPr="00EB7C97">
              <w:rPr>
                <w:rFonts w:ascii="Arial" w:hAnsi="Arial" w:cs="Arial"/>
                <w:spacing w:val="6"/>
                <w:sz w:val="18"/>
                <w:szCs w:val="18"/>
              </w:rPr>
              <w:t>Infraestructura</w:t>
            </w:r>
          </w:p>
        </w:tc>
        <w:tc>
          <w:tcPr>
            <w:tcW w:w="827"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EB7C97">
              <w:rPr>
                <w:rFonts w:ascii="Arial" w:hAnsi="Arial" w:cs="Arial"/>
                <w:spacing w:val="6"/>
                <w:sz w:val="18"/>
                <w:szCs w:val="18"/>
              </w:rPr>
              <w:t>2017</w:t>
            </w:r>
          </w:p>
        </w:tc>
        <w:tc>
          <w:tcPr>
            <w:tcW w:w="909"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EB7C97">
              <w:rPr>
                <w:rFonts w:ascii="Arial" w:hAnsi="Arial" w:cs="Arial"/>
                <w:spacing w:val="6"/>
                <w:sz w:val="18"/>
                <w:szCs w:val="18"/>
              </w:rPr>
              <w:t>2018</w:t>
            </w:r>
          </w:p>
        </w:tc>
        <w:tc>
          <w:tcPr>
            <w:tcW w:w="909"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EB7C97">
              <w:rPr>
                <w:rFonts w:ascii="Arial" w:hAnsi="Arial" w:cs="Arial"/>
                <w:spacing w:val="6"/>
                <w:sz w:val="18"/>
                <w:szCs w:val="18"/>
              </w:rPr>
              <w:t>2019</w:t>
            </w:r>
          </w:p>
        </w:tc>
        <w:tc>
          <w:tcPr>
            <w:tcW w:w="1200" w:type="dxa"/>
            <w:tcBorders>
              <w:top w:val="single" w:sz="4" w:space="0" w:color="auto"/>
              <w:bottom w:val="single" w:sz="4" w:space="0" w:color="auto"/>
            </w:tcBorders>
            <w:shd w:val="clear" w:color="auto" w:fill="8DB3E2" w:themeFill="text2" w:themeFillTint="66"/>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EB7C97">
              <w:rPr>
                <w:rFonts w:ascii="Arial" w:hAnsi="Arial" w:cs="Arial"/>
                <w:spacing w:val="6"/>
                <w:sz w:val="18"/>
                <w:szCs w:val="18"/>
              </w:rPr>
              <w:t>Resto años</w:t>
            </w:r>
          </w:p>
        </w:tc>
        <w:tc>
          <w:tcPr>
            <w:tcW w:w="1099" w:type="dxa"/>
            <w:gridSpan w:val="2"/>
            <w:tcBorders>
              <w:top w:val="single" w:sz="4" w:space="0" w:color="auto"/>
              <w:bottom w:val="single" w:sz="4" w:space="0" w:color="auto"/>
            </w:tcBorders>
            <w:shd w:val="clear" w:color="auto" w:fill="8DB3E2" w:themeFill="text2" w:themeFillTint="66"/>
            <w:vAlign w:val="center"/>
          </w:tcPr>
          <w:p w:rsidR="008B0269" w:rsidRPr="00EB7C97"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cs="Arial"/>
                <w:spacing w:val="6"/>
                <w:sz w:val="18"/>
                <w:szCs w:val="18"/>
              </w:rPr>
              <w:t>Total</w:t>
            </w:r>
          </w:p>
        </w:tc>
      </w:tr>
      <w:tr w:rsidR="008B0269" w:rsidRPr="00EB7C97" w:rsidTr="00DF6A11">
        <w:trPr>
          <w:trHeight w:val="198"/>
        </w:trPr>
        <w:tc>
          <w:tcPr>
            <w:tcW w:w="3829" w:type="dxa"/>
            <w:tcBorders>
              <w:top w:val="single" w:sz="4"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EB7C97">
              <w:rPr>
                <w:rFonts w:ascii="Arial Narrow" w:hAnsi="Arial Narrow"/>
                <w:spacing w:val="6"/>
              </w:rPr>
              <w:t>Canal de Navarra 1ª fase</w:t>
            </w:r>
          </w:p>
        </w:tc>
        <w:tc>
          <w:tcPr>
            <w:tcW w:w="827"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15.836</w:t>
            </w:r>
          </w:p>
        </w:tc>
        <w:tc>
          <w:tcPr>
            <w:tcW w:w="909"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16.314</w:t>
            </w:r>
          </w:p>
        </w:tc>
        <w:tc>
          <w:tcPr>
            <w:tcW w:w="909"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16.764</w:t>
            </w:r>
          </w:p>
        </w:tc>
        <w:tc>
          <w:tcPr>
            <w:tcW w:w="1200" w:type="dxa"/>
            <w:tcBorders>
              <w:top w:val="single" w:sz="4"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349.133</w:t>
            </w:r>
          </w:p>
        </w:tc>
        <w:tc>
          <w:tcPr>
            <w:tcW w:w="1099" w:type="dxa"/>
            <w:gridSpan w:val="2"/>
            <w:tcBorders>
              <w:top w:val="single" w:sz="4"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8B0269">
              <w:rPr>
                <w:rFonts w:ascii="Arial Narrow" w:hAnsi="Arial Narrow"/>
                <w:spacing w:val="6"/>
              </w:rPr>
              <w:t>398.047</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EB7C97">
              <w:rPr>
                <w:rFonts w:ascii="Arial Narrow" w:hAnsi="Arial Narrow"/>
                <w:spacing w:val="6"/>
              </w:rPr>
              <w:t>Canal de Navarra ampliación 1ª fase</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6.386</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15.100</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16.462</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545.635</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8B0269">
              <w:rPr>
                <w:rFonts w:ascii="Arial Narrow" w:hAnsi="Arial Narrow"/>
                <w:spacing w:val="6"/>
              </w:rPr>
              <w:t>583.583</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EB7C97">
              <w:rPr>
                <w:rFonts w:ascii="Arial Narrow" w:hAnsi="Arial Narrow"/>
                <w:spacing w:val="6"/>
              </w:rPr>
              <w:t>Autovía del Camino</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46.700</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50.467</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53.446</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501.643</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8B0269">
              <w:rPr>
                <w:rFonts w:ascii="Arial Narrow" w:hAnsi="Arial Narrow"/>
                <w:spacing w:val="6"/>
              </w:rPr>
              <w:t>652.256</w:t>
            </w:r>
          </w:p>
        </w:tc>
      </w:tr>
      <w:tr w:rsidR="008B0269" w:rsidRPr="00EB7C97" w:rsidTr="00DF6A11">
        <w:trPr>
          <w:trHeight w:val="198"/>
        </w:trPr>
        <w:tc>
          <w:tcPr>
            <w:tcW w:w="3829" w:type="dxa"/>
            <w:tcBorders>
              <w:top w:val="single" w:sz="2" w:space="0" w:color="auto"/>
              <w:bottom w:val="single" w:sz="2" w:space="0" w:color="auto"/>
            </w:tcBorders>
            <w:vAlign w:val="center"/>
          </w:tcPr>
          <w:p w:rsidR="008B0269" w:rsidRPr="00EB7C97" w:rsidRDefault="008B0269" w:rsidP="00DF6A11">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EB7C97">
              <w:rPr>
                <w:rFonts w:ascii="Arial Narrow" w:hAnsi="Arial Narrow"/>
                <w:spacing w:val="6"/>
              </w:rPr>
              <w:t>Autovía del Pirineo</w:t>
            </w:r>
          </w:p>
        </w:tc>
        <w:tc>
          <w:tcPr>
            <w:tcW w:w="827"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30.238</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31.691</w:t>
            </w:r>
          </w:p>
        </w:tc>
        <w:tc>
          <w:tcPr>
            <w:tcW w:w="909"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33.218</w:t>
            </w:r>
          </w:p>
        </w:tc>
        <w:tc>
          <w:tcPr>
            <w:tcW w:w="1200" w:type="dxa"/>
            <w:tcBorders>
              <w:top w:val="single" w:sz="2" w:space="0" w:color="auto"/>
              <w:bottom w:val="single" w:sz="2" w:space="0" w:color="auto"/>
            </w:tcBorders>
            <w:vAlign w:val="center"/>
          </w:tcPr>
          <w:p w:rsidR="008B0269" w:rsidRPr="00EB7C97" w:rsidRDefault="008B0269" w:rsidP="00EB7C97">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EB7C97">
              <w:rPr>
                <w:rFonts w:ascii="Arial Narrow" w:hAnsi="Arial Narrow"/>
                <w:spacing w:val="6"/>
              </w:rPr>
              <w:t>899.609</w:t>
            </w:r>
          </w:p>
        </w:tc>
        <w:tc>
          <w:tcPr>
            <w:tcW w:w="1099" w:type="dxa"/>
            <w:gridSpan w:val="2"/>
            <w:tcBorders>
              <w:top w:val="single" w:sz="2" w:space="0" w:color="auto"/>
              <w:bottom w:val="single" w:sz="2" w:space="0" w:color="auto"/>
            </w:tcBorders>
            <w:vAlign w:val="bottom"/>
          </w:tcPr>
          <w:p w:rsidR="008B0269" w:rsidRPr="008B0269"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8B0269">
              <w:rPr>
                <w:rFonts w:ascii="Arial Narrow" w:hAnsi="Arial Narrow"/>
                <w:spacing w:val="6"/>
              </w:rPr>
              <w:t>994.756</w:t>
            </w:r>
          </w:p>
        </w:tc>
      </w:tr>
      <w:tr w:rsidR="008B0269" w:rsidRPr="00EB7C97" w:rsidTr="00DF6A11">
        <w:trPr>
          <w:trHeight w:val="255"/>
        </w:trPr>
        <w:tc>
          <w:tcPr>
            <w:tcW w:w="3829" w:type="dxa"/>
            <w:tcBorders>
              <w:top w:val="single" w:sz="2" w:space="0" w:color="auto"/>
              <w:bottom w:val="single" w:sz="4" w:space="0" w:color="auto"/>
            </w:tcBorders>
            <w:shd w:val="clear" w:color="auto" w:fill="8DB3E2" w:themeFill="text2" w:themeFillTint="66"/>
            <w:vAlign w:val="center"/>
          </w:tcPr>
          <w:p w:rsidR="008B0269" w:rsidRPr="00814693" w:rsidRDefault="008B0269" w:rsidP="00DF6A11">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sidRPr="00814693">
              <w:rPr>
                <w:rFonts w:ascii="Arial" w:hAnsi="Arial" w:cs="Arial"/>
                <w:spacing w:val="6"/>
                <w:sz w:val="18"/>
                <w:szCs w:val="18"/>
              </w:rPr>
              <w:t>Total</w:t>
            </w:r>
          </w:p>
        </w:tc>
        <w:tc>
          <w:tcPr>
            <w:tcW w:w="827"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814693">
              <w:rPr>
                <w:rFonts w:ascii="Arial" w:hAnsi="Arial" w:cs="Arial"/>
                <w:spacing w:val="6"/>
                <w:sz w:val="18"/>
                <w:szCs w:val="18"/>
              </w:rPr>
              <w:t>99.160</w:t>
            </w:r>
          </w:p>
        </w:tc>
        <w:tc>
          <w:tcPr>
            <w:tcW w:w="909"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814693">
              <w:rPr>
                <w:rFonts w:ascii="Arial" w:hAnsi="Arial" w:cs="Arial"/>
                <w:spacing w:val="6"/>
                <w:sz w:val="18"/>
                <w:szCs w:val="18"/>
              </w:rPr>
              <w:t>113.572</w:t>
            </w:r>
          </w:p>
        </w:tc>
        <w:tc>
          <w:tcPr>
            <w:tcW w:w="909"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814693">
              <w:rPr>
                <w:rFonts w:ascii="Arial" w:hAnsi="Arial" w:cs="Arial"/>
                <w:spacing w:val="6"/>
                <w:sz w:val="18"/>
                <w:szCs w:val="18"/>
              </w:rPr>
              <w:t>119.890</w:t>
            </w:r>
          </w:p>
        </w:tc>
        <w:tc>
          <w:tcPr>
            <w:tcW w:w="1200" w:type="dxa"/>
            <w:tcBorders>
              <w:top w:val="single" w:sz="2" w:space="0" w:color="auto"/>
              <w:bottom w:val="single" w:sz="4" w:space="0" w:color="auto"/>
            </w:tcBorders>
            <w:shd w:val="clear" w:color="auto" w:fill="8DB3E2" w:themeFill="text2" w:themeFillTint="66"/>
            <w:vAlign w:val="bottom"/>
          </w:tcPr>
          <w:p w:rsidR="008B0269" w:rsidRPr="00814693" w:rsidRDefault="008B0269" w:rsidP="00814693">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814693">
              <w:rPr>
                <w:rFonts w:ascii="Arial" w:hAnsi="Arial" w:cs="Arial"/>
                <w:spacing w:val="6"/>
                <w:sz w:val="18"/>
                <w:szCs w:val="18"/>
              </w:rPr>
              <w:t>2.296.020</w:t>
            </w:r>
          </w:p>
        </w:tc>
        <w:tc>
          <w:tcPr>
            <w:tcW w:w="1099" w:type="dxa"/>
            <w:gridSpan w:val="2"/>
            <w:tcBorders>
              <w:top w:val="single" w:sz="2" w:space="0" w:color="auto"/>
              <w:bottom w:val="single" w:sz="4" w:space="0" w:color="auto"/>
            </w:tcBorders>
            <w:shd w:val="clear" w:color="auto" w:fill="8DB3E2" w:themeFill="text2" w:themeFillTint="66"/>
            <w:vAlign w:val="bottom"/>
          </w:tcPr>
          <w:p w:rsidR="008B0269" w:rsidRPr="00814693" w:rsidRDefault="008B0269" w:rsidP="00275E02">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814693">
              <w:rPr>
                <w:rFonts w:ascii="Arial" w:hAnsi="Arial" w:cs="Arial"/>
                <w:spacing w:val="6"/>
                <w:sz w:val="18"/>
                <w:szCs w:val="18"/>
              </w:rPr>
              <w:t>2.628.642</w:t>
            </w:r>
          </w:p>
        </w:tc>
      </w:tr>
    </w:tbl>
    <w:p w:rsidR="00814693" w:rsidRDefault="00EB7C97" w:rsidP="00F93072">
      <w:pPr>
        <w:pStyle w:val="texto"/>
        <w:spacing w:before="240"/>
        <w:rPr>
          <w:i/>
          <w:lang w:val="es-ES"/>
        </w:rPr>
      </w:pPr>
      <w:r w:rsidRPr="00F93072">
        <w:rPr>
          <w:i/>
          <w:lang w:val="es-ES"/>
        </w:rPr>
        <w:t>Recomendamos que el estado de compromisos futuros refleje la totalidad de gastos comprometidos para ejercicios futuros.</w:t>
      </w:r>
    </w:p>
    <w:p w:rsidR="00814693" w:rsidRDefault="00814693">
      <w:pPr>
        <w:spacing w:after="0"/>
        <w:ind w:firstLine="0"/>
        <w:jc w:val="left"/>
        <w:rPr>
          <w:i/>
          <w:spacing w:val="6"/>
          <w:sz w:val="26"/>
          <w:szCs w:val="24"/>
          <w:lang w:val="es-ES"/>
        </w:rPr>
      </w:pPr>
      <w:r>
        <w:rPr>
          <w:i/>
          <w:lang w:val="es-ES"/>
        </w:rPr>
        <w:br w:type="page"/>
      </w:r>
    </w:p>
    <w:p w:rsidR="00EB7C97" w:rsidRPr="00EB7C97" w:rsidRDefault="00EB7C97" w:rsidP="008B0269">
      <w:pPr>
        <w:pStyle w:val="atitulo2"/>
        <w:spacing w:before="240"/>
      </w:pPr>
      <w:bookmarkStart w:id="56" w:name="_Toc463350250"/>
      <w:bookmarkStart w:id="57" w:name="_Toc494270384"/>
      <w:bookmarkStart w:id="58" w:name="_Toc498515793"/>
      <w:r w:rsidRPr="00EB7C97">
        <w:lastRenderedPageBreak/>
        <w:t>IV.4. Principios de estabilidad presupuestaria y sostenibilidad financiera.</w:t>
      </w:r>
      <w:bookmarkEnd w:id="56"/>
      <w:bookmarkEnd w:id="57"/>
      <w:bookmarkEnd w:id="58"/>
    </w:p>
    <w:p w:rsidR="00EB7C97" w:rsidRPr="00EB7C97" w:rsidRDefault="00EB7C97" w:rsidP="00F93072">
      <w:pPr>
        <w:pStyle w:val="texto"/>
      </w:pPr>
      <w:r w:rsidRPr="00EB7C97">
        <w:t>El Sector Administración Pública de la Comunidad Foral, delimitado en té</w:t>
      </w:r>
      <w:r w:rsidRPr="00EB7C97">
        <w:t>r</w:t>
      </w:r>
      <w:r w:rsidRPr="00EB7C97">
        <w:t>minos de contabilidad nacional (SEC´2010), está sujeto en 2016 al cumplimie</w:t>
      </w:r>
      <w:r w:rsidRPr="00EB7C97">
        <w:t>n</w:t>
      </w:r>
      <w:r w:rsidRPr="00EB7C97">
        <w:t>to de las siguientes reglas fiscales:</w:t>
      </w:r>
    </w:p>
    <w:p w:rsidR="00EB7C97" w:rsidRPr="00F93072"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93072">
        <w:rPr>
          <w:rFonts w:cs="Arial"/>
        </w:rPr>
        <w:t>Principios de estabilidad presupuestaria:</w:t>
      </w:r>
    </w:p>
    <w:p w:rsidR="00EB7C97" w:rsidRPr="00EB7C97" w:rsidRDefault="00EB7C97" w:rsidP="00F93072">
      <w:pPr>
        <w:pStyle w:val="texto"/>
      </w:pPr>
      <w:r w:rsidRPr="00EB7C97">
        <w:t>a) Regla de gasto: el gasto computable de 2016 no superará la tasa de ref</w:t>
      </w:r>
      <w:r w:rsidRPr="00EB7C97">
        <w:t>e</w:t>
      </w:r>
      <w:r w:rsidRPr="00EB7C97">
        <w:t>rencia del 1,8 por ciento de incremento sobre el gasto computable del año ant</w:t>
      </w:r>
      <w:r w:rsidRPr="00EB7C97">
        <w:t>e</w:t>
      </w:r>
      <w:r w:rsidRPr="00EB7C97">
        <w:t xml:space="preserve">rior. </w:t>
      </w:r>
    </w:p>
    <w:p w:rsidR="00EB7C97" w:rsidRPr="00EB7C97" w:rsidRDefault="00EB7C97" w:rsidP="00F93072">
      <w:pPr>
        <w:pStyle w:val="texto"/>
      </w:pPr>
      <w:r w:rsidRPr="00EB7C97">
        <w:t>b) Sus necesidades de financiación no superarán el 0,7 por ciento de su PIB, de acuerdo con lo pactado entre Navarra y el Estado.</w:t>
      </w:r>
    </w:p>
    <w:p w:rsidR="00EB7C97" w:rsidRPr="00F93072"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93072">
        <w:rPr>
          <w:rFonts w:cs="Arial"/>
        </w:rPr>
        <w:t>Principios de sostenibilidad financiera:</w:t>
      </w:r>
    </w:p>
    <w:p w:rsidR="00EB7C97" w:rsidRPr="00EB7C97" w:rsidRDefault="00EB7C97" w:rsidP="00F93072">
      <w:pPr>
        <w:pStyle w:val="texto"/>
      </w:pPr>
      <w:r w:rsidRPr="00EB7C97">
        <w:t>a) Sostenibilidad del endeudamiento público. La capacidad máxima de e</w:t>
      </w:r>
      <w:r w:rsidRPr="00EB7C97">
        <w:t>n</w:t>
      </w:r>
      <w:r w:rsidRPr="00EB7C97">
        <w:t>deudamiento, calculada según la metodología del P</w:t>
      </w:r>
      <w:r w:rsidR="00814693">
        <w:t>rotocolo del Déficit Exces</w:t>
      </w:r>
      <w:r w:rsidR="00814693">
        <w:t>i</w:t>
      </w:r>
      <w:r w:rsidR="00814693">
        <w:t>vo (P</w:t>
      </w:r>
      <w:r w:rsidRPr="00EB7C97">
        <w:t>DE</w:t>
      </w:r>
      <w:r w:rsidR="00814693">
        <w:t>)</w:t>
      </w:r>
      <w:r w:rsidRPr="00EB7C97">
        <w:t>, no podrá superar, a 31 de diciembre de 2016, el 18,3 por ciento del PIB, de acuerdo con lo pactado entre Navarra y el Estado.</w:t>
      </w:r>
      <w:r w:rsidR="00BD3568">
        <w:t xml:space="preserve"> Posteriormente, por la existencia de varias excepciones, se autorizó la modificación de este porce</w:t>
      </w:r>
      <w:r w:rsidR="00BD3568">
        <w:t>n</w:t>
      </w:r>
      <w:r w:rsidR="00BD3568">
        <w:t>taje aumentándolo hasta el 18,5 por ciento.</w:t>
      </w:r>
    </w:p>
    <w:p w:rsidR="00EB7C97" w:rsidRPr="00EB7C97" w:rsidRDefault="00EB7C97" w:rsidP="00F93072">
      <w:pPr>
        <w:pStyle w:val="texto"/>
      </w:pPr>
      <w:r w:rsidRPr="00EB7C97">
        <w:t>b) Sostenibilidad de la deuda comercial. El indicador de periodo medio de pago a proveedores no debe superar el plazo máximo de pago que fija la no</w:t>
      </w:r>
      <w:r w:rsidRPr="00EB7C97">
        <w:t>r</w:t>
      </w:r>
      <w:r w:rsidRPr="00EB7C97">
        <w:t>mativa de morosidad regulado en Ley 3/2004, de 29 de diciembre, por la que se establecen medidas de lucha contra la morosidad en las operaciones comerci</w:t>
      </w:r>
      <w:r w:rsidRPr="00EB7C97">
        <w:t>a</w:t>
      </w:r>
      <w:r w:rsidRPr="00EB7C97">
        <w:t>les. Con carácter general, ese plazo se fija en 30 días.</w:t>
      </w:r>
    </w:p>
    <w:p w:rsidR="00EB7C97" w:rsidRPr="00EB7C97" w:rsidRDefault="00EB7C97" w:rsidP="00F93072">
      <w:pPr>
        <w:pStyle w:val="texto"/>
      </w:pPr>
      <w:r w:rsidRPr="00EB7C97">
        <w:t>c) Prudencia o conjunto de condiciones que deben cumplir las operaciones financieras para minimizar su riego y coste, que se materializa en:</w:t>
      </w:r>
    </w:p>
    <w:p w:rsidR="00EB7C97" w:rsidRPr="00EB7C97" w:rsidRDefault="00EB7C97" w:rsidP="00F93072">
      <w:pPr>
        <w:pStyle w:val="texto"/>
      </w:pPr>
      <w:r w:rsidRPr="00EB7C97">
        <w:t>c.1) Pasivos financieros o endeudamiento. El coste total máximo de las op</w:t>
      </w:r>
      <w:r w:rsidRPr="00EB7C97">
        <w:t>e</w:t>
      </w:r>
      <w:r w:rsidRPr="00EB7C97">
        <w:t>raciones de endeudamiento, incluyendo comisiones y otros gastos, no podrá s</w:t>
      </w:r>
      <w:r w:rsidRPr="00EB7C97">
        <w:t>u</w:t>
      </w:r>
      <w:r w:rsidRPr="00EB7C97">
        <w:t>perar el coste de financiación del Estado al plazo medio de la operación, incr</w:t>
      </w:r>
      <w:r w:rsidRPr="00EB7C97">
        <w:t>e</w:t>
      </w:r>
      <w:r w:rsidRPr="00EB7C97">
        <w:t>mentado con unos determinados diferenciales, de acuerdo con la Resolución de 31 de julio de 2015</w:t>
      </w:r>
      <w:r w:rsidRPr="00EB7C97">
        <w:rPr>
          <w:vertAlign w:val="superscript"/>
        </w:rPr>
        <w:footnoteReference w:id="5"/>
      </w:r>
      <w:r w:rsidRPr="00EB7C97">
        <w:t>, de la Secretaría General del Tesoro y Política Financiera, y la de 16 de septiembre de 2016 aplicable a alguna operación de finales de e</w:t>
      </w:r>
      <w:r w:rsidRPr="00EB7C97">
        <w:t>s</w:t>
      </w:r>
      <w:r w:rsidRPr="00EB7C97">
        <w:t>te ejercicio.</w:t>
      </w:r>
    </w:p>
    <w:p w:rsidR="00EB7C97" w:rsidRPr="00EB7C97" w:rsidRDefault="00EB7C97" w:rsidP="00F93072">
      <w:pPr>
        <w:pStyle w:val="texto"/>
      </w:pPr>
      <w:r w:rsidRPr="00EB7C97">
        <w:t>c.2) Avales, reavales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w:t>
      </w:r>
      <w:r w:rsidRPr="00EB7C97">
        <w:t>a</w:t>
      </w:r>
      <w:r w:rsidRPr="00EB7C97">
        <w:t>do, un límite global de que, a 31 de diciembre de 2015, el importe total de av</w:t>
      </w:r>
      <w:r w:rsidRPr="00EB7C97">
        <w:t>a</w:t>
      </w:r>
      <w:r w:rsidRPr="00EB7C97">
        <w:lastRenderedPageBreak/>
        <w:t>les y otras garantías concedidas más las autorizaciones previstas para el ejerc</w:t>
      </w:r>
      <w:r w:rsidRPr="00EB7C97">
        <w:t>i</w:t>
      </w:r>
      <w:r w:rsidRPr="00EB7C97">
        <w:t>cio siguiente no podrá superar el 1,5 por ciento del PIB de Navarra; por otro, un límite individual, por el cual un aval o garantía concedida no podrá superar los 25 millones o el 0,1 por ciento del PIB de Navarra.</w:t>
      </w:r>
    </w:p>
    <w:p w:rsidR="00EB7C97" w:rsidRPr="00EB7C97" w:rsidRDefault="00EB7C97" w:rsidP="00F93072">
      <w:pPr>
        <w:pStyle w:val="texto"/>
      </w:pPr>
      <w:r w:rsidRPr="00EB7C97">
        <w:t>c.3) Activos financieros. De acuerdo con la Resolución de 9 de septiembre citada y solo para las Comunidades Autónomas que incumplan el objetivo de deuda pública, éstas no podrán presentar una variación neta de activos financi</w:t>
      </w:r>
      <w:r w:rsidRPr="00EB7C97">
        <w:t>e</w:t>
      </w:r>
      <w:r w:rsidRPr="00EB7C97">
        <w:t>ros positiva al cierre del siguiente ejercicio presupuestario al del incumplimie</w:t>
      </w:r>
      <w:r w:rsidRPr="00EB7C97">
        <w:t>n</w:t>
      </w:r>
      <w:r w:rsidRPr="00EB7C97">
        <w:t>to. Dado que Navarra ha cumplido tal objetivo de deuda pública en 2015, no es aplicable esta obligación legal para el ejercicio de 2016.</w:t>
      </w:r>
    </w:p>
    <w:p w:rsidR="00EB7C97" w:rsidRPr="00EB7C97" w:rsidRDefault="00EB7C97" w:rsidP="00F93072">
      <w:pPr>
        <w:pStyle w:val="texto"/>
        <w:rPr>
          <w:rFonts w:ascii="Times New (W1)" w:hAnsi="Times New (W1)" w:cs="Arial"/>
        </w:rPr>
      </w:pPr>
      <w:r w:rsidRPr="00EB7C97">
        <w:rPr>
          <w:rFonts w:ascii="Times New (W1)" w:hAnsi="Times New (W1)" w:cs="Arial"/>
          <w:lang w:val="es-ES"/>
        </w:rPr>
        <w:t>La</w:t>
      </w:r>
      <w:r w:rsidRPr="00EB7C97">
        <w:rPr>
          <w:rFonts w:ascii="Times New (W1)" w:hAnsi="Times New (W1)" w:cs="Arial"/>
        </w:rPr>
        <w:t xml:space="preserve"> Intervención General del Estado (IGAE) es el órgano competente para elaborar las cuentas económicas del Sector Administración Públicas y el Mini</w:t>
      </w:r>
      <w:r w:rsidRPr="00EB7C97">
        <w:rPr>
          <w:rFonts w:ascii="Times New (W1)" w:hAnsi="Times New (W1)" w:cs="Arial"/>
        </w:rPr>
        <w:t>s</w:t>
      </w:r>
      <w:r w:rsidRPr="00EB7C97">
        <w:rPr>
          <w:rFonts w:ascii="Times New (W1)" w:hAnsi="Times New (W1)" w:cs="Arial"/>
        </w:rPr>
        <w:t>terio de Hacienda y Administraciones Públicas es el encargado de pronunciarse de forma definitiva sobre el cumplimiento de los objetivos de estabilidad pr</w:t>
      </w:r>
      <w:r w:rsidRPr="00EB7C97">
        <w:rPr>
          <w:rFonts w:ascii="Times New (W1)" w:hAnsi="Times New (W1)" w:cs="Arial"/>
        </w:rPr>
        <w:t>e</w:t>
      </w:r>
      <w:r w:rsidRPr="00EB7C97">
        <w:rPr>
          <w:rFonts w:ascii="Times New (W1)" w:hAnsi="Times New (W1)" w:cs="Arial"/>
        </w:rPr>
        <w:t>supuestaria y sostenibilidad financiera.</w:t>
      </w:r>
    </w:p>
    <w:p w:rsidR="00EB7C97" w:rsidRPr="00EB7C97" w:rsidRDefault="00EB7C97" w:rsidP="00F93072">
      <w:pPr>
        <w:pStyle w:val="texto"/>
        <w:rPr>
          <w:rFonts w:ascii="Times New (W1)" w:hAnsi="Times New (W1)" w:cs="Arial"/>
        </w:rPr>
      </w:pPr>
      <w:r w:rsidRPr="00EB7C97">
        <w:rPr>
          <w:rFonts w:ascii="Times New (W1)" w:hAnsi="Times New (W1)" w:cs="Arial"/>
        </w:rPr>
        <w:t xml:space="preserve">En </w:t>
      </w:r>
      <w:r w:rsidR="00BD3568">
        <w:rPr>
          <w:rFonts w:ascii="Times New (W1)" w:hAnsi="Times New (W1)" w:cs="Arial"/>
        </w:rPr>
        <w:t>octubre</w:t>
      </w:r>
      <w:r w:rsidRPr="00EB7C97">
        <w:rPr>
          <w:rFonts w:ascii="Times New (W1)" w:hAnsi="Times New (W1)" w:cs="Arial"/>
        </w:rPr>
        <w:t xml:space="preserve"> de 2017, el citado Ministerio </w:t>
      </w:r>
      <w:r w:rsidR="00BD3568">
        <w:rPr>
          <w:rFonts w:ascii="Times New (W1)" w:hAnsi="Times New (W1)" w:cs="Arial"/>
        </w:rPr>
        <w:t>ha publicado</w:t>
      </w:r>
      <w:r w:rsidRPr="00EB7C97">
        <w:rPr>
          <w:rFonts w:ascii="Times New (W1)" w:hAnsi="Times New (W1)" w:cs="Arial"/>
        </w:rPr>
        <w:t xml:space="preserve"> un informe en el que se pon</w:t>
      </w:r>
      <w:r w:rsidR="00BD3568">
        <w:rPr>
          <w:rFonts w:ascii="Times New (W1)" w:hAnsi="Times New (W1)" w:cs="Arial"/>
        </w:rPr>
        <w:t>e</w:t>
      </w:r>
      <w:r w:rsidRPr="00EB7C97">
        <w:rPr>
          <w:rFonts w:ascii="Times New (W1)" w:hAnsi="Times New (W1)" w:cs="Arial"/>
        </w:rPr>
        <w:t xml:space="preserve"> de manifiesto el cumplimiento en 2016 del sector Administración P</w:t>
      </w:r>
      <w:r w:rsidRPr="00EB7C97">
        <w:rPr>
          <w:rFonts w:ascii="Times New (W1)" w:hAnsi="Times New (W1)" w:cs="Arial"/>
        </w:rPr>
        <w:t>ú</w:t>
      </w:r>
      <w:r w:rsidRPr="00EB7C97">
        <w:rPr>
          <w:rFonts w:ascii="Times New (W1)" w:hAnsi="Times New (W1)" w:cs="Arial"/>
        </w:rPr>
        <w:t xml:space="preserve">blica de Navarra del objetivo de estabilidad presupuestaria, de la regla de gasto y el de deuda pública. </w:t>
      </w:r>
    </w:p>
    <w:p w:rsidR="00EB7C97" w:rsidRPr="00EB7C97" w:rsidRDefault="00BD3568" w:rsidP="00F93072">
      <w:pPr>
        <w:pStyle w:val="texto"/>
      </w:pPr>
      <w:r>
        <w:t>A</w:t>
      </w:r>
      <w:r w:rsidR="00EB7C97" w:rsidRPr="00EB7C97">
        <w:t xml:space="preserve">nalizamos a continuación el grado de cumplimiento de las anteriores reglas fiscales: </w:t>
      </w:r>
    </w:p>
    <w:p w:rsidR="00EB7C97" w:rsidRPr="00EB7C97" w:rsidRDefault="00EB7C97" w:rsidP="00F93072">
      <w:pPr>
        <w:pStyle w:val="atitulo3"/>
        <w:spacing w:before="240"/>
      </w:pPr>
      <w:r w:rsidRPr="00EB7C97">
        <w:t>IV.4.1. Estabilidad presupuestaria</w:t>
      </w:r>
    </w:p>
    <w:p w:rsidR="00EB7C97" w:rsidRPr="00EB7C97" w:rsidRDefault="00EB7C97" w:rsidP="00EB7C97">
      <w:pPr>
        <w:tabs>
          <w:tab w:val="center" w:pos="2835"/>
          <w:tab w:val="center" w:pos="3969"/>
          <w:tab w:val="center" w:pos="5103"/>
          <w:tab w:val="center" w:pos="6237"/>
          <w:tab w:val="center" w:pos="7371"/>
        </w:tabs>
        <w:ind w:firstLine="284"/>
        <w:rPr>
          <w:spacing w:val="6"/>
          <w:sz w:val="26"/>
          <w:szCs w:val="24"/>
        </w:rPr>
      </w:pPr>
      <w:r w:rsidRPr="00EB7C97">
        <w:rPr>
          <w:spacing w:val="6"/>
          <w:sz w:val="26"/>
          <w:szCs w:val="24"/>
        </w:rPr>
        <w:t>De acuerdo con la información analizada, concluimos:</w:t>
      </w:r>
    </w:p>
    <w:p w:rsidR="00814693" w:rsidRPr="00814693" w:rsidRDefault="00132A11" w:rsidP="00814693">
      <w:pPr>
        <w:pStyle w:val="texto"/>
        <w:spacing w:after="120"/>
        <w:rPr>
          <w:b/>
        </w:rPr>
      </w:pPr>
      <w:r>
        <w:rPr>
          <w:b/>
        </w:rPr>
        <w:t>1.º</w:t>
      </w:r>
      <w:r w:rsidR="00814693" w:rsidRPr="00814693">
        <w:rPr>
          <w:b/>
        </w:rPr>
        <w:t xml:space="preserve"> Regla de gasto</w:t>
      </w:r>
    </w:p>
    <w:p w:rsidR="00EB7C97" w:rsidRPr="00EB7C97" w:rsidRDefault="00EB7C97" w:rsidP="00814693">
      <w:pPr>
        <w:pStyle w:val="texto"/>
        <w:spacing w:before="120" w:after="240"/>
      </w:pPr>
      <w:r w:rsidRPr="00EB7C97">
        <w:t>De acuerdo con los datos calculados por el Ministerio de Hacienda y Adm</w:t>
      </w:r>
      <w:r w:rsidRPr="00EB7C97">
        <w:t>i</w:t>
      </w:r>
      <w:r w:rsidRPr="00EB7C97">
        <w:t xml:space="preserve">nistraciones Públicas en </w:t>
      </w:r>
      <w:r w:rsidR="00BD3568">
        <w:t>octubre</w:t>
      </w:r>
      <w:r w:rsidRPr="00EB7C97">
        <w:t xml:space="preserve"> de 2017, el Sector Administración Pública de la Comunidad Foral ha cumplido con la regla de gasto, dado que su gasto computable en 2016 ha disminuido en un 0,6 por ciento respecto al ejercicio anterior, cuando la tasa de incremento se fijó en el 1,8 por ciento. Así:</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EB7C97" w:rsidRPr="00EB7C97" w:rsidTr="00F93072">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EB7C97">
              <w:rPr>
                <w:rFonts w:ascii="Arial" w:hAnsi="Arial"/>
                <w:spacing w:val="6"/>
                <w:sz w:val="18"/>
                <w:szCs w:val="24"/>
              </w:rPr>
              <w:t>Regla de gasto- Gasto computable</w:t>
            </w:r>
          </w:p>
        </w:tc>
        <w:tc>
          <w:tcPr>
            <w:tcW w:w="1701"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2015</w:t>
            </w:r>
          </w:p>
        </w:tc>
        <w:tc>
          <w:tcPr>
            <w:tcW w:w="1060"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2016</w:t>
            </w:r>
          </w:p>
        </w:tc>
        <w:tc>
          <w:tcPr>
            <w:tcW w:w="1381" w:type="dxa"/>
            <w:tcBorders>
              <w:top w:val="single" w:sz="4" w:space="0" w:color="auto"/>
              <w:bottom w:val="single" w:sz="4" w:space="0" w:color="auto"/>
            </w:tcBorders>
            <w:shd w:val="clear" w:color="auto" w:fill="8DB3E2" w:themeFill="text2" w:themeFillTint="66"/>
            <w:vAlign w:val="center"/>
          </w:tcPr>
          <w:p w:rsidR="00F93072"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 var</w:t>
            </w:r>
            <w:r w:rsidR="00F93072">
              <w:rPr>
                <w:rFonts w:ascii="Arial" w:hAnsi="Arial"/>
                <w:spacing w:val="6"/>
                <w:sz w:val="18"/>
                <w:szCs w:val="24"/>
              </w:rPr>
              <w:t>iación</w:t>
            </w:r>
            <w:r w:rsidRPr="00EB7C97">
              <w:rPr>
                <w:rFonts w:ascii="Arial" w:hAnsi="Arial"/>
                <w:spacing w:val="6"/>
                <w:sz w:val="18"/>
                <w:szCs w:val="24"/>
              </w:rPr>
              <w:t xml:space="preserve"> </w:t>
            </w:r>
          </w:p>
          <w:p w:rsidR="00EB7C97" w:rsidRPr="00EB7C97" w:rsidRDefault="00F93072"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r</w:t>
            </w:r>
            <w:r w:rsidR="00EB7C97" w:rsidRPr="00EB7C97">
              <w:rPr>
                <w:rFonts w:ascii="Arial" w:hAnsi="Arial"/>
                <w:spacing w:val="6"/>
                <w:sz w:val="18"/>
                <w:szCs w:val="24"/>
              </w:rPr>
              <w:t>ealizado</w:t>
            </w:r>
          </w:p>
        </w:tc>
        <w:tc>
          <w:tcPr>
            <w:tcW w:w="1381" w:type="dxa"/>
            <w:tcBorders>
              <w:top w:val="single" w:sz="4" w:space="0" w:color="auto"/>
              <w:bottom w:val="single" w:sz="4" w:space="0" w:color="auto"/>
            </w:tcBorders>
            <w:shd w:val="clear" w:color="auto" w:fill="8DB3E2" w:themeFill="text2" w:themeFillTint="66"/>
            <w:vAlign w:val="center"/>
          </w:tcPr>
          <w:p w:rsidR="00F93072"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 var</w:t>
            </w:r>
            <w:r w:rsidR="00F93072">
              <w:rPr>
                <w:rFonts w:ascii="Arial" w:hAnsi="Arial"/>
                <w:spacing w:val="6"/>
                <w:sz w:val="18"/>
                <w:szCs w:val="24"/>
              </w:rPr>
              <w:t>iación</w:t>
            </w:r>
            <w:r w:rsidRPr="00EB7C97">
              <w:rPr>
                <w:rFonts w:ascii="Arial" w:hAnsi="Arial"/>
                <w:spacing w:val="6"/>
                <w:sz w:val="18"/>
                <w:szCs w:val="24"/>
              </w:rPr>
              <w:t>.</w:t>
            </w:r>
          </w:p>
          <w:p w:rsidR="00EB7C97" w:rsidRPr="00EB7C97" w:rsidRDefault="00EB7C97" w:rsidP="00F9307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 xml:space="preserve"> </w:t>
            </w:r>
            <w:r w:rsidR="00F93072">
              <w:rPr>
                <w:rFonts w:ascii="Arial" w:hAnsi="Arial"/>
                <w:spacing w:val="6"/>
                <w:sz w:val="18"/>
                <w:szCs w:val="24"/>
              </w:rPr>
              <w:t>o</w:t>
            </w:r>
            <w:r w:rsidRPr="00EB7C97">
              <w:rPr>
                <w:rFonts w:ascii="Arial" w:hAnsi="Arial"/>
                <w:spacing w:val="6"/>
                <w:sz w:val="18"/>
                <w:szCs w:val="24"/>
              </w:rPr>
              <w:t>bjetivo</w:t>
            </w:r>
          </w:p>
        </w:tc>
      </w:tr>
      <w:tr w:rsidR="00EB7C97" w:rsidRPr="00EB7C97" w:rsidTr="00F93072">
        <w:trPr>
          <w:trHeight w:val="255"/>
          <w:jc w:val="center"/>
        </w:trPr>
        <w:tc>
          <w:tcPr>
            <w:tcW w:w="3257" w:type="dxa"/>
            <w:tcBorders>
              <w:top w:val="single" w:sz="2" w:space="0" w:color="auto"/>
              <w:bottom w:val="single" w:sz="4" w:space="0" w:color="auto"/>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Importe (en millones)</w:t>
            </w:r>
          </w:p>
        </w:tc>
        <w:tc>
          <w:tcPr>
            <w:tcW w:w="1701" w:type="dxa"/>
            <w:tcBorders>
              <w:top w:val="single" w:sz="2" w:space="0" w:color="auto"/>
              <w:bottom w:val="single" w:sz="4" w:space="0" w:color="auto"/>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2.6</w:t>
            </w:r>
            <w:r w:rsidR="00BD3568">
              <w:rPr>
                <w:rFonts w:ascii="Arial Narrow" w:hAnsi="Arial Narrow"/>
                <w:spacing w:val="6"/>
              </w:rPr>
              <w:t>29</w:t>
            </w:r>
          </w:p>
        </w:tc>
        <w:tc>
          <w:tcPr>
            <w:tcW w:w="1060" w:type="dxa"/>
            <w:tcBorders>
              <w:top w:val="single" w:sz="2" w:space="0" w:color="auto"/>
              <w:bottom w:val="single" w:sz="4" w:space="0" w:color="auto"/>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2.6</w:t>
            </w:r>
            <w:r w:rsidR="00BD3568">
              <w:rPr>
                <w:rFonts w:ascii="Arial Narrow" w:hAnsi="Arial Narrow"/>
                <w:spacing w:val="6"/>
              </w:rPr>
              <w:t>12</w:t>
            </w:r>
          </w:p>
        </w:tc>
        <w:tc>
          <w:tcPr>
            <w:tcW w:w="1381"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-0,6</w:t>
            </w:r>
          </w:p>
        </w:tc>
        <w:tc>
          <w:tcPr>
            <w:tcW w:w="1381"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1,8</w:t>
            </w:r>
          </w:p>
        </w:tc>
      </w:tr>
    </w:tbl>
    <w:p w:rsidR="00EB7C97" w:rsidRPr="00F93072" w:rsidRDefault="00EB7C97" w:rsidP="00EB7C97">
      <w:pPr>
        <w:spacing w:before="60" w:after="0"/>
        <w:ind w:firstLine="0"/>
        <w:jc w:val="left"/>
        <w:rPr>
          <w:rFonts w:ascii="Arial" w:hAnsi="Arial" w:cs="Arial"/>
          <w:sz w:val="16"/>
          <w:szCs w:val="16"/>
          <w:lang w:val="es-ES" w:eastAsia="es-ES"/>
        </w:rPr>
      </w:pPr>
      <w:r w:rsidRPr="00F93072">
        <w:rPr>
          <w:rFonts w:ascii="Arial" w:hAnsi="Arial" w:cs="Arial"/>
          <w:sz w:val="16"/>
          <w:szCs w:val="16"/>
          <w:lang w:val="es-ES" w:eastAsia="es-ES"/>
        </w:rPr>
        <w:t>Fuente: Ministerio de Hacienda y Administraciones Públicas</w:t>
      </w:r>
      <w:r w:rsidR="00E31905">
        <w:rPr>
          <w:rFonts w:ascii="Arial" w:hAnsi="Arial" w:cs="Arial"/>
          <w:sz w:val="16"/>
          <w:szCs w:val="16"/>
          <w:lang w:val="es-ES" w:eastAsia="es-ES"/>
        </w:rPr>
        <w:t>.</w:t>
      </w:r>
    </w:p>
    <w:p w:rsidR="00EB7C97" w:rsidRDefault="00EB7C97" w:rsidP="00F93072">
      <w:pPr>
        <w:pStyle w:val="texto"/>
        <w:spacing w:before="240"/>
      </w:pPr>
      <w:r w:rsidRPr="00EB7C97">
        <w:t>Es decir, el gasto computable fue 1</w:t>
      </w:r>
      <w:r w:rsidR="00BD3568">
        <w:t>7</w:t>
      </w:r>
      <w:r w:rsidRPr="00EB7C97">
        <w:t xml:space="preserve"> millones inferior al de 2015, frente al aumento permitido del 1,8 por ciento.</w:t>
      </w:r>
    </w:p>
    <w:p w:rsidR="00814693" w:rsidRPr="00EB7C97" w:rsidRDefault="00814693" w:rsidP="00F93072">
      <w:pPr>
        <w:pStyle w:val="texto"/>
        <w:spacing w:before="240"/>
      </w:pPr>
    </w:p>
    <w:p w:rsidR="00BD3568" w:rsidRDefault="00BD3568">
      <w:pPr>
        <w:spacing w:after="0"/>
        <w:ind w:firstLine="0"/>
        <w:jc w:val="left"/>
        <w:rPr>
          <w:b/>
          <w:spacing w:val="6"/>
          <w:sz w:val="26"/>
          <w:szCs w:val="24"/>
        </w:rPr>
      </w:pPr>
      <w:r>
        <w:rPr>
          <w:b/>
        </w:rPr>
        <w:br w:type="page"/>
      </w:r>
    </w:p>
    <w:p w:rsidR="00814693" w:rsidRPr="00814693" w:rsidRDefault="00EB7C97" w:rsidP="00814693">
      <w:pPr>
        <w:pStyle w:val="texto"/>
        <w:spacing w:after="120"/>
        <w:rPr>
          <w:b/>
        </w:rPr>
      </w:pPr>
      <w:r w:rsidRPr="00814693">
        <w:rPr>
          <w:b/>
        </w:rPr>
        <w:lastRenderedPageBreak/>
        <w:t>2</w:t>
      </w:r>
      <w:r w:rsidR="00132A11">
        <w:rPr>
          <w:b/>
        </w:rPr>
        <w:t>.</w:t>
      </w:r>
      <w:r w:rsidRPr="00814693">
        <w:rPr>
          <w:b/>
        </w:rPr>
        <w:t xml:space="preserve">º </w:t>
      </w:r>
      <w:r w:rsidR="00814693" w:rsidRPr="00814693">
        <w:rPr>
          <w:b/>
        </w:rPr>
        <w:t>Necesidades de financiación</w:t>
      </w:r>
    </w:p>
    <w:p w:rsidR="00EB7C97" w:rsidRPr="00EB7C97" w:rsidRDefault="00EB7C97" w:rsidP="00F93072">
      <w:pPr>
        <w:pStyle w:val="texto"/>
        <w:spacing w:after="240"/>
        <w:rPr>
          <w:rFonts w:ascii="Arial" w:hAnsi="Arial" w:cs="Arial"/>
          <w:sz w:val="16"/>
          <w:szCs w:val="16"/>
          <w:lang w:val="es-ES" w:eastAsia="es-ES"/>
        </w:rPr>
      </w:pPr>
      <w:r w:rsidRPr="00EB7C97">
        <w:t>A continuación mostramos, en millones de euros, los datos referidos a las necesidades de financiación de Navarra que alcanzan los 136,5 millones de e</w:t>
      </w:r>
      <w:r w:rsidRPr="00EB7C97">
        <w:t>u</w:t>
      </w:r>
      <w:r w:rsidRPr="00EB7C97">
        <w:t>ros, y representan el 0,7 por ciento sobre el PIB de Navarra, coincidiendo con el límite pactado y cumpliendo por lo tanto con esta regla</w:t>
      </w:r>
      <w:r w:rsidR="00BD3568">
        <w:t>, según la publicación de octubre de 2017 del Ministerio</w:t>
      </w:r>
      <w:r w:rsidRPr="00EB7C97">
        <w:t>:</w:t>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814693" w:rsidRPr="00814693" w:rsidTr="00814693">
        <w:trPr>
          <w:trHeight w:val="255"/>
        </w:trPr>
        <w:tc>
          <w:tcPr>
            <w:tcW w:w="8847" w:type="dxa"/>
            <w:gridSpan w:val="2"/>
            <w:tcBorders>
              <w:top w:val="nil"/>
              <w:bottom w:val="single" w:sz="4" w:space="0" w:color="000000"/>
            </w:tcBorders>
            <w:shd w:val="clear" w:color="auto" w:fill="auto"/>
            <w:noWrap/>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814693">
              <w:rPr>
                <w:rFonts w:ascii="Arial" w:hAnsi="Arial" w:cs="Arial"/>
                <w:spacing w:val="6"/>
                <w:sz w:val="17"/>
                <w:szCs w:val="17"/>
              </w:rPr>
              <w:t>(en millones de euros)</w:t>
            </w:r>
          </w:p>
        </w:tc>
      </w:tr>
      <w:tr w:rsidR="00EB7C97" w:rsidRPr="00EB7C97" w:rsidTr="00163F9B">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Déficit Sector Administración Pública de la Comunidad Foral de Navarra</w:t>
            </w:r>
          </w:p>
        </w:tc>
        <w:tc>
          <w:tcPr>
            <w:tcW w:w="1407"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EB7C97" w:rsidRPr="00EB7C97" w:rsidTr="00F93072">
        <w:trPr>
          <w:trHeight w:val="255"/>
        </w:trPr>
        <w:tc>
          <w:tcPr>
            <w:tcW w:w="7440" w:type="dxa"/>
            <w:tcBorders>
              <w:top w:val="single" w:sz="4"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lang w:val="es-ES" w:eastAsia="es-ES"/>
              </w:rPr>
            </w:pPr>
            <w:r w:rsidRPr="00EB7C97">
              <w:rPr>
                <w:rFonts w:ascii="Arial Narrow" w:hAnsi="Arial Narrow" w:cs="Arial"/>
                <w:b/>
                <w:lang w:val="es-ES" w:eastAsia="es-ES"/>
              </w:rPr>
              <w:t xml:space="preserve">I. Saldo Presupuestario No Financiero </w:t>
            </w:r>
            <w:r w:rsidRPr="00EB7C97">
              <w:rPr>
                <w:rFonts w:ascii="Arial Narrow" w:hAnsi="Arial Narrow" w:cs="Arial"/>
                <w:lang w:val="es-ES" w:eastAsia="es-ES"/>
              </w:rPr>
              <w:t>(cap. 1 al 7 de ingresos menos cap.1 al 7 de gastos)</w:t>
            </w:r>
          </w:p>
        </w:tc>
        <w:tc>
          <w:tcPr>
            <w:tcW w:w="1407" w:type="dxa"/>
            <w:tcBorders>
              <w:top w:val="single" w:sz="4"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lang w:val="es-ES" w:eastAsia="es-ES"/>
              </w:rPr>
            </w:pPr>
            <w:r w:rsidRPr="00EB7C97">
              <w:rPr>
                <w:rFonts w:ascii="Arial Narrow" w:hAnsi="Arial Narrow" w:cs="Arial"/>
                <w:b/>
                <w:lang w:val="es-ES" w:eastAsia="es-ES"/>
              </w:rPr>
              <w:t>-57,6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De la Administración General y sus Organismos Autónomos</w:t>
            </w:r>
          </w:p>
        </w:tc>
        <w:tc>
          <w:tcPr>
            <w:tcW w:w="1407" w:type="dxa"/>
            <w:tcBorders>
              <w:top w:val="single" w:sz="2" w:space="0" w:color="000000"/>
              <w:bottom w:val="single" w:sz="2" w:space="0" w:color="000000"/>
            </w:tcBorders>
            <w:vAlign w:val="center"/>
          </w:tcPr>
          <w:p w:rsidR="00EB7C97" w:rsidRPr="00EB7C97" w:rsidRDefault="00814693" w:rsidP="00EB7C97">
            <w:pPr>
              <w:spacing w:after="0"/>
              <w:ind w:firstLine="0"/>
              <w:jc w:val="right"/>
              <w:rPr>
                <w:rFonts w:ascii="Arial Narrow" w:hAnsi="Arial Narrow" w:cs="Arial"/>
                <w:lang w:val="es-ES" w:eastAsia="es-ES"/>
              </w:rPr>
            </w:pPr>
            <w:r>
              <w:rPr>
                <w:rFonts w:ascii="Arial Narrow" w:hAnsi="Arial Narrow" w:cs="Arial"/>
                <w:lang w:val="es-ES" w:eastAsia="es-ES"/>
              </w:rPr>
              <w:t>-</w:t>
            </w:r>
            <w:r w:rsidR="00EB7C97" w:rsidRPr="00EB7C97">
              <w:rPr>
                <w:rFonts w:ascii="Arial Narrow" w:hAnsi="Arial Narrow" w:cs="Arial"/>
                <w:lang w:val="es-ES" w:eastAsia="es-ES"/>
              </w:rPr>
              <w:t>57,0</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Del Parlamento, Defensor del Pueblo, Consejo de Navarra y Cámara de Comptos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0,3</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De la Universidad Pública de Navarra</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-0,9</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lang w:val="es-ES" w:eastAsia="es-ES"/>
              </w:rPr>
            </w:pPr>
            <w:r w:rsidRPr="00EB7C97">
              <w:rPr>
                <w:rFonts w:ascii="Arial Narrow" w:hAnsi="Arial Narrow" w:cs="Arial"/>
                <w:b/>
                <w:lang w:val="es-ES" w:eastAsia="es-ES"/>
              </w:rPr>
              <w:t xml:space="preserve">II. Ajustes al saldo presupuestario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lang w:val="es-ES" w:eastAsia="es-ES"/>
              </w:rPr>
            </w:pPr>
            <w:r w:rsidRPr="00EB7C97">
              <w:rPr>
                <w:rFonts w:ascii="Arial Narrow" w:hAnsi="Arial Narrow" w:cs="Arial"/>
                <w:b/>
                <w:lang w:val="es-ES" w:eastAsia="es-ES"/>
              </w:rPr>
              <w:t>-83,1</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Aportación Convenio Económico</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-82,6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Transferencias de la Administración Central y de la Seguridad Social</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 xml:space="preserve">Transferencias de Fondos Comunitarios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1,0</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 xml:space="preserve">Recaudación incierta </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-5,7</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Céntimo sanitario</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Operaciones pendientes de aplicar al presupuesto</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Inversiones a través de Asociaciones Público-Privadas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3,8</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Intereses devengados no vencidos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4,9</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Anticipos de obras ADIF (TAV)</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-14,5</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Avales ejecutados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-0,6</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Acreedores por devolución de impuestos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24,8</w:t>
            </w:r>
          </w:p>
        </w:tc>
      </w:tr>
      <w:tr w:rsidR="00EB7C97" w:rsidRPr="00EB7C97" w:rsidTr="00F93072">
        <w:trPr>
          <w:trHeight w:val="198"/>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Aportaciones financieras empresas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-18,8</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lang w:val="es-ES" w:eastAsia="es-ES"/>
              </w:rPr>
            </w:pPr>
            <w:r w:rsidRPr="00EB7C97">
              <w:rPr>
                <w:rFonts w:ascii="Arial Narrow" w:hAnsi="Arial Narrow" w:cs="Arial"/>
                <w:b/>
                <w:lang w:val="es-ES" w:eastAsia="es-ES"/>
              </w:rPr>
              <w:t>III. Otras unidades consideradas como AA.PP (sociedades y fundaciones públicas)</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lang w:val="es-ES" w:eastAsia="es-ES"/>
              </w:rPr>
            </w:pPr>
            <w:r w:rsidRPr="00EB7C97">
              <w:rPr>
                <w:rFonts w:ascii="Arial Narrow" w:hAnsi="Arial Narrow" w:cs="Arial"/>
                <w:b/>
                <w:lang w:val="es-ES" w:eastAsia="es-ES"/>
              </w:rPr>
              <w:t>4,2</w:t>
            </w:r>
          </w:p>
        </w:tc>
      </w:tr>
      <w:tr w:rsidR="00EB7C97" w:rsidRPr="00EB7C97" w:rsidTr="00F93072">
        <w:trPr>
          <w:trHeight w:val="255"/>
        </w:trPr>
        <w:tc>
          <w:tcPr>
            <w:tcW w:w="7440" w:type="dxa"/>
            <w:tcBorders>
              <w:top w:val="single" w:sz="2" w:space="0" w:color="000000"/>
              <w:bottom w:val="single" w:sz="2" w:space="0" w:color="000000"/>
            </w:tcBorders>
            <w:shd w:val="clear" w:color="auto" w:fill="auto"/>
            <w:vAlign w:val="center"/>
          </w:tcPr>
          <w:p w:rsidR="00EB7C97" w:rsidRPr="00EB7C97" w:rsidRDefault="00EB7C97" w:rsidP="00EB7C97">
            <w:pPr>
              <w:spacing w:after="0"/>
              <w:ind w:firstLine="0"/>
              <w:jc w:val="left"/>
              <w:rPr>
                <w:rFonts w:ascii="Arial Narrow" w:hAnsi="Arial Narrow" w:cs="Arial"/>
                <w:b/>
                <w:lang w:val="es-ES" w:eastAsia="es-ES"/>
              </w:rPr>
            </w:pPr>
            <w:r w:rsidRPr="00EB7C97">
              <w:rPr>
                <w:rFonts w:ascii="Arial Narrow" w:hAnsi="Arial Narrow" w:cs="Arial"/>
                <w:b/>
                <w:lang w:val="es-ES" w:eastAsia="es-ES"/>
              </w:rPr>
              <w:t>IV. Necesidad financiación a efectos cumplimiento objetivo de Estab. Presupuestaria (I a III)</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lang w:val="es-ES" w:eastAsia="es-ES"/>
              </w:rPr>
            </w:pPr>
            <w:r w:rsidRPr="00EB7C97">
              <w:rPr>
                <w:rFonts w:ascii="Arial Narrow" w:hAnsi="Arial Narrow" w:cs="Arial"/>
                <w:b/>
                <w:lang w:val="es-ES" w:eastAsia="es-ES"/>
              </w:rPr>
              <w:t>-136,5</w:t>
            </w:r>
          </w:p>
        </w:tc>
      </w:tr>
      <w:tr w:rsidR="00EB7C97" w:rsidRPr="00EB7C97" w:rsidTr="00F93072">
        <w:trPr>
          <w:trHeight w:val="255"/>
        </w:trPr>
        <w:tc>
          <w:tcPr>
            <w:tcW w:w="7440" w:type="dxa"/>
            <w:tcBorders>
              <w:top w:val="single" w:sz="2" w:space="0" w:color="000000"/>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b/>
                <w:lang w:val="es-ES" w:eastAsia="es-ES"/>
              </w:rPr>
            </w:pPr>
            <w:r w:rsidRPr="00EB7C97">
              <w:rPr>
                <w:rFonts w:ascii="Arial Narrow" w:hAnsi="Arial Narrow" w:cs="Arial"/>
                <w:b/>
                <w:lang w:val="es-ES" w:eastAsia="es-ES"/>
              </w:rPr>
              <w:t>Porcentaje de las necesidades de financiación sobre PIB de Navarra (1)</w:t>
            </w:r>
          </w:p>
        </w:tc>
        <w:tc>
          <w:tcPr>
            <w:tcW w:w="1407" w:type="dxa"/>
            <w:tcBorders>
              <w:top w:val="single" w:sz="2" w:space="0" w:color="000000"/>
              <w:bottom w:val="single" w:sz="2" w:space="0" w:color="000000"/>
            </w:tcBorders>
            <w:vAlign w:val="center"/>
          </w:tcPr>
          <w:p w:rsidR="00EB7C97" w:rsidRPr="00EB7C97" w:rsidRDefault="00EB7C97" w:rsidP="00EB7C97">
            <w:pPr>
              <w:spacing w:after="0"/>
              <w:ind w:firstLine="0"/>
              <w:jc w:val="right"/>
              <w:rPr>
                <w:rFonts w:ascii="Arial Narrow" w:hAnsi="Arial Narrow" w:cs="Arial"/>
                <w:b/>
                <w:lang w:val="es-ES" w:eastAsia="es-ES"/>
              </w:rPr>
            </w:pPr>
            <w:r w:rsidRPr="00EB7C97">
              <w:rPr>
                <w:rFonts w:ascii="Arial Narrow" w:hAnsi="Arial Narrow" w:cs="Arial"/>
                <w:b/>
                <w:lang w:val="es-ES" w:eastAsia="es-ES"/>
              </w:rPr>
              <w:t>-0,7</w:t>
            </w:r>
          </w:p>
        </w:tc>
      </w:tr>
      <w:tr w:rsidR="00EB7C97" w:rsidRPr="00EB7C97" w:rsidTr="00163F9B">
        <w:trPr>
          <w:trHeight w:val="255"/>
        </w:trPr>
        <w:tc>
          <w:tcPr>
            <w:tcW w:w="7440" w:type="dxa"/>
            <w:tcBorders>
              <w:top w:val="single" w:sz="2" w:space="0" w:color="000000"/>
              <w:bottom w:val="single" w:sz="4"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b/>
                <w:i/>
                <w:lang w:val="es-ES" w:eastAsia="es-ES"/>
              </w:rPr>
            </w:pPr>
            <w:r w:rsidRPr="00EB7C97">
              <w:rPr>
                <w:rFonts w:ascii="Arial Narrow" w:hAnsi="Arial Narrow" w:cs="Arial"/>
                <w:b/>
                <w:i/>
                <w:lang w:val="es-ES" w:eastAsia="es-ES"/>
              </w:rPr>
              <w:t>Objetivo pactado en porcentaje sobre el PIB de Navarra</w:t>
            </w:r>
          </w:p>
        </w:tc>
        <w:tc>
          <w:tcPr>
            <w:tcW w:w="1407" w:type="dxa"/>
            <w:tcBorders>
              <w:top w:val="single" w:sz="2" w:space="0" w:color="000000"/>
              <w:bottom w:val="single" w:sz="4" w:space="0" w:color="000000"/>
            </w:tcBorders>
            <w:vAlign w:val="center"/>
          </w:tcPr>
          <w:p w:rsidR="00EB7C97" w:rsidRPr="00EB7C97" w:rsidRDefault="00EB7C97" w:rsidP="00EB7C97">
            <w:pPr>
              <w:spacing w:after="0"/>
              <w:ind w:firstLine="0"/>
              <w:jc w:val="right"/>
              <w:rPr>
                <w:rFonts w:ascii="Arial Narrow" w:hAnsi="Arial Narrow" w:cs="Arial"/>
                <w:b/>
                <w:i/>
                <w:lang w:val="es-ES" w:eastAsia="es-ES"/>
              </w:rPr>
            </w:pPr>
            <w:r w:rsidRPr="00EB7C97">
              <w:rPr>
                <w:rFonts w:ascii="Arial Narrow" w:hAnsi="Arial Narrow" w:cs="Arial"/>
                <w:b/>
                <w:i/>
                <w:lang w:val="es-ES" w:eastAsia="es-ES"/>
              </w:rPr>
              <w:t>-0,7</w:t>
            </w:r>
          </w:p>
        </w:tc>
      </w:tr>
    </w:tbl>
    <w:p w:rsidR="00EB7C97" w:rsidRPr="00163F9B" w:rsidRDefault="00EB7C97" w:rsidP="00163F9B">
      <w:pPr>
        <w:spacing w:before="60" w:after="0"/>
        <w:ind w:firstLine="0"/>
        <w:jc w:val="left"/>
        <w:rPr>
          <w:rFonts w:ascii="Arial" w:hAnsi="Arial" w:cs="Arial"/>
          <w:sz w:val="16"/>
          <w:szCs w:val="16"/>
          <w:lang w:val="es-ES" w:eastAsia="es-ES"/>
        </w:rPr>
      </w:pPr>
      <w:r w:rsidRPr="00163F9B">
        <w:rPr>
          <w:rFonts w:ascii="Arial" w:hAnsi="Arial" w:cs="Arial"/>
          <w:sz w:val="16"/>
          <w:szCs w:val="16"/>
          <w:lang w:val="es-ES" w:eastAsia="es-ES"/>
        </w:rPr>
        <w:t>Fuente: Gobierno de Navarra</w:t>
      </w:r>
      <w:r w:rsidR="00163F9B">
        <w:rPr>
          <w:rFonts w:ascii="Arial" w:hAnsi="Arial" w:cs="Arial"/>
          <w:sz w:val="16"/>
          <w:szCs w:val="16"/>
          <w:lang w:val="es-ES" w:eastAsia="es-ES"/>
        </w:rPr>
        <w:t>.</w:t>
      </w:r>
    </w:p>
    <w:p w:rsidR="00EB7C97" w:rsidRPr="00163F9B" w:rsidRDefault="00EB7C97" w:rsidP="00163F9B">
      <w:pPr>
        <w:spacing w:after="0"/>
        <w:ind w:firstLine="0"/>
        <w:jc w:val="left"/>
        <w:rPr>
          <w:rFonts w:ascii="Arial" w:hAnsi="Arial" w:cs="Arial"/>
          <w:sz w:val="16"/>
          <w:szCs w:val="16"/>
          <w:lang w:val="es-ES" w:eastAsia="es-ES"/>
        </w:rPr>
      </w:pPr>
      <w:r w:rsidRPr="00163F9B">
        <w:rPr>
          <w:rFonts w:ascii="Arial" w:hAnsi="Arial" w:cs="Arial"/>
          <w:sz w:val="16"/>
          <w:szCs w:val="16"/>
          <w:vertAlign w:val="superscript"/>
          <w:lang w:val="es-ES" w:eastAsia="es-ES"/>
        </w:rPr>
        <w:t>(1)</w:t>
      </w:r>
      <w:r w:rsidRPr="00163F9B">
        <w:rPr>
          <w:rFonts w:ascii="Arial" w:hAnsi="Arial" w:cs="Arial"/>
          <w:sz w:val="16"/>
          <w:szCs w:val="16"/>
          <w:lang w:val="es-ES" w:eastAsia="es-ES"/>
        </w:rPr>
        <w:t xml:space="preserve"> PIB de Navarra en 2016 provisional estimado en 19.018 millones (fuente INE)</w:t>
      </w:r>
      <w:r w:rsidR="00163F9B">
        <w:rPr>
          <w:rFonts w:ascii="Arial" w:hAnsi="Arial" w:cs="Arial"/>
          <w:sz w:val="16"/>
          <w:szCs w:val="16"/>
          <w:lang w:val="es-ES" w:eastAsia="es-ES"/>
        </w:rPr>
        <w:t>.</w:t>
      </w:r>
    </w:p>
    <w:p w:rsidR="00EB7C97" w:rsidRPr="00814693" w:rsidRDefault="00EB7C97" w:rsidP="00163F9B">
      <w:pPr>
        <w:pStyle w:val="texto"/>
        <w:spacing w:before="240"/>
        <w:ind w:right="-86"/>
      </w:pPr>
      <w:r w:rsidRPr="00814693">
        <w:t>En esta estimación hay que tener en cuenta que, a diferencia de la inform</w:t>
      </w:r>
      <w:r w:rsidRPr="00814693">
        <w:t>a</w:t>
      </w:r>
      <w:r w:rsidRPr="00814693">
        <w:t>ción contenida en la memoria de las Cuentas Generales del Gobierno de Navarra que</w:t>
      </w:r>
      <w:r w:rsidR="0082380F" w:rsidRPr="00814693">
        <w:t xml:space="preserve"> cita esta discrepancia pero no la tiene en cuenta para el cálculo del cumpl</w:t>
      </w:r>
      <w:r w:rsidR="0082380F" w:rsidRPr="00814693">
        <w:t>i</w:t>
      </w:r>
      <w:r w:rsidR="0082380F" w:rsidRPr="00814693">
        <w:t>miento de esta regla fiscal</w:t>
      </w:r>
      <w:r w:rsidRPr="00814693">
        <w:t xml:space="preserve">, </w:t>
      </w:r>
      <w:r w:rsidR="00FB39D4">
        <w:t xml:space="preserve">el Ministerio ha </w:t>
      </w:r>
      <w:r w:rsidRPr="00814693">
        <w:t xml:space="preserve">incluido la discrepancia existente entre Navarra y el Estado en relación con los flujos del Convenio Económico de 2016; según </w:t>
      </w:r>
      <w:r w:rsidR="00FB39D4">
        <w:t>su</w:t>
      </w:r>
      <w:r w:rsidRPr="00814693">
        <w:t>s cálculos, Navarra ha incurrido en un impago parcial de 82,</w:t>
      </w:r>
      <w:r w:rsidR="0082380F" w:rsidRPr="00814693">
        <w:t>55</w:t>
      </w:r>
      <w:r w:rsidRPr="00814693">
        <w:t xml:space="preserve"> millones lo que elevaría las necesidades de financiación a 136</w:t>
      </w:r>
      <w:r w:rsidR="00BD3568">
        <w:t>,5</w:t>
      </w:r>
      <w:r w:rsidRPr="00814693">
        <w:t xml:space="preserve"> millones de e</w:t>
      </w:r>
      <w:r w:rsidRPr="00814693">
        <w:t>u</w:t>
      </w:r>
      <w:r w:rsidRPr="00814693">
        <w:t>ros, siendo este el ajuste más significativo. En todo caso, Navarra cumpliría con la regla al coincidir esta cantidad con el 0,7 por ciento del PIB pactado.</w:t>
      </w:r>
    </w:p>
    <w:p w:rsidR="00BD3568" w:rsidRDefault="00BD3568">
      <w:pPr>
        <w:spacing w:after="0"/>
        <w:ind w:firstLine="0"/>
        <w:jc w:val="left"/>
        <w:rPr>
          <w:spacing w:val="6"/>
          <w:sz w:val="26"/>
          <w:szCs w:val="24"/>
        </w:rPr>
      </w:pPr>
      <w:r>
        <w:br w:type="page"/>
      </w:r>
    </w:p>
    <w:p w:rsidR="00EB7C97" w:rsidRPr="00163F9B" w:rsidRDefault="00EB7C97" w:rsidP="00A23128">
      <w:pPr>
        <w:pStyle w:val="texto"/>
        <w:spacing w:after="120"/>
      </w:pPr>
      <w:r w:rsidRPr="00163F9B">
        <w:lastRenderedPageBreak/>
        <w:t>La evolución de las necesidades de financiación del sector administración pú</w:t>
      </w:r>
      <w:r w:rsidR="00664032">
        <w:t>blica para el periodo 2009-2015</w:t>
      </w:r>
      <w:r w:rsidRPr="00163F9B">
        <w:t xml:space="preserve"> es la siguiente:</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702"/>
        <w:gridCol w:w="994"/>
        <w:gridCol w:w="992"/>
        <w:gridCol w:w="851"/>
        <w:gridCol w:w="850"/>
        <w:gridCol w:w="993"/>
        <w:gridCol w:w="850"/>
        <w:gridCol w:w="851"/>
        <w:gridCol w:w="778"/>
      </w:tblGrid>
      <w:tr w:rsidR="00664032" w:rsidRPr="00EB7C97" w:rsidTr="00664032">
        <w:trPr>
          <w:trHeight w:val="198"/>
          <w:jc w:val="center"/>
        </w:trPr>
        <w:tc>
          <w:tcPr>
            <w:tcW w:w="8861" w:type="dxa"/>
            <w:gridSpan w:val="9"/>
            <w:tcBorders>
              <w:top w:val="nil"/>
              <w:bottom w:val="single" w:sz="4" w:space="0" w:color="000000"/>
            </w:tcBorders>
            <w:shd w:val="clear" w:color="auto" w:fill="auto"/>
            <w:noWrap/>
            <w:vAlign w:val="center"/>
          </w:tcPr>
          <w:p w:rsidR="00664032" w:rsidRPr="00BD3568" w:rsidRDefault="00664032"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D3568">
              <w:rPr>
                <w:rFonts w:ascii="Arial" w:hAnsi="Arial" w:cs="Arial"/>
                <w:spacing w:val="6"/>
                <w:sz w:val="17"/>
                <w:szCs w:val="17"/>
              </w:rPr>
              <w:t>(en millones de euros)</w:t>
            </w:r>
          </w:p>
        </w:tc>
      </w:tr>
      <w:tr w:rsidR="00EB7C97" w:rsidRPr="00EB7C97" w:rsidTr="00163F9B">
        <w:trPr>
          <w:trHeight w:val="198"/>
          <w:jc w:val="center"/>
        </w:trPr>
        <w:tc>
          <w:tcPr>
            <w:tcW w:w="170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Necesidades de financiación</w:t>
            </w:r>
          </w:p>
        </w:tc>
        <w:tc>
          <w:tcPr>
            <w:tcW w:w="994"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2009</w:t>
            </w:r>
          </w:p>
        </w:tc>
        <w:tc>
          <w:tcPr>
            <w:tcW w:w="992"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2010</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2011</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2012</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2013</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2014</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2015</w:t>
            </w:r>
          </w:p>
        </w:tc>
        <w:tc>
          <w:tcPr>
            <w:tcW w:w="778"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EB7C97" w:rsidRPr="00EB7C97" w:rsidTr="00163F9B">
        <w:trPr>
          <w:trHeight w:val="198"/>
          <w:jc w:val="center"/>
        </w:trPr>
        <w:tc>
          <w:tcPr>
            <w:tcW w:w="1702"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Importe</w:t>
            </w:r>
          </w:p>
        </w:tc>
        <w:tc>
          <w:tcPr>
            <w:tcW w:w="994"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-477</w:t>
            </w:r>
          </w:p>
        </w:tc>
        <w:tc>
          <w:tcPr>
            <w:tcW w:w="992"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-564</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-368</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-311</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-255</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-149,5</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-269,9</w:t>
            </w:r>
          </w:p>
        </w:tc>
        <w:tc>
          <w:tcPr>
            <w:tcW w:w="778"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-136,5</w:t>
            </w:r>
          </w:p>
        </w:tc>
      </w:tr>
      <w:tr w:rsidR="00EB7C97" w:rsidRPr="00EB7C97" w:rsidTr="00163F9B">
        <w:trPr>
          <w:trHeight w:val="198"/>
          <w:jc w:val="center"/>
        </w:trPr>
        <w:tc>
          <w:tcPr>
            <w:tcW w:w="1702" w:type="dxa"/>
            <w:tcBorders>
              <w:top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 PIB Navarra</w:t>
            </w:r>
          </w:p>
        </w:tc>
        <w:tc>
          <w:tcPr>
            <w:tcW w:w="994"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-2,62</w:t>
            </w:r>
          </w:p>
        </w:tc>
        <w:tc>
          <w:tcPr>
            <w:tcW w:w="992"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-3,03</w:t>
            </w:r>
          </w:p>
        </w:tc>
        <w:tc>
          <w:tcPr>
            <w:tcW w:w="85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-1,97</w:t>
            </w:r>
          </w:p>
        </w:tc>
        <w:tc>
          <w:tcPr>
            <w:tcW w:w="850"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-1,72</w:t>
            </w:r>
          </w:p>
        </w:tc>
        <w:tc>
          <w:tcPr>
            <w:tcW w:w="993"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-1,45</w:t>
            </w:r>
          </w:p>
        </w:tc>
        <w:tc>
          <w:tcPr>
            <w:tcW w:w="850"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-0,84</w:t>
            </w:r>
          </w:p>
        </w:tc>
        <w:tc>
          <w:tcPr>
            <w:tcW w:w="851"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-1,48</w:t>
            </w:r>
          </w:p>
        </w:tc>
        <w:tc>
          <w:tcPr>
            <w:tcW w:w="778"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-0,7</w:t>
            </w:r>
          </w:p>
        </w:tc>
      </w:tr>
    </w:tbl>
    <w:p w:rsidR="00EB7C97" w:rsidRPr="00EB7C97" w:rsidRDefault="00EB7C97" w:rsidP="00163F9B">
      <w:pPr>
        <w:pStyle w:val="texto"/>
        <w:spacing w:before="240"/>
        <w:rPr>
          <w:lang w:val="es-ES"/>
        </w:rPr>
      </w:pPr>
      <w:r w:rsidRPr="00EB7C97">
        <w:rPr>
          <w:lang w:val="es-ES"/>
        </w:rPr>
        <w:t>En todos los ejercicios se han generado necesidades de financiación, alca</w:t>
      </w:r>
      <w:r w:rsidRPr="00EB7C97">
        <w:rPr>
          <w:lang w:val="es-ES"/>
        </w:rPr>
        <w:t>n</w:t>
      </w:r>
      <w:r w:rsidRPr="00EB7C97">
        <w:rPr>
          <w:lang w:val="es-ES"/>
        </w:rPr>
        <w:t>zando sus valores máximos en los ejercicios de 2009 y 2010, siendo las de 2016 las menores del periodo analizado.</w:t>
      </w:r>
    </w:p>
    <w:p w:rsidR="00EB7C97" w:rsidRPr="00A43B17" w:rsidRDefault="00EB7C97" w:rsidP="00BD3568">
      <w:pPr>
        <w:pStyle w:val="texto"/>
        <w:rPr>
          <w:rFonts w:cs="Arial"/>
        </w:rPr>
      </w:pPr>
      <w:r w:rsidRPr="00EB7C97">
        <w:rPr>
          <w:lang w:val="es-ES"/>
        </w:rPr>
        <w:t>Asimismo destacamos</w:t>
      </w:r>
      <w:r w:rsidR="00BD3568">
        <w:rPr>
          <w:lang w:val="es-ES"/>
        </w:rPr>
        <w:t>,</w:t>
      </w:r>
      <w:r w:rsidRPr="00EB7C97">
        <w:rPr>
          <w:lang w:val="es-ES"/>
        </w:rPr>
        <w:t xml:space="preserve"> </w:t>
      </w:r>
      <w:r w:rsidR="00BD3568">
        <w:rPr>
          <w:lang w:val="es-ES"/>
        </w:rPr>
        <w:t xml:space="preserve">que, de </w:t>
      </w:r>
      <w:r w:rsidRPr="00A43B17">
        <w:rPr>
          <w:rFonts w:cs="Arial"/>
        </w:rPr>
        <w:t>acuerdo a los datos disponibles, se ha cu</w:t>
      </w:r>
      <w:r w:rsidRPr="00A43B17">
        <w:rPr>
          <w:rFonts w:cs="Arial"/>
        </w:rPr>
        <w:t>m</w:t>
      </w:r>
      <w:r w:rsidRPr="00A43B17">
        <w:rPr>
          <w:rFonts w:cs="Arial"/>
        </w:rPr>
        <w:t>plido con las previsiones del informe de julio de 2016 de la Autoridad Indepe</w:t>
      </w:r>
      <w:r w:rsidRPr="00A43B17">
        <w:rPr>
          <w:rFonts w:cs="Arial"/>
        </w:rPr>
        <w:t>n</w:t>
      </w:r>
      <w:r w:rsidRPr="00A43B17">
        <w:rPr>
          <w:rFonts w:cs="Arial"/>
        </w:rPr>
        <w:t xml:space="preserve">diente de Responsabilidad Fiscal, que consideraba factible el cumplimiento por la Administración de la Comunidad Foral de los objetivos de déficit para los ejercicios de 2016 y 2017, así como de la regla de gasto </w:t>
      </w:r>
      <w:r w:rsidR="00242CEF">
        <w:rPr>
          <w:rFonts w:cs="Arial"/>
        </w:rPr>
        <w:t>para 2016; hay que destacar que</w:t>
      </w:r>
      <w:r w:rsidRPr="00A43B17">
        <w:rPr>
          <w:rFonts w:cs="Arial"/>
        </w:rPr>
        <w:t xml:space="preserve"> dicho informe observaba más dificultades para el cumplimiento de la regla de gasto de 2017.</w:t>
      </w:r>
    </w:p>
    <w:p w:rsidR="00EB7C97" w:rsidRPr="00A43B17" w:rsidRDefault="00EB7C97" w:rsidP="00A43B17">
      <w:pPr>
        <w:pStyle w:val="atitulo3"/>
        <w:spacing w:before="240"/>
      </w:pPr>
      <w:r w:rsidRPr="00A43B17">
        <w:t>IV.4.2. Sostenibilidad financiera</w:t>
      </w:r>
    </w:p>
    <w:p w:rsidR="00EB7C97" w:rsidRPr="00814693" w:rsidRDefault="00EB7C97" w:rsidP="00814693">
      <w:pPr>
        <w:pStyle w:val="texto"/>
        <w:spacing w:after="120"/>
        <w:rPr>
          <w:b/>
        </w:rPr>
      </w:pPr>
      <w:r w:rsidRPr="00814693">
        <w:rPr>
          <w:b/>
        </w:rPr>
        <w:t>1</w:t>
      </w:r>
      <w:r w:rsidR="00132A11">
        <w:rPr>
          <w:b/>
        </w:rPr>
        <w:t>.</w:t>
      </w:r>
      <w:r w:rsidRPr="00814693">
        <w:rPr>
          <w:b/>
        </w:rPr>
        <w:t>º Sostenibilidad de la deuda pública</w:t>
      </w:r>
    </w:p>
    <w:p w:rsidR="00EB7C97" w:rsidRPr="00EB7C97" w:rsidRDefault="00EB7C97" w:rsidP="00A43B17">
      <w:pPr>
        <w:pStyle w:val="texto"/>
        <w:rPr>
          <w:lang w:val="es-ES"/>
        </w:rPr>
      </w:pPr>
      <w:r w:rsidRPr="00EB7C97">
        <w:rPr>
          <w:lang w:val="es-ES"/>
        </w:rPr>
        <w:t>El objetivo de deuda pública para el año 2016, calculado conforme a la m</w:t>
      </w:r>
      <w:r w:rsidRPr="00EB7C97">
        <w:rPr>
          <w:lang w:val="es-ES"/>
        </w:rPr>
        <w:t>e</w:t>
      </w:r>
      <w:r w:rsidRPr="00EB7C97">
        <w:rPr>
          <w:lang w:val="es-ES"/>
        </w:rPr>
        <w:t>todología del PDE, se pactó entre el Estado y la Comunidad Foral en el 18,3 por ciento del PIB regional.</w:t>
      </w:r>
    </w:p>
    <w:p w:rsidR="00EB7C97" w:rsidRPr="00EB7C97" w:rsidRDefault="00EB7C97" w:rsidP="00A43B17">
      <w:pPr>
        <w:pStyle w:val="texto"/>
        <w:rPr>
          <w:lang w:val="es-ES"/>
        </w:rPr>
      </w:pPr>
      <w:r w:rsidRPr="00EB7C97">
        <w:rPr>
          <w:lang w:val="es-ES"/>
        </w:rPr>
        <w:t>Según el PDE se entiende por deuda pública el valor nominal de las oblig</w:t>
      </w:r>
      <w:r w:rsidRPr="00EB7C97">
        <w:rPr>
          <w:lang w:val="es-ES"/>
        </w:rPr>
        <w:t>a</w:t>
      </w:r>
      <w:r w:rsidRPr="00EB7C97">
        <w:rPr>
          <w:lang w:val="es-ES"/>
        </w:rPr>
        <w:t>ciones brutas del sector administración pública pendientes a final de año, esto es, la emisión de moneda metálica, obligaciones y bonos, préstamos y créditos. No se incluyen los derivados financieros, los créditos comerciales ni los pas</w:t>
      </w:r>
      <w:r w:rsidRPr="00EB7C97">
        <w:rPr>
          <w:lang w:val="es-ES"/>
        </w:rPr>
        <w:t>i</w:t>
      </w:r>
      <w:r w:rsidRPr="00EB7C97">
        <w:rPr>
          <w:lang w:val="es-ES"/>
        </w:rPr>
        <w:t>vos de la Administración Pública en poder de otras administraciones públicas.</w:t>
      </w:r>
    </w:p>
    <w:p w:rsidR="00814693" w:rsidRDefault="00EB7C97" w:rsidP="000B02EF">
      <w:pPr>
        <w:pStyle w:val="texto"/>
        <w:spacing w:after="0"/>
        <w:rPr>
          <w:lang w:val="es-ES"/>
        </w:rPr>
      </w:pPr>
      <w:r w:rsidRPr="00EB7C97">
        <w:rPr>
          <w:lang w:val="es-ES"/>
        </w:rPr>
        <w:t>El cálculo de la deuda pública lo realiza el Banco de España, según el cual, a 31 de diciembre de 2016, el endeudamiento total del Sector Administración Pública ascendía a 3.461 millones, un 18,</w:t>
      </w:r>
      <w:r w:rsidR="00BD3568">
        <w:rPr>
          <w:lang w:val="es-ES"/>
        </w:rPr>
        <w:t>1</w:t>
      </w:r>
      <w:r w:rsidRPr="00EB7C97">
        <w:rPr>
          <w:lang w:val="es-ES"/>
        </w:rPr>
        <w:t xml:space="preserve"> por ciento del PIB regional, inferior al límite fijado en el 18,</w:t>
      </w:r>
      <w:r w:rsidR="00BD3568">
        <w:rPr>
          <w:lang w:val="es-ES"/>
        </w:rPr>
        <w:t>5</w:t>
      </w:r>
      <w:r w:rsidRPr="00EB7C97">
        <w:rPr>
          <w:lang w:val="es-ES"/>
        </w:rPr>
        <w:t xml:space="preserve"> por ciento. </w:t>
      </w:r>
    </w:p>
    <w:p w:rsidR="00814693" w:rsidRDefault="00814693" w:rsidP="00814693">
      <w:pPr>
        <w:pStyle w:val="texto"/>
        <w:spacing w:before="120" w:after="0"/>
        <w:rPr>
          <w:lang w:val="es-ES"/>
        </w:rPr>
      </w:pPr>
      <w:r>
        <w:rPr>
          <w:lang w:val="es-ES"/>
        </w:rPr>
        <w:t>Hemos verificado que el coste total máximo de las operaciones de endeud</w:t>
      </w:r>
      <w:r>
        <w:rPr>
          <w:lang w:val="es-ES"/>
        </w:rPr>
        <w:t>a</w:t>
      </w:r>
      <w:r>
        <w:rPr>
          <w:lang w:val="es-ES"/>
        </w:rPr>
        <w:t>miento no ha superado el coste de financiación del Estado al plazo medio de la operación.</w:t>
      </w:r>
    </w:p>
    <w:p w:rsidR="00814693" w:rsidRDefault="00814693">
      <w:pPr>
        <w:spacing w:after="0"/>
        <w:ind w:firstLine="0"/>
        <w:jc w:val="left"/>
        <w:rPr>
          <w:spacing w:val="6"/>
          <w:sz w:val="26"/>
          <w:szCs w:val="24"/>
          <w:lang w:val="es-ES"/>
        </w:rPr>
      </w:pPr>
      <w:r>
        <w:rPr>
          <w:lang w:val="es-ES"/>
        </w:rPr>
        <w:br w:type="page"/>
      </w:r>
    </w:p>
    <w:p w:rsidR="0082380F" w:rsidRDefault="00EB7C97" w:rsidP="00CA1437">
      <w:pPr>
        <w:pStyle w:val="texto"/>
        <w:spacing w:after="120"/>
        <w:rPr>
          <w:lang w:val="es-ES"/>
        </w:rPr>
      </w:pPr>
      <w:r w:rsidRPr="00EB7C97">
        <w:rPr>
          <w:lang w:val="es-ES"/>
        </w:rPr>
        <w:lastRenderedPageBreak/>
        <w:t xml:space="preserve">Este importe, que hemos contrastado con la información del Gobierno de Navarra, se desglosa en: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EB7C97" w:rsidRPr="00B32729" w:rsidTr="00EB7C97">
        <w:trPr>
          <w:trHeight w:val="255"/>
          <w:jc w:val="center"/>
        </w:trPr>
        <w:tc>
          <w:tcPr>
            <w:tcW w:w="8781" w:type="dxa"/>
            <w:gridSpan w:val="2"/>
            <w:tcBorders>
              <w:top w:val="nil"/>
              <w:bottom w:val="single" w:sz="4" w:space="0" w:color="000000"/>
            </w:tcBorders>
            <w:shd w:val="clear" w:color="auto" w:fill="auto"/>
            <w:vAlign w:val="center"/>
          </w:tcPr>
          <w:p w:rsidR="00EB7C97" w:rsidRPr="00B32729" w:rsidRDefault="00A43B17" w:rsidP="00B32729">
            <w:pPr>
              <w:keepLines/>
              <w:tabs>
                <w:tab w:val="right" w:pos="2835"/>
                <w:tab w:val="right" w:pos="3969"/>
                <w:tab w:val="right" w:pos="5103"/>
                <w:tab w:val="right" w:pos="6237"/>
                <w:tab w:val="right" w:pos="7371"/>
              </w:tabs>
              <w:spacing w:after="60"/>
              <w:ind w:firstLine="0"/>
              <w:jc w:val="right"/>
              <w:rPr>
                <w:rFonts w:ascii="Arial" w:hAnsi="Arial"/>
                <w:spacing w:val="6"/>
                <w:sz w:val="17"/>
                <w:szCs w:val="17"/>
                <w:lang w:val="es-ES"/>
              </w:rPr>
            </w:pPr>
            <w:r w:rsidRPr="00B32729">
              <w:rPr>
                <w:rFonts w:ascii="Arial" w:hAnsi="Arial"/>
                <w:spacing w:val="6"/>
                <w:sz w:val="17"/>
                <w:szCs w:val="17"/>
                <w:lang w:val="es-ES"/>
              </w:rPr>
              <w:t xml:space="preserve"> </w:t>
            </w:r>
            <w:r w:rsidR="00EB7C97" w:rsidRPr="00B32729">
              <w:rPr>
                <w:rFonts w:ascii="Arial" w:hAnsi="Arial"/>
                <w:spacing w:val="6"/>
                <w:sz w:val="17"/>
                <w:szCs w:val="17"/>
                <w:lang w:val="es-ES"/>
              </w:rPr>
              <w:t>(en millones de euros)</w:t>
            </w:r>
          </w:p>
        </w:tc>
      </w:tr>
      <w:tr w:rsidR="00EB7C97" w:rsidRPr="00EB7C97" w:rsidTr="000B02EF">
        <w:trPr>
          <w:trHeight w:val="255"/>
          <w:jc w:val="center"/>
        </w:trPr>
        <w:tc>
          <w:tcPr>
            <w:tcW w:w="7259"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EB7C97">
              <w:rPr>
                <w:rFonts w:ascii="Arial" w:hAnsi="Arial"/>
                <w:spacing w:val="6"/>
                <w:sz w:val="18"/>
                <w:szCs w:val="24"/>
                <w:lang w:val="es-ES"/>
              </w:rPr>
              <w:t>Sector Administración Pública de Navarra--Deuda según PDE 2016</w:t>
            </w:r>
          </w:p>
        </w:tc>
        <w:tc>
          <w:tcPr>
            <w:tcW w:w="1522"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EB7C97">
              <w:rPr>
                <w:rFonts w:ascii="Arial" w:hAnsi="Arial"/>
                <w:spacing w:val="6"/>
                <w:sz w:val="18"/>
                <w:szCs w:val="24"/>
                <w:lang w:val="es-ES"/>
              </w:rPr>
              <w:t>Total</w:t>
            </w:r>
          </w:p>
        </w:tc>
      </w:tr>
      <w:tr w:rsidR="00EB7C97" w:rsidRPr="00EB7C97" w:rsidTr="000B02EF">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 xml:space="preserve">Deuda Pública </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1.739</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 xml:space="preserve">Préstamos con entidades financieras </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935</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Préstamos con el BEI</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459</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Factoring sin recurso</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14</w:t>
            </w:r>
          </w:p>
        </w:tc>
      </w:tr>
      <w:tr w:rsidR="00EB7C97" w:rsidRPr="00EB7C97" w:rsidTr="00B32729">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Colaboración Público-Privada. Autovía del Pirineo</w:t>
            </w:r>
          </w:p>
        </w:tc>
        <w:tc>
          <w:tcPr>
            <w:tcW w:w="1522"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195</w:t>
            </w:r>
          </w:p>
        </w:tc>
      </w:tr>
      <w:tr w:rsidR="00EB7C97" w:rsidRPr="00EB7C97" w:rsidTr="000B02EF">
        <w:trPr>
          <w:trHeight w:val="198"/>
          <w:jc w:val="center"/>
        </w:trPr>
        <w:tc>
          <w:tcPr>
            <w:tcW w:w="7259"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Colaboración Público-Privada. Canal de Navarra</w:t>
            </w:r>
          </w:p>
        </w:tc>
        <w:tc>
          <w:tcPr>
            <w:tcW w:w="1522"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119</w:t>
            </w:r>
          </w:p>
        </w:tc>
      </w:tr>
      <w:tr w:rsidR="00EB7C97" w:rsidRPr="00EB7C97" w:rsidTr="000B02EF">
        <w:trPr>
          <w:trHeight w:val="255"/>
          <w:jc w:val="center"/>
        </w:trPr>
        <w:tc>
          <w:tcPr>
            <w:tcW w:w="7259"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8238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Total endeudamiento a 31-</w:t>
            </w:r>
            <w:r w:rsidR="0082380F">
              <w:rPr>
                <w:rFonts w:ascii="Arial" w:hAnsi="Arial" w:cs="Arial"/>
                <w:spacing w:val="6"/>
                <w:sz w:val="18"/>
                <w:szCs w:val="18"/>
              </w:rPr>
              <w:t>12</w:t>
            </w:r>
            <w:r w:rsidRPr="00EB7C97">
              <w:rPr>
                <w:rFonts w:ascii="Arial" w:hAnsi="Arial" w:cs="Arial"/>
                <w:spacing w:val="6"/>
                <w:sz w:val="18"/>
                <w:szCs w:val="18"/>
              </w:rPr>
              <w:t>-2016</w:t>
            </w:r>
          </w:p>
        </w:tc>
        <w:tc>
          <w:tcPr>
            <w:tcW w:w="1522" w:type="dxa"/>
            <w:tcBorders>
              <w:top w:val="single" w:sz="4" w:space="0" w:color="000000"/>
              <w:bottom w:val="single" w:sz="2"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3.461</w:t>
            </w:r>
          </w:p>
        </w:tc>
      </w:tr>
      <w:tr w:rsidR="00EB7C97" w:rsidRPr="00EB7C97" w:rsidTr="000B02EF">
        <w:trPr>
          <w:trHeight w:val="255"/>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sidRPr="00EB7C97">
              <w:rPr>
                <w:rFonts w:ascii="Arial Narrow" w:hAnsi="Arial Narrow"/>
                <w:b/>
                <w:i/>
                <w:spacing w:val="6"/>
              </w:rPr>
              <w:t>Porcentaje sobre el PIB de Navarra</w:t>
            </w:r>
          </w:p>
        </w:tc>
        <w:tc>
          <w:tcPr>
            <w:tcW w:w="1522" w:type="dxa"/>
            <w:tcBorders>
              <w:top w:val="single" w:sz="2" w:space="0" w:color="000000"/>
              <w:bottom w:val="single" w:sz="2" w:space="0" w:color="000000"/>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b/>
                <w:i/>
                <w:spacing w:val="6"/>
              </w:rPr>
            </w:pPr>
            <w:r w:rsidRPr="00EB7C97">
              <w:rPr>
                <w:rFonts w:ascii="Arial Narrow" w:hAnsi="Arial Narrow"/>
                <w:b/>
                <w:i/>
                <w:spacing w:val="6"/>
              </w:rPr>
              <w:t>18,</w:t>
            </w:r>
            <w:r w:rsidR="00BD3568">
              <w:rPr>
                <w:rFonts w:ascii="Arial Narrow" w:hAnsi="Arial Narrow"/>
                <w:b/>
                <w:i/>
                <w:spacing w:val="6"/>
              </w:rPr>
              <w:t>1</w:t>
            </w:r>
          </w:p>
        </w:tc>
      </w:tr>
      <w:tr w:rsidR="00EB7C97" w:rsidRPr="00EB7C97" w:rsidTr="000B02EF">
        <w:trPr>
          <w:trHeight w:val="198"/>
          <w:jc w:val="center"/>
        </w:trPr>
        <w:tc>
          <w:tcPr>
            <w:tcW w:w="7259"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EB7C97">
              <w:rPr>
                <w:rFonts w:ascii="Arial Narrow" w:hAnsi="Arial Narrow"/>
                <w:i/>
                <w:spacing w:val="6"/>
              </w:rPr>
              <w:t>Porcentaje objetivo sobre el PIB de Navarra</w:t>
            </w:r>
          </w:p>
        </w:tc>
        <w:tc>
          <w:tcPr>
            <w:tcW w:w="1522" w:type="dxa"/>
            <w:tcBorders>
              <w:top w:val="single" w:sz="2" w:space="0" w:color="000000"/>
              <w:bottom w:val="single" w:sz="2" w:space="0" w:color="000000"/>
            </w:tcBorders>
            <w:vAlign w:val="center"/>
          </w:tcPr>
          <w:p w:rsidR="00EB7C97" w:rsidRPr="00EB7C97" w:rsidRDefault="00EB7C97" w:rsidP="00BD356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EB7C97">
              <w:rPr>
                <w:rFonts w:ascii="Arial Narrow" w:hAnsi="Arial Narrow"/>
                <w:i/>
                <w:spacing w:val="6"/>
              </w:rPr>
              <w:t>18,</w:t>
            </w:r>
            <w:r w:rsidR="00BD3568">
              <w:rPr>
                <w:rFonts w:ascii="Arial Narrow" w:hAnsi="Arial Narrow"/>
                <w:i/>
                <w:spacing w:val="6"/>
              </w:rPr>
              <w:t>5</w:t>
            </w:r>
          </w:p>
        </w:tc>
      </w:tr>
      <w:tr w:rsidR="00EB7C97" w:rsidRPr="00EB7C97" w:rsidTr="00B32729">
        <w:trPr>
          <w:trHeight w:val="198"/>
          <w:jc w:val="center"/>
        </w:trPr>
        <w:tc>
          <w:tcPr>
            <w:tcW w:w="7259"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Deuda por habitante (en euros)</w:t>
            </w:r>
          </w:p>
        </w:tc>
        <w:tc>
          <w:tcPr>
            <w:tcW w:w="1522"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5.401</w:t>
            </w:r>
          </w:p>
        </w:tc>
      </w:tr>
    </w:tbl>
    <w:p w:rsidR="00EB7C97" w:rsidRPr="000B02EF" w:rsidRDefault="00EB7C97" w:rsidP="000B02EF">
      <w:pPr>
        <w:spacing w:before="60" w:after="0"/>
        <w:ind w:firstLine="0"/>
        <w:jc w:val="left"/>
        <w:rPr>
          <w:rFonts w:ascii="Arial" w:hAnsi="Arial" w:cs="Arial"/>
          <w:sz w:val="16"/>
          <w:szCs w:val="16"/>
          <w:lang w:val="es-ES" w:eastAsia="es-ES"/>
        </w:rPr>
      </w:pPr>
      <w:r w:rsidRPr="000B02EF">
        <w:rPr>
          <w:rFonts w:ascii="Arial" w:hAnsi="Arial" w:cs="Arial"/>
          <w:sz w:val="16"/>
          <w:szCs w:val="16"/>
          <w:lang w:val="es-ES" w:eastAsia="es-ES"/>
        </w:rPr>
        <w:t>Fuente: Banco de España y Gobierno de Navarra</w:t>
      </w:r>
      <w:r w:rsidR="00E31905">
        <w:rPr>
          <w:rFonts w:ascii="Arial" w:hAnsi="Arial" w:cs="Arial"/>
          <w:sz w:val="16"/>
          <w:szCs w:val="16"/>
          <w:lang w:val="es-ES" w:eastAsia="es-ES"/>
        </w:rPr>
        <w:t>.</w:t>
      </w:r>
    </w:p>
    <w:p w:rsidR="00EB7C97" w:rsidRPr="00EB7C97" w:rsidRDefault="00EB7C97" w:rsidP="00814693">
      <w:pPr>
        <w:pStyle w:val="texto"/>
        <w:spacing w:before="240"/>
        <w:rPr>
          <w:lang w:val="es-ES"/>
        </w:rPr>
      </w:pPr>
      <w:r w:rsidRPr="00EB7C97">
        <w:rPr>
          <w:lang w:val="es-ES"/>
        </w:rPr>
        <w:t>En conclusión se ha cumplido con el objetivo de sostenibilidad financiera para el endeudamiento público.</w:t>
      </w:r>
    </w:p>
    <w:p w:rsidR="00EB7C97" w:rsidRPr="00EB7C97" w:rsidRDefault="00EB7C97" w:rsidP="000B02EF">
      <w:pPr>
        <w:pStyle w:val="texto"/>
        <w:spacing w:after="240"/>
        <w:rPr>
          <w:lang w:val="es-ES"/>
        </w:rPr>
      </w:pPr>
      <w:r w:rsidRPr="00EB7C97">
        <w:rPr>
          <w:lang w:val="es-ES"/>
        </w:rPr>
        <w:t>Atendiendo a la entidad del perímetro de consolidación que la soporta, la a</w:t>
      </w:r>
      <w:r w:rsidRPr="00EB7C97">
        <w:rPr>
          <w:lang w:val="es-ES"/>
        </w:rPr>
        <w:t>n</w:t>
      </w:r>
      <w:r w:rsidRPr="00EB7C97">
        <w:rPr>
          <w:lang w:val="es-ES"/>
        </w:rPr>
        <w:t>terior deuda se distribuye de acuerdo con el siguiente cuadro:</w:t>
      </w:r>
    </w:p>
    <w:tbl>
      <w:tblPr>
        <w:tblW w:w="8861" w:type="dxa"/>
        <w:jc w:val="center"/>
        <w:tblInd w:w="16" w:type="dxa"/>
        <w:tblBorders>
          <w:top w:val="single" w:sz="4" w:space="0" w:color="000000"/>
          <w:bottom w:val="single" w:sz="4" w:space="0" w:color="000000"/>
        </w:tblBorders>
        <w:tblLayout w:type="fixed"/>
        <w:tblLook w:val="01E0" w:firstRow="1" w:lastRow="1" w:firstColumn="1" w:lastColumn="1" w:noHBand="0" w:noVBand="0"/>
      </w:tblPr>
      <w:tblGrid>
        <w:gridCol w:w="7348"/>
        <w:gridCol w:w="1513"/>
      </w:tblGrid>
      <w:tr w:rsidR="00814693" w:rsidRPr="00814693" w:rsidTr="00814693">
        <w:trPr>
          <w:trHeight w:val="255"/>
          <w:jc w:val="center"/>
        </w:trPr>
        <w:tc>
          <w:tcPr>
            <w:tcW w:w="8861" w:type="dxa"/>
            <w:gridSpan w:val="2"/>
            <w:tcBorders>
              <w:top w:val="nil"/>
              <w:bottom w:val="single" w:sz="4" w:space="0" w:color="000000"/>
            </w:tcBorders>
            <w:shd w:val="clear" w:color="auto" w:fill="auto"/>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814693">
              <w:rPr>
                <w:rFonts w:ascii="Arial" w:hAnsi="Arial"/>
                <w:spacing w:val="6"/>
                <w:sz w:val="17"/>
                <w:szCs w:val="17"/>
                <w:lang w:val="es-ES"/>
              </w:rPr>
              <w:t>(en millones de euros)</w:t>
            </w:r>
          </w:p>
        </w:tc>
      </w:tr>
      <w:tr w:rsidR="00EB7C97" w:rsidRPr="00EB7C97" w:rsidTr="000B02EF">
        <w:trPr>
          <w:trHeight w:val="255"/>
          <w:jc w:val="center"/>
        </w:trPr>
        <w:tc>
          <w:tcPr>
            <w:tcW w:w="7348"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814693">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EB7C97">
              <w:rPr>
                <w:rFonts w:ascii="Arial" w:hAnsi="Arial"/>
                <w:spacing w:val="6"/>
                <w:sz w:val="18"/>
                <w:szCs w:val="24"/>
                <w:lang w:val="es-ES"/>
              </w:rPr>
              <w:t>Sector Administración Pública de Navarra-Deuda según PDE-2016</w:t>
            </w:r>
          </w:p>
        </w:tc>
        <w:tc>
          <w:tcPr>
            <w:tcW w:w="1513"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EB7C97">
              <w:rPr>
                <w:rFonts w:ascii="Arial" w:hAnsi="Arial"/>
                <w:spacing w:val="6"/>
                <w:sz w:val="18"/>
                <w:szCs w:val="24"/>
                <w:lang w:val="es-ES"/>
              </w:rPr>
              <w:t>Total</w:t>
            </w:r>
          </w:p>
        </w:tc>
      </w:tr>
      <w:tr w:rsidR="00EB7C97" w:rsidRPr="00EB7C97" w:rsidTr="000B02EF">
        <w:trPr>
          <w:trHeight w:val="198"/>
          <w:jc w:val="center"/>
        </w:trPr>
        <w:tc>
          <w:tcPr>
            <w:tcW w:w="7348" w:type="dxa"/>
            <w:tcBorders>
              <w:top w:val="single" w:sz="4"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Gobierno de Navarra</w:t>
            </w:r>
          </w:p>
        </w:tc>
        <w:tc>
          <w:tcPr>
            <w:tcW w:w="1513" w:type="dxa"/>
            <w:tcBorders>
              <w:top w:val="single" w:sz="4"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3.001</w:t>
            </w:r>
          </w:p>
        </w:tc>
      </w:tr>
      <w:tr w:rsidR="00EB7C97" w:rsidRPr="00EB7C97" w:rsidTr="000B02EF">
        <w:trPr>
          <w:trHeight w:val="198"/>
          <w:jc w:val="center"/>
        </w:trPr>
        <w:tc>
          <w:tcPr>
            <w:tcW w:w="7348"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Colaboración Público-Privada Gobierno de Navarra</w:t>
            </w:r>
          </w:p>
        </w:tc>
        <w:tc>
          <w:tcPr>
            <w:tcW w:w="1513"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314</w:t>
            </w:r>
          </w:p>
        </w:tc>
      </w:tr>
      <w:tr w:rsidR="00EB7C97" w:rsidRPr="00EB7C97" w:rsidTr="000B02EF">
        <w:trPr>
          <w:trHeight w:val="198"/>
          <w:jc w:val="center"/>
        </w:trPr>
        <w:tc>
          <w:tcPr>
            <w:tcW w:w="7348"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Sociedades Públicas</w:t>
            </w:r>
          </w:p>
        </w:tc>
        <w:tc>
          <w:tcPr>
            <w:tcW w:w="1513" w:type="dxa"/>
            <w:tcBorders>
              <w:top w:val="single" w:sz="2" w:space="0" w:color="000000"/>
              <w:bottom w:val="single" w:sz="2"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141</w:t>
            </w:r>
          </w:p>
        </w:tc>
      </w:tr>
      <w:tr w:rsidR="00EB7C97" w:rsidRPr="00EB7C97" w:rsidTr="000B02EF">
        <w:trPr>
          <w:trHeight w:val="198"/>
          <w:jc w:val="center"/>
        </w:trPr>
        <w:tc>
          <w:tcPr>
            <w:tcW w:w="7348"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Fundaciones Públicas</w:t>
            </w:r>
          </w:p>
        </w:tc>
        <w:tc>
          <w:tcPr>
            <w:tcW w:w="1513" w:type="dxa"/>
            <w:tcBorders>
              <w:top w:val="single" w:sz="2" w:space="0" w:color="000000"/>
              <w:bottom w:val="single" w:sz="4" w:space="0" w:color="000000"/>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w:t>
            </w:r>
          </w:p>
        </w:tc>
      </w:tr>
      <w:tr w:rsidR="00EB7C97" w:rsidRPr="00EB7C97" w:rsidTr="000B02EF">
        <w:trPr>
          <w:trHeight w:val="255"/>
          <w:jc w:val="center"/>
        </w:trPr>
        <w:tc>
          <w:tcPr>
            <w:tcW w:w="7348"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Total endeudamiento a 31 de diciembre de 2016</w:t>
            </w:r>
          </w:p>
        </w:tc>
        <w:tc>
          <w:tcPr>
            <w:tcW w:w="1513" w:type="dxa"/>
            <w:tcBorders>
              <w:top w:val="single" w:sz="4" w:space="0" w:color="000000"/>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3.461</w:t>
            </w:r>
          </w:p>
        </w:tc>
      </w:tr>
    </w:tbl>
    <w:p w:rsidR="00EB7C97" w:rsidRPr="00EB7C97" w:rsidRDefault="00EB7C97" w:rsidP="000B02EF">
      <w:pPr>
        <w:pStyle w:val="texto"/>
        <w:spacing w:before="240" w:after="240"/>
        <w:rPr>
          <w:lang w:val="es-ES"/>
        </w:rPr>
      </w:pPr>
      <w:r w:rsidRPr="00EB7C97">
        <w:rPr>
          <w:lang w:val="es-ES"/>
        </w:rPr>
        <w:t>Finalmente, la evolución de este endeudam</w:t>
      </w:r>
      <w:r w:rsidR="00242CEF">
        <w:rPr>
          <w:lang w:val="es-ES"/>
        </w:rPr>
        <w:t>iento para el periodo 2009-2016</w:t>
      </w:r>
      <w:r w:rsidRPr="00EB7C97">
        <w:rPr>
          <w:lang w:val="es-ES"/>
        </w:rPr>
        <w:t xml:space="preserve"> es la que se refleja en el siguiente cuadro:</w:t>
      </w:r>
    </w:p>
    <w:tbl>
      <w:tblPr>
        <w:tblW w:w="890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004"/>
        <w:gridCol w:w="771"/>
        <w:gridCol w:w="881"/>
        <w:gridCol w:w="851"/>
        <w:gridCol w:w="850"/>
        <w:gridCol w:w="993"/>
        <w:gridCol w:w="850"/>
        <w:gridCol w:w="851"/>
        <w:gridCol w:w="850"/>
      </w:tblGrid>
      <w:tr w:rsidR="00814693" w:rsidRPr="00814693" w:rsidTr="00814693">
        <w:trPr>
          <w:trHeight w:val="255"/>
          <w:jc w:val="center"/>
        </w:trPr>
        <w:tc>
          <w:tcPr>
            <w:tcW w:w="8901" w:type="dxa"/>
            <w:gridSpan w:val="9"/>
            <w:tcBorders>
              <w:top w:val="nil"/>
              <w:bottom w:val="single" w:sz="4" w:space="0" w:color="000000"/>
            </w:tcBorders>
            <w:shd w:val="clear" w:color="auto" w:fill="auto"/>
            <w:noWrap/>
            <w:vAlign w:val="center"/>
          </w:tcPr>
          <w:p w:rsidR="00814693" w:rsidRPr="00814693" w:rsidRDefault="00814693"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814693">
              <w:rPr>
                <w:rFonts w:ascii="Arial" w:hAnsi="Arial" w:cs="Arial"/>
                <w:spacing w:val="6"/>
                <w:sz w:val="17"/>
                <w:szCs w:val="17"/>
              </w:rPr>
              <w:t>(en millones de euros)</w:t>
            </w:r>
          </w:p>
        </w:tc>
      </w:tr>
      <w:tr w:rsidR="00EB7C97" w:rsidRPr="00EB7C97" w:rsidTr="000B02EF">
        <w:trPr>
          <w:trHeight w:val="255"/>
          <w:jc w:val="center"/>
        </w:trPr>
        <w:tc>
          <w:tcPr>
            <w:tcW w:w="2004"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Endeudamiento PDE</w:t>
            </w:r>
          </w:p>
        </w:tc>
        <w:tc>
          <w:tcPr>
            <w:tcW w:w="77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2009</w:t>
            </w:r>
          </w:p>
        </w:tc>
        <w:tc>
          <w:tcPr>
            <w:tcW w:w="88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2010</w:t>
            </w:r>
          </w:p>
        </w:tc>
        <w:tc>
          <w:tcPr>
            <w:tcW w:w="851"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2011</w:t>
            </w:r>
          </w:p>
        </w:tc>
        <w:tc>
          <w:tcPr>
            <w:tcW w:w="850" w:type="dxa"/>
            <w:tcBorders>
              <w:bottom w:val="single" w:sz="4" w:space="0" w:color="000000"/>
            </w:tcBorders>
            <w:shd w:val="clear" w:color="auto" w:fill="8DB3E2" w:themeFill="text2" w:themeFillTint="66"/>
            <w:noWrap/>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2012</w:t>
            </w:r>
          </w:p>
        </w:tc>
        <w:tc>
          <w:tcPr>
            <w:tcW w:w="993"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2013</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2014</w:t>
            </w:r>
          </w:p>
        </w:tc>
        <w:tc>
          <w:tcPr>
            <w:tcW w:w="851"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2015</w:t>
            </w:r>
          </w:p>
        </w:tc>
        <w:tc>
          <w:tcPr>
            <w:tcW w:w="850" w:type="dxa"/>
            <w:tcBorders>
              <w:bottom w:val="single" w:sz="4" w:space="0" w:color="000000"/>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EB7C97" w:rsidRPr="00EB7C97" w:rsidTr="000B02EF">
        <w:trPr>
          <w:trHeight w:val="198"/>
          <w:jc w:val="center"/>
        </w:trPr>
        <w:tc>
          <w:tcPr>
            <w:tcW w:w="2004" w:type="dxa"/>
            <w:tcBorders>
              <w:bottom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Importe</w:t>
            </w:r>
          </w:p>
        </w:tc>
        <w:tc>
          <w:tcPr>
            <w:tcW w:w="77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1.086</w:t>
            </w:r>
          </w:p>
        </w:tc>
        <w:tc>
          <w:tcPr>
            <w:tcW w:w="88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1.692</w:t>
            </w:r>
          </w:p>
        </w:tc>
        <w:tc>
          <w:tcPr>
            <w:tcW w:w="851"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2.443</w:t>
            </w:r>
          </w:p>
        </w:tc>
        <w:tc>
          <w:tcPr>
            <w:tcW w:w="850" w:type="dxa"/>
            <w:tcBorders>
              <w:bottom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2.857</w:t>
            </w:r>
          </w:p>
        </w:tc>
        <w:tc>
          <w:tcPr>
            <w:tcW w:w="993"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3.134</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3.197</w:t>
            </w:r>
          </w:p>
        </w:tc>
        <w:tc>
          <w:tcPr>
            <w:tcW w:w="851"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3.322</w:t>
            </w:r>
          </w:p>
        </w:tc>
        <w:tc>
          <w:tcPr>
            <w:tcW w:w="850" w:type="dxa"/>
            <w:tcBorders>
              <w:bottom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3.461</w:t>
            </w:r>
          </w:p>
        </w:tc>
      </w:tr>
      <w:tr w:rsidR="00EB7C97" w:rsidRPr="00EB7C97" w:rsidTr="000B02EF">
        <w:trPr>
          <w:trHeight w:val="198"/>
          <w:jc w:val="center"/>
        </w:trPr>
        <w:tc>
          <w:tcPr>
            <w:tcW w:w="2004" w:type="dxa"/>
            <w:tcBorders>
              <w:top w:val="single" w:sz="2" w:space="0" w:color="000000"/>
            </w:tcBorders>
            <w:shd w:val="clear" w:color="auto" w:fill="auto"/>
            <w:noWrap/>
            <w:vAlign w:val="center"/>
          </w:tcPr>
          <w:p w:rsidR="00EB7C97" w:rsidRPr="00EB7C97" w:rsidRDefault="00EB7C97" w:rsidP="00EB7C97">
            <w:pPr>
              <w:spacing w:after="0"/>
              <w:ind w:firstLine="0"/>
              <w:jc w:val="left"/>
              <w:rPr>
                <w:rFonts w:ascii="Arial Narrow" w:hAnsi="Arial Narrow" w:cs="Arial"/>
                <w:lang w:val="es-ES" w:eastAsia="es-ES"/>
              </w:rPr>
            </w:pPr>
            <w:r w:rsidRPr="00EB7C97">
              <w:rPr>
                <w:rFonts w:ascii="Arial Narrow" w:hAnsi="Arial Narrow" w:cs="Arial"/>
                <w:lang w:val="es-ES" w:eastAsia="es-ES"/>
              </w:rPr>
              <w:t>% PIB de Navarra</w:t>
            </w:r>
          </w:p>
        </w:tc>
        <w:tc>
          <w:tcPr>
            <w:tcW w:w="77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5,97</w:t>
            </w:r>
          </w:p>
        </w:tc>
        <w:tc>
          <w:tcPr>
            <w:tcW w:w="88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9,10</w:t>
            </w:r>
          </w:p>
        </w:tc>
        <w:tc>
          <w:tcPr>
            <w:tcW w:w="851"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13,05</w:t>
            </w:r>
          </w:p>
        </w:tc>
        <w:tc>
          <w:tcPr>
            <w:tcW w:w="850" w:type="dxa"/>
            <w:tcBorders>
              <w:top w:val="single" w:sz="2" w:space="0" w:color="000000"/>
            </w:tcBorders>
            <w:shd w:val="clear" w:color="auto" w:fill="auto"/>
            <w:noWrap/>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15,76</w:t>
            </w:r>
          </w:p>
        </w:tc>
        <w:tc>
          <w:tcPr>
            <w:tcW w:w="993"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17,85</w:t>
            </w:r>
          </w:p>
        </w:tc>
        <w:tc>
          <w:tcPr>
            <w:tcW w:w="850"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17,9</w:t>
            </w:r>
          </w:p>
        </w:tc>
        <w:tc>
          <w:tcPr>
            <w:tcW w:w="851" w:type="dxa"/>
            <w:tcBorders>
              <w:top w:val="single" w:sz="2" w:space="0" w:color="000000"/>
            </w:tcBorders>
            <w:vAlign w:val="center"/>
          </w:tcPr>
          <w:p w:rsidR="00EB7C97" w:rsidRPr="00EB7C97" w:rsidRDefault="00EB7C97" w:rsidP="00EB7C97">
            <w:pPr>
              <w:spacing w:after="0"/>
              <w:ind w:firstLine="0"/>
              <w:jc w:val="right"/>
              <w:rPr>
                <w:rFonts w:ascii="Arial Narrow" w:hAnsi="Arial Narrow" w:cs="Arial"/>
                <w:lang w:val="es-ES" w:eastAsia="es-ES"/>
              </w:rPr>
            </w:pPr>
            <w:r w:rsidRPr="00EB7C97">
              <w:rPr>
                <w:rFonts w:ascii="Arial Narrow" w:hAnsi="Arial Narrow" w:cs="Arial"/>
                <w:lang w:val="es-ES" w:eastAsia="es-ES"/>
              </w:rPr>
              <w:t>18,2</w:t>
            </w:r>
          </w:p>
        </w:tc>
        <w:tc>
          <w:tcPr>
            <w:tcW w:w="850" w:type="dxa"/>
            <w:tcBorders>
              <w:top w:val="single" w:sz="2" w:space="0" w:color="000000"/>
            </w:tcBorders>
            <w:vAlign w:val="center"/>
          </w:tcPr>
          <w:p w:rsidR="00EB7C97" w:rsidRPr="00EB7C97" w:rsidRDefault="00EB7C97" w:rsidP="002755BE">
            <w:pPr>
              <w:spacing w:after="0"/>
              <w:ind w:firstLine="0"/>
              <w:jc w:val="right"/>
              <w:rPr>
                <w:rFonts w:ascii="Arial Narrow" w:hAnsi="Arial Narrow" w:cs="Arial"/>
                <w:lang w:val="es-ES" w:eastAsia="es-ES"/>
              </w:rPr>
            </w:pPr>
            <w:r w:rsidRPr="00EB7C97">
              <w:rPr>
                <w:rFonts w:ascii="Arial Narrow" w:hAnsi="Arial Narrow" w:cs="Arial"/>
                <w:lang w:val="es-ES" w:eastAsia="es-ES"/>
              </w:rPr>
              <w:t>18,</w:t>
            </w:r>
            <w:r w:rsidR="002755BE">
              <w:rPr>
                <w:rFonts w:ascii="Arial Narrow" w:hAnsi="Arial Narrow" w:cs="Arial"/>
                <w:lang w:val="es-ES" w:eastAsia="es-ES"/>
              </w:rPr>
              <w:t>1</w:t>
            </w:r>
          </w:p>
        </w:tc>
      </w:tr>
    </w:tbl>
    <w:p w:rsidR="00EB7C97" w:rsidRPr="00EB7C97" w:rsidRDefault="00EB7C97" w:rsidP="000B02EF">
      <w:pPr>
        <w:pStyle w:val="texto"/>
        <w:spacing w:before="240"/>
        <w:rPr>
          <w:lang w:val="es-ES"/>
        </w:rPr>
      </w:pPr>
      <w:r w:rsidRPr="00EB7C97">
        <w:rPr>
          <w:lang w:val="es-ES"/>
        </w:rPr>
        <w:t xml:space="preserve">Como se observa, </w:t>
      </w:r>
      <w:r w:rsidR="00814693">
        <w:rPr>
          <w:lang w:val="es-ES"/>
        </w:rPr>
        <w:t>el porcentaje de la deuda sobre el PIB s</w:t>
      </w:r>
      <w:r w:rsidRPr="00EB7C97">
        <w:rPr>
          <w:lang w:val="es-ES"/>
        </w:rPr>
        <w:t>e ha ido increme</w:t>
      </w:r>
      <w:r w:rsidRPr="00EB7C97">
        <w:rPr>
          <w:lang w:val="es-ES"/>
        </w:rPr>
        <w:t>n</w:t>
      </w:r>
      <w:r w:rsidRPr="00EB7C97">
        <w:rPr>
          <w:lang w:val="es-ES"/>
        </w:rPr>
        <w:t xml:space="preserve">tando progresivamente a lo largo del periodo, alcanzando </w:t>
      </w:r>
      <w:r w:rsidR="002755BE">
        <w:rPr>
          <w:lang w:val="es-ES"/>
        </w:rPr>
        <w:t xml:space="preserve">en </w:t>
      </w:r>
      <w:r w:rsidRPr="00EB7C97">
        <w:rPr>
          <w:lang w:val="es-ES"/>
        </w:rPr>
        <w:t>2016</w:t>
      </w:r>
      <w:r w:rsidR="002755BE">
        <w:rPr>
          <w:lang w:val="es-ES"/>
        </w:rPr>
        <w:t xml:space="preserve"> el 18,1 por ciento</w:t>
      </w:r>
      <w:r w:rsidRPr="00EB7C97">
        <w:rPr>
          <w:lang w:val="es-ES"/>
        </w:rPr>
        <w:t>.</w:t>
      </w:r>
    </w:p>
    <w:p w:rsidR="00EB7C97" w:rsidRPr="00814693" w:rsidRDefault="00EB7C97" w:rsidP="00814693">
      <w:pPr>
        <w:pStyle w:val="texto"/>
        <w:spacing w:after="120"/>
        <w:rPr>
          <w:b/>
        </w:rPr>
      </w:pPr>
      <w:r w:rsidRPr="00814693">
        <w:rPr>
          <w:b/>
        </w:rPr>
        <w:t>2</w:t>
      </w:r>
      <w:r w:rsidR="00132A11">
        <w:rPr>
          <w:b/>
        </w:rPr>
        <w:t>.</w:t>
      </w:r>
      <w:r w:rsidRPr="00814693">
        <w:rPr>
          <w:b/>
        </w:rPr>
        <w:t>º Sostenibilidad de la deuda comercial</w:t>
      </w:r>
    </w:p>
    <w:p w:rsidR="00EB7C97" w:rsidRPr="00EB7C97" w:rsidRDefault="00EB7C97" w:rsidP="000B02EF">
      <w:pPr>
        <w:pStyle w:val="texto"/>
        <w:rPr>
          <w:lang w:val="es-ES"/>
        </w:rPr>
      </w:pPr>
      <w:r w:rsidRPr="00EB7C97">
        <w:rPr>
          <w:lang w:val="es-ES"/>
        </w:rPr>
        <w:t>Se entiende que se ha cumplido con este objetivo, cuando el indicador del período medio de pago a los proveedores no supere el plazo máximo previsto en la normativa sobre morosidad, plazo que para el año 2016 y con carácter g</w:t>
      </w:r>
      <w:r w:rsidRPr="00EB7C97">
        <w:rPr>
          <w:lang w:val="es-ES"/>
        </w:rPr>
        <w:t>e</w:t>
      </w:r>
      <w:r w:rsidR="00242CEF">
        <w:rPr>
          <w:lang w:val="es-ES"/>
        </w:rPr>
        <w:t>neral</w:t>
      </w:r>
      <w:r w:rsidRPr="00EB7C97">
        <w:rPr>
          <w:lang w:val="es-ES"/>
        </w:rPr>
        <w:t xml:space="preserve"> es de 30 días.</w:t>
      </w:r>
      <w:r w:rsidRPr="00EB7C97">
        <w:rPr>
          <w:spacing w:val="-6"/>
          <w:lang w:val="es-ES"/>
        </w:rPr>
        <w:t xml:space="preserve"> </w:t>
      </w:r>
    </w:p>
    <w:p w:rsidR="00EB7C97" w:rsidRPr="00EB7C97" w:rsidRDefault="00EB7C97" w:rsidP="000B02EF">
      <w:pPr>
        <w:pStyle w:val="texto"/>
        <w:rPr>
          <w:lang w:val="es-ES"/>
        </w:rPr>
      </w:pPr>
      <w:r w:rsidRPr="00EB7C97">
        <w:rPr>
          <w:lang w:val="es-ES"/>
        </w:rPr>
        <w:lastRenderedPageBreak/>
        <w:t>El Gobierno de Navarra publica mensualmente el valor del indicador sobre el periodo medio de pago del Sector Administración Pública, de acuerdo con la metodología establecida en el Real Decreto 635/2014, de 25 de julio.</w:t>
      </w:r>
    </w:p>
    <w:p w:rsidR="00EB7C97" w:rsidRPr="00EB7C97" w:rsidRDefault="00EB7C97" w:rsidP="000B02EF">
      <w:pPr>
        <w:pStyle w:val="texto"/>
        <w:spacing w:after="240"/>
        <w:rPr>
          <w:lang w:val="es-ES"/>
        </w:rPr>
      </w:pPr>
      <w:r w:rsidRPr="00EB7C97">
        <w:rPr>
          <w:lang w:val="es-ES"/>
        </w:rPr>
        <w:t>El periodo medio de pago mensual en 2016 se refleja en el cuadro siguiente:</w:t>
      </w:r>
    </w:p>
    <w:tbl>
      <w:tblPr>
        <w:tblW w:w="8773" w:type="dxa"/>
        <w:jc w:val="center"/>
        <w:tblInd w:w="-16" w:type="dxa"/>
        <w:tblLayout w:type="fixed"/>
        <w:tblLook w:val="01E0" w:firstRow="1" w:lastRow="1" w:firstColumn="1" w:lastColumn="1" w:noHBand="0" w:noVBand="0"/>
      </w:tblPr>
      <w:tblGrid>
        <w:gridCol w:w="4956"/>
        <w:gridCol w:w="3817"/>
      </w:tblGrid>
      <w:tr w:rsidR="00EB7C97" w:rsidRPr="00EB7C97" w:rsidTr="000B02EF">
        <w:trPr>
          <w:trHeight w:hRule="exact" w:val="255"/>
          <w:jc w:val="center"/>
        </w:trPr>
        <w:tc>
          <w:tcPr>
            <w:tcW w:w="4956" w:type="dxa"/>
            <w:tcBorders>
              <w:top w:val="single" w:sz="4" w:space="0" w:color="auto"/>
              <w:bottom w:val="single" w:sz="4" w:space="0" w:color="auto"/>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EB7C97">
              <w:rPr>
                <w:rFonts w:ascii="Arial" w:hAnsi="Arial"/>
                <w:spacing w:val="6"/>
                <w:sz w:val="18"/>
                <w:szCs w:val="24"/>
                <w:lang w:val="es-ES"/>
              </w:rPr>
              <w:t>Ejercicio 2016</w:t>
            </w:r>
          </w:p>
        </w:tc>
        <w:tc>
          <w:tcPr>
            <w:tcW w:w="3817" w:type="dxa"/>
            <w:tcBorders>
              <w:top w:val="single" w:sz="4" w:space="0" w:color="auto"/>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Periodo medio de pago (días)</w:t>
            </w:r>
          </w:p>
        </w:tc>
      </w:tr>
      <w:tr w:rsidR="00EB7C97" w:rsidRPr="00EB7C97" w:rsidTr="00036B9E">
        <w:trPr>
          <w:cantSplit/>
          <w:trHeight w:val="198"/>
          <w:jc w:val="center"/>
        </w:trPr>
        <w:tc>
          <w:tcPr>
            <w:tcW w:w="4956" w:type="dxa"/>
            <w:tcBorders>
              <w:top w:val="single" w:sz="4"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Enero</w:t>
            </w:r>
          </w:p>
        </w:tc>
        <w:tc>
          <w:tcPr>
            <w:tcW w:w="3817" w:type="dxa"/>
            <w:tcBorders>
              <w:top w:val="single" w:sz="4"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1,34</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Febrero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-4,60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Marzo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-4,47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Abril</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-3,57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Mayo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-4,26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Junio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-5,30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Julio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-5,33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Agosto</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-0,93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Septiembre</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-2,63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Octubre</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-3,71 </w:t>
            </w:r>
          </w:p>
        </w:tc>
      </w:tr>
      <w:tr w:rsidR="00EB7C97" w:rsidRPr="00EB7C97" w:rsidTr="00036B9E">
        <w:trPr>
          <w:cantSplit/>
          <w:trHeight w:val="198"/>
          <w:jc w:val="center"/>
        </w:trPr>
        <w:tc>
          <w:tcPr>
            <w:tcW w:w="4956"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Noviembre</w:t>
            </w:r>
          </w:p>
        </w:tc>
        <w:tc>
          <w:tcPr>
            <w:tcW w:w="3817" w:type="dxa"/>
            <w:tcBorders>
              <w:top w:val="single" w:sz="2" w:space="0" w:color="auto"/>
              <w:bottom w:val="single" w:sz="2"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-4,63 </w:t>
            </w:r>
          </w:p>
        </w:tc>
      </w:tr>
      <w:tr w:rsidR="00EB7C97" w:rsidRPr="00EB7C97" w:rsidTr="00036B9E">
        <w:trPr>
          <w:cantSplit/>
          <w:trHeight w:val="198"/>
          <w:jc w:val="center"/>
        </w:trPr>
        <w:tc>
          <w:tcPr>
            <w:tcW w:w="4956"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EB7C97">
              <w:rPr>
                <w:rFonts w:ascii="Arial Narrow" w:hAnsi="Arial Narrow"/>
                <w:spacing w:val="6"/>
              </w:rPr>
              <w:t>Diciembre</w:t>
            </w:r>
          </w:p>
        </w:tc>
        <w:tc>
          <w:tcPr>
            <w:tcW w:w="3817" w:type="dxa"/>
            <w:tcBorders>
              <w:top w:val="single" w:sz="2" w:space="0" w:color="auto"/>
              <w:bottom w:val="single" w:sz="4" w:space="0" w:color="auto"/>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EB7C97">
              <w:rPr>
                <w:rFonts w:ascii="Arial Narrow" w:hAnsi="Arial Narrow"/>
                <w:spacing w:val="6"/>
              </w:rPr>
              <w:t xml:space="preserve">-9,88 </w:t>
            </w:r>
          </w:p>
        </w:tc>
      </w:tr>
    </w:tbl>
    <w:p w:rsidR="00EB7C97" w:rsidRPr="000B02EF" w:rsidRDefault="00EB7C97" w:rsidP="000B02EF">
      <w:pPr>
        <w:spacing w:before="60" w:after="0"/>
        <w:ind w:firstLine="0"/>
        <w:jc w:val="left"/>
        <w:rPr>
          <w:rFonts w:ascii="Arial Narrow" w:hAnsi="Arial Narrow" w:cs="Arial"/>
          <w:sz w:val="16"/>
          <w:szCs w:val="16"/>
          <w:lang w:val="es-ES" w:eastAsia="es-ES"/>
        </w:rPr>
      </w:pPr>
      <w:r w:rsidRPr="000B02EF">
        <w:rPr>
          <w:rFonts w:ascii="Arial Narrow" w:hAnsi="Arial Narrow" w:cs="Arial"/>
          <w:sz w:val="16"/>
          <w:szCs w:val="16"/>
          <w:lang w:val="es-ES" w:eastAsia="es-ES"/>
        </w:rPr>
        <w:t>Fuente: Gobierno de Navarra</w:t>
      </w:r>
      <w:r w:rsidR="00036B9E">
        <w:rPr>
          <w:rFonts w:ascii="Arial Narrow" w:hAnsi="Arial Narrow" w:cs="Arial"/>
          <w:sz w:val="16"/>
          <w:szCs w:val="16"/>
          <w:lang w:val="es-ES" w:eastAsia="es-ES"/>
        </w:rPr>
        <w:t>.</w:t>
      </w:r>
    </w:p>
    <w:p w:rsidR="00EB7C97" w:rsidRPr="00EB7C97" w:rsidRDefault="00EB7C97" w:rsidP="000B02EF">
      <w:pPr>
        <w:pStyle w:val="texto"/>
        <w:spacing w:before="240"/>
        <w:rPr>
          <w:lang w:val="es-ES"/>
        </w:rPr>
      </w:pPr>
      <w:r w:rsidRPr="00EB7C97">
        <w:rPr>
          <w:lang w:val="es-ES"/>
        </w:rPr>
        <w:t>El valor negativo indica que se paga a los proveedores, como promedio, con anterioridad al citado plazo máximo previsto.</w:t>
      </w:r>
    </w:p>
    <w:p w:rsidR="00EB7C97" w:rsidRPr="00EB7C97" w:rsidRDefault="00EB7C97" w:rsidP="000B02EF">
      <w:pPr>
        <w:pStyle w:val="texto"/>
        <w:rPr>
          <w:lang w:val="es-ES"/>
        </w:rPr>
      </w:pPr>
      <w:r w:rsidRPr="00EB7C97">
        <w:rPr>
          <w:lang w:val="es-ES"/>
        </w:rPr>
        <w:t>En consecuencia, el Sector Administración Pública de la Comunidad Foral en 2016 ha cumplido con el principio de sostenibilidad de la deuda comercial, sin que</w:t>
      </w:r>
      <w:r w:rsidR="001258C9">
        <w:rPr>
          <w:lang w:val="es-ES"/>
        </w:rPr>
        <w:t xml:space="preserve"> hayan existido retrasos en pagos a proveedores que hayan originado gas</w:t>
      </w:r>
      <w:r w:rsidRPr="00EB7C97">
        <w:rPr>
          <w:lang w:val="es-ES"/>
        </w:rPr>
        <w:t xml:space="preserve">tos por intereses de demora. </w:t>
      </w:r>
    </w:p>
    <w:p w:rsidR="00EB7C97" w:rsidRPr="001258C9" w:rsidRDefault="00EB7C97" w:rsidP="001258C9">
      <w:pPr>
        <w:pStyle w:val="texto"/>
        <w:spacing w:after="120"/>
        <w:rPr>
          <w:b/>
        </w:rPr>
      </w:pPr>
      <w:r w:rsidRPr="001258C9">
        <w:rPr>
          <w:b/>
        </w:rPr>
        <w:t>3</w:t>
      </w:r>
      <w:r w:rsidR="00132A11">
        <w:rPr>
          <w:b/>
        </w:rPr>
        <w:t>.</w:t>
      </w:r>
      <w:r w:rsidRPr="001258C9">
        <w:rPr>
          <w:b/>
        </w:rPr>
        <w:t xml:space="preserve">º Prudencia en avales y otras garantías </w:t>
      </w:r>
    </w:p>
    <w:p w:rsidR="001258C9" w:rsidRDefault="00EB7C97" w:rsidP="000B02EF">
      <w:pPr>
        <w:pStyle w:val="texto"/>
        <w:rPr>
          <w:lang w:val="es-ES"/>
        </w:rPr>
      </w:pPr>
      <w:r w:rsidRPr="00EB7C97">
        <w:rPr>
          <w:lang w:val="es-ES"/>
        </w:rPr>
        <w:t>A estos efectos, la Comunidad Foral presenta a 31 de diciembre de 2016, un volumen de avales y otras garantías cifrado en 1</w:t>
      </w:r>
      <w:r w:rsidR="00FB39D4">
        <w:rPr>
          <w:lang w:val="es-ES"/>
        </w:rPr>
        <w:t>5</w:t>
      </w:r>
      <w:r w:rsidRPr="00EB7C97">
        <w:rPr>
          <w:lang w:val="es-ES"/>
        </w:rPr>
        <w:t>3,</w:t>
      </w:r>
      <w:r w:rsidR="00FB39D4">
        <w:rPr>
          <w:lang w:val="es-ES"/>
        </w:rPr>
        <w:t>5</w:t>
      </w:r>
      <w:r w:rsidRPr="00EB7C97">
        <w:rPr>
          <w:lang w:val="es-ES"/>
        </w:rPr>
        <w:t>7 millones concedidos a personas físicas y/o jurídicas distintas de las que integran el Sector Administr</w:t>
      </w:r>
      <w:r w:rsidRPr="00EB7C97">
        <w:rPr>
          <w:lang w:val="es-ES"/>
        </w:rPr>
        <w:t>a</w:t>
      </w:r>
      <w:r w:rsidRPr="00EB7C97">
        <w:rPr>
          <w:lang w:val="es-ES"/>
        </w:rPr>
        <w:t>ción Pública definido según el SEC´2010; así mismo, la Ley Foral de Pres</w:t>
      </w:r>
      <w:r w:rsidRPr="00EB7C97">
        <w:rPr>
          <w:lang w:val="es-ES"/>
        </w:rPr>
        <w:t>u</w:t>
      </w:r>
      <w:r w:rsidRPr="00EB7C97">
        <w:rPr>
          <w:lang w:val="es-ES"/>
        </w:rPr>
        <w:t xml:space="preserve">puestos Generales de Navarra de 2017 estima unas previsiones de concesión de avales de 50 millones. </w:t>
      </w:r>
    </w:p>
    <w:p w:rsidR="00EB7C97" w:rsidRPr="00EB7C97" w:rsidRDefault="00EB7C97" w:rsidP="000B02EF">
      <w:pPr>
        <w:pStyle w:val="texto"/>
        <w:rPr>
          <w:lang w:val="es-ES"/>
        </w:rPr>
      </w:pPr>
      <w:r w:rsidRPr="00EB7C97">
        <w:rPr>
          <w:lang w:val="es-ES"/>
        </w:rPr>
        <w:t xml:space="preserve">Por tanto, el importe de avales </w:t>
      </w:r>
      <w:r w:rsidR="001258C9">
        <w:rPr>
          <w:lang w:val="es-ES"/>
        </w:rPr>
        <w:t>asciende</w:t>
      </w:r>
      <w:r w:rsidRPr="00EB7C97">
        <w:rPr>
          <w:lang w:val="es-ES"/>
        </w:rPr>
        <w:t xml:space="preserve"> a 213,37 millones</w:t>
      </w:r>
      <w:r w:rsidR="001258C9">
        <w:rPr>
          <w:lang w:val="es-ES"/>
        </w:rPr>
        <w:t xml:space="preserve">, valor que </w:t>
      </w:r>
      <w:r w:rsidRPr="00EB7C97">
        <w:rPr>
          <w:lang w:val="es-ES"/>
        </w:rPr>
        <w:t>repr</w:t>
      </w:r>
      <w:r w:rsidRPr="00EB7C97">
        <w:rPr>
          <w:lang w:val="es-ES"/>
        </w:rPr>
        <w:t>e</w:t>
      </w:r>
      <w:r w:rsidRPr="00EB7C97">
        <w:rPr>
          <w:lang w:val="es-ES"/>
        </w:rPr>
        <w:t>senta el 1,12 por ciento del PIB de Navarra</w:t>
      </w:r>
      <w:r w:rsidR="001258C9">
        <w:rPr>
          <w:lang w:val="es-ES"/>
        </w:rPr>
        <w:t>; este</w:t>
      </w:r>
      <w:r w:rsidRPr="00EB7C97">
        <w:rPr>
          <w:lang w:val="es-ES"/>
        </w:rPr>
        <w:t xml:space="preserve"> porcentaje </w:t>
      </w:r>
      <w:r w:rsidR="001258C9">
        <w:rPr>
          <w:lang w:val="es-ES"/>
        </w:rPr>
        <w:t xml:space="preserve">es </w:t>
      </w:r>
      <w:r w:rsidRPr="00EB7C97">
        <w:rPr>
          <w:lang w:val="es-ES"/>
        </w:rPr>
        <w:t xml:space="preserve">inferior al límite del 1,5 por ciento que señala la legislación de prudencia, </w:t>
      </w:r>
      <w:r w:rsidR="001258C9">
        <w:rPr>
          <w:lang w:val="es-ES"/>
        </w:rPr>
        <w:t>por lo que se ha cu</w:t>
      </w:r>
      <w:r w:rsidR="001258C9">
        <w:rPr>
          <w:lang w:val="es-ES"/>
        </w:rPr>
        <w:t>m</w:t>
      </w:r>
      <w:r w:rsidR="001258C9">
        <w:rPr>
          <w:lang w:val="es-ES"/>
        </w:rPr>
        <w:t>plido</w:t>
      </w:r>
      <w:r w:rsidRPr="00EB7C97">
        <w:rPr>
          <w:lang w:val="es-ES"/>
        </w:rPr>
        <w:t xml:space="preserve"> con es</w:t>
      </w:r>
      <w:r w:rsidR="001258C9">
        <w:rPr>
          <w:lang w:val="es-ES"/>
        </w:rPr>
        <w:t>t</w:t>
      </w:r>
      <w:r w:rsidRPr="00EB7C97">
        <w:rPr>
          <w:lang w:val="es-ES"/>
        </w:rPr>
        <w:t>a norma.</w:t>
      </w:r>
    </w:p>
    <w:p w:rsidR="00EB7C97" w:rsidRPr="00EB7C97" w:rsidRDefault="00EB7C97" w:rsidP="000B02EF">
      <w:pPr>
        <w:pStyle w:val="texto"/>
        <w:rPr>
          <w:lang w:val="es-ES"/>
        </w:rPr>
      </w:pPr>
      <w:r w:rsidRPr="00EB7C97">
        <w:rPr>
          <w:lang w:val="es-ES"/>
        </w:rPr>
        <w:t>Por otra parte, no consta que ningún tercero fuera del perímetro de consol</w:t>
      </w:r>
      <w:r w:rsidRPr="00EB7C97">
        <w:rPr>
          <w:lang w:val="es-ES"/>
        </w:rPr>
        <w:t>i</w:t>
      </w:r>
      <w:r w:rsidRPr="00EB7C97">
        <w:rPr>
          <w:lang w:val="es-ES"/>
        </w:rPr>
        <w:t xml:space="preserve">dación haya obtenido avales u otras garantías por importe individual superior a 25 millones o al 0,1 por ciento del PIB de Navarra.   </w:t>
      </w:r>
    </w:p>
    <w:p w:rsidR="00EB7C97" w:rsidRPr="00EB7C97" w:rsidRDefault="00EB7C97" w:rsidP="000B02EF">
      <w:pPr>
        <w:pStyle w:val="texto"/>
      </w:pPr>
      <w:r w:rsidRPr="008121DB">
        <w:rPr>
          <w:rFonts w:ascii="Times New (W1)" w:hAnsi="Times New (W1)"/>
        </w:rPr>
        <w:t>En conclusión</w:t>
      </w:r>
      <w:r w:rsidRPr="00EB7C97">
        <w:rPr>
          <w:rFonts w:ascii="Times New (W1)" w:hAnsi="Times New (W1)"/>
        </w:rPr>
        <w:t xml:space="preserve">, el Sector Administración Pública de la Comunidad Foral en el ejercicio 2016 ha cumplido con los objetivos de estabilidad presupuestaria, </w:t>
      </w:r>
      <w:r w:rsidRPr="00EB7C97">
        <w:rPr>
          <w:rFonts w:ascii="Times New (W1)" w:hAnsi="Times New (W1)"/>
        </w:rPr>
        <w:lastRenderedPageBreak/>
        <w:t>tanto en lo referente a la regla de gasto como en el volumen de necesidades de financiación, y de sostenibilidad financiera.</w:t>
      </w:r>
      <w:r w:rsidRPr="00EB7C97">
        <w:t xml:space="preserve"> </w:t>
      </w:r>
    </w:p>
    <w:p w:rsidR="00EB7C97" w:rsidRPr="00EB7C97" w:rsidRDefault="00EB7C97" w:rsidP="000B02EF">
      <w:pPr>
        <w:pStyle w:val="texto"/>
        <w:rPr>
          <w:lang w:val="es-ES"/>
        </w:rPr>
      </w:pPr>
      <w:r w:rsidRPr="00EB7C97">
        <w:t>Destacamos</w:t>
      </w:r>
      <w:r w:rsidR="00242CEF">
        <w:t>,</w:t>
      </w:r>
      <w:r w:rsidRPr="00EB7C97">
        <w:t xml:space="preserve"> además, que e</w:t>
      </w:r>
      <w:r w:rsidRPr="00EB7C97">
        <w:rPr>
          <w:lang w:val="es-ES"/>
        </w:rPr>
        <w:t>l Gobierno de Navarra ha incorporado un apart</w:t>
      </w:r>
      <w:r w:rsidRPr="00EB7C97">
        <w:rPr>
          <w:lang w:val="es-ES"/>
        </w:rPr>
        <w:t>a</w:t>
      </w:r>
      <w:r w:rsidRPr="00EB7C97">
        <w:rPr>
          <w:lang w:val="es-ES"/>
        </w:rPr>
        <w:t>do específico en la memoria con la información sobre el endeudamiento a efe</w:t>
      </w:r>
      <w:r w:rsidRPr="00EB7C97">
        <w:rPr>
          <w:lang w:val="es-ES"/>
        </w:rPr>
        <w:t>c</w:t>
      </w:r>
      <w:r w:rsidRPr="00EB7C97">
        <w:rPr>
          <w:lang w:val="es-ES"/>
        </w:rPr>
        <w:t>tos del PDE, la situación de los avales concedidos y el cumplimiento de los o</w:t>
      </w:r>
      <w:r w:rsidRPr="00EB7C97">
        <w:rPr>
          <w:lang w:val="es-ES"/>
        </w:rPr>
        <w:t>b</w:t>
      </w:r>
      <w:r w:rsidRPr="00EB7C97">
        <w:rPr>
          <w:lang w:val="es-ES"/>
        </w:rPr>
        <w:t>jetivos de estabilidad presupuestaria y sostenibilidad financiera, del conjunto de entidades que componen el sector Administraciones Públicas de la Comun</w:t>
      </w:r>
      <w:r w:rsidRPr="00EB7C97">
        <w:rPr>
          <w:lang w:val="es-ES"/>
        </w:rPr>
        <w:t>i</w:t>
      </w:r>
      <w:r w:rsidRPr="00EB7C97">
        <w:rPr>
          <w:lang w:val="es-ES"/>
        </w:rPr>
        <w:t>dad Foral de Navarra</w:t>
      </w:r>
      <w:r w:rsidR="00242CEF">
        <w:rPr>
          <w:lang w:val="es-ES"/>
        </w:rPr>
        <w:t>. No se incluyen, no obstante,</w:t>
      </w:r>
      <w:r w:rsidRPr="00EB7C97">
        <w:rPr>
          <w:lang w:val="es-ES"/>
        </w:rPr>
        <w:t xml:space="preserve"> datos sobre el grado de cumplimiento de la regla de gasto</w:t>
      </w:r>
      <w:r w:rsidR="00006612">
        <w:rPr>
          <w:lang w:val="es-ES"/>
        </w:rPr>
        <w:t xml:space="preserve"> por la dificultad y complejidad que esto s</w:t>
      </w:r>
      <w:r w:rsidR="00006612">
        <w:rPr>
          <w:lang w:val="es-ES"/>
        </w:rPr>
        <w:t>u</w:t>
      </w:r>
      <w:r w:rsidR="00006612">
        <w:rPr>
          <w:lang w:val="es-ES"/>
        </w:rPr>
        <w:t>pondría</w:t>
      </w:r>
      <w:r w:rsidR="00BA0678">
        <w:rPr>
          <w:lang w:val="es-ES"/>
        </w:rPr>
        <w:t xml:space="preserve"> a la fecha de elaboración de la Memoria</w:t>
      </w:r>
      <w:r w:rsidRPr="00EB7C97">
        <w:rPr>
          <w:lang w:val="es-ES"/>
        </w:rPr>
        <w:t>.</w:t>
      </w:r>
    </w:p>
    <w:p w:rsidR="00EB7C97" w:rsidRPr="000B02EF" w:rsidRDefault="00EB7C97" w:rsidP="000B02EF">
      <w:pPr>
        <w:pStyle w:val="atitulo2"/>
        <w:spacing w:before="240"/>
        <w:rPr>
          <w:bCs w:val="0"/>
          <w:iCs w:val="0"/>
        </w:rPr>
      </w:pPr>
      <w:bookmarkStart w:id="59" w:name="_Toc463350251"/>
      <w:bookmarkStart w:id="60" w:name="_Toc494270385"/>
      <w:bookmarkStart w:id="61" w:name="_Toc498515794"/>
      <w:r w:rsidRPr="000B02EF">
        <w:rPr>
          <w:bCs w:val="0"/>
          <w:iCs w:val="0"/>
        </w:rPr>
        <w:t>IV.5. Cumplimiento de recomendaciones emitidas en informes anteriores de esta Cámara de Comptos</w:t>
      </w:r>
      <w:bookmarkEnd w:id="59"/>
      <w:bookmarkEnd w:id="60"/>
      <w:bookmarkEnd w:id="61"/>
    </w:p>
    <w:p w:rsidR="00EB7C97" w:rsidRPr="00EB7C97" w:rsidRDefault="00EB7C97" w:rsidP="000B02EF">
      <w:pPr>
        <w:pStyle w:val="texto"/>
      </w:pPr>
      <w:r w:rsidRPr="00EB7C97">
        <w:t xml:space="preserve">Del informe </w:t>
      </w:r>
      <w:r w:rsidR="00961CC6">
        <w:t xml:space="preserve">de esta Cámara sobre las Cuentas Generales </w:t>
      </w:r>
      <w:r w:rsidRPr="00EB7C97">
        <w:t>de 2015, se han i</w:t>
      </w:r>
      <w:r w:rsidRPr="00EB7C97">
        <w:t>m</w:t>
      </w:r>
      <w:r w:rsidRPr="00EB7C97">
        <w:t>plantado o están en fase de implantación las siguientes recomendaciones:</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Se está desarrollando el proceso de análisis y reforma del CAT</w:t>
      </w:r>
      <w:r w:rsidR="00062F89">
        <w:rPr>
          <w:rFonts w:cs="Arial"/>
          <w:i/>
        </w:rPr>
        <w:t>-GT</w:t>
      </w:r>
      <w:r w:rsidRPr="000B02EF">
        <w:rPr>
          <w:rFonts w:cs="Arial"/>
          <w:i/>
        </w:rPr>
        <w:t>, lo que permitirá mejorar tanto la gestión de los tributos como su coordinación con el s</w:t>
      </w:r>
      <w:r w:rsidR="00062F89">
        <w:rPr>
          <w:rFonts w:cs="Arial"/>
          <w:i/>
        </w:rPr>
        <w:t>istema de contabilidad general SAP</w:t>
      </w:r>
      <w:r w:rsidRPr="000B02EF">
        <w:rPr>
          <w:rFonts w:cs="Arial"/>
          <w:i/>
        </w:rPr>
        <w:t xml:space="preserve">GE21. </w:t>
      </w:r>
    </w:p>
    <w:p w:rsidR="00EB7C97"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 xml:space="preserve">Actualmente </w:t>
      </w:r>
      <w:r w:rsidR="00FD758C">
        <w:rPr>
          <w:rFonts w:cs="Arial"/>
          <w:i/>
        </w:rPr>
        <w:t xml:space="preserve">se encuentra en tramitación parlamentaria la aprobación de </w:t>
      </w:r>
      <w:r w:rsidRPr="000B02EF">
        <w:rPr>
          <w:rFonts w:cs="Arial"/>
          <w:i/>
        </w:rPr>
        <w:t>la nue</w:t>
      </w:r>
      <w:r w:rsidR="00D45336">
        <w:rPr>
          <w:rFonts w:cs="Arial"/>
          <w:i/>
        </w:rPr>
        <w:t>va Ley F</w:t>
      </w:r>
      <w:r w:rsidRPr="000B02EF">
        <w:rPr>
          <w:rFonts w:cs="Arial"/>
          <w:i/>
        </w:rPr>
        <w:t xml:space="preserve">oral de </w:t>
      </w:r>
      <w:r w:rsidR="00D45336">
        <w:rPr>
          <w:rFonts w:cs="Arial"/>
          <w:i/>
        </w:rPr>
        <w:t>C</w:t>
      </w:r>
      <w:r w:rsidRPr="000B02EF">
        <w:rPr>
          <w:rFonts w:cs="Arial"/>
          <w:i/>
        </w:rPr>
        <w:t xml:space="preserve">ontratos </w:t>
      </w:r>
      <w:r w:rsidR="00D45336">
        <w:rPr>
          <w:rFonts w:cs="Arial"/>
          <w:i/>
        </w:rPr>
        <w:t>P</w:t>
      </w:r>
      <w:r w:rsidRPr="000B02EF">
        <w:rPr>
          <w:rFonts w:cs="Arial"/>
          <w:i/>
        </w:rPr>
        <w:t>úblicos adaptada a las directivas europeas en la materia.</w:t>
      </w:r>
    </w:p>
    <w:p w:rsidR="00006612" w:rsidRDefault="00006612"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Se ha incluido información en la Memoria de las Cuentas Generales sobre el presupuesto de ejecución de beneficios fiscales, flujos financieros derivados del Convenio y cumplimiento de las reglas de estabilidad presupuestaria y so</w:t>
      </w:r>
      <w:r>
        <w:rPr>
          <w:rFonts w:cs="Arial"/>
          <w:i/>
        </w:rPr>
        <w:t>s</w:t>
      </w:r>
      <w:r>
        <w:rPr>
          <w:rFonts w:cs="Arial"/>
          <w:i/>
        </w:rPr>
        <w:t>tenibilidad financiera.</w:t>
      </w:r>
    </w:p>
    <w:p w:rsidR="00006612" w:rsidRPr="000B02EF" w:rsidRDefault="00006612"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En agosto de 2017 Navarra firmó un convenio con el Estado para hacer efectiva la integración informática entre la información del Portal de Contr</w:t>
      </w:r>
      <w:r>
        <w:rPr>
          <w:rFonts w:cs="Arial"/>
          <w:i/>
        </w:rPr>
        <w:t>a</w:t>
      </w:r>
      <w:r>
        <w:rPr>
          <w:rFonts w:cs="Arial"/>
          <w:i/>
        </w:rPr>
        <w:t>tación de Navarra y la Plataforma de Contratación del Sector Público Estatal.</w:t>
      </w:r>
    </w:p>
    <w:p w:rsidR="00EB7C97" w:rsidRPr="00FD758C" w:rsidRDefault="00EB7C97" w:rsidP="00FD758C">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rsidRPr="00FD758C">
        <w:rPr>
          <w:rFonts w:cs="Arial"/>
        </w:rPr>
        <w:t>Siguen vigentes las siguientes recomendaciones básicas emitidas por esta Cámara en informes de ejercicios anteriores:</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Aprobar de manera urgente el Plan General de Contabilidad Pública de la Comunidad Foral y en su defecto, aplicar en toda su extensión el Plan General de Contabilidad Pública, vigente desde el 1 de enero de 2011.</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Reflejar en el balance las obligaciones actuariales derivadas de los der</w:t>
      </w:r>
      <w:r w:rsidRPr="000B02EF">
        <w:rPr>
          <w:rFonts w:cs="Arial"/>
          <w:i/>
        </w:rPr>
        <w:t>e</w:t>
      </w:r>
      <w:r w:rsidRPr="000B02EF">
        <w:rPr>
          <w:rFonts w:cs="Arial"/>
          <w:i/>
        </w:rPr>
        <w:t>chos pasivos de los funcionarios forales.</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Elaborar un inventario valorado de todos los bienes y derechos de la C</w:t>
      </w:r>
      <w:r w:rsidRPr="000B02EF">
        <w:rPr>
          <w:rFonts w:cs="Arial"/>
          <w:i/>
        </w:rPr>
        <w:t>o</w:t>
      </w:r>
      <w:r w:rsidRPr="000B02EF">
        <w:rPr>
          <w:rFonts w:cs="Arial"/>
          <w:i/>
        </w:rPr>
        <w:t>munidad Foral que respalde los saldos contables del inmovilizado de acuerdo a las exigencias del Plan General de Contabilidad Pública. Este inventario d</w:t>
      </w:r>
      <w:r w:rsidRPr="000B02EF">
        <w:rPr>
          <w:rFonts w:cs="Arial"/>
          <w:i/>
        </w:rPr>
        <w:t>e</w:t>
      </w:r>
      <w:r w:rsidRPr="000B02EF">
        <w:rPr>
          <w:rFonts w:cs="Arial"/>
          <w:i/>
        </w:rPr>
        <w:t>be incorporarse o adjuntarse a la memoria del ejercicio.</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lastRenderedPageBreak/>
        <w:t>Desarrollar el procedimiento de prórroga presupuestaria regulado en la Ley de Hacienda Pública, analizando su adecuación y contemplando las ex</w:t>
      </w:r>
      <w:r w:rsidRPr="000B02EF">
        <w:rPr>
          <w:rFonts w:cs="Arial"/>
          <w:i/>
        </w:rPr>
        <w:t>i</w:t>
      </w:r>
      <w:r w:rsidRPr="000B02EF">
        <w:rPr>
          <w:rFonts w:cs="Arial"/>
          <w:i/>
        </w:rPr>
        <w:t>gencias de la Ley de Estabilidad Presupuestaria y Sostenibilidad Financiera.</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 xml:space="preserve">Incluir en la memoria de las </w:t>
      </w:r>
      <w:r w:rsidR="00961CC6">
        <w:rPr>
          <w:rFonts w:cs="Arial"/>
          <w:i/>
        </w:rPr>
        <w:t>C</w:t>
      </w:r>
      <w:r w:rsidRPr="000B02EF">
        <w:rPr>
          <w:rFonts w:cs="Arial"/>
          <w:i/>
        </w:rPr>
        <w:t xml:space="preserve">uentas </w:t>
      </w:r>
      <w:r w:rsidR="00961CC6">
        <w:rPr>
          <w:rFonts w:cs="Arial"/>
          <w:i/>
        </w:rPr>
        <w:t>G</w:t>
      </w:r>
      <w:r w:rsidRPr="000B02EF">
        <w:rPr>
          <w:rFonts w:cs="Arial"/>
          <w:i/>
        </w:rPr>
        <w:t>enerales los hechos posteriores más relevantes al cierre del ejercicio.</w:t>
      </w:r>
    </w:p>
    <w:p w:rsidR="00EB7C97" w:rsidRPr="000B02EF" w:rsidRDefault="00EB7C9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B02EF">
        <w:rPr>
          <w:rFonts w:cs="Arial"/>
          <w:i/>
        </w:rPr>
        <w:t>Desarrollar el sistema contable de manera que suministre información p</w:t>
      </w:r>
      <w:r w:rsidRPr="000B02EF">
        <w:rPr>
          <w:rFonts w:cs="Arial"/>
          <w:i/>
        </w:rPr>
        <w:t>a</w:t>
      </w:r>
      <w:r w:rsidRPr="000B02EF">
        <w:rPr>
          <w:rFonts w:cs="Arial"/>
          <w:i/>
        </w:rPr>
        <w:t>ra determinar el coste de los servicios públicos.</w:t>
      </w:r>
    </w:p>
    <w:p w:rsidR="00EB7C97" w:rsidRPr="000B02EF" w:rsidRDefault="00EB7C97" w:rsidP="000B02EF">
      <w:pPr>
        <w:pStyle w:val="atitulo2"/>
        <w:spacing w:before="240"/>
        <w:rPr>
          <w:bCs w:val="0"/>
          <w:iCs w:val="0"/>
        </w:rPr>
      </w:pPr>
      <w:bookmarkStart w:id="62" w:name="_Toc494270386"/>
      <w:bookmarkStart w:id="63" w:name="_Toc498515795"/>
      <w:r w:rsidRPr="000B02EF">
        <w:rPr>
          <w:bCs w:val="0"/>
          <w:iCs w:val="0"/>
        </w:rPr>
        <w:t>IV.6. Gastos de personal</w:t>
      </w:r>
      <w:bookmarkEnd w:id="62"/>
      <w:bookmarkEnd w:id="63"/>
    </w:p>
    <w:p w:rsidR="00EB7C97" w:rsidRPr="00EB7C97" w:rsidRDefault="00EB7C97" w:rsidP="000B02EF">
      <w:pPr>
        <w:pStyle w:val="texto"/>
        <w:rPr>
          <w:lang w:val="es-ES"/>
        </w:rPr>
      </w:pPr>
      <w:r w:rsidRPr="00EB7C97">
        <w:rPr>
          <w:lang w:val="es-ES"/>
        </w:rPr>
        <w:t>Los gastos de personal en 2016 ascendieron a 1.172 millones de euros y r</w:t>
      </w:r>
      <w:r w:rsidRPr="00EB7C97">
        <w:rPr>
          <w:lang w:val="es-ES"/>
        </w:rPr>
        <w:t>e</w:t>
      </w:r>
      <w:r w:rsidRPr="00EB7C97">
        <w:rPr>
          <w:lang w:val="es-ES"/>
        </w:rPr>
        <w:t>presentan el 30 por ciento del total del gasto. El 42 por ciento corresponde al Departamento de Salud, el 30 por ciento a Educación y el 17 por ciento al D</w:t>
      </w:r>
      <w:r w:rsidRPr="00EB7C97">
        <w:rPr>
          <w:lang w:val="es-ES"/>
        </w:rPr>
        <w:t>e</w:t>
      </w:r>
      <w:r w:rsidRPr="00EB7C97">
        <w:rPr>
          <w:lang w:val="es-ES"/>
        </w:rPr>
        <w:t>partamento de Presidencia, Justicia e Interior.</w:t>
      </w:r>
    </w:p>
    <w:p w:rsidR="00EB7C97" w:rsidRPr="00EB7C97" w:rsidRDefault="00EB7C97" w:rsidP="001A35E1">
      <w:pPr>
        <w:pStyle w:val="texto"/>
        <w:spacing w:after="120"/>
        <w:rPr>
          <w:lang w:val="es-ES"/>
        </w:rPr>
      </w:pPr>
      <w:r w:rsidRPr="00EB7C97">
        <w:rPr>
          <w:lang w:val="es-ES"/>
        </w:rPr>
        <w:t xml:space="preserve">Su distribución por conceptos económicos es la siguiente: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1A35E1" w:rsidRPr="00EB7C97" w:rsidTr="001A35E1">
        <w:trPr>
          <w:trHeight w:val="255"/>
          <w:jc w:val="center"/>
        </w:trPr>
        <w:tc>
          <w:tcPr>
            <w:tcW w:w="8808" w:type="dxa"/>
            <w:gridSpan w:val="4"/>
            <w:tcBorders>
              <w:left w:val="nil"/>
              <w:bottom w:val="single" w:sz="4" w:space="0" w:color="auto"/>
              <w:right w:val="nil"/>
            </w:tcBorders>
            <w:shd w:val="clear" w:color="auto" w:fill="auto"/>
            <w:noWrap/>
            <w:vAlign w:val="center"/>
          </w:tcPr>
          <w:p w:rsidR="001A35E1" w:rsidRPr="001A35E1" w:rsidRDefault="001A35E1" w:rsidP="00EB7C97">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EB7C97" w:rsidRPr="00EB7C97" w:rsidTr="000B02EF">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EB7C97">
              <w:rPr>
                <w:rFonts w:ascii="Arial" w:hAnsi="Arial"/>
                <w:spacing w:val="6"/>
                <w:sz w:val="18"/>
                <w:szCs w:val="24"/>
              </w:rPr>
              <w:t>Gastos de personal</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2015</w:t>
            </w:r>
          </w:p>
        </w:tc>
        <w:tc>
          <w:tcPr>
            <w:tcW w:w="1493"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EB7C97">
              <w:rPr>
                <w:rFonts w:ascii="Arial" w:hAnsi="Arial"/>
                <w:spacing w:val="6"/>
                <w:sz w:val="18"/>
                <w:szCs w:val="24"/>
              </w:rPr>
              <w:t>2016</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31905"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xml:space="preserve">% variación </w:t>
            </w:r>
            <w:r w:rsidR="00EB7C97" w:rsidRPr="00EB7C97">
              <w:rPr>
                <w:rFonts w:ascii="Arial" w:hAnsi="Arial"/>
                <w:spacing w:val="6"/>
                <w:sz w:val="18"/>
                <w:szCs w:val="24"/>
              </w:rPr>
              <w:t xml:space="preserve"> 2016/2015</w:t>
            </w:r>
          </w:p>
        </w:tc>
      </w:tr>
      <w:tr w:rsidR="00EB7C97" w:rsidRPr="00EB7C97" w:rsidTr="00EB7C97">
        <w:trPr>
          <w:trHeight w:hRule="exact" w:val="238"/>
          <w:jc w:val="center"/>
        </w:trPr>
        <w:tc>
          <w:tcPr>
            <w:tcW w:w="3880" w:type="dxa"/>
            <w:tcBorders>
              <w:top w:val="single" w:sz="4"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Altos cargos</w:t>
            </w:r>
          </w:p>
        </w:tc>
        <w:tc>
          <w:tcPr>
            <w:tcW w:w="1998" w:type="dxa"/>
            <w:tcBorders>
              <w:top w:val="single" w:sz="4"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4.949</w:t>
            </w:r>
          </w:p>
        </w:tc>
        <w:tc>
          <w:tcPr>
            <w:tcW w:w="1493" w:type="dxa"/>
            <w:tcBorders>
              <w:top w:val="single" w:sz="4"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3.886</w:t>
            </w:r>
          </w:p>
        </w:tc>
        <w:tc>
          <w:tcPr>
            <w:tcW w:w="1437" w:type="dxa"/>
            <w:tcBorders>
              <w:top w:val="single" w:sz="4"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-21</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Personal eventual</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896</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2.423</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170</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Retribuciones del puesto</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700.369</w:t>
            </w:r>
          </w:p>
        </w:tc>
        <w:tc>
          <w:tcPr>
            <w:tcW w:w="1493" w:type="dxa"/>
            <w:tcBorders>
              <w:top w:val="single" w:sz="2" w:space="0" w:color="auto"/>
              <w:left w:val="nil"/>
              <w:bottom w:val="single" w:sz="2" w:space="0" w:color="auto"/>
              <w:right w:val="nil"/>
            </w:tcBorders>
            <w:vAlign w:val="center"/>
          </w:tcPr>
          <w:p w:rsidR="00EB7C97" w:rsidRPr="00EB7C97" w:rsidRDefault="00EB7C97" w:rsidP="00062F8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719.</w:t>
            </w:r>
            <w:r w:rsidR="00062F89">
              <w:rPr>
                <w:rFonts w:ascii="Arial Narrow" w:hAnsi="Arial Narrow"/>
                <w:spacing w:val="6"/>
              </w:rPr>
              <w:t>600</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3</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Retribuciones personales</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119.120</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119.689</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0,5</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Cuotas, prestaciones y gastos sociales</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244.854</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254.083</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w:t>
            </w:r>
          </w:p>
        </w:tc>
      </w:tr>
      <w:tr w:rsidR="00EB7C97" w:rsidRPr="00EB7C97" w:rsidTr="00EB7C97">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Retribuciones variables</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49.534</w:t>
            </w:r>
          </w:p>
        </w:tc>
        <w:tc>
          <w:tcPr>
            <w:tcW w:w="1493" w:type="dxa"/>
            <w:tcBorders>
              <w:top w:val="single" w:sz="2" w:space="0" w:color="auto"/>
              <w:left w:val="nil"/>
              <w:bottom w:val="single" w:sz="2" w:space="0" w:color="auto"/>
              <w:right w:val="nil"/>
            </w:tcBorders>
            <w:vAlign w:val="center"/>
          </w:tcPr>
          <w:p w:rsidR="00EB7C97" w:rsidRPr="00EB7C97" w:rsidRDefault="00EB7C97" w:rsidP="00062F8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50.41</w:t>
            </w:r>
            <w:r w:rsidR="00062F89">
              <w:rPr>
                <w:rFonts w:ascii="Arial Narrow" w:hAnsi="Arial Narrow"/>
                <w:spacing w:val="6"/>
              </w:rPr>
              <w:t>2</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w:t>
            </w:r>
          </w:p>
        </w:tc>
      </w:tr>
      <w:tr w:rsidR="00EB7C97" w:rsidRPr="00EB7C97" w:rsidTr="000B02EF">
        <w:trPr>
          <w:trHeight w:hRule="exact" w:val="238"/>
          <w:jc w:val="center"/>
        </w:trPr>
        <w:tc>
          <w:tcPr>
            <w:tcW w:w="3880"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Otras retribuciones</w:t>
            </w:r>
          </w:p>
        </w:tc>
        <w:tc>
          <w:tcPr>
            <w:tcW w:w="199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18.691</w:t>
            </w:r>
          </w:p>
        </w:tc>
        <w:tc>
          <w:tcPr>
            <w:tcW w:w="1493"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22.196</w:t>
            </w:r>
          </w:p>
        </w:tc>
        <w:tc>
          <w:tcPr>
            <w:tcW w:w="1437" w:type="dxa"/>
            <w:tcBorders>
              <w:top w:val="single" w:sz="2" w:space="0" w:color="auto"/>
              <w:left w:val="nil"/>
              <w:bottom w:val="single" w:sz="2" w:space="0" w:color="auto"/>
              <w:right w:val="nil"/>
            </w:tcBorders>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19</w:t>
            </w:r>
          </w:p>
        </w:tc>
      </w:tr>
      <w:tr w:rsidR="00EB7C97" w:rsidRPr="00EB7C97" w:rsidTr="000B02EF">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EB7C97">
              <w:rPr>
                <w:rFonts w:ascii="Arial" w:hAnsi="Arial"/>
                <w:spacing w:val="6"/>
                <w:sz w:val="18"/>
                <w:szCs w:val="24"/>
              </w:rPr>
              <w:t>Total capítulo 1</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1.138.413</w:t>
            </w:r>
          </w:p>
        </w:tc>
        <w:tc>
          <w:tcPr>
            <w:tcW w:w="1493" w:type="dxa"/>
            <w:tcBorders>
              <w:top w:val="single" w:sz="2"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1.172.28</w:t>
            </w:r>
            <w:r w:rsidR="00062F89">
              <w:rPr>
                <w:rFonts w:ascii="Arial" w:hAnsi="Arial" w:cs="Arial"/>
                <w:spacing w:val="6"/>
                <w:sz w:val="18"/>
                <w:szCs w:val="18"/>
              </w:rPr>
              <w:t>9</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w:t>
            </w:r>
          </w:p>
        </w:tc>
      </w:tr>
    </w:tbl>
    <w:p w:rsidR="00473EF4" w:rsidRDefault="00EB7C97" w:rsidP="000B02EF">
      <w:pPr>
        <w:pStyle w:val="texto"/>
        <w:spacing w:before="240"/>
        <w:rPr>
          <w:lang w:val="es-ES"/>
        </w:rPr>
      </w:pPr>
      <w:r w:rsidRPr="00EB7C97">
        <w:rPr>
          <w:lang w:val="es-ES"/>
        </w:rPr>
        <w:t>Respecto a 2015,</w:t>
      </w:r>
      <w:r w:rsidR="00062F89">
        <w:rPr>
          <w:lang w:val="es-ES"/>
        </w:rPr>
        <w:t xml:space="preserve"> los gastos de personal</w:t>
      </w:r>
      <w:r w:rsidRPr="00EB7C97">
        <w:rPr>
          <w:lang w:val="es-ES"/>
        </w:rPr>
        <w:t xml:space="preserve"> aumentaron un tres por ciento (33,88 millones) si bien las variaciones por concepto económico difieren significat</w:t>
      </w:r>
      <w:r w:rsidRPr="00EB7C97">
        <w:rPr>
          <w:lang w:val="es-ES"/>
        </w:rPr>
        <w:t>i</w:t>
      </w:r>
      <w:r w:rsidRPr="00EB7C97">
        <w:rPr>
          <w:lang w:val="es-ES"/>
        </w:rPr>
        <w:t xml:space="preserve">vamente. </w:t>
      </w:r>
    </w:p>
    <w:p w:rsidR="00EB7C97" w:rsidRPr="00EB7C97" w:rsidRDefault="00473EF4" w:rsidP="00473EF4">
      <w:pPr>
        <w:pStyle w:val="texto"/>
        <w:spacing w:before="120"/>
        <w:rPr>
          <w:lang w:val="es-ES"/>
        </w:rPr>
      </w:pPr>
      <w:r>
        <w:rPr>
          <w:lang w:val="es-ES"/>
        </w:rPr>
        <w:t>L</w:t>
      </w:r>
      <w:r w:rsidR="00EB7C97" w:rsidRPr="00EB7C97">
        <w:rPr>
          <w:lang w:val="es-ES"/>
        </w:rPr>
        <w:t>os gastos del personal eventual crecen un 170 por ciento</w:t>
      </w:r>
      <w:r>
        <w:rPr>
          <w:lang w:val="es-ES"/>
        </w:rPr>
        <w:t xml:space="preserve"> y</w:t>
      </w:r>
      <w:r w:rsidR="00EB7C97" w:rsidRPr="00EB7C97">
        <w:rPr>
          <w:lang w:val="es-ES"/>
        </w:rPr>
        <w:t xml:space="preserve"> los de los altos cargos disminuyen un 21 por ciento</w:t>
      </w:r>
      <w:r>
        <w:rPr>
          <w:lang w:val="es-ES"/>
        </w:rPr>
        <w:t>; esto se debe a la reclasificación del pers</w:t>
      </w:r>
      <w:r>
        <w:rPr>
          <w:lang w:val="es-ES"/>
        </w:rPr>
        <w:t>o</w:t>
      </w:r>
      <w:r>
        <w:rPr>
          <w:lang w:val="es-ES"/>
        </w:rPr>
        <w:t>nal de los altos cargos del SNS-O que en 2015 se contabilizaba en el concepto de “Altos c</w:t>
      </w:r>
      <w:r w:rsidR="00242CEF">
        <w:rPr>
          <w:lang w:val="es-ES"/>
        </w:rPr>
        <w:t>argos”</w:t>
      </w:r>
      <w:r>
        <w:rPr>
          <w:lang w:val="es-ES"/>
        </w:rPr>
        <w:t xml:space="preserve"> y</w:t>
      </w:r>
      <w:r w:rsidR="00242CEF">
        <w:rPr>
          <w:lang w:val="es-ES"/>
        </w:rPr>
        <w:t>,</w:t>
      </w:r>
      <w:r>
        <w:rPr>
          <w:lang w:val="es-ES"/>
        </w:rPr>
        <w:t xml:space="preserve"> a partir de 2016, a excepción del gerente del SNS-O, se registran en el de personal eventual</w:t>
      </w:r>
      <w:r w:rsidR="00EB7C97" w:rsidRPr="00EB7C97">
        <w:rPr>
          <w:lang w:val="es-ES"/>
        </w:rPr>
        <w:t>; asimismo destaca el incremento del co</w:t>
      </w:r>
      <w:r w:rsidR="00EB7C97" w:rsidRPr="00EB7C97">
        <w:rPr>
          <w:lang w:val="es-ES"/>
        </w:rPr>
        <w:t>n</w:t>
      </w:r>
      <w:r w:rsidR="00EB7C97" w:rsidRPr="00EB7C97">
        <w:rPr>
          <w:lang w:val="es-ES"/>
        </w:rPr>
        <w:t>cepto “otras retribuciones” que se incrementa un 19 por cien</w:t>
      </w:r>
      <w:r w:rsidR="00DE175A">
        <w:rPr>
          <w:lang w:val="es-ES"/>
        </w:rPr>
        <w:t>to debido, entre otras causas, a la devolución de un 25 por ciento de la paga extraordinaria s</w:t>
      </w:r>
      <w:r w:rsidR="00DE175A">
        <w:rPr>
          <w:lang w:val="es-ES"/>
        </w:rPr>
        <w:t>u</w:t>
      </w:r>
      <w:r w:rsidR="00DE175A">
        <w:rPr>
          <w:lang w:val="es-ES"/>
        </w:rPr>
        <w:t>primida en 2012.</w:t>
      </w:r>
    </w:p>
    <w:p w:rsidR="00EB7C97" w:rsidRPr="00A25262" w:rsidRDefault="00EB7C97" w:rsidP="00A25262">
      <w:pPr>
        <w:spacing w:before="240" w:after="240"/>
        <w:ind w:firstLine="284"/>
        <w:jc w:val="left"/>
        <w:rPr>
          <w:rFonts w:ascii="Arial" w:hAnsi="Arial"/>
          <w:i/>
          <w:iCs/>
          <w:color w:val="000000"/>
          <w:spacing w:val="10"/>
          <w:kern w:val="28"/>
          <w:sz w:val="25"/>
          <w:szCs w:val="26"/>
          <w:lang w:val="es-ES"/>
        </w:rPr>
      </w:pPr>
      <w:r w:rsidRPr="00A25262">
        <w:rPr>
          <w:rFonts w:ascii="Arial" w:hAnsi="Arial"/>
          <w:i/>
          <w:iCs/>
          <w:color w:val="000000"/>
          <w:spacing w:val="10"/>
          <w:kern w:val="28"/>
          <w:sz w:val="25"/>
          <w:szCs w:val="26"/>
          <w:lang w:val="es-ES"/>
        </w:rPr>
        <w:t>Plantilla orgánica y oferta pública de empleo</w:t>
      </w:r>
    </w:p>
    <w:p w:rsidR="00EB7C97" w:rsidRPr="00EB7C97" w:rsidRDefault="00EB7C97" w:rsidP="00A25262">
      <w:pPr>
        <w:pStyle w:val="texto"/>
        <w:rPr>
          <w:lang w:val="es-ES"/>
        </w:rPr>
      </w:pPr>
      <w:r w:rsidRPr="00EB7C97">
        <w:rPr>
          <w:lang w:val="es-ES"/>
        </w:rPr>
        <w:t>La plantilla orgánica y la relación del personal fijo y eventual que desemp</w:t>
      </w:r>
      <w:r w:rsidRPr="00EB7C97">
        <w:rPr>
          <w:lang w:val="es-ES"/>
        </w:rPr>
        <w:t>e</w:t>
      </w:r>
      <w:r w:rsidRPr="00EB7C97">
        <w:rPr>
          <w:lang w:val="es-ES"/>
        </w:rPr>
        <w:t>ña cargos directivos de libre designación en la Administración de la Comun</w:t>
      </w:r>
      <w:r w:rsidRPr="00EB7C97">
        <w:rPr>
          <w:lang w:val="es-ES"/>
        </w:rPr>
        <w:t>i</w:t>
      </w:r>
      <w:r w:rsidRPr="00EB7C97">
        <w:rPr>
          <w:lang w:val="es-ES"/>
        </w:rPr>
        <w:t xml:space="preserve">dad Foral de Navarra y en sus organismos autónomos a 31 de diciembre de </w:t>
      </w:r>
      <w:r w:rsidRPr="00EB7C97">
        <w:rPr>
          <w:lang w:val="es-ES"/>
        </w:rPr>
        <w:lastRenderedPageBreak/>
        <w:t xml:space="preserve">2016 se publicó mediante Orden Foral 103/2017, de 3 de julio, de la </w:t>
      </w:r>
      <w:r w:rsidR="00242CEF">
        <w:rPr>
          <w:lang w:val="es-ES"/>
        </w:rPr>
        <w:t>c</w:t>
      </w:r>
      <w:r w:rsidRPr="00EB7C97">
        <w:rPr>
          <w:lang w:val="es-ES"/>
        </w:rPr>
        <w:t xml:space="preserve">onsejera de Presidencia, Función Pública, Interior y Justicia, en el BON el 3 de agosto de 2017. </w:t>
      </w:r>
    </w:p>
    <w:p w:rsidR="00EB7C97" w:rsidRPr="00EB7C97" w:rsidRDefault="00062F89" w:rsidP="00A25262">
      <w:pPr>
        <w:pStyle w:val="texto"/>
        <w:rPr>
          <w:lang w:val="es-ES"/>
        </w:rPr>
      </w:pPr>
      <w:r>
        <w:rPr>
          <w:lang w:val="es-ES"/>
        </w:rPr>
        <w:t>E</w:t>
      </w:r>
      <w:r w:rsidR="00EB7C97" w:rsidRPr="00EB7C97">
        <w:rPr>
          <w:lang w:val="es-ES"/>
        </w:rPr>
        <w:t xml:space="preserve">sta Cámara </w:t>
      </w:r>
      <w:r>
        <w:rPr>
          <w:lang w:val="es-ES"/>
        </w:rPr>
        <w:t>destaca el retraso con el que se publicó la plantilla orgánica de 2016 (agosto de 2017), tardanza que ya se puso de manifiesto en informes ant</w:t>
      </w:r>
      <w:r>
        <w:rPr>
          <w:lang w:val="es-ES"/>
        </w:rPr>
        <w:t>e</w:t>
      </w:r>
      <w:r>
        <w:rPr>
          <w:lang w:val="es-ES"/>
        </w:rPr>
        <w:t>riores</w:t>
      </w:r>
      <w:r w:rsidR="00EB7C97" w:rsidRPr="00EB7C97">
        <w:rPr>
          <w:lang w:val="es-ES"/>
        </w:rPr>
        <w:t>.</w:t>
      </w:r>
    </w:p>
    <w:p w:rsidR="00062F89" w:rsidRPr="00EB7C97" w:rsidRDefault="00EB7C97" w:rsidP="00A25262">
      <w:pPr>
        <w:pStyle w:val="texto"/>
        <w:spacing w:after="240"/>
        <w:rPr>
          <w:lang w:val="es-ES"/>
        </w:rPr>
      </w:pPr>
      <w:r w:rsidRPr="00EB7C97">
        <w:rPr>
          <w:lang w:val="es-ES"/>
        </w:rPr>
        <w:t>Las plazas en la plantilla orgánica a 31 de diciembre de 2016 ascendían a 22.681, 187 más que en 2015. Su división en cubiertas y vacantes es la que s</w:t>
      </w:r>
      <w:r w:rsidRPr="00EB7C97">
        <w:rPr>
          <w:lang w:val="es-ES"/>
        </w:rPr>
        <w:t>i</w:t>
      </w:r>
      <w:r w:rsidRPr="00EB7C97">
        <w:rPr>
          <w:lang w:val="es-ES"/>
        </w:rPr>
        <w:t>gue:</w:t>
      </w:r>
    </w:p>
    <w:tbl>
      <w:tblPr>
        <w:tblW w:w="8745"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895"/>
      </w:tblGrid>
      <w:tr w:rsidR="00EB7C97" w:rsidRPr="00EB7C97" w:rsidTr="00132A11">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EB7C97">
              <w:rPr>
                <w:rFonts w:ascii="Arial" w:hAnsi="Arial"/>
                <w:spacing w:val="6"/>
                <w:sz w:val="18"/>
                <w:szCs w:val="18"/>
              </w:rPr>
              <w:t>Plazas</w:t>
            </w:r>
          </w:p>
        </w:tc>
        <w:tc>
          <w:tcPr>
            <w:tcW w:w="1723"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132A11">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sidRPr="00EB7C97">
              <w:rPr>
                <w:rFonts w:ascii="Arial" w:hAnsi="Arial"/>
                <w:spacing w:val="6"/>
                <w:sz w:val="18"/>
                <w:szCs w:val="18"/>
              </w:rPr>
              <w:t>Admón. Núcleo</w:t>
            </w:r>
          </w:p>
        </w:tc>
        <w:tc>
          <w:tcPr>
            <w:tcW w:w="1778"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sidRPr="00EB7C97">
              <w:rPr>
                <w:rFonts w:ascii="Arial" w:hAnsi="Arial"/>
                <w:spacing w:val="6"/>
                <w:sz w:val="18"/>
                <w:szCs w:val="18"/>
              </w:rPr>
              <w:t>Educación</w:t>
            </w:r>
          </w:p>
        </w:tc>
        <w:tc>
          <w:tcPr>
            <w:tcW w:w="1634"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r w:rsidRPr="00EB7C97">
              <w:rPr>
                <w:rFonts w:ascii="Arial" w:hAnsi="Arial"/>
                <w:spacing w:val="6"/>
                <w:sz w:val="18"/>
                <w:szCs w:val="18"/>
              </w:rPr>
              <w:t>SNS-O</w:t>
            </w:r>
          </w:p>
        </w:tc>
        <w:tc>
          <w:tcPr>
            <w:tcW w:w="1771" w:type="dxa"/>
            <w:gridSpan w:val="2"/>
            <w:tcBorders>
              <w:top w:val="single" w:sz="4" w:space="0" w:color="auto"/>
              <w:left w:val="nil"/>
              <w:bottom w:val="nil"/>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sidRPr="00EB7C97">
              <w:rPr>
                <w:rFonts w:ascii="Arial" w:hAnsi="Arial"/>
                <w:spacing w:val="6"/>
                <w:sz w:val="18"/>
                <w:szCs w:val="18"/>
              </w:rPr>
              <w:t>Total</w:t>
            </w:r>
          </w:p>
        </w:tc>
      </w:tr>
      <w:tr w:rsidR="00EB7C97" w:rsidRPr="00EB7C97" w:rsidTr="00132A11">
        <w:trPr>
          <w:trHeight w:val="198"/>
          <w:jc w:val="center"/>
        </w:trPr>
        <w:tc>
          <w:tcPr>
            <w:tcW w:w="1839" w:type="dxa"/>
            <w:vMerge/>
            <w:tcBorders>
              <w:top w:val="single" w:sz="4" w:space="0" w:color="auto"/>
              <w:left w:val="nil"/>
              <w:bottom w:val="single" w:sz="2" w:space="0" w:color="auto"/>
              <w:right w:val="nil"/>
            </w:tcBorders>
            <w:shd w:val="clear" w:color="auto" w:fill="8DB3E2" w:themeFill="text2" w:themeFillTint="66"/>
            <w:vAlign w:val="center"/>
            <w:hideMark/>
          </w:tcPr>
          <w:p w:rsidR="00EB7C97" w:rsidRPr="00EB7C97" w:rsidRDefault="00EB7C97" w:rsidP="00EB7C97">
            <w:pPr>
              <w:rPr>
                <w:rFonts w:ascii="Arial" w:hAnsi="Arial"/>
                <w:spacing w:val="6"/>
                <w:sz w:val="18"/>
                <w:szCs w:val="18"/>
              </w:rPr>
            </w:pPr>
          </w:p>
        </w:tc>
        <w:tc>
          <w:tcPr>
            <w:tcW w:w="779"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sidRPr="00EB7C97">
              <w:rPr>
                <w:rFonts w:ascii="Arial" w:hAnsi="Arial"/>
                <w:spacing w:val="6"/>
                <w:sz w:val="18"/>
                <w:szCs w:val="18"/>
              </w:rPr>
              <w:t>2015</w:t>
            </w:r>
          </w:p>
        </w:tc>
        <w:tc>
          <w:tcPr>
            <w:tcW w:w="944"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2016</w:t>
            </w:r>
          </w:p>
        </w:tc>
        <w:tc>
          <w:tcPr>
            <w:tcW w:w="782"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2015</w:t>
            </w:r>
          </w:p>
        </w:tc>
        <w:tc>
          <w:tcPr>
            <w:tcW w:w="99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2016</w:t>
            </w:r>
          </w:p>
        </w:tc>
        <w:tc>
          <w:tcPr>
            <w:tcW w:w="87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2015</w:t>
            </w:r>
          </w:p>
        </w:tc>
        <w:tc>
          <w:tcPr>
            <w:tcW w:w="758"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2016</w:t>
            </w:r>
          </w:p>
        </w:tc>
        <w:tc>
          <w:tcPr>
            <w:tcW w:w="876"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2015</w:t>
            </w:r>
          </w:p>
        </w:tc>
        <w:tc>
          <w:tcPr>
            <w:tcW w:w="895" w:type="dxa"/>
            <w:tcBorders>
              <w:top w:val="nil"/>
              <w:left w:val="nil"/>
              <w:bottom w:val="single" w:sz="2"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2016</w:t>
            </w:r>
          </w:p>
        </w:tc>
      </w:tr>
      <w:tr w:rsidR="00EB7C97" w:rsidRPr="00EB7C97" w:rsidTr="00A25262">
        <w:trPr>
          <w:trHeight w:val="198"/>
          <w:jc w:val="center"/>
        </w:trPr>
        <w:tc>
          <w:tcPr>
            <w:tcW w:w="1839"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Cubiertas</w:t>
            </w:r>
          </w:p>
        </w:tc>
        <w:tc>
          <w:tcPr>
            <w:tcW w:w="779"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4.970</w:t>
            </w:r>
          </w:p>
        </w:tc>
        <w:tc>
          <w:tcPr>
            <w:tcW w:w="944"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4.896</w:t>
            </w:r>
          </w:p>
        </w:tc>
        <w:tc>
          <w:tcPr>
            <w:tcW w:w="782"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6.011</w:t>
            </w:r>
          </w:p>
        </w:tc>
        <w:tc>
          <w:tcPr>
            <w:tcW w:w="996"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5.995</w:t>
            </w:r>
          </w:p>
        </w:tc>
        <w:tc>
          <w:tcPr>
            <w:tcW w:w="876"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6.478</w:t>
            </w:r>
          </w:p>
        </w:tc>
        <w:tc>
          <w:tcPr>
            <w:tcW w:w="758" w:type="dxa"/>
            <w:tcBorders>
              <w:top w:val="single" w:sz="2" w:space="0" w:color="auto"/>
              <w:left w:val="nil"/>
              <w:bottom w:val="single" w:sz="2"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6.303</w:t>
            </w:r>
          </w:p>
        </w:tc>
        <w:tc>
          <w:tcPr>
            <w:tcW w:w="876"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17.459</w:t>
            </w:r>
          </w:p>
        </w:tc>
        <w:tc>
          <w:tcPr>
            <w:tcW w:w="895" w:type="dxa"/>
            <w:tcBorders>
              <w:top w:val="single" w:sz="2" w:space="0" w:color="auto"/>
              <w:left w:val="nil"/>
              <w:bottom w:val="single" w:sz="2"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17.194</w:t>
            </w:r>
          </w:p>
        </w:tc>
      </w:tr>
      <w:tr w:rsidR="00EB7C97" w:rsidRPr="00EB7C97" w:rsidTr="00A25262">
        <w:trPr>
          <w:trHeight w:val="198"/>
          <w:jc w:val="center"/>
        </w:trPr>
        <w:tc>
          <w:tcPr>
            <w:tcW w:w="1839"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B7C97">
              <w:rPr>
                <w:rFonts w:ascii="Arial Narrow" w:hAnsi="Arial Narrow"/>
                <w:spacing w:val="6"/>
              </w:rPr>
              <w:t xml:space="preserve">Vacantes </w:t>
            </w:r>
          </w:p>
        </w:tc>
        <w:tc>
          <w:tcPr>
            <w:tcW w:w="779"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1.266</w:t>
            </w:r>
          </w:p>
        </w:tc>
        <w:tc>
          <w:tcPr>
            <w:tcW w:w="944"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1.382</w:t>
            </w:r>
          </w:p>
        </w:tc>
        <w:tc>
          <w:tcPr>
            <w:tcW w:w="782"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1.782</w:t>
            </w:r>
          </w:p>
        </w:tc>
        <w:tc>
          <w:tcPr>
            <w:tcW w:w="996"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1.798</w:t>
            </w:r>
          </w:p>
        </w:tc>
        <w:tc>
          <w:tcPr>
            <w:tcW w:w="876"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1.987</w:t>
            </w:r>
          </w:p>
        </w:tc>
        <w:tc>
          <w:tcPr>
            <w:tcW w:w="758" w:type="dxa"/>
            <w:tcBorders>
              <w:top w:val="single" w:sz="2" w:space="0" w:color="auto"/>
              <w:left w:val="nil"/>
              <w:bottom w:val="single" w:sz="4" w:space="0" w:color="auto"/>
              <w:right w:val="nil"/>
            </w:tcBorders>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2.307</w:t>
            </w:r>
          </w:p>
        </w:tc>
        <w:tc>
          <w:tcPr>
            <w:tcW w:w="876"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5.035</w:t>
            </w:r>
          </w:p>
        </w:tc>
        <w:tc>
          <w:tcPr>
            <w:tcW w:w="895" w:type="dxa"/>
            <w:tcBorders>
              <w:top w:val="single" w:sz="2" w:space="0" w:color="auto"/>
              <w:left w:val="nil"/>
              <w:bottom w:val="single" w:sz="4" w:space="0" w:color="auto"/>
              <w:right w:val="nil"/>
            </w:tcBorders>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EB7C97">
              <w:rPr>
                <w:rFonts w:ascii="Arial Narrow" w:hAnsi="Arial Narrow"/>
                <w:spacing w:val="6"/>
              </w:rPr>
              <w:t>5.487</w:t>
            </w:r>
          </w:p>
        </w:tc>
      </w:tr>
      <w:tr w:rsidR="00EB7C97" w:rsidRPr="00EB7C97" w:rsidTr="00A25262">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EB7C97">
              <w:rPr>
                <w:rFonts w:ascii="Arial" w:hAnsi="Arial"/>
                <w:spacing w:val="6"/>
                <w:sz w:val="18"/>
                <w:szCs w:val="18"/>
              </w:rPr>
              <w:t>Total plazas</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6.236</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6.278</w:t>
            </w:r>
          </w:p>
        </w:tc>
        <w:tc>
          <w:tcPr>
            <w:tcW w:w="78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7.793</w:t>
            </w:r>
          </w:p>
        </w:tc>
        <w:tc>
          <w:tcPr>
            <w:tcW w:w="996"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7.793</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8.465</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8.610</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22.494</w:t>
            </w:r>
          </w:p>
        </w:tc>
        <w:tc>
          <w:tcPr>
            <w:tcW w:w="895"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EB7C97">
              <w:rPr>
                <w:rFonts w:ascii="Arial" w:hAnsi="Arial"/>
                <w:spacing w:val="6"/>
                <w:sz w:val="18"/>
                <w:szCs w:val="18"/>
              </w:rPr>
              <w:t>22.681</w:t>
            </w:r>
          </w:p>
        </w:tc>
      </w:tr>
    </w:tbl>
    <w:p w:rsidR="00EB7C97" w:rsidRPr="00EB7C97" w:rsidRDefault="00EB7C97" w:rsidP="00062F89">
      <w:pPr>
        <w:pStyle w:val="texto"/>
        <w:spacing w:before="240"/>
        <w:rPr>
          <w:lang w:val="es-ES"/>
        </w:rPr>
      </w:pPr>
      <w:r w:rsidRPr="00EB7C97">
        <w:rPr>
          <w:lang w:val="es-ES"/>
        </w:rPr>
        <w:t xml:space="preserve">El 38 por ciento de las plazas corresponde al SNS-O, un 34 por ciento a Educación y el 28 por ciento restante a la Administración Núcleo. Del total de plazas, el 76 por ciento está cubierto y el 24 por ciento restante vacante. </w:t>
      </w:r>
    </w:p>
    <w:p w:rsidR="00EB7C97" w:rsidRPr="00A25262" w:rsidRDefault="00EB7C97" w:rsidP="00A25262">
      <w:pPr>
        <w:pStyle w:val="texto"/>
        <w:spacing w:after="240"/>
        <w:rPr>
          <w:lang w:val="es-ES"/>
        </w:rPr>
      </w:pPr>
      <w:r w:rsidRPr="00A25262">
        <w:rPr>
          <w:lang w:val="es-ES"/>
        </w:rPr>
        <w:t>El número de plazas cubiertas en 2016 se distribuye en función de su tipol</w:t>
      </w:r>
      <w:r w:rsidRPr="00A25262">
        <w:rPr>
          <w:lang w:val="es-ES"/>
        </w:rPr>
        <w:t>o</w:t>
      </w:r>
      <w:r w:rsidRPr="00A25262">
        <w:rPr>
          <w:lang w:val="es-ES"/>
        </w:rPr>
        <w:t>gía en:</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EB7C97" w:rsidRPr="00EB7C97" w:rsidTr="007A6823">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EB7C97">
              <w:rPr>
                <w:rFonts w:ascii="Arial" w:hAnsi="Arial"/>
                <w:spacing w:val="6"/>
                <w:sz w:val="18"/>
                <w:szCs w:val="18"/>
              </w:rPr>
              <w:t>Tipo de plaza cubierta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2015</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7A6823" w:rsidRPr="008F54FC" w:rsidTr="007A6823">
        <w:trPr>
          <w:trHeight w:val="198"/>
          <w:jc w:val="center"/>
        </w:trPr>
        <w:tc>
          <w:tcPr>
            <w:tcW w:w="3012" w:type="dxa"/>
            <w:vMerge w:val="restart"/>
            <w:tcBorders>
              <w:top w:val="single" w:sz="4" w:space="0" w:color="auto"/>
              <w:left w:val="nil"/>
              <w:bottom w:val="single" w:sz="2" w:space="0" w:color="auto"/>
              <w:right w:val="nil"/>
            </w:tcBorders>
            <w:vAlign w:val="center"/>
          </w:tcPr>
          <w:p w:rsidR="007A6823" w:rsidRDefault="007A6823" w:rsidP="008F54FC">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Plazas no básicas</w:t>
            </w:r>
          </w:p>
        </w:tc>
        <w:tc>
          <w:tcPr>
            <w:tcW w:w="3013" w:type="dxa"/>
            <w:tcBorders>
              <w:top w:val="single" w:sz="4" w:space="0" w:color="auto"/>
              <w:left w:val="nil"/>
              <w:bottom w:val="single" w:sz="2" w:space="0" w:color="auto"/>
              <w:right w:val="nil"/>
            </w:tcBorders>
            <w:vAlign w:val="center"/>
          </w:tcPr>
          <w:p w:rsidR="007A6823" w:rsidRDefault="007A6823" w:rsidP="007A6823">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Personal eventual</w:t>
            </w:r>
          </w:p>
        </w:tc>
        <w:tc>
          <w:tcPr>
            <w:tcW w:w="1417" w:type="dxa"/>
            <w:tcBorders>
              <w:top w:val="single" w:sz="4"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cs="Arial"/>
              </w:rPr>
              <w:t>107</w:t>
            </w:r>
          </w:p>
        </w:tc>
        <w:tc>
          <w:tcPr>
            <w:tcW w:w="1382" w:type="dxa"/>
            <w:tcBorders>
              <w:top w:val="single" w:sz="4"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cs="Arial"/>
              </w:rPr>
              <w:t>110</w:t>
            </w:r>
          </w:p>
        </w:tc>
      </w:tr>
      <w:tr w:rsidR="007A6823" w:rsidRPr="008F54FC" w:rsidTr="007A6823">
        <w:trPr>
          <w:trHeight w:val="198"/>
          <w:jc w:val="center"/>
        </w:trPr>
        <w:tc>
          <w:tcPr>
            <w:tcW w:w="3012" w:type="dxa"/>
            <w:vMerge/>
            <w:tcBorders>
              <w:top w:val="single" w:sz="2" w:space="0" w:color="auto"/>
              <w:left w:val="nil"/>
              <w:bottom w:val="single" w:sz="2" w:space="0" w:color="auto"/>
              <w:right w:val="nil"/>
            </w:tcBorders>
            <w:vAlign w:val="center"/>
          </w:tcPr>
          <w:p w:rsidR="007A6823" w:rsidRDefault="007A6823" w:rsidP="008F54FC">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7A6823" w:rsidRDefault="007A6823" w:rsidP="007A6823">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spacing w:val="6"/>
              </w:rPr>
              <w:t>Jefaturas</w:t>
            </w:r>
          </w:p>
        </w:tc>
        <w:tc>
          <w:tcPr>
            <w:tcW w:w="1417" w:type="dxa"/>
            <w:tcBorders>
              <w:top w:val="single" w:sz="2"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cs="Arial"/>
              </w:rPr>
              <w:t>1.433</w:t>
            </w:r>
          </w:p>
        </w:tc>
        <w:tc>
          <w:tcPr>
            <w:tcW w:w="1382" w:type="dxa"/>
            <w:tcBorders>
              <w:top w:val="single" w:sz="2" w:space="0" w:color="auto"/>
              <w:left w:val="nil"/>
              <w:bottom w:val="single" w:sz="2" w:space="0" w:color="auto"/>
              <w:right w:val="nil"/>
            </w:tcBorders>
            <w:vAlign w:val="bottom"/>
          </w:tcPr>
          <w:p w:rsidR="007A6823" w:rsidRPr="008F54FC" w:rsidRDefault="007A6823" w:rsidP="00062F89">
            <w:pPr>
              <w:spacing w:after="0"/>
              <w:jc w:val="right"/>
              <w:rPr>
                <w:rFonts w:ascii="Arial Narrow" w:hAnsi="Arial Narrow" w:cs="Arial"/>
              </w:rPr>
            </w:pPr>
            <w:r>
              <w:rPr>
                <w:rFonts w:ascii="Arial Narrow" w:hAnsi="Arial Narrow" w:cs="Arial"/>
              </w:rPr>
              <w:t>1.466</w:t>
            </w:r>
          </w:p>
        </w:tc>
      </w:tr>
      <w:tr w:rsidR="00EB7C97" w:rsidRPr="008F54FC" w:rsidTr="007A6823">
        <w:trPr>
          <w:trHeight w:val="198"/>
          <w:jc w:val="center"/>
        </w:trPr>
        <w:tc>
          <w:tcPr>
            <w:tcW w:w="6025" w:type="dxa"/>
            <w:gridSpan w:val="2"/>
            <w:tcBorders>
              <w:top w:val="single" w:sz="2" w:space="0" w:color="auto"/>
              <w:left w:val="nil"/>
              <w:bottom w:val="single" w:sz="4" w:space="0" w:color="auto"/>
              <w:right w:val="nil"/>
            </w:tcBorders>
            <w:vAlign w:val="center"/>
            <w:hideMark/>
          </w:tcPr>
          <w:p w:rsidR="00EB7C97" w:rsidRPr="008F54FC" w:rsidRDefault="00EB7C97" w:rsidP="00062F89">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F54FC">
              <w:rPr>
                <w:rFonts w:ascii="Arial Narrow" w:hAnsi="Arial Narrow"/>
                <w:spacing w:val="6"/>
              </w:rPr>
              <w:t xml:space="preserve">Plazas básicas </w:t>
            </w:r>
          </w:p>
        </w:tc>
        <w:tc>
          <w:tcPr>
            <w:tcW w:w="1417" w:type="dxa"/>
            <w:tcBorders>
              <w:top w:val="single" w:sz="2" w:space="0" w:color="auto"/>
              <w:left w:val="nil"/>
              <w:bottom w:val="single" w:sz="4" w:space="0" w:color="auto"/>
              <w:right w:val="nil"/>
            </w:tcBorders>
            <w:vAlign w:val="center"/>
          </w:tcPr>
          <w:p w:rsidR="00EB7C97" w:rsidRPr="008F54FC" w:rsidRDefault="00EB7C97" w:rsidP="008F54FC">
            <w:pPr>
              <w:spacing w:after="0"/>
              <w:jc w:val="right"/>
              <w:rPr>
                <w:rFonts w:ascii="Arial Narrow" w:hAnsi="Arial Narrow" w:cs="Arial"/>
              </w:rPr>
            </w:pPr>
            <w:r w:rsidRPr="008F54FC">
              <w:rPr>
                <w:rFonts w:ascii="Arial Narrow" w:hAnsi="Arial Narrow" w:cs="Arial"/>
              </w:rPr>
              <w:t>15.919</w:t>
            </w:r>
          </w:p>
        </w:tc>
        <w:tc>
          <w:tcPr>
            <w:tcW w:w="1382" w:type="dxa"/>
            <w:tcBorders>
              <w:top w:val="single" w:sz="2" w:space="0" w:color="auto"/>
              <w:left w:val="nil"/>
              <w:bottom w:val="single" w:sz="4" w:space="0" w:color="auto"/>
              <w:right w:val="nil"/>
            </w:tcBorders>
            <w:vAlign w:val="center"/>
          </w:tcPr>
          <w:p w:rsidR="00EB7C97" w:rsidRPr="008F54FC" w:rsidRDefault="00EB7C97" w:rsidP="008F54FC">
            <w:pPr>
              <w:spacing w:after="0"/>
              <w:jc w:val="right"/>
              <w:rPr>
                <w:rFonts w:ascii="Arial Narrow" w:hAnsi="Arial Narrow" w:cs="Arial"/>
              </w:rPr>
            </w:pPr>
            <w:r w:rsidRPr="008F54FC">
              <w:rPr>
                <w:rFonts w:ascii="Arial Narrow" w:hAnsi="Arial Narrow" w:cs="Arial"/>
              </w:rPr>
              <w:t>15.618</w:t>
            </w:r>
          </w:p>
        </w:tc>
      </w:tr>
      <w:tr w:rsidR="00EB7C97" w:rsidRPr="00EB7C97" w:rsidTr="007A6823">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EB7C97">
              <w:rPr>
                <w:rFonts w:ascii="Arial" w:hAnsi="Arial" w:cs="Arial"/>
                <w:spacing w:val="6"/>
                <w:sz w:val="18"/>
                <w:szCs w:val="18"/>
                <w:lang w:val="es-ES" w:eastAsia="es-ES"/>
              </w:rPr>
              <w:t>Total plazas cubiertas</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EB7C97">
              <w:rPr>
                <w:rFonts w:ascii="Arial" w:hAnsi="Arial"/>
                <w:spacing w:val="6"/>
                <w:sz w:val="18"/>
                <w:szCs w:val="24"/>
                <w:lang w:val="es-ES" w:eastAsia="es-ES"/>
              </w:rPr>
              <w:t>17.459</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EB7C97">
              <w:rPr>
                <w:rFonts w:ascii="Arial" w:hAnsi="Arial"/>
                <w:spacing w:val="6"/>
                <w:sz w:val="18"/>
                <w:szCs w:val="24"/>
                <w:lang w:val="es-ES" w:eastAsia="es-ES"/>
              </w:rPr>
              <w:t>17.194</w:t>
            </w:r>
          </w:p>
        </w:tc>
      </w:tr>
    </w:tbl>
    <w:p w:rsidR="00EB7C97" w:rsidRPr="00EB7C97" w:rsidRDefault="00EB7C97" w:rsidP="002475D2">
      <w:pPr>
        <w:pStyle w:val="texto"/>
        <w:spacing w:before="200" w:after="100"/>
      </w:pPr>
      <w:r w:rsidRPr="00EB7C97">
        <w:t>Sobre 2015, la variación porcentual más significativa se detecta en las plazas del personal eventual que, en 2016, se han incrementado en un tres por ciento, esto es, tres plazas. Cuantitativamente hablando, las plazas básicas disminuyen en 301 lo que supone un dos por ciento menos que en 2015.</w:t>
      </w:r>
    </w:p>
    <w:p w:rsidR="00EB7C97" w:rsidRPr="00EB7C97" w:rsidRDefault="00EB7C97" w:rsidP="002475D2">
      <w:pPr>
        <w:pStyle w:val="texto"/>
        <w:spacing w:after="100"/>
      </w:pPr>
      <w:r w:rsidRPr="00EB7C97">
        <w:t xml:space="preserve">Según consta en la memoria de las Cuentas Generales, 2.494 plazas no </w:t>
      </w:r>
      <w:r w:rsidR="00D45336">
        <w:t xml:space="preserve">están ocupadas por sus titulares </w:t>
      </w:r>
      <w:r w:rsidRPr="00EB7C97">
        <w:t>por varios motivos: excedencias, reservas por jefat</w:t>
      </w:r>
      <w:r w:rsidRPr="00EB7C97">
        <w:t>u</w:t>
      </w:r>
      <w:r w:rsidRPr="00EB7C97">
        <w:t xml:space="preserve">ras, comisiones de servicios, </w:t>
      </w:r>
      <w:r w:rsidR="00062F89">
        <w:t xml:space="preserve">servicios especiales </w:t>
      </w:r>
      <w:r w:rsidRPr="00EB7C97">
        <w:t>por formación, perfeccion</w:t>
      </w:r>
      <w:r w:rsidRPr="00EB7C97">
        <w:t>a</w:t>
      </w:r>
      <w:r w:rsidRPr="00EB7C97">
        <w:t>miento o investigación, etc.</w:t>
      </w:r>
    </w:p>
    <w:p w:rsidR="00EB7C97" w:rsidRPr="00EB7C97" w:rsidRDefault="00EB7C97" w:rsidP="00A25262">
      <w:pPr>
        <w:pStyle w:val="texto"/>
        <w:spacing w:after="240"/>
        <w:rPr>
          <w:lang w:val="es-ES"/>
        </w:rPr>
      </w:pPr>
      <w:r w:rsidRPr="00EB7C97">
        <w:rPr>
          <w:lang w:val="es-ES"/>
        </w:rPr>
        <w:t>La relación, situación y evolución de las plazas vacantes sobre el total de puestos se observa en el siguiente cuadro:</w:t>
      </w:r>
    </w:p>
    <w:tbl>
      <w:tblPr>
        <w:tblW w:w="8841"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813"/>
        <w:gridCol w:w="1632"/>
        <w:gridCol w:w="1396"/>
      </w:tblGrid>
      <w:tr w:rsidR="00EB7C97" w:rsidRPr="00EB7C97" w:rsidTr="00132A11">
        <w:trPr>
          <w:trHeight w:val="255"/>
          <w:jc w:val="center"/>
        </w:trPr>
        <w:tc>
          <w:tcPr>
            <w:tcW w:w="5813"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B7C97">
              <w:rPr>
                <w:rFonts w:ascii="Arial" w:hAnsi="Arial" w:cs="Arial"/>
                <w:spacing w:val="6"/>
                <w:sz w:val="18"/>
                <w:szCs w:val="24"/>
              </w:rPr>
              <w:t>Concepto</w:t>
            </w:r>
          </w:p>
        </w:tc>
        <w:tc>
          <w:tcPr>
            <w:tcW w:w="1632"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2015</w:t>
            </w:r>
          </w:p>
        </w:tc>
        <w:tc>
          <w:tcPr>
            <w:tcW w:w="1396" w:type="dxa"/>
            <w:tcBorders>
              <w:bottom w:val="single" w:sz="4" w:space="0" w:color="auto"/>
            </w:tcBorders>
            <w:shd w:val="clear" w:color="auto" w:fill="8DB3E2" w:themeFill="text2" w:themeFillTint="66"/>
            <w:vAlign w:val="center"/>
            <w:hideMark/>
          </w:tcPr>
          <w:p w:rsidR="00EB7C97" w:rsidRPr="00EB7C97" w:rsidRDefault="00EB7C97" w:rsidP="00EB7C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B7C97">
              <w:rPr>
                <w:rFonts w:ascii="Arial" w:hAnsi="Arial" w:cs="Arial"/>
                <w:spacing w:val="6"/>
                <w:sz w:val="18"/>
                <w:szCs w:val="24"/>
              </w:rPr>
              <w:t>2016</w:t>
            </w:r>
          </w:p>
        </w:tc>
      </w:tr>
      <w:tr w:rsidR="00EB7C97" w:rsidRPr="00A25262" w:rsidTr="002475D2">
        <w:trPr>
          <w:trHeight w:val="170"/>
          <w:jc w:val="center"/>
        </w:trPr>
        <w:tc>
          <w:tcPr>
            <w:tcW w:w="5813" w:type="dxa"/>
            <w:tcBorders>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sidRPr="00A25262">
              <w:rPr>
                <w:rFonts w:ascii="Arial Narrow" w:hAnsi="Arial Narrow" w:cs="Arial"/>
              </w:rPr>
              <w:t>Total puestos</w:t>
            </w:r>
          </w:p>
        </w:tc>
        <w:tc>
          <w:tcPr>
            <w:tcW w:w="1632" w:type="dxa"/>
            <w:tcBorders>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22.494</w:t>
            </w:r>
          </w:p>
        </w:tc>
        <w:tc>
          <w:tcPr>
            <w:tcW w:w="1396" w:type="dxa"/>
            <w:tcBorders>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22.681</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sidRPr="00A25262">
              <w:rPr>
                <w:rFonts w:ascii="Arial Narrow" w:hAnsi="Arial Narrow" w:cs="Arial"/>
              </w:rPr>
              <w:t>Vacantes</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5.035</w:t>
            </w:r>
          </w:p>
        </w:tc>
        <w:tc>
          <w:tcPr>
            <w:tcW w:w="1396" w:type="dxa"/>
            <w:tcBorders>
              <w:top w:val="single" w:sz="2" w:space="0" w:color="auto"/>
              <w:bottom w:val="single" w:sz="2" w:space="0" w:color="auto"/>
            </w:tcBorders>
            <w:vAlign w:val="center"/>
            <w:hideMark/>
          </w:tcPr>
          <w:p w:rsidR="00EB7C97" w:rsidRPr="00A25262" w:rsidRDefault="00EB7C97" w:rsidP="00A25262">
            <w:pPr>
              <w:tabs>
                <w:tab w:val="left" w:pos="817"/>
              </w:tabs>
              <w:spacing w:after="0"/>
              <w:ind w:firstLine="0"/>
              <w:jc w:val="right"/>
              <w:rPr>
                <w:rFonts w:ascii="Arial Narrow" w:hAnsi="Arial Narrow" w:cs="Arial"/>
              </w:rPr>
            </w:pPr>
            <w:r w:rsidRPr="00A25262">
              <w:rPr>
                <w:rFonts w:ascii="Arial Narrow" w:hAnsi="Arial Narrow" w:cs="Arial"/>
              </w:rPr>
              <w:t>5.487</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sidRPr="00A25262">
              <w:rPr>
                <w:rFonts w:ascii="Arial Narrow" w:hAnsi="Arial Narrow" w:cs="Arial"/>
              </w:rPr>
              <w:t>% Vacantes sobre total puestos</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22</w:t>
            </w:r>
          </w:p>
        </w:tc>
        <w:tc>
          <w:tcPr>
            <w:tcW w:w="1396"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24</w:t>
            </w:r>
          </w:p>
        </w:tc>
      </w:tr>
      <w:tr w:rsidR="00EB7C97" w:rsidRPr="00A25262" w:rsidTr="002475D2">
        <w:trPr>
          <w:trHeight w:val="170"/>
          <w:jc w:val="center"/>
        </w:trPr>
        <w:tc>
          <w:tcPr>
            <w:tcW w:w="5813" w:type="dxa"/>
            <w:tcBorders>
              <w:top w:val="single" w:sz="2" w:space="0" w:color="auto"/>
              <w:bottom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sidRPr="00A25262">
              <w:rPr>
                <w:rFonts w:ascii="Arial Narrow" w:hAnsi="Arial Narrow" w:cs="Arial"/>
              </w:rPr>
              <w:t>Vacantes cubiertas temporalmente</w:t>
            </w:r>
          </w:p>
        </w:tc>
        <w:tc>
          <w:tcPr>
            <w:tcW w:w="1632"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2.944</w:t>
            </w:r>
          </w:p>
        </w:tc>
        <w:tc>
          <w:tcPr>
            <w:tcW w:w="1396" w:type="dxa"/>
            <w:tcBorders>
              <w:top w:val="single" w:sz="2" w:space="0" w:color="auto"/>
              <w:bottom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3.447</w:t>
            </w:r>
          </w:p>
        </w:tc>
      </w:tr>
      <w:tr w:rsidR="00EB7C97" w:rsidRPr="00A25262" w:rsidTr="002475D2">
        <w:trPr>
          <w:trHeight w:val="170"/>
          <w:jc w:val="center"/>
        </w:trPr>
        <w:tc>
          <w:tcPr>
            <w:tcW w:w="5813" w:type="dxa"/>
            <w:tcBorders>
              <w:top w:val="single" w:sz="2" w:space="0" w:color="auto"/>
            </w:tcBorders>
            <w:vAlign w:val="center"/>
            <w:hideMark/>
          </w:tcPr>
          <w:p w:rsidR="00EB7C97" w:rsidRPr="00A25262" w:rsidRDefault="00EB7C97" w:rsidP="00A25262">
            <w:pPr>
              <w:spacing w:after="0"/>
              <w:ind w:firstLine="0"/>
              <w:jc w:val="left"/>
              <w:rPr>
                <w:rFonts w:ascii="Arial Narrow" w:hAnsi="Arial Narrow" w:cs="Arial"/>
              </w:rPr>
            </w:pPr>
            <w:r w:rsidRPr="00A25262">
              <w:rPr>
                <w:rFonts w:ascii="Arial Narrow" w:hAnsi="Arial Narrow" w:cs="Arial"/>
              </w:rPr>
              <w:t>% Vacantes cubiertas sobre total vacantes</w:t>
            </w:r>
          </w:p>
        </w:tc>
        <w:tc>
          <w:tcPr>
            <w:tcW w:w="1632" w:type="dxa"/>
            <w:tcBorders>
              <w:top w:val="single" w:sz="2" w:space="0" w:color="auto"/>
            </w:tcBorders>
            <w:vAlign w:val="center"/>
            <w:hideMark/>
          </w:tcPr>
          <w:p w:rsidR="00EB7C97" w:rsidRPr="00A25262" w:rsidRDefault="00EB7C97" w:rsidP="00A25262">
            <w:pPr>
              <w:spacing w:after="0"/>
              <w:jc w:val="right"/>
              <w:rPr>
                <w:rFonts w:ascii="Arial Narrow" w:hAnsi="Arial Narrow" w:cs="Arial"/>
              </w:rPr>
            </w:pPr>
            <w:r w:rsidRPr="00A25262">
              <w:rPr>
                <w:rFonts w:ascii="Arial Narrow" w:hAnsi="Arial Narrow" w:cs="Arial"/>
              </w:rPr>
              <w:t>58</w:t>
            </w:r>
          </w:p>
        </w:tc>
        <w:tc>
          <w:tcPr>
            <w:tcW w:w="1396" w:type="dxa"/>
            <w:tcBorders>
              <w:top w:val="single" w:sz="2" w:space="0" w:color="auto"/>
            </w:tcBorders>
            <w:vAlign w:val="center"/>
            <w:hideMark/>
          </w:tcPr>
          <w:p w:rsidR="00EB7C97" w:rsidRPr="00A25262" w:rsidRDefault="00062F89" w:rsidP="00A25262">
            <w:pPr>
              <w:spacing w:after="0"/>
              <w:jc w:val="right"/>
              <w:rPr>
                <w:rFonts w:ascii="Arial Narrow" w:hAnsi="Arial Narrow" w:cs="Arial"/>
              </w:rPr>
            </w:pPr>
            <w:r>
              <w:rPr>
                <w:rFonts w:ascii="Arial Narrow" w:hAnsi="Arial Narrow" w:cs="Arial"/>
              </w:rPr>
              <w:t>63</w:t>
            </w:r>
          </w:p>
        </w:tc>
      </w:tr>
    </w:tbl>
    <w:p w:rsidR="00EB7C97" w:rsidRPr="00EB7C97" w:rsidRDefault="00EB7C97" w:rsidP="00A25262">
      <w:pPr>
        <w:pStyle w:val="texto"/>
        <w:spacing w:before="240"/>
        <w:rPr>
          <w:lang w:val="es-ES"/>
        </w:rPr>
      </w:pPr>
      <w:r w:rsidRPr="00EB7C97">
        <w:rPr>
          <w:lang w:val="es-ES"/>
        </w:rPr>
        <w:lastRenderedPageBreak/>
        <w:t>En 2016, el 24 por ciento del total de puestos estaban vacantes y dentro de éstos, el 6</w:t>
      </w:r>
      <w:r w:rsidR="00062F89">
        <w:rPr>
          <w:lang w:val="es-ES"/>
        </w:rPr>
        <w:t>3</w:t>
      </w:r>
      <w:r w:rsidRPr="00EB7C97">
        <w:rPr>
          <w:lang w:val="es-ES"/>
        </w:rPr>
        <w:t xml:space="preserve"> por ciento se hallaban ocupados temporalmente. En 2015, esos po</w:t>
      </w:r>
      <w:r w:rsidRPr="00EB7C97">
        <w:rPr>
          <w:lang w:val="es-ES"/>
        </w:rPr>
        <w:t>r</w:t>
      </w:r>
      <w:r w:rsidRPr="00EB7C97">
        <w:rPr>
          <w:lang w:val="es-ES"/>
        </w:rPr>
        <w:t xml:space="preserve">centajes eran del 22 y 58 por ciento, respectivamente. </w:t>
      </w:r>
    </w:p>
    <w:p w:rsidR="00EB7C97" w:rsidRPr="00A25262" w:rsidRDefault="00EB7C97" w:rsidP="00A25262">
      <w:pPr>
        <w:pStyle w:val="texto"/>
        <w:rPr>
          <w:b/>
          <w:lang w:val="es-ES"/>
        </w:rPr>
      </w:pPr>
      <w:r w:rsidRPr="00EB7C97">
        <w:rPr>
          <w:lang w:val="es-ES"/>
        </w:rPr>
        <w:t>El Gobierno aprobó mediante Decreto Foral cuatro modificaciones de plant</w:t>
      </w:r>
      <w:r w:rsidRPr="00EB7C97">
        <w:rPr>
          <w:lang w:val="es-ES"/>
        </w:rPr>
        <w:t>i</w:t>
      </w:r>
      <w:r w:rsidRPr="00EB7C97">
        <w:rPr>
          <w:lang w:val="es-ES"/>
        </w:rPr>
        <w:t xml:space="preserve">lla para amortizar 108 plazas (42 de la Administración Núcleo, 33 del SNS-O y 33 del Departamento de Educación) crear </w:t>
      </w:r>
      <w:r w:rsidR="00062F89">
        <w:rPr>
          <w:lang w:val="es-ES"/>
        </w:rPr>
        <w:t>93</w:t>
      </w:r>
      <w:r w:rsidRPr="00EB7C97">
        <w:rPr>
          <w:lang w:val="es-ES"/>
        </w:rPr>
        <w:t xml:space="preserve"> (49 para el SNS-O, 41 para Adm</w:t>
      </w:r>
      <w:r w:rsidRPr="00EB7C97">
        <w:rPr>
          <w:lang w:val="es-ES"/>
        </w:rPr>
        <w:t>i</w:t>
      </w:r>
      <w:r w:rsidRPr="00EB7C97">
        <w:rPr>
          <w:lang w:val="es-ES"/>
        </w:rPr>
        <w:t xml:space="preserve">nistración Núcleo y tres para Educación), y consolidar 111 plazas estructurales </w:t>
      </w:r>
      <w:r w:rsidR="00062F89">
        <w:rPr>
          <w:lang w:val="es-ES"/>
        </w:rPr>
        <w:t xml:space="preserve">(80 del </w:t>
      </w:r>
      <w:r w:rsidRPr="00EB7C97">
        <w:rPr>
          <w:lang w:val="es-ES"/>
        </w:rPr>
        <w:t>SNS-O</w:t>
      </w:r>
      <w:r w:rsidR="00062F89">
        <w:rPr>
          <w:lang w:val="es-ES"/>
        </w:rPr>
        <w:t xml:space="preserve"> y 31 de Salud Pública)</w:t>
      </w:r>
      <w:r w:rsidRPr="00EB7C97">
        <w:rPr>
          <w:lang w:val="es-ES"/>
        </w:rPr>
        <w:t xml:space="preserve">. </w:t>
      </w:r>
    </w:p>
    <w:p w:rsidR="00EB7C97" w:rsidRPr="00EB7C97" w:rsidRDefault="00EB7C97" w:rsidP="00A25262">
      <w:pPr>
        <w:pStyle w:val="texto"/>
        <w:rPr>
          <w:lang w:val="es-ES"/>
        </w:rPr>
      </w:pPr>
      <w:r w:rsidRPr="00EB7C97">
        <w:rPr>
          <w:lang w:val="es-ES"/>
        </w:rPr>
        <w:t>En febrero de 2016 se aprobó una oferta parcial de empleo público de pers</w:t>
      </w:r>
      <w:r w:rsidRPr="00EB7C97">
        <w:rPr>
          <w:lang w:val="es-ES"/>
        </w:rPr>
        <w:t>o</w:t>
      </w:r>
      <w:r w:rsidRPr="00EB7C97">
        <w:rPr>
          <w:lang w:val="es-ES"/>
        </w:rPr>
        <w:t>nal docente no universitario de 200 plazas; posteriormente, en junio de 2016, se aprueba la oferta pública de empleo de la Administración Foral y sus OOAA de 298 plazas correspondientes a la tasa de reposición de personal de 2015. En los decretos forales que aprobaron estas ofertas no se detallaba ni calendario pr</w:t>
      </w:r>
      <w:r w:rsidRPr="00EB7C97">
        <w:rPr>
          <w:lang w:val="es-ES"/>
        </w:rPr>
        <w:t>e</w:t>
      </w:r>
      <w:r w:rsidRPr="00EB7C97">
        <w:rPr>
          <w:lang w:val="es-ES"/>
        </w:rPr>
        <w:t>visto ni fechas de convocatorias.</w:t>
      </w:r>
    </w:p>
    <w:p w:rsidR="00EB7C97" w:rsidRPr="00EB7C97" w:rsidRDefault="00EB7C97" w:rsidP="00A25262">
      <w:pPr>
        <w:pStyle w:val="texto"/>
        <w:rPr>
          <w:lang w:val="es-ES"/>
        </w:rPr>
      </w:pPr>
      <w:r w:rsidRPr="00EB7C97">
        <w:rPr>
          <w:lang w:val="es-ES"/>
        </w:rPr>
        <w:t>A la fec</w:t>
      </w:r>
      <w:r w:rsidR="00D45336">
        <w:rPr>
          <w:lang w:val="es-ES"/>
        </w:rPr>
        <w:t xml:space="preserve">ha de redacción de este informe, de la OPE de 2016 </w:t>
      </w:r>
      <w:r w:rsidRPr="00EB7C97">
        <w:rPr>
          <w:lang w:val="es-ES"/>
        </w:rPr>
        <w:t>quedan pendie</w:t>
      </w:r>
      <w:r w:rsidRPr="00EB7C97">
        <w:rPr>
          <w:lang w:val="es-ES"/>
        </w:rPr>
        <w:t>n</w:t>
      </w:r>
      <w:r w:rsidRPr="00EB7C97">
        <w:rPr>
          <w:lang w:val="es-ES"/>
        </w:rPr>
        <w:t xml:space="preserve">tes de convocar </w:t>
      </w:r>
      <w:r w:rsidR="00062F89">
        <w:rPr>
          <w:lang w:val="es-ES"/>
        </w:rPr>
        <w:t>seis</w:t>
      </w:r>
      <w:r w:rsidRPr="00EB7C97">
        <w:rPr>
          <w:lang w:val="es-ES"/>
        </w:rPr>
        <w:t xml:space="preserve"> </w:t>
      </w:r>
      <w:r w:rsidRPr="00062F89">
        <w:rPr>
          <w:lang w:val="es-ES"/>
        </w:rPr>
        <w:t xml:space="preserve">plazas de </w:t>
      </w:r>
      <w:r w:rsidR="00062F89" w:rsidRPr="00062F89">
        <w:rPr>
          <w:lang w:val="es-ES"/>
        </w:rPr>
        <w:t>enfermeros de obstetricia y ginecología</w:t>
      </w:r>
      <w:r w:rsidRPr="00062F89">
        <w:rPr>
          <w:lang w:val="es-ES"/>
        </w:rPr>
        <w:t>, que está previsto que se tramiten en octubre de 2017</w:t>
      </w:r>
      <w:r w:rsidRPr="00EB7C97">
        <w:rPr>
          <w:lang w:val="es-ES"/>
        </w:rPr>
        <w:t>, ocho plazas de psicólogo, cinco de TAP rama económica y ocho de trabajador social. Sobre las ofertas públicas de empleo anteriores, quedan pendientes de convocar siete plazas de trabajador social y cinco de nivel E.</w:t>
      </w:r>
    </w:p>
    <w:p w:rsidR="00EB7C97" w:rsidRDefault="00EB7C97" w:rsidP="00A25262">
      <w:pPr>
        <w:pStyle w:val="texto"/>
        <w:rPr>
          <w:lang w:val="es-ES"/>
        </w:rPr>
      </w:pPr>
      <w:r w:rsidRPr="00EB7C97">
        <w:rPr>
          <w:lang w:val="es-ES"/>
        </w:rPr>
        <w:t xml:space="preserve">Respecto a las plazas de trabajador social, </w:t>
      </w:r>
      <w:r w:rsidR="00A9473F">
        <w:rPr>
          <w:lang w:val="es-ES"/>
        </w:rPr>
        <w:t>señalamos</w:t>
      </w:r>
      <w:r w:rsidRPr="00EB7C97">
        <w:rPr>
          <w:lang w:val="es-ES"/>
        </w:rPr>
        <w:t xml:space="preserve"> que en febrero de 2017 se publicó una convocatoria para constituir una relación de aspirantes para c</w:t>
      </w:r>
      <w:r w:rsidRPr="00EB7C97">
        <w:rPr>
          <w:lang w:val="es-ES"/>
        </w:rPr>
        <w:t>u</w:t>
      </w:r>
      <w:r w:rsidRPr="00EB7C97">
        <w:rPr>
          <w:lang w:val="es-ES"/>
        </w:rPr>
        <w:t xml:space="preserve">brir estos puestos de forma temporal. </w:t>
      </w:r>
    </w:p>
    <w:p w:rsidR="00BA0678" w:rsidRDefault="00BA0678" w:rsidP="00A25262">
      <w:pPr>
        <w:pStyle w:val="texto"/>
        <w:rPr>
          <w:lang w:val="es-ES"/>
        </w:rPr>
      </w:pPr>
      <w:r>
        <w:rPr>
          <w:lang w:val="es-ES"/>
        </w:rPr>
        <w:t>En definitiva, del análisis de estos datos y teniendo en cuenta la normativa básica estatal que limitaba la reposición del personal, podemos concluir que el número de plazas cubiertas ha descendido, aumentando en consecuencia las v</w:t>
      </w:r>
      <w:r>
        <w:rPr>
          <w:lang w:val="es-ES"/>
        </w:rPr>
        <w:t>a</w:t>
      </w:r>
      <w:r>
        <w:rPr>
          <w:lang w:val="es-ES"/>
        </w:rPr>
        <w:t>cantes, y se ha incrementado la temporalidad del empleo en la Administración de la Comunidad Foral.</w:t>
      </w:r>
    </w:p>
    <w:p w:rsidR="00537C14" w:rsidRDefault="00537C14" w:rsidP="00A25262">
      <w:pPr>
        <w:pStyle w:val="texto"/>
        <w:rPr>
          <w:lang w:val="es-ES"/>
        </w:rPr>
      </w:pPr>
      <w:r>
        <w:rPr>
          <w:lang w:val="es-ES"/>
        </w:rPr>
        <w:t>Con la intención de completar el análisis sobre la plantilla orgánica y la ofe</w:t>
      </w:r>
      <w:r>
        <w:rPr>
          <w:lang w:val="es-ES"/>
        </w:rPr>
        <w:t>r</w:t>
      </w:r>
      <w:r>
        <w:rPr>
          <w:lang w:val="es-ES"/>
        </w:rPr>
        <w:t xml:space="preserve">ta pública de empleo, solicitamos a la Dirección General de Función Pública, el número de altas y bajas </w:t>
      </w:r>
      <w:r w:rsidR="00BA0678">
        <w:rPr>
          <w:lang w:val="es-ES"/>
        </w:rPr>
        <w:t xml:space="preserve">totales </w:t>
      </w:r>
      <w:r>
        <w:rPr>
          <w:lang w:val="es-ES"/>
        </w:rPr>
        <w:t>de personal funcionario de 2015 y 2016; a la f</w:t>
      </w:r>
      <w:r>
        <w:rPr>
          <w:lang w:val="es-ES"/>
        </w:rPr>
        <w:t>e</w:t>
      </w:r>
      <w:r>
        <w:rPr>
          <w:lang w:val="es-ES"/>
        </w:rPr>
        <w:t>cha de redacción de este informe, nos comunican que no ha sido posible obt</w:t>
      </w:r>
      <w:r>
        <w:rPr>
          <w:lang w:val="es-ES"/>
        </w:rPr>
        <w:t>e</w:t>
      </w:r>
      <w:r>
        <w:rPr>
          <w:lang w:val="es-ES"/>
        </w:rPr>
        <w:t>ner estos datos, si bien actualmente están trabajando en la elaboración de un informe que aporte esta información.</w:t>
      </w:r>
    </w:p>
    <w:p w:rsidR="00BD3568" w:rsidRPr="00456696" w:rsidRDefault="00BD3568" w:rsidP="00BD3568">
      <w:pPr>
        <w:pStyle w:val="texto"/>
        <w:rPr>
          <w:rFonts w:eastAsiaTheme="minorHAnsi"/>
        </w:rPr>
      </w:pPr>
      <w:r w:rsidRPr="00456696">
        <w:rPr>
          <w:rFonts w:eastAsiaTheme="minorHAnsi"/>
        </w:rPr>
        <w:t xml:space="preserve">En relación con el personal docente no funcionario, se dictaron sentencias que reconocían el derecho a la extensión de sus contratos a los meses de julio y agosto. El gasto total estimado por el Departamento de Educación derivado de la ejecución de estas sentencias, si todo el personal reclamara, ascendía a 6,33 millones de euros y supondría asimismo unos reintegros de 1,63 millones, es decir, el gasto neto total alcanzaría los 4,7 millones de euros. </w:t>
      </w:r>
    </w:p>
    <w:p w:rsidR="00BD3568" w:rsidRPr="00456696" w:rsidRDefault="00BD3568" w:rsidP="00BD3568">
      <w:pPr>
        <w:pStyle w:val="texto"/>
        <w:rPr>
          <w:rFonts w:eastAsiaTheme="minorHAnsi"/>
        </w:rPr>
      </w:pPr>
      <w:r w:rsidRPr="00456696">
        <w:rPr>
          <w:rFonts w:eastAsiaTheme="minorHAnsi"/>
        </w:rPr>
        <w:lastRenderedPageBreak/>
        <w:t xml:space="preserve">Hemos verificado que, en 2016, se pagaron nóminas pendientes de ejercicios anteriores al personal que reclamó por un importe de 1,75 millones de euros y asociado a este abono, se registró un reintegro de 0,45 millones. </w:t>
      </w:r>
    </w:p>
    <w:p w:rsidR="00BD3568" w:rsidRPr="00456696" w:rsidRDefault="00BD3568" w:rsidP="00BD3568">
      <w:pPr>
        <w:pStyle w:val="texto"/>
        <w:rPr>
          <w:rFonts w:eastAsiaTheme="minorHAnsi"/>
        </w:rPr>
      </w:pPr>
      <w:r w:rsidRPr="00456696">
        <w:rPr>
          <w:rFonts w:eastAsiaTheme="minorHAnsi"/>
        </w:rPr>
        <w:t>Para el presupuesto de 2017 se incluyeron partidas presupuestarias para h</w:t>
      </w:r>
      <w:r w:rsidRPr="00456696">
        <w:rPr>
          <w:rFonts w:eastAsiaTheme="minorHAnsi"/>
        </w:rPr>
        <w:t>a</w:t>
      </w:r>
      <w:r w:rsidRPr="00456696">
        <w:rPr>
          <w:rFonts w:eastAsiaTheme="minorHAnsi"/>
        </w:rPr>
        <w:t>cer frente a posibles pagos de nóminas al personal que reclame por un importe de 4,82 millones de euros de los cuales se han pagado 1,79, estando pendientes de pago 0,37; asimismo, para el presupuesto de 2018 se han previsto unos ga</w:t>
      </w:r>
      <w:r w:rsidRPr="00456696">
        <w:rPr>
          <w:rFonts w:eastAsiaTheme="minorHAnsi"/>
        </w:rPr>
        <w:t>s</w:t>
      </w:r>
      <w:r w:rsidRPr="00456696">
        <w:rPr>
          <w:rFonts w:eastAsiaTheme="minorHAnsi"/>
        </w:rPr>
        <w:t xml:space="preserve">tos de 3,1 millones. </w:t>
      </w:r>
    </w:p>
    <w:p w:rsidR="00D45336" w:rsidRDefault="00D45336" w:rsidP="00D45336">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Previsión del gasto de pensiones del Gobierno de Navarra</w:t>
      </w:r>
    </w:p>
    <w:p w:rsidR="00D45336" w:rsidRDefault="00D45336" w:rsidP="00D45336">
      <w:pPr>
        <w:pStyle w:val="texto"/>
        <w:spacing w:before="120"/>
        <w:rPr>
          <w:lang w:val="es-ES"/>
        </w:rPr>
      </w:pPr>
      <w:r>
        <w:rPr>
          <w:lang w:val="es-ES"/>
        </w:rPr>
        <w:t xml:space="preserve">Como ya ha indicado esta Cámara en informes previos, en marzo de 2013 la Dirección General de Función Pública elaboró un estudio sobre la previsión del gasto de pensiones del Gobierno de Navarra </w:t>
      </w:r>
      <w:r w:rsidR="00D27FD6">
        <w:rPr>
          <w:lang w:val="es-ES"/>
        </w:rPr>
        <w:t>para presupuestar las pensiones ordinarias correspondientes al Montepío de la Administración de la Comunidad Foral.</w:t>
      </w:r>
    </w:p>
    <w:p w:rsidR="00D27FD6" w:rsidRDefault="00D27FD6" w:rsidP="00D45336">
      <w:pPr>
        <w:pStyle w:val="texto"/>
        <w:spacing w:before="120"/>
        <w:rPr>
          <w:lang w:val="es-ES"/>
        </w:rPr>
      </w:pPr>
      <w:r>
        <w:rPr>
          <w:lang w:val="es-ES"/>
        </w:rPr>
        <w:t>El estudio utilizaba datos reales para el periodo 2006-2012; para el resto de años se realizan estimaciones del gasto anual en euros constantes en función de una serie de parámetros para el periodo 2013-2087.</w:t>
      </w:r>
    </w:p>
    <w:p w:rsidR="00AD4000" w:rsidRDefault="00D27FD6" w:rsidP="00D45336">
      <w:pPr>
        <w:pStyle w:val="texto"/>
        <w:spacing w:before="120"/>
        <w:rPr>
          <w:lang w:val="es-ES"/>
        </w:rPr>
      </w:pPr>
      <w:r>
        <w:rPr>
          <w:lang w:val="es-ES"/>
        </w:rPr>
        <w:t>De acuerdo con este estudio, el coste total estimado hasta 2087 asciende</w:t>
      </w:r>
      <w:r w:rsidR="00780897">
        <w:rPr>
          <w:lang w:val="es-ES"/>
        </w:rPr>
        <w:t xml:space="preserve"> a</w:t>
      </w:r>
      <w:r w:rsidR="00AD4000">
        <w:rPr>
          <w:lang w:val="es-ES"/>
        </w:rPr>
        <w:t xml:space="preserve"> 2.785,64 millones de euros constantes, de los cuales el 77 por ciento está pr</w:t>
      </w:r>
      <w:r w:rsidR="00AD4000">
        <w:rPr>
          <w:lang w:val="es-ES"/>
        </w:rPr>
        <w:t>e</w:t>
      </w:r>
      <w:r w:rsidR="00AD4000">
        <w:rPr>
          <w:lang w:val="es-ES"/>
        </w:rPr>
        <w:t>visto que se destine a pensionistas y el 23 por ciento al resto de beneficiarios.</w:t>
      </w:r>
    </w:p>
    <w:p w:rsidR="00AD4000" w:rsidRDefault="00AD4000" w:rsidP="00D45336">
      <w:pPr>
        <w:pStyle w:val="texto"/>
        <w:spacing w:before="120"/>
        <w:rPr>
          <w:lang w:val="es-ES"/>
        </w:rPr>
      </w:pPr>
      <w:r>
        <w:rPr>
          <w:lang w:val="es-ES"/>
        </w:rPr>
        <w:t>En 2016, el gasto real en pensiones alcanzó los 85,92 millones de euros fre</w:t>
      </w:r>
      <w:r>
        <w:rPr>
          <w:lang w:val="es-ES"/>
        </w:rPr>
        <w:t>n</w:t>
      </w:r>
      <w:r>
        <w:rPr>
          <w:lang w:val="es-ES"/>
        </w:rPr>
        <w:t>te a una estimación de 77,19 millones de euros constantes.</w:t>
      </w:r>
    </w:p>
    <w:p w:rsidR="00D27FD6" w:rsidRPr="008121DB" w:rsidRDefault="00AD4000" w:rsidP="00D45336">
      <w:pPr>
        <w:pStyle w:val="texto"/>
        <w:spacing w:before="120"/>
        <w:rPr>
          <w:b/>
          <w:lang w:val="es-ES"/>
        </w:rPr>
      </w:pPr>
      <w:r>
        <w:rPr>
          <w:lang w:val="es-ES"/>
        </w:rPr>
        <w:t>Para el periodo 2017-2087, el coste estimado asciende a 2.079 millones de euros constantes</w:t>
      </w:r>
      <w:r w:rsidRPr="008121DB">
        <w:rPr>
          <w:lang w:val="es-ES"/>
        </w:rPr>
        <w:t>.</w:t>
      </w:r>
      <w:r w:rsidR="00D27FD6" w:rsidRPr="008121DB">
        <w:rPr>
          <w:b/>
          <w:lang w:val="es-ES"/>
        </w:rPr>
        <w:t xml:space="preserve">  </w:t>
      </w:r>
    </w:p>
    <w:p w:rsidR="00EB7C97" w:rsidRPr="00EB7C97" w:rsidRDefault="00EB7C97" w:rsidP="00D45336">
      <w:pPr>
        <w:pStyle w:val="texto"/>
        <w:spacing w:before="120"/>
        <w:rPr>
          <w:lang w:val="es-ES"/>
        </w:rPr>
      </w:pPr>
      <w:r w:rsidRPr="00EB7C97">
        <w:rPr>
          <w:lang w:val="es-ES"/>
        </w:rPr>
        <w:t>A la fecha de redacción de este informe, esta Cámara está iniciando un trab</w:t>
      </w:r>
      <w:r w:rsidRPr="00EB7C97">
        <w:rPr>
          <w:lang w:val="es-ES"/>
        </w:rPr>
        <w:t>a</w:t>
      </w:r>
      <w:r w:rsidRPr="00EB7C97">
        <w:rPr>
          <w:lang w:val="es-ES"/>
        </w:rPr>
        <w:t>jo sobre la contratación temporal en el SNS-O que será publicado próximame</w:t>
      </w:r>
      <w:r w:rsidRPr="00EB7C97">
        <w:rPr>
          <w:lang w:val="es-ES"/>
        </w:rPr>
        <w:t>n</w:t>
      </w:r>
      <w:r w:rsidRPr="00EB7C97">
        <w:rPr>
          <w:lang w:val="es-ES"/>
        </w:rPr>
        <w:t>te; además, el Servicio de Intervención del Gobierno de Navarra realizó un tr</w:t>
      </w:r>
      <w:r w:rsidRPr="00EB7C97">
        <w:rPr>
          <w:lang w:val="es-ES"/>
        </w:rPr>
        <w:t>a</w:t>
      </w:r>
      <w:r w:rsidRPr="00EB7C97">
        <w:rPr>
          <w:lang w:val="es-ES"/>
        </w:rPr>
        <w:t>bajo sobre las retribuciones variables de los gastos pagados por nómina. T</w:t>
      </w:r>
      <w:r w:rsidRPr="00EB7C97">
        <w:rPr>
          <w:lang w:val="es-ES"/>
        </w:rPr>
        <w:t>e</w:t>
      </w:r>
      <w:r w:rsidRPr="00EB7C97">
        <w:rPr>
          <w:lang w:val="es-ES"/>
        </w:rPr>
        <w:t>niendo en cuenta lo anterior, no se ha llevado a cabo ningún tipo de fiscaliz</w:t>
      </w:r>
      <w:r w:rsidRPr="00EB7C97">
        <w:rPr>
          <w:lang w:val="es-ES"/>
        </w:rPr>
        <w:t>a</w:t>
      </w:r>
      <w:r w:rsidRPr="00EB7C97">
        <w:rPr>
          <w:lang w:val="es-ES"/>
        </w:rPr>
        <w:t>ción añadida en relación con los gastos de personal.</w:t>
      </w:r>
    </w:p>
    <w:p w:rsidR="00780897" w:rsidRPr="00780897" w:rsidRDefault="00EB7C97" w:rsidP="00A25262">
      <w:pPr>
        <w:pStyle w:val="texto"/>
        <w:rPr>
          <w:rFonts w:cs="Arial"/>
          <w:lang w:val="es-ES"/>
        </w:rPr>
      </w:pPr>
      <w:r w:rsidRPr="00780897">
        <w:rPr>
          <w:rFonts w:cs="Arial"/>
          <w:lang w:val="es-ES"/>
        </w:rPr>
        <w:t>Recomendamos</w:t>
      </w:r>
      <w:r w:rsidR="00780897" w:rsidRPr="00780897">
        <w:rPr>
          <w:rFonts w:cs="Arial"/>
          <w:lang w:val="es-ES"/>
        </w:rPr>
        <w:t>:</w:t>
      </w:r>
    </w:p>
    <w:p w:rsidR="00EB7C97" w:rsidRPr="004C01E5" w:rsidRDefault="00780897" w:rsidP="004C01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4C01E5">
        <w:rPr>
          <w:rFonts w:cs="Arial"/>
          <w:i/>
        </w:rPr>
        <w:t>I</w:t>
      </w:r>
      <w:r w:rsidR="00EB7C97" w:rsidRPr="004C01E5">
        <w:rPr>
          <w:rFonts w:cs="Arial"/>
          <w:i/>
        </w:rPr>
        <w:t>ndicar en la oferta de empleo la previsión para la provisión de las plazas ofertadas, convocándolas en los plazos establecidos en el Reglamento de i</w:t>
      </w:r>
      <w:r w:rsidR="00EB7C97" w:rsidRPr="004C01E5">
        <w:rPr>
          <w:rFonts w:cs="Arial"/>
          <w:i/>
        </w:rPr>
        <w:t>n</w:t>
      </w:r>
      <w:r w:rsidR="00EB7C97" w:rsidRPr="004C01E5">
        <w:rPr>
          <w:rFonts w:cs="Arial"/>
          <w:i/>
        </w:rPr>
        <w:t>greso en las Administraciones Públicas.</w:t>
      </w:r>
    </w:p>
    <w:p w:rsidR="00780897" w:rsidRPr="004C01E5" w:rsidRDefault="00780897" w:rsidP="004C01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4C01E5">
        <w:rPr>
          <w:rFonts w:cs="Arial"/>
          <w:i/>
        </w:rPr>
        <w:t>Adoptar las medidas necesarias para cubrir las vacantes existentes y red</w:t>
      </w:r>
      <w:r w:rsidRPr="004C01E5">
        <w:rPr>
          <w:rFonts w:cs="Arial"/>
          <w:i/>
        </w:rPr>
        <w:t>u</w:t>
      </w:r>
      <w:r w:rsidRPr="004C01E5">
        <w:rPr>
          <w:rFonts w:cs="Arial"/>
          <w:i/>
        </w:rPr>
        <w:t>cir la temporalidad del empleo en el contexto de la normativa actual.</w:t>
      </w:r>
    </w:p>
    <w:p w:rsidR="00784E54" w:rsidRPr="00784E54" w:rsidRDefault="00784E54" w:rsidP="00784E54">
      <w:pPr>
        <w:pStyle w:val="atitulo2"/>
        <w:spacing w:before="240"/>
        <w:rPr>
          <w:bCs w:val="0"/>
          <w:iCs w:val="0"/>
        </w:rPr>
      </w:pPr>
      <w:bookmarkStart w:id="64" w:name="_Toc494270387"/>
      <w:bookmarkStart w:id="65" w:name="_Toc498515796"/>
      <w:r w:rsidRPr="00784E54">
        <w:rPr>
          <w:bCs w:val="0"/>
          <w:iCs w:val="0"/>
        </w:rPr>
        <w:lastRenderedPageBreak/>
        <w:t>IV.7. Gastos corrientes en bienes y servicios</w:t>
      </w:r>
      <w:bookmarkEnd w:id="64"/>
      <w:bookmarkEnd w:id="65"/>
    </w:p>
    <w:p w:rsidR="00784E54" w:rsidRPr="00784E54" w:rsidRDefault="00784E54" w:rsidP="00784E54">
      <w:pPr>
        <w:pStyle w:val="texto"/>
      </w:pPr>
      <w:r w:rsidRPr="00784E54">
        <w:t>Los gastos corrientes en bienes y servicios del ejercicio 2016 ascendieron a 581,34 millones de euros suponiendo el 15 por ciento del total de gastos. De</w:t>
      </w:r>
      <w:r w:rsidRPr="00784E54">
        <w:t>s</w:t>
      </w:r>
      <w:r w:rsidRPr="00784E54">
        <w:t xml:space="preserve">tacan el Departamento de Salud con un 48 por ciento y el de Políticas Sociales con un 18 por ciento del gasto total. Al cierre del ejercicio se habían pagado el </w:t>
      </w:r>
      <w:r w:rsidR="00A9473F">
        <w:t>89</w:t>
      </w:r>
      <w:r w:rsidRPr="00784E54">
        <w:t xml:space="preserve"> por ciento de los gastos.</w:t>
      </w:r>
    </w:p>
    <w:p w:rsidR="00784E54" w:rsidRPr="00784E54" w:rsidRDefault="00784E54" w:rsidP="00784E54">
      <w:pPr>
        <w:pStyle w:val="texto"/>
      </w:pPr>
      <w:r w:rsidRPr="00784E54">
        <w:t>Respecto al ejercicio 2015, se incrementaron en un tres por ciento, destaca</w:t>
      </w:r>
      <w:r w:rsidRPr="00784E54">
        <w:t>n</w:t>
      </w:r>
      <w:r w:rsidRPr="00784E54">
        <w:t>do el aumento de los siguientes conceptos: prótesis y productos químicos de laboratorio en un diez por ciento y fármacos en un cinco por ciento.</w:t>
      </w:r>
    </w:p>
    <w:p w:rsidR="00784E54" w:rsidRPr="00784E54" w:rsidRDefault="00784E54" w:rsidP="00780897">
      <w:pPr>
        <w:pStyle w:val="texto"/>
        <w:spacing w:after="120"/>
        <w:rPr>
          <w:lang w:val="es-ES"/>
        </w:rPr>
      </w:pPr>
      <w:r w:rsidRPr="00784E54">
        <w:rPr>
          <w:lang w:val="es-ES"/>
        </w:rPr>
        <w:t>El plan de control interno del Servicio de Intervención General del Gobierno de Navarra para el año 2016 incluye el control financiero permanente de los gastos en suministros sanitarios, medicamentos, conciertos sanitarios, prótesis y prestaciones farmacéuticas, declarados exentos de fiscalización previa. Estos gastos ascendieron a 240,55 millones de euros en 2016. Además, esta Cámara emitió un informe en junio de 2017 sobre la gestión de fármacos en el ámbito hospitalario en 2016 cuyo gasto alcanzó en este año los 93 millones de euros.</w:t>
      </w:r>
    </w:p>
    <w:p w:rsidR="00780897" w:rsidRPr="00784E54" w:rsidRDefault="00780897" w:rsidP="00AD4000">
      <w:pPr>
        <w:pStyle w:val="texto"/>
        <w:spacing w:before="120" w:after="240"/>
        <w:rPr>
          <w:lang w:val="es-ES"/>
        </w:rPr>
      </w:pPr>
      <w:r>
        <w:rPr>
          <w:lang w:val="es-ES"/>
        </w:rPr>
        <w:t xml:space="preserve">Hemos </w:t>
      </w:r>
      <w:r w:rsidRPr="00784E54">
        <w:rPr>
          <w:lang w:val="es-ES"/>
        </w:rPr>
        <w:t xml:space="preserve">revisado </w:t>
      </w:r>
      <w:r w:rsidR="00F470BE">
        <w:rPr>
          <w:lang w:val="es-ES"/>
        </w:rPr>
        <w:t xml:space="preserve">la composición, </w:t>
      </w:r>
      <w:r w:rsidRPr="00784E54">
        <w:rPr>
          <w:lang w:val="es-ES"/>
        </w:rPr>
        <w:t xml:space="preserve">el procedimiento </w:t>
      </w:r>
      <w:r>
        <w:rPr>
          <w:lang w:val="es-ES"/>
        </w:rPr>
        <w:t>y</w:t>
      </w:r>
      <w:r w:rsidRPr="00784E54">
        <w:rPr>
          <w:lang w:val="es-ES"/>
        </w:rPr>
        <w:t xml:space="preserve"> una muestra de la just</w:t>
      </w:r>
      <w:r w:rsidRPr="00784E54">
        <w:rPr>
          <w:lang w:val="es-ES"/>
        </w:rPr>
        <w:t>i</w:t>
      </w:r>
      <w:r w:rsidRPr="00784E54">
        <w:rPr>
          <w:lang w:val="es-ES"/>
        </w:rPr>
        <w:t xml:space="preserve">ficación </w:t>
      </w:r>
      <w:r>
        <w:rPr>
          <w:lang w:val="es-ES"/>
        </w:rPr>
        <w:t>del gasto derivado del funcionamiento de los centros propios docentes no universitarios cuyos datos más relevantes son:</w:t>
      </w:r>
    </w:p>
    <w:tbl>
      <w:tblPr>
        <w:tblW w:w="8763" w:type="dxa"/>
        <w:tblInd w:w="70" w:type="dxa"/>
        <w:tblCellMar>
          <w:left w:w="70" w:type="dxa"/>
          <w:right w:w="70" w:type="dxa"/>
        </w:tblCellMar>
        <w:tblLook w:val="04A0" w:firstRow="1" w:lastRow="0" w:firstColumn="1" w:lastColumn="0" w:noHBand="0" w:noVBand="1"/>
      </w:tblPr>
      <w:tblGrid>
        <w:gridCol w:w="3950"/>
        <w:gridCol w:w="1636"/>
        <w:gridCol w:w="1636"/>
        <w:gridCol w:w="1541"/>
      </w:tblGrid>
      <w:tr w:rsidR="00784E54" w:rsidRPr="00784E54" w:rsidTr="008121DB">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Descripción gasto</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Importe 2015</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Importe 2016</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8F54FC" w:rsidRDefault="00EE60AF"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v</w:t>
            </w:r>
            <w:r w:rsidR="00784E54" w:rsidRPr="00784E54">
              <w:rPr>
                <w:rFonts w:ascii="Arial" w:hAnsi="Arial"/>
                <w:spacing w:val="6"/>
                <w:sz w:val="18"/>
                <w:szCs w:val="24"/>
              </w:rPr>
              <w:t xml:space="preserve">ariación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2016/2015</w:t>
            </w:r>
          </w:p>
        </w:tc>
      </w:tr>
      <w:tr w:rsidR="0095399C" w:rsidRPr="008F54FC" w:rsidTr="008121DB">
        <w:trPr>
          <w:trHeight w:hRule="exact" w:val="550"/>
        </w:trPr>
        <w:tc>
          <w:tcPr>
            <w:tcW w:w="3950" w:type="dxa"/>
            <w:tcBorders>
              <w:top w:val="single" w:sz="4"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Financiación del funcionamiento de centros docentes no universitarios</w:t>
            </w:r>
          </w:p>
        </w:tc>
        <w:tc>
          <w:tcPr>
            <w:tcW w:w="1636" w:type="dxa"/>
            <w:tcBorders>
              <w:top w:val="single" w:sz="4"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6.381.849</w:t>
            </w:r>
          </w:p>
        </w:tc>
        <w:tc>
          <w:tcPr>
            <w:tcW w:w="1636" w:type="dxa"/>
            <w:tcBorders>
              <w:top w:val="single" w:sz="4"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6.197.012</w:t>
            </w:r>
          </w:p>
        </w:tc>
        <w:tc>
          <w:tcPr>
            <w:tcW w:w="1541" w:type="dxa"/>
            <w:tcBorders>
              <w:top w:val="single" w:sz="4"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r w:rsidR="0095399C" w:rsidRPr="008F54FC" w:rsidTr="008121DB">
        <w:trPr>
          <w:trHeight w:hRule="exact" w:val="722"/>
        </w:trPr>
        <w:tc>
          <w:tcPr>
            <w:tcW w:w="3950" w:type="dxa"/>
            <w:tcBorders>
              <w:top w:val="single" w:sz="2" w:space="0" w:color="auto"/>
              <w:left w:val="nil"/>
              <w:bottom w:val="single" w:sz="2" w:space="0" w:color="auto"/>
              <w:right w:val="nil"/>
            </w:tcBorders>
            <w:vAlign w:val="center"/>
          </w:tcPr>
          <w:p w:rsidR="0095399C" w:rsidRPr="008F54FC" w:rsidRDefault="0095399C" w:rsidP="0093314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Gastos funcionamiento. P</w:t>
            </w:r>
            <w:r w:rsidR="00933143">
              <w:rPr>
                <w:rFonts w:ascii="Arial Narrow" w:hAnsi="Arial Narrow"/>
                <w:spacing w:val="6"/>
              </w:rPr>
              <w:t>rogramas de Cualif</w:t>
            </w:r>
            <w:r w:rsidR="00933143">
              <w:rPr>
                <w:rFonts w:ascii="Arial Narrow" w:hAnsi="Arial Narrow"/>
                <w:spacing w:val="6"/>
              </w:rPr>
              <w:t>i</w:t>
            </w:r>
            <w:r w:rsidR="00933143">
              <w:rPr>
                <w:rFonts w:ascii="Arial Narrow" w:hAnsi="Arial Narrow"/>
                <w:spacing w:val="6"/>
              </w:rPr>
              <w:t xml:space="preserve">cación Profesional Inicial </w:t>
            </w:r>
            <w:r>
              <w:rPr>
                <w:rFonts w:ascii="Arial Narrow" w:hAnsi="Arial Narrow"/>
                <w:spacing w:val="6"/>
              </w:rPr>
              <w:t>ubicados fuera de los centros de Formación Profesional</w:t>
            </w:r>
          </w:p>
        </w:tc>
        <w:tc>
          <w:tcPr>
            <w:tcW w:w="1636"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186.546</w:t>
            </w:r>
          </w:p>
        </w:tc>
        <w:tc>
          <w:tcPr>
            <w:tcW w:w="1636" w:type="dxa"/>
            <w:tcBorders>
              <w:top w:val="single" w:sz="2"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169.696</w:t>
            </w:r>
          </w:p>
        </w:tc>
        <w:tc>
          <w:tcPr>
            <w:tcW w:w="1541" w:type="dxa"/>
            <w:tcBorders>
              <w:top w:val="single" w:sz="2"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w:t>
            </w:r>
          </w:p>
        </w:tc>
      </w:tr>
      <w:tr w:rsidR="0095399C" w:rsidRPr="008F54FC" w:rsidTr="008121DB">
        <w:trPr>
          <w:trHeight w:hRule="exact" w:val="550"/>
        </w:trPr>
        <w:tc>
          <w:tcPr>
            <w:tcW w:w="3950"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Gastos de funcionamiento de los cursos de Formación Profesional</w:t>
            </w:r>
          </w:p>
        </w:tc>
        <w:tc>
          <w:tcPr>
            <w:tcW w:w="1636" w:type="dxa"/>
            <w:tcBorders>
              <w:top w:val="single" w:sz="2" w:space="0" w:color="auto"/>
              <w:left w:val="nil"/>
              <w:bottom w:val="single" w:sz="2"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12.648</w:t>
            </w:r>
          </w:p>
        </w:tc>
        <w:tc>
          <w:tcPr>
            <w:tcW w:w="1636" w:type="dxa"/>
            <w:tcBorders>
              <w:top w:val="single" w:sz="2" w:space="0" w:color="auto"/>
              <w:left w:val="nil"/>
              <w:bottom w:val="single" w:sz="2"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14.699</w:t>
            </w:r>
          </w:p>
        </w:tc>
        <w:tc>
          <w:tcPr>
            <w:tcW w:w="1541" w:type="dxa"/>
            <w:tcBorders>
              <w:top w:val="single" w:sz="2" w:space="0" w:color="auto"/>
              <w:left w:val="nil"/>
              <w:bottom w:val="single" w:sz="2"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w:t>
            </w:r>
          </w:p>
        </w:tc>
      </w:tr>
      <w:tr w:rsidR="0095399C" w:rsidRPr="008F54FC" w:rsidTr="008121DB">
        <w:trPr>
          <w:trHeight w:hRule="exact" w:val="550"/>
        </w:trPr>
        <w:tc>
          <w:tcPr>
            <w:tcW w:w="3950" w:type="dxa"/>
            <w:tcBorders>
              <w:top w:val="single" w:sz="2" w:space="0" w:color="auto"/>
              <w:left w:val="nil"/>
              <w:bottom w:val="single" w:sz="4"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Gastos de funcionamiento de centros de apoyo al profesorado</w:t>
            </w:r>
            <w:r w:rsidR="00F470BE">
              <w:rPr>
                <w:rFonts w:ascii="Arial Narrow" w:hAnsi="Arial Narrow"/>
                <w:spacing w:val="6"/>
              </w:rPr>
              <w:t xml:space="preserve"> (CAP)</w:t>
            </w:r>
          </w:p>
        </w:tc>
        <w:tc>
          <w:tcPr>
            <w:tcW w:w="1636" w:type="dxa"/>
            <w:tcBorders>
              <w:top w:val="single" w:sz="2" w:space="0" w:color="auto"/>
              <w:left w:val="nil"/>
              <w:bottom w:val="single" w:sz="4" w:space="0" w:color="auto"/>
              <w:right w:val="nil"/>
            </w:tcBorders>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68.315</w:t>
            </w:r>
          </w:p>
        </w:tc>
        <w:tc>
          <w:tcPr>
            <w:tcW w:w="1636" w:type="dxa"/>
            <w:tcBorders>
              <w:top w:val="single" w:sz="2" w:space="0" w:color="auto"/>
              <w:left w:val="nil"/>
              <w:bottom w:val="single" w:sz="4" w:space="0" w:color="auto"/>
              <w:right w:val="nil"/>
            </w:tcBorders>
            <w:noWrap/>
            <w:vAlign w:val="center"/>
          </w:tcPr>
          <w:p w:rsidR="0095399C" w:rsidRPr="008F54FC" w:rsidRDefault="009539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541" w:type="dxa"/>
            <w:tcBorders>
              <w:top w:val="single" w:sz="2" w:space="0" w:color="auto"/>
              <w:left w:val="nil"/>
              <w:bottom w:val="single" w:sz="4" w:space="0" w:color="auto"/>
              <w:right w:val="nil"/>
            </w:tcBorders>
            <w:vAlign w:val="center"/>
          </w:tcPr>
          <w:p w:rsidR="0095399C" w:rsidRPr="008F54FC" w:rsidRDefault="0095399C" w:rsidP="007808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r>
      <w:tr w:rsidR="00784E54" w:rsidRPr="008F54FC" w:rsidTr="008121DB">
        <w:trPr>
          <w:trHeight w:hRule="exact" w:val="550"/>
        </w:trPr>
        <w:tc>
          <w:tcPr>
            <w:tcW w:w="3950" w:type="dxa"/>
            <w:tcBorders>
              <w:top w:val="single" w:sz="2" w:space="0" w:color="auto"/>
              <w:left w:val="nil"/>
              <w:bottom w:val="single" w:sz="4" w:space="0" w:color="auto"/>
              <w:right w:val="nil"/>
            </w:tcBorders>
            <w:shd w:val="clear" w:color="auto" w:fill="8DB3E2" w:themeFill="text2" w:themeFillTint="66"/>
            <w:vAlign w:val="center"/>
            <w:hideMark/>
          </w:tcPr>
          <w:p w:rsidR="00784E54" w:rsidRPr="0095399C" w:rsidRDefault="0095399C" w:rsidP="0095399C">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5399C">
              <w:rPr>
                <w:rFonts w:ascii="Arial" w:hAnsi="Arial" w:cs="Arial"/>
                <w:spacing w:val="6"/>
                <w:sz w:val="18"/>
                <w:szCs w:val="18"/>
              </w:rPr>
              <w:t>Total gastos f</w:t>
            </w:r>
            <w:r w:rsidR="00784E54" w:rsidRPr="0095399C">
              <w:rPr>
                <w:rFonts w:ascii="Arial" w:hAnsi="Arial" w:cs="Arial"/>
                <w:spacing w:val="6"/>
                <w:sz w:val="18"/>
                <w:szCs w:val="18"/>
              </w:rPr>
              <w:t>uncionamiento centros</w:t>
            </w:r>
            <w:r w:rsidR="00A9473F" w:rsidRPr="0095399C">
              <w:rPr>
                <w:rFonts w:ascii="Arial" w:hAnsi="Arial" w:cs="Arial"/>
                <w:spacing w:val="6"/>
                <w:sz w:val="18"/>
                <w:szCs w:val="18"/>
              </w:rPr>
              <w:t xml:space="preserve"> propios</w:t>
            </w:r>
            <w:r w:rsidR="00784E54" w:rsidRPr="0095399C">
              <w:rPr>
                <w:rFonts w:ascii="Arial" w:hAnsi="Arial" w:cs="Arial"/>
                <w:spacing w:val="6"/>
                <w:sz w:val="18"/>
                <w:szCs w:val="18"/>
              </w:rPr>
              <w:t xml:space="preserve"> docentes no universitarios</w:t>
            </w:r>
          </w:p>
        </w:tc>
        <w:tc>
          <w:tcPr>
            <w:tcW w:w="1636" w:type="dxa"/>
            <w:tcBorders>
              <w:top w:val="single" w:sz="2" w:space="0" w:color="auto"/>
              <w:left w:val="nil"/>
              <w:bottom w:val="single" w:sz="4" w:space="0" w:color="auto"/>
              <w:right w:val="nil"/>
            </w:tcBorders>
            <w:shd w:val="clear" w:color="auto" w:fill="8DB3E2" w:themeFill="text2" w:themeFillTint="66"/>
            <w:vAlign w:val="center"/>
          </w:tcPr>
          <w:p w:rsidR="00784E54" w:rsidRPr="0095399C" w:rsidRDefault="00784E54" w:rsidP="0095399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5399C">
              <w:rPr>
                <w:rFonts w:ascii="Arial" w:hAnsi="Arial" w:cs="Arial"/>
                <w:spacing w:val="6"/>
                <w:sz w:val="18"/>
                <w:szCs w:val="18"/>
              </w:rPr>
              <w:t>6.64</w:t>
            </w:r>
            <w:r w:rsidR="0095399C" w:rsidRPr="0095399C">
              <w:rPr>
                <w:rFonts w:ascii="Arial" w:hAnsi="Arial" w:cs="Arial"/>
                <w:spacing w:val="6"/>
                <w:sz w:val="18"/>
                <w:szCs w:val="18"/>
              </w:rPr>
              <w:t>9.358</w:t>
            </w:r>
          </w:p>
        </w:tc>
        <w:tc>
          <w:tcPr>
            <w:tcW w:w="1636" w:type="dxa"/>
            <w:tcBorders>
              <w:top w:val="single" w:sz="2" w:space="0" w:color="auto"/>
              <w:left w:val="nil"/>
              <w:bottom w:val="single" w:sz="4" w:space="0" w:color="auto"/>
              <w:right w:val="nil"/>
            </w:tcBorders>
            <w:shd w:val="clear" w:color="auto" w:fill="8DB3E2" w:themeFill="text2" w:themeFillTint="66"/>
            <w:noWrap/>
            <w:vAlign w:val="center"/>
            <w:hideMark/>
          </w:tcPr>
          <w:p w:rsidR="00784E54" w:rsidRPr="0095399C"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5399C">
              <w:rPr>
                <w:rFonts w:ascii="Arial" w:hAnsi="Arial" w:cs="Arial"/>
                <w:spacing w:val="6"/>
                <w:sz w:val="18"/>
                <w:szCs w:val="18"/>
              </w:rPr>
              <w:t>6.381.407</w:t>
            </w:r>
          </w:p>
        </w:tc>
        <w:tc>
          <w:tcPr>
            <w:tcW w:w="1541" w:type="dxa"/>
            <w:tcBorders>
              <w:top w:val="single" w:sz="2" w:space="0" w:color="auto"/>
              <w:left w:val="nil"/>
              <w:bottom w:val="single" w:sz="4" w:space="0" w:color="auto"/>
              <w:right w:val="nil"/>
            </w:tcBorders>
            <w:shd w:val="clear" w:color="auto" w:fill="8DB3E2" w:themeFill="text2" w:themeFillTint="66"/>
            <w:vAlign w:val="center"/>
          </w:tcPr>
          <w:p w:rsidR="00784E54" w:rsidRPr="0095399C" w:rsidRDefault="00784E54" w:rsidP="007808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5399C">
              <w:rPr>
                <w:rFonts w:ascii="Arial" w:hAnsi="Arial" w:cs="Arial"/>
                <w:spacing w:val="6"/>
                <w:sz w:val="18"/>
                <w:szCs w:val="18"/>
              </w:rPr>
              <w:t>-4</w:t>
            </w:r>
          </w:p>
        </w:tc>
      </w:tr>
    </w:tbl>
    <w:p w:rsidR="007017B0"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240" w:after="120"/>
        <w:rPr>
          <w:rFonts w:cs="Arial"/>
        </w:rPr>
      </w:pPr>
      <w:r>
        <w:rPr>
          <w:rFonts w:cs="Arial"/>
        </w:rPr>
        <w:t>En 2016, el 97 por ciento de estos gastos se corresponden con la financiación general del funcionamiento de estos centros (mantenimiento, reparaciones, s</w:t>
      </w:r>
      <w:r>
        <w:rPr>
          <w:rFonts w:cs="Arial"/>
        </w:rPr>
        <w:t>u</w:t>
      </w:r>
      <w:r>
        <w:rPr>
          <w:rFonts w:cs="Arial"/>
        </w:rPr>
        <w:t>ministros, etc.). El tres por ciento</w:t>
      </w:r>
      <w:r w:rsidR="009B0DDF">
        <w:rPr>
          <w:rFonts w:cs="Arial"/>
        </w:rPr>
        <w:t xml:space="preserve"> </w:t>
      </w:r>
      <w:r>
        <w:rPr>
          <w:rFonts w:cs="Arial"/>
        </w:rPr>
        <w:t>restante se corresponde con la financiación de los gastos de funcionamiento de los PCPI y del método de trabajo de empr</w:t>
      </w:r>
      <w:r>
        <w:rPr>
          <w:rFonts w:cs="Arial"/>
        </w:rPr>
        <w:t>e</w:t>
      </w:r>
      <w:r>
        <w:rPr>
          <w:rFonts w:cs="Arial"/>
        </w:rPr>
        <w:t xml:space="preserve">sas simuladas. </w:t>
      </w:r>
    </w:p>
    <w:p w:rsidR="00F470BE"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rPr>
          <w:rFonts w:cs="Arial"/>
        </w:rPr>
        <w:t>Respecto a 2015, los gastos han disminuido un cuatro por ciento debido fu</w:t>
      </w:r>
      <w:r>
        <w:rPr>
          <w:rFonts w:cs="Arial"/>
        </w:rPr>
        <w:t>n</w:t>
      </w:r>
      <w:r>
        <w:rPr>
          <w:rFonts w:cs="Arial"/>
        </w:rPr>
        <w:t>damentalmente a la reducción en un tres por ciento de la financiación general de estos centros; destaca</w:t>
      </w:r>
      <w:r w:rsidR="00242CEF">
        <w:rPr>
          <w:rFonts w:cs="Arial"/>
        </w:rPr>
        <w:t>,</w:t>
      </w:r>
      <w:r>
        <w:rPr>
          <w:rFonts w:cs="Arial"/>
        </w:rPr>
        <w:t xml:space="preserve"> además</w:t>
      </w:r>
      <w:r w:rsidR="00242CEF">
        <w:rPr>
          <w:rFonts w:cs="Arial"/>
        </w:rPr>
        <w:t>,</w:t>
      </w:r>
      <w:r>
        <w:rPr>
          <w:rFonts w:cs="Arial"/>
        </w:rPr>
        <w:t xml:space="preserve"> que en 2016 no se financiaron gastos de fu</w:t>
      </w:r>
      <w:r>
        <w:rPr>
          <w:rFonts w:cs="Arial"/>
        </w:rPr>
        <w:t>n</w:t>
      </w:r>
      <w:r>
        <w:rPr>
          <w:rFonts w:cs="Arial"/>
        </w:rPr>
        <w:lastRenderedPageBreak/>
        <w:t>cionamiento de los CAP debido a que, según informaron al Departamento de Educación, tenían fondos suficientes y no precisaban de financiación adicional.</w:t>
      </w:r>
    </w:p>
    <w:p w:rsidR="00F470BE" w:rsidRDefault="00F470BE"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rPr>
          <w:rFonts w:cs="Arial"/>
        </w:rPr>
        <w:t>El procedimiento de gestión</w:t>
      </w:r>
      <w:r w:rsidR="00933143">
        <w:rPr>
          <w:rFonts w:cs="Arial"/>
        </w:rPr>
        <w:t xml:space="preserve"> está regulado en el Decreto Foral 250/1992 en el que se especifica que </w:t>
      </w:r>
      <w:r>
        <w:rPr>
          <w:rFonts w:cs="Arial"/>
        </w:rPr>
        <w:t xml:space="preserve"> para la financiación general </w:t>
      </w:r>
      <w:r w:rsidR="00933143">
        <w:rPr>
          <w:rFonts w:cs="Arial"/>
        </w:rPr>
        <w:t xml:space="preserve">y de los PCPI </w:t>
      </w:r>
      <w:r>
        <w:rPr>
          <w:rFonts w:cs="Arial"/>
        </w:rPr>
        <w:t xml:space="preserve">se basa en la aplicación de una fórmula de asignación de gastos a centros fundamentada en distintos parámetros (número de alumnos, de metros cuadrados, de ascensores, etc.) que se revisa y ajusta anualmente. </w:t>
      </w:r>
      <w:r w:rsidR="00933143">
        <w:rPr>
          <w:rFonts w:cs="Arial"/>
        </w:rPr>
        <w:t>En el caso de las empresas simuladas se asigna una cantidad fija por cada actividad que se realice.</w:t>
      </w:r>
    </w:p>
    <w:p w:rsidR="00933143" w:rsidRDefault="00933143"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rPr>
          <w:rFonts w:cs="Arial"/>
        </w:rPr>
        <w:t>En función de los cálculos obtenidos en dicha fórmula se obtiene los impo</w:t>
      </w:r>
      <w:r>
        <w:rPr>
          <w:rFonts w:cs="Arial"/>
        </w:rPr>
        <w:t>r</w:t>
      </w:r>
      <w:r>
        <w:rPr>
          <w:rFonts w:cs="Arial"/>
        </w:rPr>
        <w:t xml:space="preserve">tes que le corresponde a cada centro y se realizan abonos en tres plazos. </w:t>
      </w:r>
    </w:p>
    <w:p w:rsidR="00933143" w:rsidRDefault="00933143" w:rsidP="00F470BE">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120"/>
        <w:rPr>
          <w:rFonts w:cs="Arial"/>
        </w:rPr>
      </w:pPr>
      <w:r>
        <w:rPr>
          <w:rFonts w:cs="Arial"/>
        </w:rPr>
        <w:t>Los centros rinden cuentas de su gestión al Departamento de Educación a través de un documento en el que especifican sus gastos e ingresos dos veces al año.</w:t>
      </w:r>
    </w:p>
    <w:p w:rsidR="00784E54" w:rsidRDefault="007017B0" w:rsidP="00473EF4">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rFonts w:cs="Arial"/>
        </w:rPr>
      </w:pPr>
      <w:r>
        <w:rPr>
          <w:rFonts w:cs="Arial"/>
        </w:rPr>
        <w:t>Del trabajo realizado concluimos que, en general, el</w:t>
      </w:r>
      <w:r w:rsidR="00780897">
        <w:rPr>
          <w:rFonts w:cs="Arial"/>
        </w:rPr>
        <w:t xml:space="preserve"> procedimiento de ge</w:t>
      </w:r>
      <w:r w:rsidR="00780897">
        <w:rPr>
          <w:rFonts w:cs="Arial"/>
        </w:rPr>
        <w:t>s</w:t>
      </w:r>
      <w:r w:rsidR="00780897">
        <w:rPr>
          <w:rFonts w:cs="Arial"/>
        </w:rPr>
        <w:t xml:space="preserve">tión </w:t>
      </w:r>
      <w:r>
        <w:rPr>
          <w:rFonts w:cs="Arial"/>
        </w:rPr>
        <w:t xml:space="preserve">de estos gastos, </w:t>
      </w:r>
      <w:r w:rsidR="00780897">
        <w:rPr>
          <w:rFonts w:cs="Arial"/>
        </w:rPr>
        <w:t>es razonable y adecua</w:t>
      </w:r>
      <w:r>
        <w:rPr>
          <w:rFonts w:cs="Arial"/>
        </w:rPr>
        <w:t>do</w:t>
      </w:r>
      <w:r w:rsidR="00933143">
        <w:rPr>
          <w:rFonts w:cs="Arial"/>
        </w:rPr>
        <w:t xml:space="preserve">, si bien </w:t>
      </w:r>
      <w:r>
        <w:rPr>
          <w:rFonts w:cs="Arial"/>
        </w:rPr>
        <w:t>la justificación que real</w:t>
      </w:r>
      <w:r>
        <w:rPr>
          <w:rFonts w:cs="Arial"/>
        </w:rPr>
        <w:t>i</w:t>
      </w:r>
      <w:r>
        <w:rPr>
          <w:rFonts w:cs="Arial"/>
        </w:rPr>
        <w:t>zan los centros al Departamento de Educación</w:t>
      </w:r>
      <w:r w:rsidR="00780897">
        <w:rPr>
          <w:rFonts w:cs="Arial"/>
        </w:rPr>
        <w:t xml:space="preserve"> </w:t>
      </w:r>
      <w:r w:rsidR="00933143">
        <w:rPr>
          <w:rFonts w:cs="Arial"/>
        </w:rPr>
        <w:t>se presenta sin ningún soporte documental de las cifras indicadas y el departamento no realiza verificación a</w:t>
      </w:r>
      <w:r w:rsidR="00933143">
        <w:rPr>
          <w:rFonts w:cs="Arial"/>
        </w:rPr>
        <w:t>l</w:t>
      </w:r>
      <w:r w:rsidR="00933143">
        <w:rPr>
          <w:rFonts w:cs="Arial"/>
        </w:rPr>
        <w:t>guna al respecto</w:t>
      </w:r>
      <w:r w:rsidR="00784E54" w:rsidRPr="00D76979">
        <w:rPr>
          <w:rFonts w:cs="Arial"/>
        </w:rPr>
        <w:t xml:space="preserve">. </w:t>
      </w:r>
    </w:p>
    <w:p w:rsidR="00784E54" w:rsidRPr="00784E54" w:rsidRDefault="007017B0" w:rsidP="007017B0">
      <w:pPr>
        <w:pStyle w:val="texto"/>
        <w:spacing w:before="120" w:after="240"/>
      </w:pPr>
      <w:r>
        <w:t>Añadido a lo anterior, h</w:t>
      </w:r>
      <w:r w:rsidR="00784E54" w:rsidRPr="00784E54">
        <w:t>emos analizado la composición, variación respecto a 2015</w:t>
      </w:r>
      <w:r w:rsidR="00680DFA">
        <w:t>,</w:t>
      </w:r>
      <w:r w:rsidR="00784E54" w:rsidRPr="00784E54">
        <w:t xml:space="preserve"> y aplicación del principio de devengo </w:t>
      </w:r>
      <w:r>
        <w:t>en</w:t>
      </w:r>
      <w:r w:rsidR="00784E54" w:rsidRPr="00784E54">
        <w:t xml:space="preserve"> los siguientes gastos:</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784E54" w:rsidRPr="00784E54" w:rsidTr="00036B9E">
        <w:trPr>
          <w:trHeight w:val="198"/>
        </w:trPr>
        <w:tc>
          <w:tcPr>
            <w:tcW w:w="39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Descripción gasto</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Importe 2015</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7A489E"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A489E">
              <w:rPr>
                <w:rFonts w:ascii="Arial" w:hAnsi="Arial"/>
                <w:spacing w:val="6"/>
                <w:sz w:val="18"/>
                <w:szCs w:val="24"/>
              </w:rPr>
              <w:t>Importe 2016</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2D34C1" w:rsidRDefault="009B0DDF"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v</w:t>
            </w:r>
            <w:r w:rsidR="00784E54" w:rsidRPr="00784E54">
              <w:rPr>
                <w:rFonts w:ascii="Arial" w:hAnsi="Arial"/>
                <w:spacing w:val="6"/>
                <w:sz w:val="18"/>
                <w:szCs w:val="24"/>
              </w:rPr>
              <w:t xml:space="preserve">ariación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2016/2015</w:t>
            </w:r>
          </w:p>
        </w:tc>
      </w:tr>
      <w:tr w:rsidR="00784E54" w:rsidRPr="002D34C1" w:rsidTr="002D34C1">
        <w:trPr>
          <w:trHeight w:val="198"/>
        </w:trPr>
        <w:tc>
          <w:tcPr>
            <w:tcW w:w="3950" w:type="dxa"/>
            <w:tcBorders>
              <w:top w:val="single" w:sz="4" w:space="0" w:color="auto"/>
              <w:left w:val="nil"/>
              <w:bottom w:val="single" w:sz="2" w:space="0" w:color="auto"/>
              <w:right w:val="nil"/>
            </w:tcBorders>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D34C1">
              <w:rPr>
                <w:rFonts w:ascii="Arial Narrow" w:hAnsi="Arial Narrow"/>
                <w:spacing w:val="6"/>
              </w:rPr>
              <w:t>Conciertos sanitarios</w:t>
            </w:r>
          </w:p>
        </w:tc>
        <w:tc>
          <w:tcPr>
            <w:tcW w:w="1636" w:type="dxa"/>
            <w:tcBorders>
              <w:top w:val="single" w:sz="4" w:space="0" w:color="auto"/>
              <w:left w:val="nil"/>
              <w:bottom w:val="single" w:sz="2"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64.701.330</w:t>
            </w:r>
          </w:p>
        </w:tc>
        <w:tc>
          <w:tcPr>
            <w:tcW w:w="1636" w:type="dxa"/>
            <w:tcBorders>
              <w:top w:val="single" w:sz="4" w:space="0" w:color="auto"/>
              <w:left w:val="nil"/>
              <w:bottom w:val="single" w:sz="2" w:space="0" w:color="auto"/>
              <w:right w:val="nil"/>
            </w:tcBorders>
            <w:noWrap/>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61.559.580</w:t>
            </w:r>
          </w:p>
        </w:tc>
        <w:tc>
          <w:tcPr>
            <w:tcW w:w="1637" w:type="dxa"/>
            <w:tcBorders>
              <w:top w:val="single" w:sz="4" w:space="0" w:color="auto"/>
              <w:left w:val="nil"/>
              <w:bottom w:val="single" w:sz="2"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-5</w:t>
            </w:r>
          </w:p>
        </w:tc>
      </w:tr>
      <w:tr w:rsidR="00784E54" w:rsidRPr="002D34C1" w:rsidTr="00036B9E">
        <w:trPr>
          <w:trHeight w:val="198"/>
        </w:trPr>
        <w:tc>
          <w:tcPr>
            <w:tcW w:w="3950" w:type="dxa"/>
            <w:tcBorders>
              <w:top w:val="single" w:sz="2" w:space="0" w:color="auto"/>
              <w:left w:val="nil"/>
              <w:bottom w:val="single" w:sz="4" w:space="0" w:color="auto"/>
              <w:right w:val="nil"/>
            </w:tcBorders>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D34C1">
              <w:rPr>
                <w:rFonts w:ascii="Arial Narrow" w:hAnsi="Arial Narrow"/>
                <w:spacing w:val="6"/>
              </w:rPr>
              <w:t>Cánones</w:t>
            </w:r>
          </w:p>
        </w:tc>
        <w:tc>
          <w:tcPr>
            <w:tcW w:w="1636" w:type="dxa"/>
            <w:tcBorders>
              <w:top w:val="single" w:sz="2" w:space="0" w:color="auto"/>
              <w:left w:val="nil"/>
              <w:bottom w:val="single" w:sz="4"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53.041.034</w:t>
            </w:r>
          </w:p>
        </w:tc>
        <w:tc>
          <w:tcPr>
            <w:tcW w:w="1636" w:type="dxa"/>
            <w:tcBorders>
              <w:top w:val="single" w:sz="2" w:space="0" w:color="auto"/>
              <w:left w:val="nil"/>
              <w:bottom w:val="single" w:sz="4" w:space="0" w:color="auto"/>
              <w:right w:val="nil"/>
            </w:tcBorders>
            <w:noWrap/>
            <w:vAlign w:val="center"/>
            <w:hideMark/>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60.124.388</w:t>
            </w:r>
          </w:p>
        </w:tc>
        <w:tc>
          <w:tcPr>
            <w:tcW w:w="1637" w:type="dxa"/>
            <w:tcBorders>
              <w:top w:val="single" w:sz="2" w:space="0" w:color="auto"/>
              <w:left w:val="nil"/>
              <w:bottom w:val="single" w:sz="4" w:space="0" w:color="auto"/>
              <w:right w:val="nil"/>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D34C1">
              <w:rPr>
                <w:rFonts w:ascii="Arial Narrow" w:hAnsi="Arial Narrow"/>
                <w:spacing w:val="6"/>
              </w:rPr>
              <w:t>13</w:t>
            </w:r>
          </w:p>
        </w:tc>
      </w:tr>
    </w:tbl>
    <w:p w:rsidR="00784E54" w:rsidRPr="00784E54" w:rsidRDefault="00784E54" w:rsidP="00D76979">
      <w:pPr>
        <w:pStyle w:val="texto"/>
        <w:spacing w:before="240"/>
      </w:pPr>
      <w:r w:rsidRPr="00784E54">
        <w:t>Del trabajo realizado hemos obtenido las siguientes conclusiones:</w:t>
      </w:r>
    </w:p>
    <w:p w:rsidR="00784E54" w:rsidRPr="00D7697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Los gastos en conciertos sanitarios alcanzaron los 61,56 millones de euros y disminuyeron un cinco por ciento respecto a 2015, debido fundamentalmente a la asunción en mayo de 2016, por el SNS-O, de la atención sanitaria al pers</w:t>
      </w:r>
      <w:r w:rsidRPr="00784E54">
        <w:rPr>
          <w:rFonts w:cs="Arial"/>
        </w:rPr>
        <w:t>o</w:t>
      </w:r>
      <w:r w:rsidRPr="00784E54">
        <w:rPr>
          <w:rFonts w:cs="Arial"/>
        </w:rPr>
        <w:t xml:space="preserve">nal de la Clínica Universidad de Navarra. </w:t>
      </w:r>
    </w:p>
    <w:p w:rsidR="007017B0" w:rsidRDefault="007017B0" w:rsidP="00664032">
      <w:pPr>
        <w:pStyle w:val="texto"/>
        <w:spacing w:after="240"/>
      </w:pPr>
      <w:r>
        <w:t>Presentamos a continuación el número de proveedores que han prestado este servicio y el importe que han percibido: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796"/>
        <w:gridCol w:w="4465"/>
      </w:tblGrid>
      <w:tr w:rsidR="007017B0" w:rsidRPr="007017B0" w:rsidTr="004C01E5">
        <w:trPr>
          <w:trHeight w:val="255"/>
        </w:trPr>
        <w:tc>
          <w:tcPr>
            <w:tcW w:w="4356" w:type="dxa"/>
            <w:gridSpan w:val="2"/>
            <w:tcBorders>
              <w:top w:val="single" w:sz="4" w:space="0" w:color="auto"/>
              <w:bottom w:val="single" w:sz="4" w:space="0" w:color="auto"/>
            </w:tcBorders>
            <w:shd w:val="clear" w:color="auto" w:fill="8DB3E2" w:themeFill="text2" w:themeFillTint="66"/>
            <w:vAlign w:val="center"/>
          </w:tcPr>
          <w:p w:rsidR="007017B0" w:rsidRPr="007017B0" w:rsidRDefault="007017B0" w:rsidP="004C01E5">
            <w:pPr>
              <w:pStyle w:val="texto"/>
              <w:spacing w:after="0"/>
              <w:ind w:firstLine="0"/>
              <w:jc w:val="left"/>
              <w:rPr>
                <w:rFonts w:ascii="Arial" w:hAnsi="Arial" w:cs="Arial"/>
                <w:sz w:val="18"/>
                <w:szCs w:val="18"/>
              </w:rPr>
            </w:pPr>
            <w:r w:rsidRPr="007017B0">
              <w:rPr>
                <w:rFonts w:ascii="Arial" w:hAnsi="Arial" w:cs="Arial"/>
                <w:sz w:val="18"/>
                <w:szCs w:val="18"/>
              </w:rPr>
              <w:t>Nº proveedores</w:t>
            </w:r>
          </w:p>
        </w:tc>
        <w:tc>
          <w:tcPr>
            <w:tcW w:w="4465" w:type="dxa"/>
            <w:tcBorders>
              <w:top w:val="single" w:sz="4" w:space="0" w:color="auto"/>
              <w:bottom w:val="single" w:sz="4" w:space="0" w:color="auto"/>
            </w:tcBorders>
            <w:shd w:val="clear" w:color="auto" w:fill="8DB3E2" w:themeFill="text2" w:themeFillTint="66"/>
            <w:vAlign w:val="center"/>
          </w:tcPr>
          <w:p w:rsidR="007017B0" w:rsidRPr="007017B0" w:rsidRDefault="007017B0" w:rsidP="007017B0">
            <w:pPr>
              <w:pStyle w:val="texto"/>
              <w:spacing w:after="0"/>
              <w:ind w:firstLine="0"/>
              <w:jc w:val="right"/>
              <w:rPr>
                <w:rFonts w:ascii="Arial" w:hAnsi="Arial" w:cs="Arial"/>
                <w:sz w:val="18"/>
                <w:szCs w:val="18"/>
              </w:rPr>
            </w:pPr>
            <w:r w:rsidRPr="007017B0">
              <w:rPr>
                <w:rFonts w:ascii="Arial" w:hAnsi="Arial" w:cs="Arial"/>
                <w:sz w:val="18"/>
                <w:szCs w:val="18"/>
              </w:rPr>
              <w:t>Importe percibido</w:t>
            </w:r>
          </w:p>
        </w:tc>
      </w:tr>
      <w:tr w:rsidR="007017B0" w:rsidRPr="007017B0" w:rsidTr="004C01E5">
        <w:trPr>
          <w:trHeight w:val="198"/>
        </w:trPr>
        <w:tc>
          <w:tcPr>
            <w:tcW w:w="1560" w:type="dxa"/>
            <w:tcBorders>
              <w:top w:val="single" w:sz="4"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sidRPr="007017B0">
              <w:rPr>
                <w:rFonts w:ascii="Arial Narrow" w:hAnsi="Arial Narrow"/>
                <w:sz w:val="20"/>
                <w:szCs w:val="20"/>
              </w:rPr>
              <w:t>2</w:t>
            </w:r>
          </w:p>
        </w:tc>
        <w:tc>
          <w:tcPr>
            <w:tcW w:w="7261" w:type="dxa"/>
            <w:gridSpan w:val="2"/>
            <w:tcBorders>
              <w:top w:val="single" w:sz="4" w:space="0" w:color="auto"/>
              <w:bottom w:val="single" w:sz="2" w:space="0" w:color="auto"/>
            </w:tcBorders>
            <w:vAlign w:val="center"/>
          </w:tcPr>
          <w:p w:rsidR="007017B0" w:rsidRPr="007017B0" w:rsidRDefault="007017B0" w:rsidP="007017B0">
            <w:pPr>
              <w:pStyle w:val="texto"/>
              <w:spacing w:after="0"/>
              <w:ind w:left="644" w:firstLine="0"/>
              <w:jc w:val="right"/>
              <w:rPr>
                <w:rFonts w:ascii="Arial Narrow" w:hAnsi="Arial Narrow"/>
                <w:sz w:val="20"/>
                <w:szCs w:val="20"/>
              </w:rPr>
            </w:pPr>
            <w:r w:rsidRPr="007017B0">
              <w:rPr>
                <w:rFonts w:ascii="Arial Narrow" w:hAnsi="Arial Narrow"/>
                <w:sz w:val="20"/>
                <w:szCs w:val="20"/>
              </w:rPr>
              <w:t>&gt;20 millones de euros</w:t>
            </w:r>
          </w:p>
        </w:tc>
      </w:tr>
      <w:tr w:rsidR="007017B0" w:rsidRPr="007017B0" w:rsidTr="004C01E5">
        <w:trPr>
          <w:trHeight w:val="198"/>
        </w:trPr>
        <w:tc>
          <w:tcPr>
            <w:tcW w:w="1560" w:type="dxa"/>
            <w:tcBorders>
              <w:top w:val="single" w:sz="2"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sidRPr="007017B0">
              <w:rPr>
                <w:rFonts w:ascii="Arial Narrow" w:hAnsi="Arial Narrow"/>
                <w:sz w:val="20"/>
                <w:szCs w:val="20"/>
              </w:rPr>
              <w:t>5</w:t>
            </w:r>
          </w:p>
        </w:tc>
        <w:tc>
          <w:tcPr>
            <w:tcW w:w="7261" w:type="dxa"/>
            <w:gridSpan w:val="2"/>
            <w:tcBorders>
              <w:top w:val="single" w:sz="2" w:space="0" w:color="auto"/>
              <w:bottom w:val="single" w:sz="2"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sidRPr="007017B0">
              <w:rPr>
                <w:rFonts w:ascii="Arial Narrow" w:hAnsi="Arial Narrow"/>
                <w:sz w:val="20"/>
                <w:szCs w:val="20"/>
              </w:rPr>
              <w:t>&gt;millón de euros</w:t>
            </w:r>
          </w:p>
        </w:tc>
      </w:tr>
      <w:tr w:rsidR="007017B0" w:rsidRPr="007017B0" w:rsidTr="004C01E5">
        <w:trPr>
          <w:trHeight w:val="198"/>
        </w:trPr>
        <w:tc>
          <w:tcPr>
            <w:tcW w:w="1560" w:type="dxa"/>
            <w:tcBorders>
              <w:top w:val="single" w:sz="2" w:space="0" w:color="auto"/>
              <w:bottom w:val="single" w:sz="2"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sidRPr="007017B0">
              <w:rPr>
                <w:rFonts w:ascii="Arial Narrow" w:hAnsi="Arial Narrow"/>
                <w:sz w:val="20"/>
                <w:szCs w:val="20"/>
              </w:rPr>
              <w:t>121</w:t>
            </w:r>
          </w:p>
        </w:tc>
        <w:tc>
          <w:tcPr>
            <w:tcW w:w="7261" w:type="dxa"/>
            <w:gridSpan w:val="2"/>
            <w:tcBorders>
              <w:top w:val="single" w:sz="2" w:space="0" w:color="auto"/>
              <w:bottom w:val="single" w:sz="2"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sidRPr="007017B0">
              <w:rPr>
                <w:rFonts w:ascii="Arial Narrow" w:hAnsi="Arial Narrow"/>
                <w:sz w:val="20"/>
                <w:szCs w:val="20"/>
              </w:rPr>
              <w:t>&gt;100.000 euros</w:t>
            </w:r>
          </w:p>
        </w:tc>
      </w:tr>
      <w:tr w:rsidR="007017B0" w:rsidRPr="007017B0" w:rsidTr="004C01E5">
        <w:trPr>
          <w:trHeight w:val="198"/>
        </w:trPr>
        <w:tc>
          <w:tcPr>
            <w:tcW w:w="1560" w:type="dxa"/>
            <w:tcBorders>
              <w:top w:val="single" w:sz="2" w:space="0" w:color="auto"/>
              <w:bottom w:val="single" w:sz="4" w:space="0" w:color="auto"/>
            </w:tcBorders>
            <w:vAlign w:val="center"/>
          </w:tcPr>
          <w:p w:rsidR="007017B0" w:rsidRPr="007017B0" w:rsidRDefault="007017B0" w:rsidP="004C01E5">
            <w:pPr>
              <w:pStyle w:val="texto"/>
              <w:spacing w:after="0"/>
              <w:ind w:left="-108" w:right="459" w:firstLine="108"/>
              <w:jc w:val="right"/>
              <w:rPr>
                <w:rFonts w:ascii="Arial Narrow" w:hAnsi="Arial Narrow"/>
                <w:sz w:val="20"/>
                <w:szCs w:val="20"/>
              </w:rPr>
            </w:pPr>
            <w:r w:rsidRPr="007017B0">
              <w:rPr>
                <w:rFonts w:ascii="Arial Narrow" w:hAnsi="Arial Narrow"/>
                <w:sz w:val="20"/>
                <w:szCs w:val="20"/>
              </w:rPr>
              <w:t>118</w:t>
            </w:r>
          </w:p>
        </w:tc>
        <w:tc>
          <w:tcPr>
            <w:tcW w:w="7261" w:type="dxa"/>
            <w:gridSpan w:val="2"/>
            <w:tcBorders>
              <w:top w:val="single" w:sz="2" w:space="0" w:color="auto"/>
              <w:bottom w:val="single" w:sz="4" w:space="0" w:color="auto"/>
            </w:tcBorders>
            <w:vAlign w:val="center"/>
          </w:tcPr>
          <w:p w:rsidR="007017B0" w:rsidRPr="007017B0" w:rsidRDefault="007017B0" w:rsidP="007017B0">
            <w:pPr>
              <w:pStyle w:val="texto"/>
              <w:spacing w:after="0"/>
              <w:ind w:firstLine="0"/>
              <w:jc w:val="right"/>
              <w:rPr>
                <w:rFonts w:ascii="Arial Narrow" w:hAnsi="Arial Narrow"/>
                <w:sz w:val="20"/>
                <w:szCs w:val="20"/>
              </w:rPr>
            </w:pPr>
            <w:r w:rsidRPr="007017B0">
              <w:rPr>
                <w:rFonts w:ascii="Arial Narrow" w:hAnsi="Arial Narrow"/>
                <w:sz w:val="20"/>
                <w:szCs w:val="20"/>
              </w:rPr>
              <w:t>&lt;100.000 euros</w:t>
            </w:r>
          </w:p>
        </w:tc>
      </w:tr>
    </w:tbl>
    <w:p w:rsidR="00784E54" w:rsidRPr="00664032" w:rsidRDefault="00664032" w:rsidP="00664032">
      <w:pPr>
        <w:pStyle w:val="texto"/>
        <w:spacing w:before="240"/>
      </w:pPr>
      <w:r>
        <w:t>Como se observa, los conciertos sanitarios se establecieron con 246 prove</w:t>
      </w:r>
      <w:r>
        <w:t>e</w:t>
      </w:r>
      <w:r>
        <w:t xml:space="preserve">dores de los cuales dos superan el millón de euros: el </w:t>
      </w:r>
      <w:r w:rsidR="00784E54" w:rsidRPr="00784E54">
        <w:t xml:space="preserve">Hospital San Juan de Dios con 22,4 millones </w:t>
      </w:r>
      <w:r>
        <w:t xml:space="preserve">(cantidad superior a la de 2015 en </w:t>
      </w:r>
      <w:r w:rsidR="00784E54" w:rsidRPr="00784E54">
        <w:t>un 13 por ciento</w:t>
      </w:r>
      <w:r>
        <w:t xml:space="preserve">) </w:t>
      </w:r>
      <w:r w:rsidR="00784E54" w:rsidRPr="00784E54">
        <w:t xml:space="preserve">y la </w:t>
      </w:r>
      <w:r w:rsidR="00784E54" w:rsidRPr="00784E54">
        <w:lastRenderedPageBreak/>
        <w:t>Clínica Universidad de Navarra con 21,3 mi</w:t>
      </w:r>
      <w:r>
        <w:t xml:space="preserve">llones (importe inferior a la de 2015 en un </w:t>
      </w:r>
      <w:r w:rsidR="00784E54" w:rsidRPr="00784E54">
        <w:t xml:space="preserve">20 por ciento). </w:t>
      </w:r>
    </w:p>
    <w:p w:rsidR="00784E54" w:rsidRPr="00D7697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 xml:space="preserve">El </w:t>
      </w:r>
      <w:r w:rsidRPr="00D76979">
        <w:rPr>
          <w:rFonts w:cs="Arial"/>
        </w:rPr>
        <w:t>gasto presupuestario derivado de los cánones en 2016 ascendió a 60,12 millones según el siguiente desglose:</w:t>
      </w:r>
    </w:p>
    <w:tbl>
      <w:tblPr>
        <w:tblW w:w="8881" w:type="dxa"/>
        <w:jc w:val="center"/>
        <w:tblCellMar>
          <w:left w:w="70" w:type="dxa"/>
          <w:right w:w="70" w:type="dxa"/>
        </w:tblCellMar>
        <w:tblLook w:val="0000" w:firstRow="0" w:lastRow="0" w:firstColumn="0" w:lastColumn="0" w:noHBand="0" w:noVBand="0"/>
      </w:tblPr>
      <w:tblGrid>
        <w:gridCol w:w="4106"/>
        <w:gridCol w:w="1591"/>
        <w:gridCol w:w="1592"/>
        <w:gridCol w:w="1592"/>
      </w:tblGrid>
      <w:tr w:rsidR="00D22D79" w:rsidRPr="00D22D79" w:rsidTr="00D22D79">
        <w:trPr>
          <w:trHeight w:val="255"/>
          <w:jc w:val="center"/>
        </w:trPr>
        <w:tc>
          <w:tcPr>
            <w:tcW w:w="8881" w:type="dxa"/>
            <w:gridSpan w:val="4"/>
            <w:tcBorders>
              <w:bottom w:val="single" w:sz="4" w:space="0" w:color="auto"/>
            </w:tcBorders>
            <w:shd w:val="clear" w:color="auto" w:fill="auto"/>
            <w:vAlign w:val="center"/>
          </w:tcPr>
          <w:p w:rsidR="00D22D79" w:rsidRPr="00D22D79" w:rsidRDefault="00D22D79"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D22D79">
              <w:rPr>
                <w:rFonts w:ascii="Arial" w:hAnsi="Arial" w:cs="Arial"/>
                <w:spacing w:val="6"/>
                <w:sz w:val="17"/>
                <w:szCs w:val="17"/>
              </w:rPr>
              <w:t>(en miles de euros)</w:t>
            </w:r>
          </w:p>
        </w:tc>
      </w:tr>
      <w:tr w:rsidR="00784E54" w:rsidRPr="002D34C1" w:rsidTr="002D34C1">
        <w:trPr>
          <w:trHeight w:val="255"/>
          <w:jc w:val="center"/>
        </w:trPr>
        <w:tc>
          <w:tcPr>
            <w:tcW w:w="4106" w:type="dxa"/>
            <w:tcBorders>
              <w:top w:val="single" w:sz="4" w:space="0" w:color="auto"/>
              <w:bottom w:val="single" w:sz="4" w:space="0" w:color="auto"/>
            </w:tcBorders>
            <w:shd w:val="clear" w:color="auto" w:fill="8DB3E2" w:themeFill="text2" w:themeFillTint="66"/>
            <w:vAlign w:val="center"/>
          </w:tcPr>
          <w:p w:rsidR="00784E54" w:rsidRPr="002D34C1" w:rsidRDefault="00784E54" w:rsidP="004C01E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2D34C1">
              <w:rPr>
                <w:rFonts w:ascii="Arial" w:hAnsi="Arial" w:cs="Arial"/>
                <w:spacing w:val="6"/>
                <w:sz w:val="18"/>
                <w:szCs w:val="18"/>
              </w:rPr>
              <w:t>C</w:t>
            </w:r>
            <w:r w:rsidR="004C01E5">
              <w:rPr>
                <w:rFonts w:ascii="Arial" w:hAnsi="Arial" w:cs="Arial"/>
                <w:spacing w:val="6"/>
                <w:sz w:val="18"/>
                <w:szCs w:val="18"/>
              </w:rPr>
              <w:t>a</w:t>
            </w:r>
            <w:r w:rsidRPr="002D34C1">
              <w:rPr>
                <w:rFonts w:ascii="Arial" w:hAnsi="Arial" w:cs="Arial"/>
                <w:spacing w:val="6"/>
                <w:sz w:val="18"/>
                <w:szCs w:val="18"/>
              </w:rPr>
              <w:t>non</w:t>
            </w:r>
          </w:p>
        </w:tc>
        <w:tc>
          <w:tcPr>
            <w:tcW w:w="1591" w:type="dxa"/>
            <w:tcBorders>
              <w:top w:val="single" w:sz="4" w:space="0" w:color="auto"/>
              <w:bottom w:val="single" w:sz="4" w:space="0" w:color="auto"/>
            </w:tcBorders>
            <w:shd w:val="clear" w:color="auto" w:fill="8DB3E2" w:themeFill="text2" w:themeFillTint="66"/>
            <w:noWrap/>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D34C1">
              <w:rPr>
                <w:rFonts w:ascii="Arial" w:hAnsi="Arial" w:cs="Arial"/>
                <w:spacing w:val="6"/>
                <w:sz w:val="18"/>
                <w:szCs w:val="18"/>
              </w:rPr>
              <w:t>2015</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D34C1">
              <w:rPr>
                <w:rFonts w:ascii="Arial" w:hAnsi="Arial" w:cs="Arial"/>
                <w:spacing w:val="6"/>
                <w:sz w:val="18"/>
                <w:szCs w:val="18"/>
              </w:rPr>
              <w:t>2016</w:t>
            </w:r>
          </w:p>
        </w:tc>
        <w:tc>
          <w:tcPr>
            <w:tcW w:w="1592" w:type="dxa"/>
            <w:tcBorders>
              <w:top w:val="single" w:sz="4" w:space="0" w:color="auto"/>
              <w:bottom w:val="single" w:sz="4" w:space="0" w:color="auto"/>
            </w:tcBorders>
            <w:shd w:val="clear" w:color="auto" w:fill="8DB3E2" w:themeFill="text2" w:themeFillTint="66"/>
            <w:vAlign w:val="center"/>
          </w:tcPr>
          <w:p w:rsidR="002D34C1" w:rsidRDefault="009B0DD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v</w:t>
            </w:r>
            <w:r w:rsidR="00784E54" w:rsidRPr="002D34C1">
              <w:rPr>
                <w:rFonts w:ascii="Arial" w:hAnsi="Arial" w:cs="Arial"/>
                <w:spacing w:val="6"/>
                <w:sz w:val="18"/>
                <w:szCs w:val="18"/>
              </w:rPr>
              <w:t xml:space="preserve">ariación </w:t>
            </w:r>
          </w:p>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2D34C1">
              <w:rPr>
                <w:rFonts w:ascii="Arial" w:hAnsi="Arial" w:cs="Arial"/>
                <w:spacing w:val="6"/>
                <w:sz w:val="18"/>
                <w:szCs w:val="18"/>
              </w:rPr>
              <w:t>2016/2015</w:t>
            </w:r>
          </w:p>
        </w:tc>
      </w:tr>
      <w:tr w:rsidR="00784E54" w:rsidRPr="002D34C1" w:rsidTr="002D34C1">
        <w:trPr>
          <w:trHeight w:val="198"/>
          <w:jc w:val="center"/>
        </w:trPr>
        <w:tc>
          <w:tcPr>
            <w:tcW w:w="4106" w:type="dxa"/>
            <w:tcBorders>
              <w:top w:val="single" w:sz="4" w:space="0" w:color="auto"/>
              <w:bottom w:val="single" w:sz="2" w:space="0" w:color="auto"/>
            </w:tcBorders>
            <w:shd w:val="clear" w:color="auto" w:fill="auto"/>
            <w:vAlign w:val="center"/>
          </w:tcPr>
          <w:p w:rsidR="00784E54" w:rsidRPr="002D34C1" w:rsidRDefault="00784E54" w:rsidP="00784E54">
            <w:pPr>
              <w:spacing w:after="0"/>
              <w:ind w:firstLine="0"/>
              <w:jc w:val="left"/>
              <w:rPr>
                <w:rFonts w:ascii="Arial Narrow" w:hAnsi="Arial Narrow" w:cs="Arial"/>
                <w:lang w:eastAsia="es-ES"/>
              </w:rPr>
            </w:pPr>
            <w:r w:rsidRPr="002D34C1">
              <w:rPr>
                <w:rFonts w:ascii="Arial Narrow" w:hAnsi="Arial Narrow" w:cs="Arial"/>
                <w:lang w:eastAsia="es-ES"/>
              </w:rPr>
              <w:t>Autovía del Camino</w:t>
            </w:r>
          </w:p>
        </w:tc>
        <w:tc>
          <w:tcPr>
            <w:tcW w:w="1591" w:type="dxa"/>
            <w:tcBorders>
              <w:top w:val="single" w:sz="4" w:space="0" w:color="auto"/>
              <w:bottom w:val="single" w:sz="2"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38.547</w:t>
            </w:r>
          </w:p>
        </w:tc>
        <w:tc>
          <w:tcPr>
            <w:tcW w:w="1592" w:type="dxa"/>
            <w:tcBorders>
              <w:top w:val="single" w:sz="4"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43.741</w:t>
            </w:r>
          </w:p>
        </w:tc>
        <w:tc>
          <w:tcPr>
            <w:tcW w:w="1592" w:type="dxa"/>
            <w:tcBorders>
              <w:top w:val="single" w:sz="4"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13</w:t>
            </w:r>
          </w:p>
        </w:tc>
      </w:tr>
      <w:tr w:rsidR="00784E54" w:rsidRPr="002D34C1" w:rsidTr="002D34C1">
        <w:trPr>
          <w:trHeight w:val="198"/>
          <w:jc w:val="center"/>
        </w:trPr>
        <w:tc>
          <w:tcPr>
            <w:tcW w:w="4106" w:type="dxa"/>
            <w:tcBorders>
              <w:top w:val="single" w:sz="2" w:space="0" w:color="auto"/>
              <w:bottom w:val="single" w:sz="2" w:space="0" w:color="auto"/>
            </w:tcBorders>
            <w:shd w:val="clear" w:color="auto" w:fill="auto"/>
            <w:vAlign w:val="center"/>
          </w:tcPr>
          <w:p w:rsidR="00784E54" w:rsidRPr="002D34C1" w:rsidRDefault="00784E54" w:rsidP="00784E54">
            <w:pPr>
              <w:spacing w:after="0"/>
              <w:ind w:firstLine="0"/>
              <w:jc w:val="left"/>
              <w:rPr>
                <w:rFonts w:ascii="Arial Narrow" w:hAnsi="Arial Narrow" w:cs="Arial"/>
                <w:lang w:eastAsia="es-ES"/>
              </w:rPr>
            </w:pPr>
            <w:r w:rsidRPr="002D34C1">
              <w:rPr>
                <w:rFonts w:ascii="Arial Narrow" w:hAnsi="Arial Narrow" w:cs="Arial"/>
                <w:lang w:eastAsia="es-ES"/>
              </w:rPr>
              <w:t>Autovía Pirineos</w:t>
            </w:r>
          </w:p>
        </w:tc>
        <w:tc>
          <w:tcPr>
            <w:tcW w:w="1591" w:type="dxa"/>
            <w:tcBorders>
              <w:top w:val="single" w:sz="2" w:space="0" w:color="auto"/>
              <w:bottom w:val="single" w:sz="2"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14.492</w:t>
            </w:r>
          </w:p>
        </w:tc>
        <w:tc>
          <w:tcPr>
            <w:tcW w:w="1592" w:type="dxa"/>
            <w:tcBorders>
              <w:top w:val="single" w:sz="2"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16.380</w:t>
            </w:r>
          </w:p>
        </w:tc>
        <w:tc>
          <w:tcPr>
            <w:tcW w:w="1592" w:type="dxa"/>
            <w:tcBorders>
              <w:top w:val="single" w:sz="2" w:space="0" w:color="auto"/>
              <w:bottom w:val="single" w:sz="2"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13</w:t>
            </w:r>
          </w:p>
        </w:tc>
      </w:tr>
      <w:tr w:rsidR="00784E54" w:rsidRPr="002D34C1" w:rsidTr="002D34C1">
        <w:trPr>
          <w:trHeight w:val="198"/>
          <w:jc w:val="center"/>
        </w:trPr>
        <w:tc>
          <w:tcPr>
            <w:tcW w:w="4106" w:type="dxa"/>
            <w:tcBorders>
              <w:top w:val="single" w:sz="2" w:space="0" w:color="auto"/>
              <w:bottom w:val="single" w:sz="4" w:space="0" w:color="auto"/>
            </w:tcBorders>
            <w:shd w:val="clear" w:color="auto" w:fill="auto"/>
            <w:vAlign w:val="center"/>
          </w:tcPr>
          <w:p w:rsidR="00784E54" w:rsidRPr="002D34C1" w:rsidRDefault="00784E54" w:rsidP="00784E54">
            <w:pPr>
              <w:spacing w:after="0"/>
              <w:ind w:firstLine="0"/>
              <w:jc w:val="left"/>
              <w:rPr>
                <w:rFonts w:ascii="Arial Narrow" w:hAnsi="Arial Narrow" w:cs="Arial"/>
                <w:lang w:eastAsia="es-ES"/>
              </w:rPr>
            </w:pPr>
            <w:r w:rsidRPr="002D34C1">
              <w:rPr>
                <w:rFonts w:ascii="Arial Narrow" w:hAnsi="Arial Narrow" w:cs="Arial"/>
                <w:lang w:eastAsia="es-ES"/>
              </w:rPr>
              <w:t>Cuotas asociaciones técnicas de carácter informático</w:t>
            </w:r>
          </w:p>
        </w:tc>
        <w:tc>
          <w:tcPr>
            <w:tcW w:w="1591" w:type="dxa"/>
            <w:tcBorders>
              <w:top w:val="single" w:sz="2" w:space="0" w:color="auto"/>
              <w:bottom w:val="single" w:sz="4" w:space="0" w:color="auto"/>
            </w:tcBorders>
            <w:shd w:val="clear" w:color="auto" w:fill="auto"/>
            <w:noWrap/>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2</w:t>
            </w:r>
          </w:p>
        </w:tc>
        <w:tc>
          <w:tcPr>
            <w:tcW w:w="1592" w:type="dxa"/>
            <w:tcBorders>
              <w:top w:val="single" w:sz="2" w:space="0" w:color="auto"/>
              <w:bottom w:val="single" w:sz="4"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3</w:t>
            </w:r>
          </w:p>
        </w:tc>
        <w:tc>
          <w:tcPr>
            <w:tcW w:w="1592" w:type="dxa"/>
            <w:tcBorders>
              <w:top w:val="single" w:sz="2" w:space="0" w:color="auto"/>
              <w:bottom w:val="single" w:sz="4" w:space="0" w:color="auto"/>
            </w:tcBorders>
            <w:vAlign w:val="center"/>
          </w:tcPr>
          <w:p w:rsidR="00784E54" w:rsidRPr="002D34C1" w:rsidRDefault="00784E54" w:rsidP="00784E54">
            <w:pPr>
              <w:spacing w:after="0"/>
              <w:ind w:firstLine="0"/>
              <w:jc w:val="right"/>
              <w:rPr>
                <w:rFonts w:ascii="Arial Narrow" w:hAnsi="Arial Narrow" w:cs="Arial"/>
                <w:lang w:val="es-ES" w:eastAsia="es-ES"/>
              </w:rPr>
            </w:pPr>
            <w:r w:rsidRPr="002D34C1">
              <w:rPr>
                <w:rFonts w:ascii="Arial Narrow" w:hAnsi="Arial Narrow" w:cs="Arial"/>
                <w:lang w:val="es-ES" w:eastAsia="es-ES"/>
              </w:rPr>
              <w:t>50</w:t>
            </w:r>
          </w:p>
        </w:tc>
      </w:tr>
      <w:tr w:rsidR="00784E54" w:rsidRPr="002D34C1" w:rsidTr="002D34C1">
        <w:trPr>
          <w:trHeight w:val="266"/>
          <w:jc w:val="center"/>
        </w:trPr>
        <w:tc>
          <w:tcPr>
            <w:tcW w:w="4106"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18"/>
                <w:lang w:val="es-ES" w:eastAsia="es-ES"/>
              </w:rPr>
            </w:pPr>
            <w:r w:rsidRPr="002D34C1">
              <w:rPr>
                <w:rFonts w:ascii="Arial" w:hAnsi="Arial"/>
                <w:spacing w:val="6"/>
                <w:sz w:val="18"/>
                <w:szCs w:val="18"/>
                <w:lang w:val="es-ES" w:eastAsia="es-ES"/>
              </w:rPr>
              <w:t xml:space="preserve">Total </w:t>
            </w:r>
          </w:p>
        </w:tc>
        <w:tc>
          <w:tcPr>
            <w:tcW w:w="1591" w:type="dxa"/>
            <w:tcBorders>
              <w:top w:val="single" w:sz="4" w:space="0" w:color="auto"/>
              <w:bottom w:val="single" w:sz="4" w:space="0" w:color="auto"/>
            </w:tcBorders>
            <w:shd w:val="clear" w:color="auto" w:fill="8DB3E2" w:themeFill="text2" w:themeFillTint="66"/>
            <w:noWrap/>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D34C1">
              <w:rPr>
                <w:rFonts w:ascii="Arial" w:hAnsi="Arial"/>
                <w:spacing w:val="6"/>
                <w:sz w:val="18"/>
                <w:szCs w:val="18"/>
                <w:lang w:val="es-ES" w:eastAsia="es-ES"/>
              </w:rPr>
              <w:t>53.041</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D34C1">
              <w:rPr>
                <w:rFonts w:ascii="Arial" w:hAnsi="Arial"/>
                <w:spacing w:val="6"/>
                <w:sz w:val="18"/>
                <w:szCs w:val="18"/>
                <w:lang w:val="es-ES" w:eastAsia="es-ES"/>
              </w:rPr>
              <w:t>60.124</w:t>
            </w:r>
          </w:p>
        </w:tc>
        <w:tc>
          <w:tcPr>
            <w:tcW w:w="1592" w:type="dxa"/>
            <w:tcBorders>
              <w:top w:val="single" w:sz="4" w:space="0" w:color="auto"/>
              <w:bottom w:val="single" w:sz="4" w:space="0" w:color="auto"/>
            </w:tcBorders>
            <w:shd w:val="clear" w:color="auto" w:fill="8DB3E2" w:themeFill="text2" w:themeFillTint="66"/>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D34C1">
              <w:rPr>
                <w:rFonts w:ascii="Arial" w:hAnsi="Arial"/>
                <w:spacing w:val="6"/>
                <w:sz w:val="18"/>
                <w:szCs w:val="18"/>
                <w:lang w:val="es-ES" w:eastAsia="es-ES"/>
              </w:rPr>
              <w:t>13</w:t>
            </w:r>
          </w:p>
        </w:tc>
      </w:tr>
    </w:tbl>
    <w:p w:rsidR="00784E54" w:rsidRPr="00784E54" w:rsidRDefault="00784E54" w:rsidP="00D76979">
      <w:pPr>
        <w:pStyle w:val="texto"/>
        <w:spacing w:before="240"/>
        <w:rPr>
          <w:lang w:val="es-ES"/>
        </w:rPr>
      </w:pPr>
      <w:r w:rsidRPr="00784E54">
        <w:rPr>
          <w:lang w:val="es-ES"/>
        </w:rPr>
        <w:t xml:space="preserve">Analizada la documentación soporte de los gastos anteriores observamos que las partidas relativas a las autovías reflejan la facturación de 11 meses (enero a noviembre) junto a la de diciembre del año anterior, y la liquidación de dicho ejercicio. Así, el importe de facturas de 2015 imputado a 2016 ascendió a 4,69 millones, y el gasto de 2016 registrado en el presupuesto de 2017 fue de 4,8. </w:t>
      </w:r>
    </w:p>
    <w:p w:rsidR="00784E54" w:rsidRPr="00784E54" w:rsidRDefault="00784E54" w:rsidP="00D76979">
      <w:pPr>
        <w:pStyle w:val="texto"/>
        <w:spacing w:after="240"/>
        <w:rPr>
          <w:lang w:val="es-ES"/>
        </w:rPr>
      </w:pPr>
      <w:r w:rsidRPr="00784E54">
        <w:rPr>
          <w:lang w:val="es-ES"/>
        </w:rPr>
        <w:t xml:space="preserve">Asimismo, </w:t>
      </w:r>
      <w:r w:rsidR="00664032">
        <w:rPr>
          <w:lang w:val="es-ES"/>
        </w:rPr>
        <w:t>hemos fiscalizado</w:t>
      </w:r>
      <w:r w:rsidRPr="00784E54">
        <w:rPr>
          <w:lang w:val="es-ES"/>
        </w:rPr>
        <w:t xml:space="preserve"> los siguientes procedimientos de contratación tramitados por el Gobierno de Navarra, la CPEN</w:t>
      </w:r>
      <w:r w:rsidR="00D22D79">
        <w:rPr>
          <w:lang w:val="es-ES"/>
        </w:rPr>
        <w:t xml:space="preserve"> </w:t>
      </w:r>
      <w:r w:rsidRPr="00784E54">
        <w:rPr>
          <w:lang w:val="es-ES"/>
        </w:rPr>
        <w:t>y S</w:t>
      </w:r>
      <w:r w:rsidR="007C550A" w:rsidRPr="00784E54">
        <w:rPr>
          <w:lang w:val="es-ES"/>
        </w:rPr>
        <w:t>odena</w:t>
      </w:r>
      <w:r w:rsidRPr="00784E54">
        <w:rPr>
          <w:lang w:val="es-ES"/>
        </w:rPr>
        <w:t>:</w:t>
      </w:r>
    </w:p>
    <w:tbl>
      <w:tblPr>
        <w:tblW w:w="10174" w:type="dxa"/>
        <w:jc w:val="center"/>
        <w:tblBorders>
          <w:top w:val="single" w:sz="4" w:space="0" w:color="auto"/>
          <w:bottom w:val="single" w:sz="4" w:space="0" w:color="auto"/>
        </w:tblBorders>
        <w:tblLayout w:type="fixed"/>
        <w:tblLook w:val="01E0" w:firstRow="1" w:lastRow="1" w:firstColumn="1" w:lastColumn="1" w:noHBand="0" w:noVBand="0"/>
      </w:tblPr>
      <w:tblGrid>
        <w:gridCol w:w="3052"/>
        <w:gridCol w:w="986"/>
        <w:gridCol w:w="1407"/>
        <w:gridCol w:w="1266"/>
        <w:gridCol w:w="952"/>
        <w:gridCol w:w="1255"/>
        <w:gridCol w:w="1198"/>
        <w:gridCol w:w="58"/>
      </w:tblGrid>
      <w:tr w:rsidR="00784E54" w:rsidRPr="002D34C1" w:rsidTr="00D41E85">
        <w:trPr>
          <w:trHeight w:val="255"/>
          <w:jc w:val="center"/>
        </w:trPr>
        <w:tc>
          <w:tcPr>
            <w:tcW w:w="3052"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2D34C1">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2D34C1">
              <w:rPr>
                <w:rFonts w:ascii="Arial" w:hAnsi="Arial"/>
                <w:spacing w:val="6"/>
                <w:sz w:val="18"/>
                <w:szCs w:val="18"/>
              </w:rPr>
              <w:t>Objeto</w:t>
            </w:r>
          </w:p>
        </w:tc>
        <w:tc>
          <w:tcPr>
            <w:tcW w:w="986"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sidRPr="002D34C1">
              <w:rPr>
                <w:rFonts w:ascii="Arial" w:hAnsi="Arial"/>
                <w:spacing w:val="6"/>
                <w:sz w:val="18"/>
                <w:szCs w:val="18"/>
              </w:rPr>
              <w:t>Tipo</w:t>
            </w:r>
          </w:p>
        </w:tc>
        <w:tc>
          <w:tcPr>
            <w:tcW w:w="1407"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sidRPr="002D34C1">
              <w:rPr>
                <w:rFonts w:ascii="Arial" w:hAnsi="Arial"/>
                <w:spacing w:val="6"/>
                <w:sz w:val="18"/>
                <w:szCs w:val="18"/>
              </w:rPr>
              <w:t>Procedimiento</w:t>
            </w:r>
          </w:p>
        </w:tc>
        <w:tc>
          <w:tcPr>
            <w:tcW w:w="1266" w:type="dxa"/>
            <w:tcBorders>
              <w:top w:val="single" w:sz="4" w:space="0" w:color="auto"/>
              <w:bottom w:val="single" w:sz="4" w:space="0" w:color="auto"/>
            </w:tcBorders>
            <w:shd w:val="clear" w:color="auto" w:fill="8DB3E2" w:themeFill="text2" w:themeFillTint="66"/>
            <w:vAlign w:val="center"/>
          </w:tcPr>
          <w:p w:rsidR="000C726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2D34C1">
              <w:rPr>
                <w:rFonts w:ascii="Arial" w:hAnsi="Arial"/>
                <w:spacing w:val="6"/>
                <w:sz w:val="18"/>
                <w:szCs w:val="18"/>
              </w:rPr>
              <w:t xml:space="preserve">Criterio </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2D34C1">
              <w:rPr>
                <w:rFonts w:ascii="Arial" w:hAnsi="Arial"/>
                <w:spacing w:val="6"/>
                <w:sz w:val="18"/>
                <w:szCs w:val="18"/>
              </w:rPr>
              <w:t>adjudicación</w:t>
            </w:r>
          </w:p>
        </w:tc>
        <w:tc>
          <w:tcPr>
            <w:tcW w:w="952"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w:hAnsi="Arial"/>
                <w:spacing w:val="6"/>
                <w:sz w:val="18"/>
                <w:szCs w:val="18"/>
              </w:rPr>
            </w:pPr>
            <w:r w:rsidRPr="002D34C1">
              <w:rPr>
                <w:rFonts w:ascii="Arial" w:hAnsi="Arial"/>
                <w:spacing w:val="6"/>
                <w:sz w:val="18"/>
                <w:szCs w:val="18"/>
              </w:rPr>
              <w:t xml:space="preserve">Precio </w:t>
            </w:r>
          </w:p>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w:hAnsi="Arial"/>
                <w:spacing w:val="6"/>
                <w:sz w:val="18"/>
                <w:szCs w:val="18"/>
              </w:rPr>
            </w:pPr>
            <w:r w:rsidRPr="002D34C1">
              <w:rPr>
                <w:rFonts w:ascii="Arial" w:hAnsi="Arial"/>
                <w:spacing w:val="6"/>
                <w:sz w:val="18"/>
                <w:szCs w:val="18"/>
              </w:rPr>
              <w:t xml:space="preserve">licitación </w:t>
            </w:r>
          </w:p>
        </w:tc>
        <w:tc>
          <w:tcPr>
            <w:tcW w:w="1255" w:type="dxa"/>
            <w:tcBorders>
              <w:top w:val="single" w:sz="4" w:space="0" w:color="auto"/>
              <w:bottom w:val="single" w:sz="4" w:space="0" w:color="auto"/>
            </w:tcBorders>
            <w:shd w:val="clear" w:color="auto" w:fill="8DB3E2" w:themeFill="text2" w:themeFillTint="66"/>
            <w:vAlign w:val="center"/>
            <w:hideMark/>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2D34C1">
              <w:rPr>
                <w:rFonts w:ascii="Arial" w:hAnsi="Arial"/>
                <w:spacing w:val="6"/>
                <w:sz w:val="18"/>
                <w:szCs w:val="18"/>
              </w:rPr>
              <w:t xml:space="preserve">Importe </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2D34C1">
              <w:rPr>
                <w:rFonts w:ascii="Arial" w:hAnsi="Arial"/>
                <w:spacing w:val="6"/>
                <w:sz w:val="18"/>
                <w:szCs w:val="18"/>
              </w:rPr>
              <w:t xml:space="preserve">adjudicación </w:t>
            </w:r>
          </w:p>
        </w:tc>
        <w:tc>
          <w:tcPr>
            <w:tcW w:w="1256" w:type="dxa"/>
            <w:gridSpan w:val="2"/>
            <w:tcBorders>
              <w:top w:val="single" w:sz="4" w:space="0" w:color="auto"/>
              <w:bottom w:val="single" w:sz="4" w:space="0" w:color="auto"/>
            </w:tcBorders>
            <w:shd w:val="clear" w:color="auto" w:fill="8DB3E2" w:themeFill="text2" w:themeFillTint="66"/>
            <w:vAlign w:val="center"/>
          </w:tcPr>
          <w:p w:rsidR="00784E54" w:rsidRPr="002D34C1" w:rsidRDefault="00E042B5"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pacing w:val="6"/>
                <w:sz w:val="18"/>
                <w:szCs w:val="18"/>
              </w:rPr>
              <w:t>% b</w:t>
            </w:r>
            <w:r w:rsidR="00784E54" w:rsidRPr="002D34C1">
              <w:rPr>
                <w:rFonts w:ascii="Arial" w:hAnsi="Arial"/>
                <w:spacing w:val="6"/>
                <w:sz w:val="18"/>
                <w:szCs w:val="18"/>
              </w:rPr>
              <w:t>aja</w:t>
            </w:r>
          </w:p>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2D34C1">
              <w:rPr>
                <w:rFonts w:ascii="Arial" w:hAnsi="Arial"/>
                <w:spacing w:val="6"/>
                <w:sz w:val="18"/>
                <w:szCs w:val="18"/>
              </w:rPr>
              <w:t xml:space="preserve"> adjudicación </w:t>
            </w:r>
          </w:p>
        </w:tc>
      </w:tr>
      <w:tr w:rsidR="00784E54" w:rsidRPr="002D34C1" w:rsidTr="00D41E85">
        <w:trPr>
          <w:trHeight w:val="198"/>
          <w:jc w:val="center"/>
        </w:trPr>
        <w:tc>
          <w:tcPr>
            <w:tcW w:w="3052" w:type="dxa"/>
            <w:tcBorders>
              <w:top w:val="single" w:sz="4" w:space="0" w:color="auto"/>
              <w:bottom w:val="single" w:sz="2"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D34C1">
              <w:rPr>
                <w:rFonts w:ascii="Arial Narrow" w:hAnsi="Arial Narrow"/>
                <w:spacing w:val="6"/>
              </w:rPr>
              <w:t>Explotación y mantenimiento Ce</w:t>
            </w:r>
            <w:r w:rsidRPr="002D34C1">
              <w:rPr>
                <w:rFonts w:ascii="Arial Narrow" w:hAnsi="Arial Narrow"/>
                <w:spacing w:val="6"/>
              </w:rPr>
              <w:t>n</w:t>
            </w:r>
            <w:r w:rsidRPr="002D34C1">
              <w:rPr>
                <w:rFonts w:ascii="Arial Narrow" w:hAnsi="Arial Narrow"/>
                <w:spacing w:val="6"/>
              </w:rPr>
              <w:t>tro de Control de los sistemas e instalaciones de él dependientes, túneles, alumbrado y semáforos, años 2017-2020</w:t>
            </w:r>
          </w:p>
        </w:tc>
        <w:tc>
          <w:tcPr>
            <w:tcW w:w="986" w:type="dxa"/>
            <w:tcBorders>
              <w:top w:val="single" w:sz="4"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2D34C1">
              <w:rPr>
                <w:rFonts w:ascii="Arial Narrow" w:hAnsi="Arial Narrow"/>
                <w:spacing w:val="6"/>
              </w:rPr>
              <w:t>Asistencia</w:t>
            </w:r>
          </w:p>
        </w:tc>
        <w:tc>
          <w:tcPr>
            <w:tcW w:w="1407" w:type="dxa"/>
            <w:tcBorders>
              <w:top w:val="single" w:sz="4" w:space="0" w:color="auto"/>
              <w:bottom w:val="single" w:sz="2" w:space="0" w:color="auto"/>
            </w:tcBorders>
            <w:vAlign w:val="center"/>
          </w:tcPr>
          <w:p w:rsidR="004C01E5"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2D34C1">
              <w:rPr>
                <w:rFonts w:ascii="Arial Narrow" w:hAnsi="Arial Narrow"/>
                <w:spacing w:val="6"/>
              </w:rPr>
              <w:t xml:space="preserve">Abierto superior </w:t>
            </w:r>
          </w:p>
          <w:p w:rsidR="004C01E5"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2D34C1">
              <w:rPr>
                <w:rFonts w:ascii="Arial Narrow" w:hAnsi="Arial Narrow"/>
                <w:spacing w:val="6"/>
              </w:rPr>
              <w:t xml:space="preserve">al umbral </w:t>
            </w:r>
          </w:p>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2D34C1">
              <w:rPr>
                <w:rFonts w:ascii="Arial Narrow" w:hAnsi="Arial Narrow"/>
                <w:spacing w:val="6"/>
              </w:rPr>
              <w:t>comunitario</w:t>
            </w:r>
          </w:p>
        </w:tc>
        <w:tc>
          <w:tcPr>
            <w:tcW w:w="1266" w:type="dxa"/>
            <w:tcBorders>
              <w:top w:val="single" w:sz="4"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Oferta más ventajosa</w:t>
            </w:r>
          </w:p>
        </w:tc>
        <w:tc>
          <w:tcPr>
            <w:tcW w:w="952" w:type="dxa"/>
            <w:tcBorders>
              <w:top w:val="single" w:sz="4"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sidRPr="002D34C1">
              <w:rPr>
                <w:rFonts w:ascii="Arial Narrow" w:hAnsi="Arial Narrow"/>
                <w:spacing w:val="6"/>
              </w:rPr>
              <w:t>6.353.306</w:t>
            </w:r>
          </w:p>
        </w:tc>
        <w:tc>
          <w:tcPr>
            <w:tcW w:w="1255" w:type="dxa"/>
            <w:tcBorders>
              <w:top w:val="single" w:sz="4"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5.454.313</w:t>
            </w:r>
          </w:p>
        </w:tc>
        <w:tc>
          <w:tcPr>
            <w:tcW w:w="1256" w:type="dxa"/>
            <w:gridSpan w:val="2"/>
            <w:tcBorders>
              <w:top w:val="single" w:sz="4" w:space="0" w:color="auto"/>
              <w:bottom w:val="single" w:sz="2"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14</w:t>
            </w:r>
          </w:p>
        </w:tc>
      </w:tr>
      <w:tr w:rsidR="00784E54" w:rsidRPr="002D34C1" w:rsidTr="00D41E85">
        <w:trPr>
          <w:trHeight w:val="198"/>
          <w:jc w:val="center"/>
        </w:trPr>
        <w:tc>
          <w:tcPr>
            <w:tcW w:w="3052" w:type="dxa"/>
            <w:tcBorders>
              <w:top w:val="single" w:sz="2" w:space="0" w:color="auto"/>
              <w:bottom w:val="single" w:sz="2"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D34C1">
              <w:rPr>
                <w:rFonts w:ascii="Arial Narrow" w:hAnsi="Arial Narrow"/>
                <w:spacing w:val="6"/>
              </w:rPr>
              <w:t>Acuerdo marco para selección y adjudicación servicio limpieza CPEN y sociedades dependientes adheridas</w:t>
            </w:r>
          </w:p>
        </w:tc>
        <w:tc>
          <w:tcPr>
            <w:tcW w:w="986"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2D34C1">
              <w:rPr>
                <w:rFonts w:ascii="Arial Narrow" w:hAnsi="Arial Narrow"/>
                <w:spacing w:val="6"/>
              </w:rPr>
              <w:t>Asistencia</w:t>
            </w:r>
          </w:p>
        </w:tc>
        <w:tc>
          <w:tcPr>
            <w:tcW w:w="1407"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2D34C1">
              <w:rPr>
                <w:rFonts w:ascii="Arial Narrow" w:hAnsi="Arial Narrow"/>
                <w:spacing w:val="6"/>
              </w:rPr>
              <w:t>Abierto</w:t>
            </w:r>
          </w:p>
        </w:tc>
        <w:tc>
          <w:tcPr>
            <w:tcW w:w="1266" w:type="dxa"/>
            <w:tcBorders>
              <w:top w:val="single" w:sz="2"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Oferta más ventajosa</w:t>
            </w:r>
          </w:p>
        </w:tc>
        <w:tc>
          <w:tcPr>
            <w:tcW w:w="952" w:type="dxa"/>
            <w:tcBorders>
              <w:top w:val="single" w:sz="2" w:space="0" w:color="auto"/>
              <w:bottom w:val="single" w:sz="2"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sidRPr="002D34C1">
              <w:rPr>
                <w:rFonts w:ascii="Arial Narrow" w:hAnsi="Arial Narrow"/>
                <w:spacing w:val="6"/>
              </w:rPr>
              <w:t>2.688.364*</w:t>
            </w:r>
          </w:p>
        </w:tc>
        <w:tc>
          <w:tcPr>
            <w:tcW w:w="1255" w:type="dxa"/>
            <w:tcBorders>
              <w:top w:val="single" w:sz="2" w:space="0" w:color="auto"/>
              <w:bottom w:val="single" w:sz="2"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2.547.116</w:t>
            </w:r>
          </w:p>
        </w:tc>
        <w:tc>
          <w:tcPr>
            <w:tcW w:w="1256" w:type="dxa"/>
            <w:gridSpan w:val="2"/>
            <w:tcBorders>
              <w:top w:val="single" w:sz="2" w:space="0" w:color="auto"/>
              <w:bottom w:val="single" w:sz="2"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5</w:t>
            </w:r>
          </w:p>
        </w:tc>
      </w:tr>
      <w:tr w:rsidR="00784E54" w:rsidRPr="002D34C1" w:rsidTr="00D41E85">
        <w:trPr>
          <w:trHeight w:val="198"/>
          <w:jc w:val="center"/>
        </w:trPr>
        <w:tc>
          <w:tcPr>
            <w:tcW w:w="3052" w:type="dxa"/>
            <w:tcBorders>
              <w:top w:val="single" w:sz="2" w:space="0" w:color="auto"/>
              <w:bottom w:val="single" w:sz="4" w:space="0" w:color="auto"/>
            </w:tcBorders>
            <w:vAlign w:val="center"/>
          </w:tcPr>
          <w:p w:rsidR="00784E54" w:rsidRPr="002D34C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2D34C1">
              <w:rPr>
                <w:rFonts w:ascii="Arial Narrow" w:hAnsi="Arial Narrow"/>
                <w:spacing w:val="6"/>
              </w:rPr>
              <w:t>Asistencia técnica a través de una sociedad gestora de entidades de inversión colectiva de tipo cerrado (SGEIC) para la puesta en marcha y gestión de un instrumento fina</w:t>
            </w:r>
            <w:r w:rsidRPr="002D34C1">
              <w:rPr>
                <w:rFonts w:ascii="Arial Narrow" w:hAnsi="Arial Narrow"/>
                <w:spacing w:val="6"/>
              </w:rPr>
              <w:t>n</w:t>
            </w:r>
            <w:r w:rsidRPr="002D34C1">
              <w:rPr>
                <w:rFonts w:ascii="Arial Narrow" w:hAnsi="Arial Narrow"/>
                <w:spacing w:val="6"/>
              </w:rPr>
              <w:t xml:space="preserve">ciero </w:t>
            </w:r>
            <w:r w:rsidR="00664032">
              <w:rPr>
                <w:rFonts w:ascii="Arial Narrow" w:hAnsi="Arial Narrow"/>
                <w:spacing w:val="6"/>
              </w:rPr>
              <w:t>(SODENA)</w:t>
            </w:r>
          </w:p>
        </w:tc>
        <w:tc>
          <w:tcPr>
            <w:tcW w:w="986"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2D34C1">
              <w:rPr>
                <w:rFonts w:ascii="Arial Narrow" w:hAnsi="Arial Narrow"/>
                <w:spacing w:val="6"/>
              </w:rPr>
              <w:t>Asistencia</w:t>
            </w:r>
          </w:p>
        </w:tc>
        <w:tc>
          <w:tcPr>
            <w:tcW w:w="1407"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2D34C1">
              <w:rPr>
                <w:rFonts w:ascii="Arial Narrow" w:hAnsi="Arial Narrow"/>
                <w:spacing w:val="6"/>
              </w:rPr>
              <w:t>Abierto</w:t>
            </w:r>
          </w:p>
        </w:tc>
        <w:tc>
          <w:tcPr>
            <w:tcW w:w="1266" w:type="dxa"/>
            <w:tcBorders>
              <w:top w:val="single" w:sz="2" w:space="0" w:color="auto"/>
              <w:bottom w:val="single" w:sz="4"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Oferta más ventajosa</w:t>
            </w:r>
          </w:p>
        </w:tc>
        <w:tc>
          <w:tcPr>
            <w:tcW w:w="952" w:type="dxa"/>
            <w:tcBorders>
              <w:top w:val="single" w:sz="2" w:space="0" w:color="auto"/>
              <w:bottom w:val="single" w:sz="4" w:space="0" w:color="auto"/>
            </w:tcBorders>
            <w:vAlign w:val="center"/>
          </w:tcPr>
          <w:p w:rsidR="00784E54" w:rsidRPr="002D34C1" w:rsidRDefault="00784E54" w:rsidP="00D41E85">
            <w:pPr>
              <w:keepLines/>
              <w:tabs>
                <w:tab w:val="right" w:pos="2835"/>
                <w:tab w:val="right" w:pos="3969"/>
                <w:tab w:val="right" w:pos="5103"/>
                <w:tab w:val="right" w:pos="6237"/>
                <w:tab w:val="right" w:pos="7371"/>
              </w:tabs>
              <w:spacing w:after="0"/>
              <w:ind w:left="-144" w:right="-95" w:firstLine="0"/>
              <w:jc w:val="right"/>
              <w:rPr>
                <w:rFonts w:ascii="Arial Narrow" w:hAnsi="Arial Narrow"/>
                <w:spacing w:val="6"/>
              </w:rPr>
            </w:pPr>
            <w:r w:rsidRPr="002D34C1">
              <w:rPr>
                <w:rFonts w:ascii="Arial Narrow" w:hAnsi="Arial Narrow"/>
                <w:spacing w:val="6"/>
              </w:rPr>
              <w:t>3.600.000</w:t>
            </w:r>
          </w:p>
        </w:tc>
        <w:tc>
          <w:tcPr>
            <w:tcW w:w="1255" w:type="dxa"/>
            <w:tcBorders>
              <w:top w:val="single" w:sz="2" w:space="0" w:color="auto"/>
              <w:bottom w:val="single" w:sz="4" w:space="0" w:color="auto"/>
            </w:tcBorders>
            <w:vAlign w:val="center"/>
          </w:tcPr>
          <w:p w:rsidR="00784E54" w:rsidRPr="002D34C1" w:rsidRDefault="00784E54" w:rsidP="002D34C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3.000.000</w:t>
            </w:r>
          </w:p>
        </w:tc>
        <w:tc>
          <w:tcPr>
            <w:tcW w:w="1256" w:type="dxa"/>
            <w:gridSpan w:val="2"/>
            <w:tcBorders>
              <w:top w:val="single" w:sz="2" w:space="0" w:color="auto"/>
              <w:bottom w:val="single" w:sz="4" w:space="0" w:color="auto"/>
            </w:tcBorders>
            <w:vAlign w:val="center"/>
          </w:tcPr>
          <w:p w:rsidR="00784E54" w:rsidRPr="002D34C1" w:rsidRDefault="00784E54" w:rsidP="00E042B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2D34C1">
              <w:rPr>
                <w:rFonts w:ascii="Arial Narrow" w:hAnsi="Arial Narrow"/>
                <w:spacing w:val="6"/>
              </w:rPr>
              <w:t>17</w:t>
            </w:r>
          </w:p>
        </w:tc>
      </w:tr>
      <w:tr w:rsidR="00784E54" w:rsidRPr="002D34C1" w:rsidTr="00D41E85">
        <w:trPr>
          <w:gridAfter w:val="1"/>
          <w:wAfter w:w="58" w:type="dxa"/>
          <w:trHeight w:hRule="exact" w:val="433"/>
          <w:jc w:val="center"/>
        </w:trPr>
        <w:tc>
          <w:tcPr>
            <w:tcW w:w="10116" w:type="dxa"/>
            <w:gridSpan w:val="7"/>
            <w:tcBorders>
              <w:top w:val="single" w:sz="4" w:space="0" w:color="auto"/>
              <w:bottom w:val="nil"/>
            </w:tcBorders>
            <w:vAlign w:val="center"/>
          </w:tcPr>
          <w:p w:rsidR="00784E54" w:rsidRPr="002D34C1" w:rsidRDefault="00784E54" w:rsidP="00E042B5">
            <w:pPr>
              <w:keepLines/>
              <w:tabs>
                <w:tab w:val="right" w:pos="2835"/>
                <w:tab w:val="right" w:pos="3969"/>
                <w:tab w:val="right" w:pos="5103"/>
                <w:tab w:val="right" w:pos="6237"/>
                <w:tab w:val="right" w:pos="7371"/>
              </w:tabs>
              <w:spacing w:before="60" w:after="0"/>
              <w:ind w:right="-176" w:firstLine="0"/>
              <w:jc w:val="left"/>
              <w:rPr>
                <w:rFonts w:ascii="Arial" w:hAnsi="Arial" w:cs="Arial"/>
                <w:spacing w:val="6"/>
                <w:sz w:val="16"/>
                <w:szCs w:val="16"/>
              </w:rPr>
            </w:pPr>
            <w:r w:rsidRPr="002D34C1">
              <w:rPr>
                <w:rFonts w:ascii="Arial" w:hAnsi="Arial" w:cs="Arial"/>
                <w:spacing w:val="6"/>
                <w:sz w:val="16"/>
                <w:szCs w:val="16"/>
              </w:rPr>
              <w:t>(*) El anuncio de licitación era por un total de 3.226.037 euros que incluían además del precio anual indicado, 537.673 euros fijos por posibles modificaciones o ampliaciones de los centros.</w:t>
            </w:r>
          </w:p>
        </w:tc>
      </w:tr>
    </w:tbl>
    <w:p w:rsidR="00784E54" w:rsidRPr="008121DB" w:rsidRDefault="00784E54" w:rsidP="00D76979">
      <w:pPr>
        <w:pStyle w:val="texto"/>
        <w:spacing w:before="240"/>
      </w:pPr>
      <w:r w:rsidRPr="00784E54">
        <w:t>De la revisión de los expedientes de contratación señalados, concluimos que, en general, se tramitaron de conformidad con la normativa aplicable</w:t>
      </w:r>
      <w:r w:rsidRPr="008121DB">
        <w:t xml:space="preserve">. </w:t>
      </w:r>
    </w:p>
    <w:p w:rsidR="000C7261" w:rsidRPr="00D22D79" w:rsidRDefault="00784E54" w:rsidP="00DD300F">
      <w:pPr>
        <w:pStyle w:val="texto"/>
        <w:rPr>
          <w:rFonts w:ascii="Arial" w:hAnsi="Arial"/>
          <w:i/>
          <w:iCs/>
          <w:color w:val="000000"/>
          <w:spacing w:val="10"/>
          <w:kern w:val="28"/>
          <w:sz w:val="25"/>
          <w:szCs w:val="26"/>
        </w:rPr>
      </w:pPr>
      <w:r w:rsidRPr="00DD300F">
        <w:rPr>
          <w:i/>
          <w:lang w:val="es-ES"/>
        </w:rPr>
        <w:t>Recomendamos</w:t>
      </w:r>
      <w:r w:rsidR="00DD300F">
        <w:rPr>
          <w:i/>
          <w:lang w:val="es-ES"/>
        </w:rPr>
        <w:t xml:space="preserve"> </w:t>
      </w:r>
      <w:r w:rsidR="002B5641" w:rsidRPr="00D22D79">
        <w:rPr>
          <w:rFonts w:cs="Arial"/>
          <w:i/>
        </w:rPr>
        <w:t>realizar</w:t>
      </w:r>
      <w:r w:rsidRPr="00D22D79">
        <w:rPr>
          <w:rFonts w:cs="Arial"/>
          <w:i/>
        </w:rPr>
        <w:t xml:space="preserve"> muestreos de control de las facturas que soportan las cuentas de gestión justificativas de los gastos de funcionamiento de los ce</w:t>
      </w:r>
      <w:r w:rsidRPr="00D22D79">
        <w:rPr>
          <w:rFonts w:cs="Arial"/>
          <w:i/>
        </w:rPr>
        <w:t>n</w:t>
      </w:r>
      <w:r w:rsidRPr="00D22D79">
        <w:rPr>
          <w:rFonts w:cs="Arial"/>
          <w:i/>
        </w:rPr>
        <w:t>tros propios docentes no universitarios.</w:t>
      </w:r>
    </w:p>
    <w:p w:rsidR="00F50ED7" w:rsidRDefault="00F50ED7">
      <w:pPr>
        <w:spacing w:after="0"/>
        <w:ind w:firstLine="0"/>
        <w:jc w:val="left"/>
        <w:rPr>
          <w:rFonts w:ascii="Arial" w:hAnsi="Arial"/>
          <w:color w:val="000000"/>
          <w:spacing w:val="10"/>
          <w:kern w:val="28"/>
          <w:sz w:val="25"/>
          <w:szCs w:val="26"/>
        </w:rPr>
      </w:pPr>
      <w:bookmarkStart w:id="66" w:name="_Toc427311456"/>
      <w:bookmarkStart w:id="67" w:name="_Toc494270388"/>
      <w:r>
        <w:rPr>
          <w:bCs/>
          <w:iCs/>
        </w:rPr>
        <w:br w:type="page"/>
      </w:r>
    </w:p>
    <w:p w:rsidR="00784E54" w:rsidRPr="00784E54" w:rsidRDefault="00784E54" w:rsidP="00664032">
      <w:pPr>
        <w:pStyle w:val="atitulo2"/>
        <w:spacing w:before="240"/>
        <w:rPr>
          <w:bCs w:val="0"/>
          <w:iCs w:val="0"/>
        </w:rPr>
      </w:pPr>
      <w:bookmarkStart w:id="68" w:name="_Toc498515797"/>
      <w:r w:rsidRPr="00784E54">
        <w:rPr>
          <w:bCs w:val="0"/>
          <w:iCs w:val="0"/>
        </w:rPr>
        <w:lastRenderedPageBreak/>
        <w:t>IV.8. Gastos de transferencias corrientes y de capital</w:t>
      </w:r>
      <w:bookmarkEnd w:id="66"/>
      <w:bookmarkEnd w:id="67"/>
      <w:bookmarkEnd w:id="68"/>
    </w:p>
    <w:p w:rsidR="00784E54" w:rsidRPr="007C550A" w:rsidRDefault="00784E54" w:rsidP="00784E54">
      <w:pPr>
        <w:tabs>
          <w:tab w:val="center" w:pos="2835"/>
          <w:tab w:val="center" w:pos="3969"/>
          <w:tab w:val="center" w:pos="5103"/>
          <w:tab w:val="center" w:pos="6237"/>
          <w:tab w:val="center" w:pos="7371"/>
        </w:tabs>
        <w:spacing w:after="120"/>
        <w:ind w:firstLine="284"/>
        <w:rPr>
          <w:rFonts w:ascii="Arial" w:hAnsi="Arial" w:cs="Arial"/>
          <w:i/>
          <w:spacing w:val="6"/>
          <w:sz w:val="25"/>
          <w:szCs w:val="25"/>
          <w:lang w:val="es-ES"/>
        </w:rPr>
      </w:pPr>
      <w:r w:rsidRPr="007C550A">
        <w:rPr>
          <w:rFonts w:ascii="Arial" w:hAnsi="Arial" w:cs="Arial"/>
          <w:i/>
          <w:spacing w:val="6"/>
          <w:sz w:val="25"/>
          <w:szCs w:val="25"/>
          <w:lang w:val="es-ES"/>
        </w:rPr>
        <w:t>Transferencias corrientes</w:t>
      </w:r>
    </w:p>
    <w:p w:rsidR="00784E54" w:rsidRDefault="00784E54" w:rsidP="001F3380">
      <w:pPr>
        <w:pStyle w:val="texto"/>
        <w:spacing w:after="120"/>
        <w:rPr>
          <w:lang w:val="es-ES"/>
        </w:rPr>
      </w:pPr>
      <w:r w:rsidRPr="00784E54">
        <w:rPr>
          <w:lang w:val="es-ES"/>
        </w:rPr>
        <w:t>Las transferencias corrientes concedidas en 2016 ascendieron a 1.428,24 m</w:t>
      </w:r>
      <w:r w:rsidRPr="00784E54">
        <w:rPr>
          <w:lang w:val="es-ES"/>
        </w:rPr>
        <w:t>i</w:t>
      </w:r>
      <w:r w:rsidRPr="00784E54">
        <w:rPr>
          <w:lang w:val="es-ES"/>
        </w:rPr>
        <w:t>llones de euros y supusieron el 36 por ciento del total de obligaciones recon</w:t>
      </w:r>
      <w:r w:rsidRPr="00784E54">
        <w:rPr>
          <w:lang w:val="es-ES"/>
        </w:rPr>
        <w:t>o</w:t>
      </w:r>
      <w:r w:rsidRPr="00784E54">
        <w:rPr>
          <w:lang w:val="es-ES"/>
        </w:rPr>
        <w:t>cidas. Estos gastos disminuyeron un tres por ciento respecto a los de 2015 tal y como se muestra a continuación: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92"/>
        <w:gridCol w:w="1690"/>
        <w:gridCol w:w="1726"/>
      </w:tblGrid>
      <w:tr w:rsidR="001F3380" w:rsidRPr="001F3380" w:rsidTr="001F3380">
        <w:trPr>
          <w:trHeight w:val="255"/>
        </w:trPr>
        <w:tc>
          <w:tcPr>
            <w:tcW w:w="8819" w:type="dxa"/>
            <w:gridSpan w:val="4"/>
            <w:tcBorders>
              <w:bottom w:val="single" w:sz="4" w:space="0" w:color="auto"/>
            </w:tcBorders>
            <w:shd w:val="clear" w:color="auto" w:fill="auto"/>
            <w:vAlign w:val="center"/>
          </w:tcPr>
          <w:p w:rsidR="001F3380" w:rsidRPr="001F3380" w:rsidRDefault="001F3380" w:rsidP="000C7261">
            <w:pPr>
              <w:pStyle w:val="texto"/>
              <w:spacing w:after="0"/>
              <w:ind w:firstLine="0"/>
              <w:jc w:val="right"/>
              <w:rPr>
                <w:rFonts w:ascii="Arial" w:hAnsi="Arial" w:cs="Arial"/>
                <w:sz w:val="17"/>
                <w:szCs w:val="17"/>
                <w:lang w:val="es-ES"/>
              </w:rPr>
            </w:pPr>
            <w:r w:rsidRPr="001F3380">
              <w:rPr>
                <w:rFonts w:ascii="Arial" w:hAnsi="Arial" w:cs="Arial"/>
                <w:sz w:val="17"/>
                <w:szCs w:val="17"/>
                <w:lang w:val="es-ES"/>
              </w:rPr>
              <w:t>(en miles de euros)</w:t>
            </w:r>
          </w:p>
        </w:tc>
      </w:tr>
      <w:tr w:rsidR="00784E54" w:rsidRPr="00784E54" w:rsidTr="000C7261">
        <w:trPr>
          <w:trHeight w:val="255"/>
        </w:trPr>
        <w:tc>
          <w:tcPr>
            <w:tcW w:w="4111"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jc w:val="right"/>
              <w:rPr>
                <w:rFonts w:ascii="Arial" w:hAnsi="Arial" w:cs="Arial"/>
                <w:sz w:val="18"/>
                <w:szCs w:val="18"/>
                <w:lang w:val="es-ES"/>
              </w:rPr>
            </w:pPr>
          </w:p>
        </w:tc>
        <w:tc>
          <w:tcPr>
            <w:tcW w:w="1292"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ind w:firstLine="0"/>
              <w:jc w:val="right"/>
              <w:rPr>
                <w:rFonts w:ascii="Arial" w:hAnsi="Arial" w:cs="Arial"/>
                <w:sz w:val="18"/>
                <w:szCs w:val="18"/>
                <w:lang w:val="es-ES"/>
              </w:rPr>
            </w:pPr>
            <w:r w:rsidRPr="00784E54">
              <w:rPr>
                <w:rFonts w:ascii="Arial" w:hAnsi="Arial" w:cs="Arial"/>
                <w:sz w:val="18"/>
                <w:szCs w:val="18"/>
                <w:lang w:val="es-ES"/>
              </w:rPr>
              <w:t>2015</w:t>
            </w:r>
          </w:p>
        </w:tc>
        <w:tc>
          <w:tcPr>
            <w:tcW w:w="1690"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pStyle w:val="texto"/>
              <w:spacing w:after="0"/>
              <w:ind w:firstLine="0"/>
              <w:jc w:val="right"/>
              <w:rPr>
                <w:rFonts w:ascii="Arial" w:hAnsi="Arial" w:cs="Arial"/>
                <w:sz w:val="18"/>
                <w:szCs w:val="18"/>
                <w:lang w:val="es-ES"/>
              </w:rPr>
            </w:pPr>
            <w:r w:rsidRPr="00784E54">
              <w:rPr>
                <w:rFonts w:ascii="Arial" w:hAnsi="Arial" w:cs="Arial"/>
                <w:sz w:val="18"/>
                <w:szCs w:val="18"/>
                <w:lang w:val="es-ES"/>
              </w:rPr>
              <w:t>2016</w:t>
            </w:r>
          </w:p>
        </w:tc>
        <w:tc>
          <w:tcPr>
            <w:tcW w:w="1726" w:type="dxa"/>
            <w:tcBorders>
              <w:top w:val="single" w:sz="4" w:space="0" w:color="auto"/>
              <w:bottom w:val="single" w:sz="4" w:space="0" w:color="auto"/>
            </w:tcBorders>
            <w:shd w:val="clear" w:color="auto" w:fill="8DB3E2" w:themeFill="text2" w:themeFillTint="66"/>
            <w:vAlign w:val="center"/>
          </w:tcPr>
          <w:p w:rsidR="00784E54" w:rsidRPr="00784E54" w:rsidRDefault="00E042B5" w:rsidP="00E042B5">
            <w:pPr>
              <w:pStyle w:val="texto"/>
              <w:spacing w:after="0"/>
              <w:ind w:firstLine="0"/>
              <w:jc w:val="right"/>
              <w:rPr>
                <w:rFonts w:ascii="Arial" w:hAnsi="Arial" w:cs="Arial"/>
                <w:sz w:val="18"/>
                <w:szCs w:val="18"/>
                <w:lang w:val="es-ES"/>
              </w:rPr>
            </w:pPr>
            <w:r>
              <w:rPr>
                <w:rFonts w:ascii="Arial" w:hAnsi="Arial" w:cs="Arial"/>
                <w:sz w:val="18"/>
                <w:szCs w:val="18"/>
                <w:lang w:val="es-ES"/>
              </w:rPr>
              <w:t>% v</w:t>
            </w:r>
            <w:r w:rsidR="00784E54" w:rsidRPr="00784E54">
              <w:rPr>
                <w:rFonts w:ascii="Arial" w:hAnsi="Arial" w:cs="Arial"/>
                <w:sz w:val="18"/>
                <w:szCs w:val="18"/>
                <w:lang w:val="es-ES"/>
              </w:rPr>
              <w:t>ar</w:t>
            </w:r>
            <w:r w:rsidR="000C7261">
              <w:rPr>
                <w:rFonts w:ascii="Arial" w:hAnsi="Arial" w:cs="Arial"/>
                <w:sz w:val="18"/>
                <w:szCs w:val="18"/>
                <w:lang w:val="es-ES"/>
              </w:rPr>
              <w:t xml:space="preserve">iación </w:t>
            </w:r>
            <w:r w:rsidR="00784E54" w:rsidRPr="00784E54">
              <w:rPr>
                <w:rFonts w:ascii="Arial" w:hAnsi="Arial" w:cs="Arial"/>
                <w:sz w:val="18"/>
                <w:szCs w:val="18"/>
                <w:lang w:val="es-ES"/>
              </w:rPr>
              <w:t>2016/2015</w:t>
            </w:r>
          </w:p>
        </w:tc>
      </w:tr>
      <w:tr w:rsidR="00784E54" w:rsidRPr="00784E54" w:rsidTr="000C7261">
        <w:trPr>
          <w:trHeight w:val="198"/>
        </w:trPr>
        <w:tc>
          <w:tcPr>
            <w:tcW w:w="4111" w:type="dxa"/>
            <w:tcBorders>
              <w:top w:val="single" w:sz="4"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 corrientes a la Administración del Estado</w:t>
            </w:r>
          </w:p>
        </w:tc>
        <w:tc>
          <w:tcPr>
            <w:tcW w:w="1292"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617.902</w:t>
            </w:r>
          </w:p>
        </w:tc>
        <w:tc>
          <w:tcPr>
            <w:tcW w:w="1690"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540.856</w:t>
            </w:r>
          </w:p>
        </w:tc>
        <w:tc>
          <w:tcPr>
            <w:tcW w:w="1726" w:type="dxa"/>
            <w:tcBorders>
              <w:top w:val="single" w:sz="4"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-12</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Transferencias corrientes a fundaciones</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 xml:space="preserve">  7.947</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8.603</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8</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D41E85">
            <w:pPr>
              <w:spacing w:after="0"/>
              <w:ind w:firstLine="0"/>
              <w:contextualSpacing/>
              <w:rPr>
                <w:rFonts w:ascii="Arial Narrow" w:hAnsi="Arial Narrow"/>
                <w:color w:val="000000"/>
              </w:rPr>
            </w:pPr>
            <w:r w:rsidRPr="00784E54">
              <w:rPr>
                <w:rFonts w:ascii="Arial Narrow" w:hAnsi="Arial Narrow"/>
                <w:color w:val="000000"/>
              </w:rPr>
              <w:t>T. ctes. a empresas públicas y otros entes públic</w:t>
            </w:r>
            <w:r w:rsidR="00D41E85">
              <w:rPr>
                <w:rFonts w:ascii="Arial Narrow" w:hAnsi="Arial Narrow"/>
                <w:color w:val="000000"/>
              </w:rPr>
              <w:t>os</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 xml:space="preserve"> 78.020</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77.074</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-1</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Transferencias corrientes a entidades locales</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261.189</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269.670</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3</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Transferencias corrientes a empresas privadas</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 xml:space="preserve"> 57.801</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59.419</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3</w:t>
            </w:r>
          </w:p>
        </w:tc>
      </w:tr>
      <w:tr w:rsidR="00784E54" w:rsidRPr="00784E54" w:rsidTr="000C7261">
        <w:trPr>
          <w:trHeight w:val="198"/>
        </w:trPr>
        <w:tc>
          <w:tcPr>
            <w:tcW w:w="4111" w:type="dxa"/>
            <w:tcBorders>
              <w:top w:val="single" w:sz="2" w:space="0" w:color="auto"/>
              <w:bottom w:val="single" w:sz="2"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 ctes. familias e instituc. sin fines de lucro</w:t>
            </w:r>
          </w:p>
        </w:tc>
        <w:tc>
          <w:tcPr>
            <w:tcW w:w="1292"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448.204</w:t>
            </w:r>
          </w:p>
        </w:tc>
        <w:tc>
          <w:tcPr>
            <w:tcW w:w="1690"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472.588</w:t>
            </w:r>
          </w:p>
        </w:tc>
        <w:tc>
          <w:tcPr>
            <w:tcW w:w="1726" w:type="dxa"/>
            <w:tcBorders>
              <w:top w:val="single" w:sz="2" w:space="0" w:color="auto"/>
              <w:bottom w:val="single" w:sz="2"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5</w:t>
            </w:r>
          </w:p>
        </w:tc>
      </w:tr>
      <w:tr w:rsidR="00784E54" w:rsidRPr="00784E54" w:rsidTr="000C7261">
        <w:trPr>
          <w:trHeight w:val="198"/>
        </w:trPr>
        <w:tc>
          <w:tcPr>
            <w:tcW w:w="4111" w:type="dxa"/>
            <w:tcBorders>
              <w:top w:val="single" w:sz="2" w:space="0" w:color="auto"/>
              <w:bottom w:val="single" w:sz="4" w:space="0" w:color="auto"/>
            </w:tcBorders>
            <w:vAlign w:val="center"/>
          </w:tcPr>
          <w:p w:rsidR="00784E54" w:rsidRPr="00784E54" w:rsidRDefault="00784E54" w:rsidP="00784E54">
            <w:pPr>
              <w:spacing w:after="0"/>
              <w:ind w:firstLine="0"/>
              <w:contextualSpacing/>
              <w:rPr>
                <w:rFonts w:ascii="Arial Narrow" w:hAnsi="Arial Narrow"/>
                <w:color w:val="000000"/>
              </w:rPr>
            </w:pPr>
            <w:r w:rsidRPr="00784E54">
              <w:rPr>
                <w:rFonts w:ascii="Arial Narrow" w:hAnsi="Arial Narrow"/>
                <w:color w:val="000000"/>
              </w:rPr>
              <w:t>Transferencias corrientes al exterior</w:t>
            </w:r>
          </w:p>
        </w:tc>
        <w:tc>
          <w:tcPr>
            <w:tcW w:w="1292"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46</w:t>
            </w:r>
          </w:p>
        </w:tc>
        <w:tc>
          <w:tcPr>
            <w:tcW w:w="1690"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30</w:t>
            </w:r>
          </w:p>
        </w:tc>
        <w:tc>
          <w:tcPr>
            <w:tcW w:w="1726" w:type="dxa"/>
            <w:tcBorders>
              <w:top w:val="single" w:sz="2" w:space="0" w:color="auto"/>
              <w:bottom w:val="single" w:sz="4" w:space="0" w:color="auto"/>
            </w:tcBorders>
            <w:vAlign w:val="center"/>
          </w:tcPr>
          <w:p w:rsidR="00784E54" w:rsidRPr="00784E54" w:rsidRDefault="00784E54" w:rsidP="000C7261">
            <w:pPr>
              <w:spacing w:after="0"/>
              <w:ind w:firstLine="0"/>
              <w:contextualSpacing/>
              <w:jc w:val="right"/>
              <w:rPr>
                <w:rFonts w:ascii="Arial Narrow" w:hAnsi="Arial Narrow"/>
                <w:color w:val="000000"/>
              </w:rPr>
            </w:pPr>
            <w:r w:rsidRPr="00784E54">
              <w:rPr>
                <w:rFonts w:ascii="Arial Narrow" w:hAnsi="Arial Narrow"/>
                <w:color w:val="000000"/>
              </w:rPr>
              <w:t>-35</w:t>
            </w:r>
          </w:p>
        </w:tc>
      </w:tr>
      <w:tr w:rsidR="00784E54" w:rsidRPr="00784E54" w:rsidTr="000C7261">
        <w:trPr>
          <w:trHeight w:val="255"/>
        </w:trPr>
        <w:tc>
          <w:tcPr>
            <w:tcW w:w="4111"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left"/>
              <w:rPr>
                <w:rFonts w:ascii="Arial" w:hAnsi="Arial" w:cs="Arial"/>
                <w:color w:val="000000"/>
                <w:sz w:val="18"/>
                <w:szCs w:val="18"/>
              </w:rPr>
            </w:pPr>
            <w:r w:rsidRPr="00784E54">
              <w:rPr>
                <w:rFonts w:ascii="Arial" w:hAnsi="Arial" w:cs="Arial"/>
                <w:color w:val="000000"/>
                <w:sz w:val="18"/>
                <w:szCs w:val="18"/>
              </w:rPr>
              <w:t>Total</w:t>
            </w:r>
          </w:p>
        </w:tc>
        <w:tc>
          <w:tcPr>
            <w:tcW w:w="1292"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sidRPr="00784E54">
              <w:rPr>
                <w:rFonts w:ascii="Arial" w:hAnsi="Arial" w:cs="Arial"/>
                <w:color w:val="000000"/>
                <w:sz w:val="18"/>
                <w:szCs w:val="18"/>
              </w:rPr>
              <w:t>1.471.108</w:t>
            </w:r>
          </w:p>
        </w:tc>
        <w:tc>
          <w:tcPr>
            <w:tcW w:w="1690"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sidRPr="00784E54">
              <w:rPr>
                <w:rFonts w:ascii="Arial" w:hAnsi="Arial" w:cs="Arial"/>
                <w:color w:val="000000"/>
                <w:sz w:val="18"/>
                <w:szCs w:val="18"/>
              </w:rPr>
              <w:t>1.428.240</w:t>
            </w:r>
          </w:p>
        </w:tc>
        <w:tc>
          <w:tcPr>
            <w:tcW w:w="1726" w:type="dxa"/>
            <w:tcBorders>
              <w:top w:val="single" w:sz="4" w:space="0" w:color="auto"/>
              <w:bottom w:val="single" w:sz="4" w:space="0" w:color="auto"/>
            </w:tcBorders>
            <w:shd w:val="clear" w:color="auto" w:fill="8DB3E2" w:themeFill="text2" w:themeFillTint="66"/>
            <w:vAlign w:val="center"/>
          </w:tcPr>
          <w:p w:rsidR="00784E54" w:rsidRPr="00784E54" w:rsidRDefault="00784E54" w:rsidP="000C7261">
            <w:pPr>
              <w:spacing w:after="0"/>
              <w:ind w:firstLine="0"/>
              <w:contextualSpacing/>
              <w:jc w:val="right"/>
              <w:rPr>
                <w:rFonts w:ascii="Arial" w:hAnsi="Arial" w:cs="Arial"/>
                <w:color w:val="000000"/>
                <w:sz w:val="18"/>
                <w:szCs w:val="18"/>
              </w:rPr>
            </w:pPr>
            <w:r w:rsidRPr="00784E54">
              <w:rPr>
                <w:rFonts w:ascii="Arial" w:hAnsi="Arial" w:cs="Arial"/>
                <w:color w:val="000000"/>
                <w:sz w:val="18"/>
                <w:szCs w:val="18"/>
              </w:rPr>
              <w:t>-3</w:t>
            </w:r>
          </w:p>
        </w:tc>
      </w:tr>
    </w:tbl>
    <w:p w:rsidR="004E3969" w:rsidRDefault="00784E54" w:rsidP="0007286F">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lang w:val="es-ES"/>
        </w:rPr>
      </w:pPr>
      <w:r w:rsidRPr="00784E54">
        <w:rPr>
          <w:spacing w:val="6"/>
          <w:sz w:val="26"/>
          <w:szCs w:val="24"/>
          <w:lang w:val="es-ES"/>
        </w:rPr>
        <w:t>Como se observa, es significativo el decremento de las transferencias al E</w:t>
      </w:r>
      <w:r w:rsidRPr="00784E54">
        <w:rPr>
          <w:spacing w:val="6"/>
          <w:sz w:val="26"/>
          <w:szCs w:val="24"/>
          <w:lang w:val="es-ES"/>
        </w:rPr>
        <w:t>s</w:t>
      </w:r>
      <w:r w:rsidRPr="00784E54">
        <w:rPr>
          <w:spacing w:val="6"/>
          <w:sz w:val="26"/>
          <w:szCs w:val="24"/>
          <w:lang w:val="es-ES"/>
        </w:rPr>
        <w:t>tado en un 12 por ciento (77 millones de euros menos) debido fundamentalme</w:t>
      </w:r>
      <w:r w:rsidRPr="00784E54">
        <w:rPr>
          <w:spacing w:val="6"/>
          <w:sz w:val="26"/>
          <w:szCs w:val="24"/>
          <w:lang w:val="es-ES"/>
        </w:rPr>
        <w:t>n</w:t>
      </w:r>
      <w:r w:rsidRPr="00784E54">
        <w:rPr>
          <w:spacing w:val="6"/>
          <w:sz w:val="26"/>
          <w:szCs w:val="24"/>
          <w:lang w:val="es-ES"/>
        </w:rPr>
        <w:t>te a la discrepancia relacionada con el convenio económico ya citada</w:t>
      </w:r>
      <w:r w:rsidR="00F50ED7">
        <w:rPr>
          <w:spacing w:val="6"/>
          <w:sz w:val="26"/>
          <w:szCs w:val="24"/>
          <w:lang w:val="es-ES"/>
        </w:rPr>
        <w:t xml:space="preserve"> y a la compensación de los impuestos del sector eléctrico correspondiente a los eje</w:t>
      </w:r>
      <w:r w:rsidR="00F50ED7">
        <w:rPr>
          <w:spacing w:val="6"/>
          <w:sz w:val="26"/>
          <w:szCs w:val="24"/>
          <w:lang w:val="es-ES"/>
        </w:rPr>
        <w:t>r</w:t>
      </w:r>
      <w:r w:rsidR="00F50ED7">
        <w:rPr>
          <w:spacing w:val="6"/>
          <w:sz w:val="26"/>
          <w:szCs w:val="24"/>
          <w:lang w:val="es-ES"/>
        </w:rPr>
        <w:t>cicios de 2013 y 2014;</w:t>
      </w:r>
      <w:r w:rsidRPr="00784E54">
        <w:rPr>
          <w:spacing w:val="6"/>
          <w:sz w:val="26"/>
          <w:szCs w:val="24"/>
          <w:lang w:val="es-ES"/>
        </w:rPr>
        <w:t xml:space="preserve"> por otro lado, destacamos el incremento de las transf</w:t>
      </w:r>
      <w:r w:rsidRPr="00784E54">
        <w:rPr>
          <w:spacing w:val="6"/>
          <w:sz w:val="26"/>
          <w:szCs w:val="24"/>
          <w:lang w:val="es-ES"/>
        </w:rPr>
        <w:t>e</w:t>
      </w:r>
      <w:r w:rsidRPr="00784E54">
        <w:rPr>
          <w:spacing w:val="6"/>
          <w:sz w:val="26"/>
          <w:szCs w:val="24"/>
          <w:lang w:val="es-ES"/>
        </w:rPr>
        <w:t>rencias a familias e instituciones sin ánimo de lucro en un cinco por ciento.</w:t>
      </w:r>
    </w:p>
    <w:p w:rsidR="00784E54" w:rsidRPr="007C550A" w:rsidRDefault="00784E54" w:rsidP="005B05A4">
      <w:pPr>
        <w:tabs>
          <w:tab w:val="center" w:pos="2835"/>
          <w:tab w:val="center" w:pos="3969"/>
          <w:tab w:val="center" w:pos="5103"/>
          <w:tab w:val="center" w:pos="6237"/>
          <w:tab w:val="center" w:pos="7371"/>
        </w:tabs>
        <w:spacing w:after="120"/>
        <w:ind w:firstLine="284"/>
        <w:rPr>
          <w:rFonts w:ascii="Arial" w:hAnsi="Arial" w:cs="Arial"/>
          <w:i/>
          <w:spacing w:val="6"/>
          <w:sz w:val="25"/>
          <w:szCs w:val="25"/>
          <w:lang w:val="es-ES"/>
        </w:rPr>
      </w:pPr>
      <w:r w:rsidRPr="007C550A">
        <w:rPr>
          <w:rFonts w:ascii="Arial" w:hAnsi="Arial" w:cs="Arial"/>
          <w:i/>
          <w:spacing w:val="6"/>
          <w:sz w:val="25"/>
          <w:szCs w:val="25"/>
          <w:lang w:val="es-ES"/>
        </w:rPr>
        <w:t>Transferencias de capital</w:t>
      </w:r>
    </w:p>
    <w:p w:rsidR="00784E54" w:rsidRPr="00784E54" w:rsidRDefault="00784E54" w:rsidP="001A35E1">
      <w:pPr>
        <w:tabs>
          <w:tab w:val="center" w:pos="2835"/>
          <w:tab w:val="center" w:pos="3969"/>
          <w:tab w:val="center" w:pos="5103"/>
          <w:tab w:val="center" w:pos="6237"/>
          <w:tab w:val="center" w:pos="7371"/>
        </w:tabs>
        <w:spacing w:after="120"/>
        <w:ind w:firstLine="284"/>
        <w:rPr>
          <w:spacing w:val="6"/>
          <w:sz w:val="26"/>
          <w:szCs w:val="24"/>
          <w:lang w:val="es-ES"/>
        </w:rPr>
      </w:pPr>
      <w:r w:rsidRPr="00784E54">
        <w:rPr>
          <w:spacing w:val="6"/>
          <w:sz w:val="26"/>
          <w:szCs w:val="24"/>
          <w:lang w:val="es-ES"/>
        </w:rPr>
        <w:t>Las transferencias de capital concedidas en 2016 ascendieron a 92,02 mill</w:t>
      </w:r>
      <w:r w:rsidRPr="00784E54">
        <w:rPr>
          <w:spacing w:val="6"/>
          <w:sz w:val="26"/>
          <w:szCs w:val="24"/>
          <w:lang w:val="es-ES"/>
        </w:rPr>
        <w:t>o</w:t>
      </w:r>
      <w:r w:rsidRPr="00784E54">
        <w:rPr>
          <w:spacing w:val="6"/>
          <w:sz w:val="26"/>
          <w:szCs w:val="24"/>
          <w:lang w:val="es-ES"/>
        </w:rPr>
        <w:t>nes de euros. Suponen el dos por ciento del total de obligaciones reconocidas en el ejercicio y experimentaron un descenso del 22 por ciento respecto a 2015 tal y como se muestra a continuación:</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1A35E1" w:rsidRPr="000C7261" w:rsidTr="00D41E85">
        <w:tc>
          <w:tcPr>
            <w:tcW w:w="8819" w:type="dxa"/>
            <w:gridSpan w:val="4"/>
            <w:tcBorders>
              <w:bottom w:val="single" w:sz="4" w:space="0" w:color="auto"/>
            </w:tcBorders>
            <w:shd w:val="clear" w:color="auto" w:fill="auto"/>
          </w:tcPr>
          <w:p w:rsidR="001A35E1" w:rsidRPr="001A35E1" w:rsidRDefault="001A35E1" w:rsidP="00E7467B">
            <w:pPr>
              <w:tabs>
                <w:tab w:val="center" w:pos="2835"/>
                <w:tab w:val="center" w:pos="3969"/>
                <w:tab w:val="center" w:pos="5103"/>
                <w:tab w:val="center" w:pos="6237"/>
                <w:tab w:val="center" w:pos="7371"/>
              </w:tabs>
              <w:spacing w:after="0"/>
              <w:ind w:right="-52" w:firstLine="0"/>
              <w:contextualSpacing/>
              <w:jc w:val="right"/>
              <w:rPr>
                <w:rFonts w:ascii="Arial" w:hAnsi="Arial" w:cs="Arial"/>
                <w:spacing w:val="6"/>
                <w:sz w:val="17"/>
                <w:szCs w:val="17"/>
                <w:lang w:val="es-ES"/>
              </w:rPr>
            </w:pPr>
            <w:r>
              <w:rPr>
                <w:rFonts w:ascii="Arial" w:hAnsi="Arial" w:cs="Arial"/>
                <w:spacing w:val="6"/>
                <w:sz w:val="17"/>
                <w:szCs w:val="17"/>
                <w:lang w:val="es-ES"/>
              </w:rPr>
              <w:t>(en miles de euros)</w:t>
            </w:r>
          </w:p>
        </w:tc>
      </w:tr>
      <w:tr w:rsidR="00784E54" w:rsidRPr="000C7261" w:rsidTr="00D41E85">
        <w:tc>
          <w:tcPr>
            <w:tcW w:w="4423" w:type="dxa"/>
            <w:tcBorders>
              <w:top w:val="single" w:sz="4" w:space="0" w:color="auto"/>
              <w:bottom w:val="single" w:sz="4" w:space="0" w:color="auto"/>
            </w:tcBorders>
            <w:shd w:val="clear" w:color="auto" w:fill="8DB3E2" w:themeFill="text2" w:themeFillTint="66"/>
          </w:tcPr>
          <w:p w:rsidR="00784E54" w:rsidRPr="000C7261" w:rsidRDefault="00784E54" w:rsidP="00784E54">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lang w:val="es-ES"/>
              </w:rPr>
            </w:pP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C7261">
              <w:rPr>
                <w:rFonts w:ascii="Arial" w:hAnsi="Arial" w:cs="Arial"/>
                <w:spacing w:val="6"/>
                <w:sz w:val="18"/>
                <w:szCs w:val="18"/>
                <w:lang w:val="es-ES"/>
              </w:rPr>
              <w:t>2015</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C7261">
              <w:rPr>
                <w:rFonts w:ascii="Arial" w:hAnsi="Arial" w:cs="Arial"/>
                <w:spacing w:val="6"/>
                <w:sz w:val="18"/>
                <w:szCs w:val="18"/>
                <w:lang w:val="es-ES"/>
              </w:rPr>
              <w:t>2016</w:t>
            </w:r>
          </w:p>
        </w:tc>
        <w:tc>
          <w:tcPr>
            <w:tcW w:w="1466" w:type="dxa"/>
            <w:tcBorders>
              <w:top w:val="single" w:sz="4" w:space="0" w:color="auto"/>
              <w:bottom w:val="single" w:sz="4" w:space="0" w:color="auto"/>
            </w:tcBorders>
            <w:shd w:val="clear" w:color="auto" w:fill="8DB3E2" w:themeFill="text2" w:themeFillTint="66"/>
            <w:vAlign w:val="center"/>
          </w:tcPr>
          <w:p w:rsidR="00D41E85" w:rsidRDefault="00E042B5" w:rsidP="001A35E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Pr>
                <w:rFonts w:ascii="Arial" w:hAnsi="Arial" w:cs="Arial"/>
                <w:spacing w:val="6"/>
                <w:sz w:val="18"/>
                <w:szCs w:val="18"/>
                <w:lang w:val="es-ES"/>
              </w:rPr>
              <w:t>% v</w:t>
            </w:r>
            <w:r w:rsidR="001A35E1">
              <w:rPr>
                <w:rFonts w:ascii="Arial" w:hAnsi="Arial" w:cs="Arial"/>
                <w:spacing w:val="6"/>
                <w:sz w:val="18"/>
                <w:szCs w:val="18"/>
                <w:lang w:val="es-ES"/>
              </w:rPr>
              <w:t xml:space="preserve">ariación </w:t>
            </w:r>
          </w:p>
          <w:p w:rsidR="00784E54" w:rsidRPr="000C7261" w:rsidRDefault="00784E54" w:rsidP="001A35E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0C7261">
              <w:rPr>
                <w:rFonts w:ascii="Arial" w:hAnsi="Arial" w:cs="Arial"/>
                <w:spacing w:val="6"/>
                <w:sz w:val="18"/>
                <w:szCs w:val="18"/>
                <w:lang w:val="es-ES"/>
              </w:rPr>
              <w:t>2016/2015</w:t>
            </w:r>
          </w:p>
        </w:tc>
      </w:tr>
      <w:tr w:rsidR="00784E54" w:rsidRPr="00784E54" w:rsidTr="00D41E85">
        <w:trPr>
          <w:trHeight w:val="198"/>
        </w:trPr>
        <w:tc>
          <w:tcPr>
            <w:tcW w:w="4423" w:type="dxa"/>
            <w:tcBorders>
              <w:top w:val="single" w:sz="4"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sidRPr="00784E54">
              <w:rPr>
                <w:rFonts w:ascii="Arial Narrow" w:hAnsi="Arial Narrow"/>
                <w:color w:val="000000"/>
              </w:rPr>
              <w:t>Transferencias de capital a fundaciones</w:t>
            </w:r>
          </w:p>
        </w:tc>
        <w:tc>
          <w:tcPr>
            <w:tcW w:w="1465"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5.131</w:t>
            </w:r>
          </w:p>
        </w:tc>
        <w:tc>
          <w:tcPr>
            <w:tcW w:w="1465"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2.621</w:t>
            </w:r>
          </w:p>
        </w:tc>
        <w:tc>
          <w:tcPr>
            <w:tcW w:w="1466" w:type="dxa"/>
            <w:tcBorders>
              <w:top w:val="single" w:sz="4"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-49</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sidRPr="00784E54">
              <w:rPr>
                <w:rFonts w:ascii="Arial Narrow" w:hAnsi="Arial Narrow"/>
                <w:color w:val="000000"/>
              </w:rPr>
              <w:t>Transferencias de capital a empresas públicas</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715</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656</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-8</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sidRPr="00784E54">
              <w:rPr>
                <w:rFonts w:ascii="Arial Narrow" w:hAnsi="Arial Narrow"/>
                <w:color w:val="000000"/>
              </w:rPr>
              <w:t>Transferencias de capital a entidades locales</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19.831</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17.384</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-12</w:t>
            </w:r>
          </w:p>
        </w:tc>
      </w:tr>
      <w:tr w:rsidR="00784E54" w:rsidRPr="00784E54" w:rsidTr="00D41E85">
        <w:trPr>
          <w:trHeight w:val="198"/>
        </w:trPr>
        <w:tc>
          <w:tcPr>
            <w:tcW w:w="4423" w:type="dxa"/>
            <w:tcBorders>
              <w:top w:val="single" w:sz="2" w:space="0" w:color="auto"/>
              <w:bottom w:val="single" w:sz="2" w:space="0" w:color="auto"/>
            </w:tcBorders>
            <w:vAlign w:val="center"/>
          </w:tcPr>
          <w:p w:rsidR="00784E54" w:rsidRPr="00784E54" w:rsidRDefault="00784E54" w:rsidP="00784E54">
            <w:pPr>
              <w:spacing w:after="0"/>
              <w:ind w:firstLine="0"/>
              <w:contextualSpacing/>
              <w:jc w:val="left"/>
              <w:rPr>
                <w:rFonts w:ascii="Arial Narrow" w:hAnsi="Arial Narrow"/>
                <w:color w:val="000000"/>
              </w:rPr>
            </w:pPr>
            <w:r w:rsidRPr="00784E54">
              <w:rPr>
                <w:rFonts w:ascii="Arial Narrow" w:hAnsi="Arial Narrow"/>
                <w:color w:val="000000"/>
              </w:rPr>
              <w:t>Transferencias de capital a empresas privadas</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51.407</w:t>
            </w:r>
          </w:p>
        </w:tc>
        <w:tc>
          <w:tcPr>
            <w:tcW w:w="1465"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38.947</w:t>
            </w:r>
          </w:p>
        </w:tc>
        <w:tc>
          <w:tcPr>
            <w:tcW w:w="1466" w:type="dxa"/>
            <w:tcBorders>
              <w:top w:val="single" w:sz="2" w:space="0" w:color="auto"/>
              <w:bottom w:val="single" w:sz="2"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-24</w:t>
            </w:r>
          </w:p>
        </w:tc>
      </w:tr>
      <w:tr w:rsidR="00784E54" w:rsidRPr="00784E54" w:rsidTr="00D41E85">
        <w:trPr>
          <w:trHeight w:val="198"/>
        </w:trPr>
        <w:tc>
          <w:tcPr>
            <w:tcW w:w="4423" w:type="dxa"/>
            <w:tcBorders>
              <w:top w:val="single" w:sz="2" w:space="0" w:color="auto"/>
              <w:bottom w:val="single" w:sz="4" w:space="0" w:color="auto"/>
            </w:tcBorders>
            <w:vAlign w:val="center"/>
          </w:tcPr>
          <w:p w:rsidR="00784E54" w:rsidRPr="00784E54" w:rsidRDefault="00784E54" w:rsidP="00D41E85">
            <w:pPr>
              <w:spacing w:after="0"/>
              <w:ind w:firstLine="0"/>
              <w:contextualSpacing/>
              <w:jc w:val="left"/>
              <w:rPr>
                <w:rFonts w:ascii="Arial Narrow" w:hAnsi="Arial Narrow"/>
                <w:color w:val="000000"/>
              </w:rPr>
            </w:pPr>
            <w:r w:rsidRPr="00784E54">
              <w:rPr>
                <w:rFonts w:ascii="Arial Narrow" w:hAnsi="Arial Narrow"/>
                <w:color w:val="000000"/>
              </w:rPr>
              <w:t>T. cap. a familias e instituc</w:t>
            </w:r>
            <w:r w:rsidR="00D41E85">
              <w:rPr>
                <w:rFonts w:ascii="Arial Narrow" w:hAnsi="Arial Narrow"/>
                <w:color w:val="000000"/>
              </w:rPr>
              <w:t>iones</w:t>
            </w:r>
            <w:r w:rsidRPr="00784E54">
              <w:rPr>
                <w:rFonts w:ascii="Arial Narrow" w:hAnsi="Arial Narrow"/>
                <w:color w:val="000000"/>
              </w:rPr>
              <w:t xml:space="preserve"> sin fines de lucro</w:t>
            </w:r>
          </w:p>
        </w:tc>
        <w:tc>
          <w:tcPr>
            <w:tcW w:w="1465"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40.333</w:t>
            </w:r>
          </w:p>
        </w:tc>
        <w:tc>
          <w:tcPr>
            <w:tcW w:w="1465"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32.411</w:t>
            </w:r>
          </w:p>
        </w:tc>
        <w:tc>
          <w:tcPr>
            <w:tcW w:w="1466" w:type="dxa"/>
            <w:tcBorders>
              <w:top w:val="single" w:sz="2" w:space="0" w:color="auto"/>
              <w:bottom w:val="single" w:sz="4" w:space="0" w:color="auto"/>
            </w:tcBorders>
            <w:vAlign w:val="center"/>
          </w:tcPr>
          <w:p w:rsidR="00784E54" w:rsidRPr="00784E54" w:rsidRDefault="00784E54" w:rsidP="00784E54">
            <w:pPr>
              <w:spacing w:after="0"/>
              <w:ind w:firstLine="0"/>
              <w:contextualSpacing/>
              <w:jc w:val="right"/>
              <w:rPr>
                <w:rFonts w:ascii="Arial Narrow" w:hAnsi="Arial Narrow"/>
                <w:color w:val="000000"/>
              </w:rPr>
            </w:pPr>
            <w:r w:rsidRPr="00784E54">
              <w:rPr>
                <w:rFonts w:ascii="Arial Narrow" w:hAnsi="Arial Narrow"/>
                <w:color w:val="000000"/>
              </w:rPr>
              <w:t>-20</w:t>
            </w:r>
          </w:p>
        </w:tc>
      </w:tr>
      <w:tr w:rsidR="00784E54" w:rsidRPr="000C7261" w:rsidTr="00DF6A11">
        <w:trPr>
          <w:trHeight w:val="255"/>
        </w:trPr>
        <w:tc>
          <w:tcPr>
            <w:tcW w:w="4423" w:type="dxa"/>
            <w:tcBorders>
              <w:top w:val="single" w:sz="4" w:space="0" w:color="auto"/>
              <w:bottom w:val="single" w:sz="4" w:space="0" w:color="auto"/>
            </w:tcBorders>
            <w:shd w:val="clear" w:color="auto" w:fill="8DB3E2" w:themeFill="text2" w:themeFillTint="66"/>
            <w:vAlign w:val="bottom"/>
          </w:tcPr>
          <w:p w:rsidR="00784E54" w:rsidRPr="000C7261" w:rsidRDefault="00784E54" w:rsidP="00784E54">
            <w:pPr>
              <w:spacing w:after="0"/>
              <w:ind w:firstLine="0"/>
              <w:contextualSpacing/>
              <w:rPr>
                <w:rFonts w:ascii="Arial" w:hAnsi="Arial" w:cs="Arial"/>
                <w:color w:val="000000"/>
                <w:sz w:val="18"/>
                <w:szCs w:val="18"/>
              </w:rPr>
            </w:pPr>
            <w:r w:rsidRPr="000C7261">
              <w:rPr>
                <w:rFonts w:ascii="Arial" w:hAnsi="Arial" w:cs="Arial"/>
                <w:color w:val="000000"/>
                <w:sz w:val="18"/>
                <w:szCs w:val="18"/>
              </w:rPr>
              <w:t>Total</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sidRPr="000C7261">
              <w:rPr>
                <w:rFonts w:ascii="Arial" w:hAnsi="Arial" w:cs="Arial"/>
                <w:color w:val="000000"/>
                <w:sz w:val="18"/>
                <w:szCs w:val="18"/>
              </w:rPr>
              <w:t>117.417</w:t>
            </w:r>
          </w:p>
        </w:tc>
        <w:tc>
          <w:tcPr>
            <w:tcW w:w="1465"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sidRPr="000C7261">
              <w:rPr>
                <w:rFonts w:ascii="Arial" w:hAnsi="Arial" w:cs="Arial"/>
                <w:color w:val="000000"/>
                <w:sz w:val="18"/>
                <w:szCs w:val="18"/>
              </w:rPr>
              <w:t>92.019</w:t>
            </w:r>
          </w:p>
        </w:tc>
        <w:tc>
          <w:tcPr>
            <w:tcW w:w="1466" w:type="dxa"/>
            <w:tcBorders>
              <w:top w:val="single" w:sz="4" w:space="0" w:color="auto"/>
              <w:bottom w:val="single" w:sz="4" w:space="0" w:color="auto"/>
            </w:tcBorders>
            <w:shd w:val="clear" w:color="auto" w:fill="8DB3E2" w:themeFill="text2" w:themeFillTint="66"/>
            <w:vAlign w:val="center"/>
          </w:tcPr>
          <w:p w:rsidR="00784E54" w:rsidRPr="000C7261" w:rsidRDefault="00784E54" w:rsidP="00784E54">
            <w:pPr>
              <w:spacing w:after="0"/>
              <w:contextualSpacing/>
              <w:jc w:val="right"/>
              <w:rPr>
                <w:rFonts w:ascii="Arial" w:hAnsi="Arial" w:cs="Arial"/>
                <w:color w:val="000000"/>
                <w:sz w:val="18"/>
                <w:szCs w:val="18"/>
              </w:rPr>
            </w:pPr>
            <w:r w:rsidRPr="000C7261">
              <w:rPr>
                <w:rFonts w:ascii="Arial" w:hAnsi="Arial" w:cs="Arial"/>
                <w:color w:val="000000"/>
                <w:sz w:val="18"/>
                <w:szCs w:val="18"/>
              </w:rPr>
              <w:t>-22</w:t>
            </w:r>
          </w:p>
        </w:tc>
      </w:tr>
    </w:tbl>
    <w:p w:rsidR="00784E54" w:rsidRPr="00784E54" w:rsidRDefault="00784E54" w:rsidP="004E3969">
      <w:pPr>
        <w:pStyle w:val="texto"/>
        <w:spacing w:before="240"/>
        <w:rPr>
          <w:lang w:val="es-ES"/>
        </w:rPr>
      </w:pPr>
      <w:r w:rsidRPr="00784E54">
        <w:rPr>
          <w:lang w:val="es-ES"/>
        </w:rPr>
        <w:t>En 2016, el 42 por ciento de las transferencias se concedieron a empresas privadas, un 35 por ciento a familias e instituciones sin ánimo de lucro, un 19 por ciento a entidades locales y el cuatro por ciento restante se repartieron entre fundaciones y empresas públicas.</w:t>
      </w:r>
    </w:p>
    <w:p w:rsidR="00784E54" w:rsidRPr="00784E54" w:rsidRDefault="00784E54" w:rsidP="004E3969">
      <w:pPr>
        <w:pStyle w:val="texto"/>
        <w:rPr>
          <w:lang w:val="es-ES"/>
        </w:rPr>
      </w:pPr>
      <w:r w:rsidRPr="00784E54">
        <w:rPr>
          <w:lang w:val="es-ES"/>
        </w:rPr>
        <w:t>En general todos los conceptos económicos experimentan decrementos frente a 2015</w:t>
      </w:r>
      <w:r w:rsidR="001A35E1">
        <w:rPr>
          <w:lang w:val="es-ES"/>
        </w:rPr>
        <w:t>,</w:t>
      </w:r>
      <w:r w:rsidRPr="00784E54">
        <w:rPr>
          <w:lang w:val="es-ES"/>
        </w:rPr>
        <w:t xml:space="preserve"> destacando la disminución en un 24 por ciento de las transferencias de </w:t>
      </w:r>
      <w:r w:rsidRPr="00784E54">
        <w:rPr>
          <w:lang w:val="es-ES"/>
        </w:rPr>
        <w:lastRenderedPageBreak/>
        <w:t>capital a empresas privadas, así como la destinada a familias e instituciones sin ánimo de lucro que baja en un 20 por ciento.</w:t>
      </w:r>
    </w:p>
    <w:p w:rsidR="00784E54" w:rsidRPr="00784E54" w:rsidRDefault="00784E54" w:rsidP="005B05A4">
      <w:pPr>
        <w:tabs>
          <w:tab w:val="center" w:pos="2835"/>
          <w:tab w:val="center" w:pos="3969"/>
          <w:tab w:val="center" w:pos="5103"/>
          <w:tab w:val="center" w:pos="6237"/>
          <w:tab w:val="center" w:pos="7371"/>
        </w:tabs>
        <w:spacing w:after="120"/>
        <w:ind w:firstLine="284"/>
        <w:rPr>
          <w:spacing w:val="6"/>
          <w:sz w:val="26"/>
          <w:szCs w:val="24"/>
          <w:lang w:val="es-ES"/>
        </w:rPr>
      </w:pPr>
      <w:r w:rsidRPr="00784E54">
        <w:rPr>
          <w:spacing w:val="6"/>
          <w:sz w:val="26"/>
          <w:szCs w:val="24"/>
          <w:lang w:val="es-ES"/>
        </w:rPr>
        <w:t>La muestra de transferencias corrientes concedidas en 2016 revisada ha sido la siguiente:</w:t>
      </w:r>
    </w:p>
    <w:tbl>
      <w:tblPr>
        <w:tblW w:w="4924"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397"/>
        <w:gridCol w:w="1294"/>
        <w:gridCol w:w="1551"/>
        <w:gridCol w:w="1551"/>
      </w:tblGrid>
      <w:tr w:rsidR="0007286F" w:rsidRPr="0007286F" w:rsidTr="0007286F">
        <w:trPr>
          <w:trHeight w:val="255"/>
          <w:jc w:val="center"/>
        </w:trPr>
        <w:tc>
          <w:tcPr>
            <w:tcW w:w="5000" w:type="pct"/>
            <w:gridSpan w:val="4"/>
            <w:tcBorders>
              <w:top w:val="nil"/>
              <w:left w:val="nil"/>
              <w:bottom w:val="single" w:sz="4" w:space="0" w:color="auto"/>
              <w:right w:val="nil"/>
            </w:tcBorders>
            <w:shd w:val="clear" w:color="auto" w:fill="auto"/>
            <w:vAlign w:val="center"/>
          </w:tcPr>
          <w:p w:rsidR="0007286F" w:rsidRPr="0007286F" w:rsidRDefault="0007286F"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7"/>
                <w:szCs w:val="17"/>
              </w:rPr>
            </w:pPr>
            <w:r w:rsidRPr="0007286F">
              <w:rPr>
                <w:rFonts w:ascii="Arial" w:hAnsi="Arial" w:cs="Arial"/>
                <w:spacing w:val="6"/>
                <w:sz w:val="17"/>
                <w:szCs w:val="17"/>
              </w:rPr>
              <w:t>(en miles de euros)</w:t>
            </w:r>
          </w:p>
        </w:tc>
      </w:tr>
      <w:tr w:rsidR="00784E54" w:rsidRPr="000C7261" w:rsidTr="00793162">
        <w:trPr>
          <w:trHeight w:val="255"/>
          <w:jc w:val="center"/>
        </w:trPr>
        <w:tc>
          <w:tcPr>
            <w:tcW w:w="2500" w:type="pct"/>
            <w:tcBorders>
              <w:top w:val="single" w:sz="4" w:space="0" w:color="auto"/>
              <w:left w:val="nil"/>
              <w:bottom w:val="single" w:sz="4" w:space="0" w:color="auto"/>
              <w:right w:val="nil"/>
            </w:tcBorders>
            <w:shd w:val="clear" w:color="auto" w:fill="8DB3E2" w:themeFill="text2" w:themeFillTint="66"/>
            <w:vAlign w:val="center"/>
            <w:hideMark/>
          </w:tcPr>
          <w:p w:rsidR="00784E54" w:rsidRPr="000C7261" w:rsidRDefault="00784E54" w:rsidP="00D41E8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r w:rsidRPr="000C7261">
              <w:rPr>
                <w:rFonts w:ascii="Arial" w:hAnsi="Arial" w:cs="Arial"/>
                <w:spacing w:val="6"/>
                <w:sz w:val="18"/>
                <w:szCs w:val="18"/>
              </w:rPr>
              <w:t>Concepto</w:t>
            </w:r>
          </w:p>
        </w:tc>
        <w:tc>
          <w:tcPr>
            <w:tcW w:w="736" w:type="pct"/>
            <w:tcBorders>
              <w:top w:val="single" w:sz="4" w:space="0" w:color="auto"/>
              <w:left w:val="nil"/>
              <w:bottom w:val="single" w:sz="4" w:space="0" w:color="auto"/>
              <w:right w:val="nil"/>
            </w:tcBorders>
            <w:shd w:val="clear" w:color="auto" w:fill="8DB3E2" w:themeFill="text2" w:themeFillTint="66"/>
            <w:vAlign w:val="center"/>
            <w:hideMark/>
          </w:tcPr>
          <w:p w:rsidR="00784E54" w:rsidRPr="000C7261" w:rsidRDefault="00784E54" w:rsidP="00784E54">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0C7261">
              <w:rPr>
                <w:rFonts w:ascii="Arial" w:hAnsi="Arial" w:cs="Arial"/>
                <w:spacing w:val="6"/>
                <w:sz w:val="18"/>
                <w:szCs w:val="18"/>
              </w:rPr>
              <w:t>Gasto 2015</w:t>
            </w:r>
          </w:p>
        </w:tc>
        <w:tc>
          <w:tcPr>
            <w:tcW w:w="882" w:type="pct"/>
            <w:tcBorders>
              <w:top w:val="single" w:sz="4" w:space="0" w:color="auto"/>
              <w:left w:val="nil"/>
              <w:bottom w:val="single" w:sz="4" w:space="0" w:color="auto"/>
              <w:right w:val="nil"/>
            </w:tcBorders>
            <w:shd w:val="clear" w:color="auto" w:fill="8DB3E2" w:themeFill="text2" w:themeFillTint="66"/>
            <w:vAlign w:val="center"/>
          </w:tcPr>
          <w:p w:rsidR="00784E54" w:rsidRPr="000C7261" w:rsidRDefault="00784E54" w:rsidP="00784E54">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0C7261">
              <w:rPr>
                <w:rFonts w:ascii="Arial" w:hAnsi="Arial" w:cs="Arial"/>
                <w:spacing w:val="6"/>
                <w:sz w:val="18"/>
                <w:szCs w:val="18"/>
              </w:rPr>
              <w:t>Gasto 2016</w:t>
            </w:r>
          </w:p>
        </w:tc>
        <w:tc>
          <w:tcPr>
            <w:tcW w:w="882" w:type="pct"/>
            <w:tcBorders>
              <w:top w:val="single" w:sz="4" w:space="0" w:color="auto"/>
              <w:left w:val="nil"/>
              <w:bottom w:val="single" w:sz="4" w:space="0" w:color="auto"/>
              <w:right w:val="nil"/>
            </w:tcBorders>
            <w:shd w:val="clear" w:color="auto" w:fill="8DB3E2" w:themeFill="text2" w:themeFillTint="66"/>
            <w:vAlign w:val="center"/>
          </w:tcPr>
          <w:p w:rsidR="00793162" w:rsidRDefault="00E042B5"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cs="Arial"/>
                <w:spacing w:val="6"/>
                <w:sz w:val="18"/>
                <w:szCs w:val="18"/>
              </w:rPr>
              <w:t>% v</w:t>
            </w:r>
            <w:r w:rsidR="00793162">
              <w:rPr>
                <w:rFonts w:ascii="Arial" w:hAnsi="Arial" w:cs="Arial"/>
                <w:spacing w:val="6"/>
                <w:sz w:val="18"/>
                <w:szCs w:val="18"/>
              </w:rPr>
              <w:t xml:space="preserve">ariación </w:t>
            </w:r>
          </w:p>
          <w:p w:rsidR="00784E54" w:rsidRPr="000C7261" w:rsidRDefault="00784E54" w:rsidP="00793162">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0C7261">
              <w:rPr>
                <w:rFonts w:ascii="Arial" w:hAnsi="Arial" w:cs="Arial"/>
                <w:spacing w:val="6"/>
                <w:sz w:val="18"/>
                <w:szCs w:val="18"/>
              </w:rPr>
              <w:t>016/2015</w:t>
            </w:r>
          </w:p>
        </w:tc>
      </w:tr>
      <w:tr w:rsidR="00784E54" w:rsidRPr="00793162" w:rsidTr="00793162">
        <w:trPr>
          <w:trHeight w:val="198"/>
          <w:jc w:val="center"/>
        </w:trPr>
        <w:tc>
          <w:tcPr>
            <w:tcW w:w="2500" w:type="pct"/>
            <w:tcBorders>
              <w:top w:val="single" w:sz="4" w:space="0" w:color="auto"/>
              <w:left w:val="nil"/>
              <w:bottom w:val="single" w:sz="2" w:space="0" w:color="auto"/>
              <w:right w:val="nil"/>
            </w:tcBorders>
            <w:noWrap/>
            <w:vAlign w:val="center"/>
          </w:tcPr>
          <w:p w:rsidR="00784E54" w:rsidRPr="00793162" w:rsidRDefault="00784E54" w:rsidP="00D41E85">
            <w:pPr>
              <w:spacing w:after="0"/>
              <w:ind w:firstLine="0"/>
              <w:contextualSpacing/>
              <w:jc w:val="left"/>
              <w:rPr>
                <w:rFonts w:ascii="Arial Narrow" w:hAnsi="Arial Narrow" w:cs="Arial"/>
              </w:rPr>
            </w:pPr>
            <w:r w:rsidRPr="00793162">
              <w:rPr>
                <w:rFonts w:ascii="Arial Narrow" w:hAnsi="Arial Narrow" w:cs="Arial"/>
              </w:rPr>
              <w:t>Pensiones no contributivas</w:t>
            </w:r>
          </w:p>
        </w:tc>
        <w:tc>
          <w:tcPr>
            <w:tcW w:w="736"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sidRPr="00793162">
              <w:rPr>
                <w:rFonts w:ascii="Arial Narrow" w:hAnsi="Arial Narrow" w:cs="Arial"/>
              </w:rPr>
              <w:t>13.497</w:t>
            </w:r>
          </w:p>
        </w:tc>
        <w:tc>
          <w:tcPr>
            <w:tcW w:w="882"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sidRPr="00793162">
              <w:rPr>
                <w:rFonts w:ascii="Arial Narrow" w:hAnsi="Arial Narrow" w:cs="Arial"/>
              </w:rPr>
              <w:t>13.943</w:t>
            </w:r>
          </w:p>
        </w:tc>
        <w:tc>
          <w:tcPr>
            <w:tcW w:w="882" w:type="pct"/>
            <w:tcBorders>
              <w:top w:val="single" w:sz="4" w:space="0" w:color="auto"/>
              <w:left w:val="nil"/>
              <w:bottom w:val="single" w:sz="2" w:space="0" w:color="auto"/>
              <w:right w:val="nil"/>
            </w:tcBorders>
            <w:vAlign w:val="center"/>
          </w:tcPr>
          <w:p w:rsidR="00784E54" w:rsidRPr="00793162" w:rsidRDefault="00784E54" w:rsidP="00793162">
            <w:pPr>
              <w:spacing w:after="0"/>
              <w:contextualSpacing/>
              <w:jc w:val="right"/>
              <w:rPr>
                <w:rFonts w:ascii="Arial Narrow" w:hAnsi="Arial Narrow" w:cs="Arial"/>
              </w:rPr>
            </w:pPr>
            <w:r w:rsidRPr="00793162">
              <w:rPr>
                <w:rFonts w:ascii="Arial Narrow" w:hAnsi="Arial Narrow" w:cs="Arial"/>
              </w:rPr>
              <w:t>3</w:t>
            </w:r>
          </w:p>
        </w:tc>
      </w:tr>
      <w:tr w:rsidR="00784E54" w:rsidRPr="00793162" w:rsidTr="00793162">
        <w:trPr>
          <w:trHeight w:val="198"/>
          <w:jc w:val="center"/>
        </w:trPr>
        <w:tc>
          <w:tcPr>
            <w:tcW w:w="2500" w:type="pct"/>
            <w:tcBorders>
              <w:top w:val="single" w:sz="2" w:space="0" w:color="auto"/>
              <w:left w:val="nil"/>
              <w:bottom w:val="single" w:sz="4" w:space="0" w:color="auto"/>
              <w:right w:val="nil"/>
            </w:tcBorders>
            <w:noWrap/>
            <w:vAlign w:val="center"/>
          </w:tcPr>
          <w:p w:rsidR="00784E54" w:rsidRPr="00793162" w:rsidRDefault="00784E54" w:rsidP="00D41E85">
            <w:pPr>
              <w:spacing w:after="0"/>
              <w:ind w:firstLine="0"/>
              <w:contextualSpacing/>
              <w:jc w:val="left"/>
              <w:rPr>
                <w:rFonts w:ascii="Arial Narrow" w:hAnsi="Arial Narrow" w:cs="Arial"/>
              </w:rPr>
            </w:pPr>
            <w:r w:rsidRPr="00793162">
              <w:rPr>
                <w:rFonts w:ascii="Arial Narrow" w:hAnsi="Arial Narrow" w:cs="Arial"/>
              </w:rPr>
              <w:t>Transferencias a colegios profesionales de abogados</w:t>
            </w:r>
          </w:p>
        </w:tc>
        <w:tc>
          <w:tcPr>
            <w:tcW w:w="736"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sidRPr="00793162">
              <w:rPr>
                <w:rFonts w:ascii="Arial Narrow" w:hAnsi="Arial Narrow" w:cs="Arial"/>
              </w:rPr>
              <w:t>2.891</w:t>
            </w:r>
          </w:p>
        </w:tc>
        <w:tc>
          <w:tcPr>
            <w:tcW w:w="882"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sidRPr="00793162">
              <w:rPr>
                <w:rFonts w:ascii="Arial Narrow" w:hAnsi="Arial Narrow" w:cs="Arial"/>
              </w:rPr>
              <w:t>3.168</w:t>
            </w:r>
          </w:p>
        </w:tc>
        <w:tc>
          <w:tcPr>
            <w:tcW w:w="882" w:type="pct"/>
            <w:tcBorders>
              <w:top w:val="single" w:sz="2" w:space="0" w:color="auto"/>
              <w:left w:val="nil"/>
              <w:bottom w:val="single" w:sz="4" w:space="0" w:color="auto"/>
              <w:right w:val="nil"/>
            </w:tcBorders>
            <w:vAlign w:val="center"/>
          </w:tcPr>
          <w:p w:rsidR="00784E54" w:rsidRPr="00793162" w:rsidRDefault="00784E54" w:rsidP="00793162">
            <w:pPr>
              <w:spacing w:after="0"/>
              <w:ind w:firstLine="0"/>
              <w:contextualSpacing/>
              <w:jc w:val="right"/>
              <w:rPr>
                <w:rFonts w:ascii="Arial Narrow" w:hAnsi="Arial Narrow" w:cs="Arial"/>
              </w:rPr>
            </w:pPr>
            <w:r w:rsidRPr="00793162">
              <w:rPr>
                <w:rFonts w:ascii="Arial Narrow" w:hAnsi="Arial Narrow" w:cs="Arial"/>
              </w:rPr>
              <w:t>10</w:t>
            </w:r>
          </w:p>
        </w:tc>
      </w:tr>
    </w:tbl>
    <w:p w:rsidR="00784E54" w:rsidRPr="00784E54" w:rsidRDefault="00784E54" w:rsidP="004E3969">
      <w:pPr>
        <w:pStyle w:val="texto"/>
        <w:spacing w:before="240"/>
        <w:rPr>
          <w:lang w:val="es-ES"/>
        </w:rPr>
      </w:pPr>
      <w:r w:rsidRPr="00784E54">
        <w:rPr>
          <w:lang w:val="es-ES"/>
        </w:rPr>
        <w:t>Se ha comprobado que, en general, los gastos revisados están autorizados, intervenidos, justificados y correctamente contabilizados</w:t>
      </w:r>
      <w:r w:rsidR="00664032">
        <w:rPr>
          <w:lang w:val="es-ES"/>
        </w:rPr>
        <w:t>,</w:t>
      </w:r>
      <w:r w:rsidRPr="00784E54">
        <w:rPr>
          <w:lang w:val="es-ES"/>
        </w:rPr>
        <w:t xml:space="preserve"> y la concesión, just</w:t>
      </w:r>
      <w:r w:rsidRPr="00784E54">
        <w:rPr>
          <w:lang w:val="es-ES"/>
        </w:rPr>
        <w:t>i</w:t>
      </w:r>
      <w:r w:rsidRPr="00784E54">
        <w:rPr>
          <w:lang w:val="es-ES"/>
        </w:rPr>
        <w:t>ficación y abono de las subvenciones se realizó conforme a lo estable</w:t>
      </w:r>
      <w:r w:rsidR="00664032">
        <w:rPr>
          <w:lang w:val="es-ES"/>
        </w:rPr>
        <w:t>cido en su normativa regulador</w:t>
      </w:r>
      <w:r w:rsidR="00F50ED7">
        <w:rPr>
          <w:lang w:val="es-ES"/>
        </w:rPr>
        <w:t>a; si bien, e</w:t>
      </w:r>
      <w:r w:rsidR="00F50ED7">
        <w:rPr>
          <w:rFonts w:cs="Arial"/>
        </w:rPr>
        <w:t>n el marco de la justicia gratuita, l</w:t>
      </w:r>
      <w:r w:rsidR="00F50ED7" w:rsidRPr="004E3969">
        <w:rPr>
          <w:rFonts w:cs="Arial"/>
        </w:rPr>
        <w:t>os colegios profesionales son las entidades colaboradoras encargadas de gestionar estas subvenciones y de hacer llegar los fondos a los abogados y procuradores por los servicios prestados</w:t>
      </w:r>
      <w:r w:rsidR="00F50ED7">
        <w:rPr>
          <w:rFonts w:cs="Arial"/>
        </w:rPr>
        <w:t>. E</w:t>
      </w:r>
      <w:r w:rsidR="00F50ED7" w:rsidRPr="004E3969">
        <w:rPr>
          <w:rFonts w:cs="Arial"/>
        </w:rPr>
        <w:t>stos colegios no remiten justificante de entrega de los fondos a los profesionales citados contrariamente a lo establecido en la norm</w:t>
      </w:r>
      <w:r w:rsidR="00F50ED7" w:rsidRPr="004E3969">
        <w:rPr>
          <w:rFonts w:cs="Arial"/>
        </w:rPr>
        <w:t>a</w:t>
      </w:r>
      <w:r w:rsidR="00F50ED7" w:rsidRPr="004E3969">
        <w:rPr>
          <w:rFonts w:cs="Arial"/>
        </w:rPr>
        <w:t>tiva</w:t>
      </w:r>
      <w:r w:rsidR="00F50ED7">
        <w:rPr>
          <w:rFonts w:cs="Arial"/>
        </w:rPr>
        <w:t>.</w:t>
      </w:r>
    </w:p>
    <w:p w:rsidR="00784E54" w:rsidRPr="005B05A4" w:rsidRDefault="00784E54" w:rsidP="005B05A4">
      <w:pPr>
        <w:pStyle w:val="texto"/>
        <w:spacing w:after="240"/>
        <w:rPr>
          <w:i/>
        </w:rPr>
      </w:pPr>
      <w:r w:rsidRPr="005B05A4">
        <w:rPr>
          <w:i/>
          <w:lang w:val="es-ES"/>
        </w:rPr>
        <w:t xml:space="preserve">Recomendamos </w:t>
      </w:r>
      <w:r w:rsidRPr="005B05A4">
        <w:rPr>
          <w:i/>
        </w:rPr>
        <w:t>solicitar justificación de la entrega de fondos a los profesi</w:t>
      </w:r>
      <w:r w:rsidRPr="005B05A4">
        <w:rPr>
          <w:i/>
        </w:rPr>
        <w:t>o</w:t>
      </w:r>
      <w:r w:rsidRPr="005B05A4">
        <w:rPr>
          <w:i/>
        </w:rPr>
        <w:t>nales que presten servicios.</w:t>
      </w:r>
    </w:p>
    <w:p w:rsidR="00784E54" w:rsidRPr="00784E54" w:rsidRDefault="00784E54" w:rsidP="004E3969">
      <w:pPr>
        <w:pStyle w:val="atitulo3"/>
      </w:pPr>
      <w:bookmarkStart w:id="69" w:name="_Toc418853784"/>
      <w:bookmarkStart w:id="70" w:name="_Toc402180194"/>
      <w:r w:rsidRPr="00784E54">
        <w:t>IV.8.2</w:t>
      </w:r>
      <w:r w:rsidR="004E3969">
        <w:t>.</w:t>
      </w:r>
      <w:r w:rsidRPr="00784E54">
        <w:t xml:space="preserve"> Convenio Económico con el Estado</w:t>
      </w:r>
      <w:bookmarkEnd w:id="69"/>
      <w:bookmarkEnd w:id="70"/>
    </w:p>
    <w:p w:rsidR="00784E54" w:rsidRPr="00784E54" w:rsidRDefault="00784E54" w:rsidP="004E3969">
      <w:pPr>
        <w:pStyle w:val="texto"/>
        <w:rPr>
          <w:lang w:val="es-ES"/>
        </w:rPr>
      </w:pPr>
      <w:r w:rsidRPr="00784E54">
        <w:rPr>
          <w:lang w:val="es-ES"/>
        </w:rPr>
        <w:t>La actividad financiera y tributaria de Navarra se rige, en virtud de su rég</w:t>
      </w:r>
      <w:r w:rsidRPr="00784E54">
        <w:rPr>
          <w:lang w:val="es-ES"/>
        </w:rPr>
        <w:t>i</w:t>
      </w:r>
      <w:r w:rsidRPr="00784E54">
        <w:rPr>
          <w:lang w:val="es-ES"/>
        </w:rPr>
        <w:t xml:space="preserve">men foral, por el Convenio Económico entre el Estado y la Comunidad Foral de Navarra, firmado el 31 de julio de 1990 y regulado en la Ley Foral 28/1990, de 26 de diciembre. </w:t>
      </w:r>
    </w:p>
    <w:p w:rsidR="00784E54" w:rsidRPr="00784E54" w:rsidRDefault="00784E54" w:rsidP="004E3969">
      <w:pPr>
        <w:pStyle w:val="texto"/>
        <w:rPr>
          <w:lang w:val="es-ES"/>
        </w:rPr>
      </w:pPr>
      <w:r w:rsidRPr="00784E54">
        <w:rPr>
          <w:lang w:val="es-ES"/>
        </w:rPr>
        <w:t>En el convenio se establecen los criterios de armonización fiscal y el método para calcular la aportación de Navarra por las cargas del Estado no asumidas por la Comunidad Foral y para los ajustes en recaudación tributaria.</w:t>
      </w:r>
    </w:p>
    <w:p w:rsidR="00784E54" w:rsidRPr="00784E54" w:rsidRDefault="00784E54" w:rsidP="004E3969">
      <w:pPr>
        <w:pStyle w:val="texto"/>
        <w:rPr>
          <w:lang w:val="es-ES"/>
        </w:rPr>
      </w:pPr>
      <w:r w:rsidRPr="00784E54">
        <w:rPr>
          <w:lang w:val="es-ES"/>
        </w:rPr>
        <w:t>El Convenio ha sido actualizado y modificado en varias ocasiones, siendo la última en 2015 de acuerdo a la Ley 14/2015, de 24 de junio, con las principales variaciones que se describieron en el informe de esta Cámara sobre las Cuentas Generales de Navarra de 2015.</w:t>
      </w:r>
    </w:p>
    <w:p w:rsidR="00DF6A11" w:rsidRDefault="00DF6A11">
      <w:pPr>
        <w:spacing w:after="0"/>
        <w:ind w:firstLine="0"/>
        <w:jc w:val="left"/>
        <w:rPr>
          <w:spacing w:val="6"/>
          <w:sz w:val="26"/>
          <w:szCs w:val="24"/>
          <w:lang w:val="es-ES"/>
        </w:rPr>
      </w:pPr>
      <w:r>
        <w:rPr>
          <w:lang w:val="es-ES"/>
        </w:rPr>
        <w:br w:type="page"/>
      </w:r>
    </w:p>
    <w:p w:rsidR="009343A9" w:rsidRDefault="00F50ED7" w:rsidP="001F3380">
      <w:pPr>
        <w:pStyle w:val="texto"/>
        <w:spacing w:after="240"/>
        <w:rPr>
          <w:lang w:val="es-ES"/>
        </w:rPr>
      </w:pPr>
      <w:r>
        <w:rPr>
          <w:lang w:val="es-ES"/>
        </w:rPr>
        <w:lastRenderedPageBreak/>
        <w:t xml:space="preserve">Los </w:t>
      </w:r>
      <w:r w:rsidR="00784E54" w:rsidRPr="00784E54">
        <w:rPr>
          <w:lang w:val="es-ES"/>
        </w:rPr>
        <w:t xml:space="preserve">gastos e ingresos </w:t>
      </w:r>
      <w:r w:rsidRPr="00784E54">
        <w:rPr>
          <w:lang w:val="es-ES"/>
        </w:rPr>
        <w:t>correspondientes al Convenio Económico</w:t>
      </w:r>
      <w:r>
        <w:rPr>
          <w:lang w:val="es-ES"/>
        </w:rPr>
        <w:t xml:space="preserve"> reconocidos en el presupuesto de </w:t>
      </w:r>
      <w:r w:rsidR="00784E54" w:rsidRPr="00784E54">
        <w:rPr>
          <w:lang w:val="es-ES"/>
        </w:rPr>
        <w:t>2016 y su comparación con el ejercicio anterior fueron:</w:t>
      </w:r>
    </w:p>
    <w:tbl>
      <w:tblPr>
        <w:tblW w:w="888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706"/>
        <w:gridCol w:w="1007"/>
        <w:gridCol w:w="931"/>
        <w:gridCol w:w="1244"/>
      </w:tblGrid>
      <w:tr w:rsidR="005B05A4" w:rsidRPr="005B05A4" w:rsidTr="005B05A4">
        <w:trPr>
          <w:trHeight w:val="255"/>
          <w:jc w:val="center"/>
        </w:trPr>
        <w:tc>
          <w:tcPr>
            <w:tcW w:w="8888" w:type="dxa"/>
            <w:gridSpan w:val="4"/>
            <w:tcBorders>
              <w:top w:val="nil"/>
              <w:bottom w:val="single" w:sz="2" w:space="0" w:color="auto"/>
            </w:tcBorders>
            <w:shd w:val="clear" w:color="auto" w:fill="auto"/>
            <w:vAlign w:val="center"/>
          </w:tcPr>
          <w:p w:rsidR="005B05A4" w:rsidRPr="005B05A4" w:rsidRDefault="005B05A4"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5B05A4">
              <w:rPr>
                <w:rFonts w:ascii="Arial" w:hAnsi="Arial"/>
                <w:spacing w:val="6"/>
                <w:sz w:val="17"/>
                <w:szCs w:val="17"/>
                <w:lang w:val="es-ES"/>
              </w:rPr>
              <w:t>(en miles de euros)</w:t>
            </w:r>
          </w:p>
        </w:tc>
      </w:tr>
      <w:tr w:rsidR="00784E54" w:rsidRPr="00784E54" w:rsidTr="00F50ED7">
        <w:trPr>
          <w:trHeight w:val="255"/>
          <w:jc w:val="center"/>
        </w:trPr>
        <w:tc>
          <w:tcPr>
            <w:tcW w:w="5706"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784E54">
              <w:rPr>
                <w:rFonts w:ascii="Arial" w:hAnsi="Arial"/>
                <w:spacing w:val="6"/>
                <w:sz w:val="18"/>
                <w:szCs w:val="24"/>
                <w:lang w:val="es-ES"/>
              </w:rPr>
              <w:t>Convenio-Partida Presupuestarias</w:t>
            </w:r>
          </w:p>
        </w:tc>
        <w:tc>
          <w:tcPr>
            <w:tcW w:w="1007"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2015</w:t>
            </w:r>
          </w:p>
        </w:tc>
        <w:tc>
          <w:tcPr>
            <w:tcW w:w="931"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2016</w:t>
            </w:r>
          </w:p>
        </w:tc>
        <w:tc>
          <w:tcPr>
            <w:tcW w:w="1244" w:type="dxa"/>
            <w:tcBorders>
              <w:bottom w:val="single" w:sz="4" w:space="0" w:color="auto"/>
            </w:tcBorders>
            <w:shd w:val="clear" w:color="auto" w:fill="8DB3E2" w:themeFill="text2" w:themeFillTint="66"/>
            <w:vAlign w:val="center"/>
          </w:tcPr>
          <w:p w:rsidR="00784E54" w:rsidRPr="00784E54" w:rsidRDefault="00784E54" w:rsidP="00E042B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 xml:space="preserve">% </w:t>
            </w:r>
            <w:r w:rsidR="00E042B5">
              <w:rPr>
                <w:rFonts w:ascii="Arial" w:hAnsi="Arial"/>
                <w:spacing w:val="6"/>
                <w:sz w:val="18"/>
                <w:szCs w:val="24"/>
                <w:lang w:val="es-ES"/>
              </w:rPr>
              <w:t>v</w:t>
            </w:r>
            <w:r w:rsidRPr="00784E54">
              <w:rPr>
                <w:rFonts w:ascii="Arial" w:hAnsi="Arial"/>
                <w:spacing w:val="6"/>
                <w:sz w:val="18"/>
                <w:szCs w:val="24"/>
                <w:lang w:val="es-ES"/>
              </w:rPr>
              <w:t>ariación 2016/2015</w:t>
            </w:r>
          </w:p>
        </w:tc>
      </w:tr>
      <w:tr w:rsidR="00784E54" w:rsidRPr="00784E54" w:rsidTr="00F50ED7">
        <w:trPr>
          <w:trHeight w:val="198"/>
          <w:jc w:val="center"/>
        </w:trPr>
        <w:tc>
          <w:tcPr>
            <w:tcW w:w="5706" w:type="dxa"/>
            <w:tcBorders>
              <w:top w:val="single" w:sz="4"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Aportación al Estado</w:t>
            </w:r>
          </w:p>
        </w:tc>
        <w:tc>
          <w:tcPr>
            <w:tcW w:w="1007" w:type="dxa"/>
            <w:tcBorders>
              <w:top w:val="single" w:sz="4"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591.043</w:t>
            </w:r>
          </w:p>
        </w:tc>
        <w:tc>
          <w:tcPr>
            <w:tcW w:w="931"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520.687</w:t>
            </w:r>
          </w:p>
        </w:tc>
        <w:tc>
          <w:tcPr>
            <w:tcW w:w="1244" w:type="dxa"/>
            <w:tcBorders>
              <w:top w:val="single" w:sz="4"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Compensación por impuestos sobre el sector eléctrico</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26.859</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20.169</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- 25</w:t>
            </w:r>
          </w:p>
        </w:tc>
      </w:tr>
      <w:tr w:rsidR="00784E54" w:rsidRPr="00784E54" w:rsidTr="00F50ED7">
        <w:trPr>
          <w:trHeight w:val="255"/>
          <w:jc w:val="center"/>
        </w:trPr>
        <w:tc>
          <w:tcPr>
            <w:tcW w:w="5706" w:type="dxa"/>
            <w:tcBorders>
              <w:top w:val="single" w:sz="2" w:space="0" w:color="auto"/>
              <w:bottom w:val="single" w:sz="2" w:space="0" w:color="auto"/>
            </w:tcBorders>
            <w:shd w:val="clear" w:color="auto" w:fill="auto"/>
            <w:vAlign w:val="center"/>
            <w:hideMark/>
          </w:tcPr>
          <w:p w:rsidR="00784E54" w:rsidRPr="00784E54" w:rsidRDefault="00784E54" w:rsidP="00D41E8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6"/>
                <w:szCs w:val="16"/>
                <w:lang w:val="es-ES"/>
              </w:rPr>
            </w:pPr>
            <w:r w:rsidRPr="00784E54">
              <w:rPr>
                <w:rFonts w:ascii="Arial" w:hAnsi="Arial" w:cs="Arial"/>
                <w:b/>
                <w:spacing w:val="6"/>
                <w:sz w:val="18"/>
                <w:szCs w:val="18"/>
              </w:rPr>
              <w:t>Total partidas Gastos- Convenio</w:t>
            </w:r>
          </w:p>
        </w:tc>
        <w:tc>
          <w:tcPr>
            <w:tcW w:w="1007" w:type="dxa"/>
            <w:tcBorders>
              <w:top w:val="single" w:sz="2" w:space="0" w:color="auto"/>
              <w:bottom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784E54">
              <w:rPr>
                <w:rFonts w:ascii="Arial" w:hAnsi="Arial" w:cs="Arial"/>
                <w:b/>
                <w:spacing w:val="6"/>
                <w:sz w:val="18"/>
                <w:szCs w:val="18"/>
              </w:rPr>
              <w:t>617.902</w:t>
            </w:r>
          </w:p>
        </w:tc>
        <w:tc>
          <w:tcPr>
            <w:tcW w:w="93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784E54">
              <w:rPr>
                <w:rFonts w:ascii="Arial" w:hAnsi="Arial" w:cs="Arial"/>
                <w:b/>
                <w:spacing w:val="6"/>
                <w:sz w:val="18"/>
                <w:szCs w:val="18"/>
              </w:rPr>
              <w:t>540.856</w:t>
            </w:r>
          </w:p>
        </w:tc>
        <w:tc>
          <w:tcPr>
            <w:tcW w:w="1244" w:type="dxa"/>
            <w:tcBorders>
              <w:top w:val="single" w:sz="2" w:space="0" w:color="auto"/>
              <w:bottom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784E54">
              <w:rPr>
                <w:rFonts w:ascii="Arial" w:hAnsi="Arial" w:cs="Arial"/>
                <w:b/>
                <w:spacing w:val="6"/>
                <w:sz w:val="18"/>
                <w:szCs w:val="18"/>
              </w:rPr>
              <w:t>-12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Ajustes por IVA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811.648</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835.522</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fiscal</w:t>
            </w:r>
            <w:r w:rsidR="00784E54" w:rsidRPr="00784E54">
              <w:rPr>
                <w:rFonts w:ascii="Arial Narrow" w:hAnsi="Arial Narrow"/>
                <w:spacing w:val="6"/>
              </w:rPr>
              <w:t xml:space="preserve"> por impuestos especiales s</w:t>
            </w:r>
            <w:r>
              <w:rPr>
                <w:rFonts w:ascii="Arial Narrow" w:hAnsi="Arial Narrow"/>
                <w:spacing w:val="6"/>
              </w:rPr>
              <w:t>/</w:t>
            </w:r>
            <w:r w:rsidR="00784E54" w:rsidRPr="00784E54">
              <w:rPr>
                <w:rFonts w:ascii="Arial Narrow" w:hAnsi="Arial Narrow"/>
                <w:spacing w:val="6"/>
              </w:rPr>
              <w:t xml:space="preserve"> </w:t>
            </w:r>
            <w:r>
              <w:rPr>
                <w:rFonts w:ascii="Arial Narrow" w:hAnsi="Arial Narrow"/>
                <w:spacing w:val="6"/>
              </w:rPr>
              <w:t>a</w:t>
            </w:r>
            <w:r w:rsidR="00784E54" w:rsidRPr="00784E54">
              <w:rPr>
                <w:rFonts w:ascii="Arial Narrow" w:hAnsi="Arial Narrow"/>
                <w:spacing w:val="6"/>
              </w:rPr>
              <w:t>lcohol</w:t>
            </w:r>
            <w:r>
              <w:rPr>
                <w:rFonts w:ascii="Arial Narrow" w:hAnsi="Arial Narrow"/>
                <w:spacing w:val="6"/>
              </w:rPr>
              <w:t xml:space="preserve"> y bebidas derivadas</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-37.992</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-37.473</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fiscal</w:t>
            </w:r>
            <w:r w:rsidR="00784E54" w:rsidRPr="00784E54">
              <w:rPr>
                <w:rFonts w:ascii="Arial Narrow" w:hAnsi="Arial Narrow"/>
                <w:spacing w:val="6"/>
              </w:rPr>
              <w:t xml:space="preserve"> por impuestos especiales sobre la </w:t>
            </w:r>
            <w:r>
              <w:rPr>
                <w:rFonts w:ascii="Arial Narrow" w:hAnsi="Arial Narrow"/>
                <w:spacing w:val="6"/>
              </w:rPr>
              <w:t>c</w:t>
            </w:r>
            <w:r w:rsidR="00784E54" w:rsidRPr="00784E54">
              <w:rPr>
                <w:rFonts w:ascii="Arial Narrow" w:hAnsi="Arial Narrow"/>
                <w:spacing w:val="6"/>
              </w:rPr>
              <w:t>erveza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4.666</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4.406</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fiscal</w:t>
            </w:r>
            <w:r w:rsidR="00784E54" w:rsidRPr="00784E54">
              <w:rPr>
                <w:rFonts w:ascii="Arial Narrow" w:hAnsi="Arial Narrow"/>
                <w:spacing w:val="6"/>
              </w:rPr>
              <w:t xml:space="preserve"> por impuestos especiales sobre las labores de tabaco</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16.967</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8.114</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-52</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F50ED7" w:rsidP="00F50ED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fiscal</w:t>
            </w:r>
            <w:r w:rsidR="00784E54" w:rsidRPr="00784E54">
              <w:rPr>
                <w:rFonts w:ascii="Arial Narrow" w:hAnsi="Arial Narrow"/>
                <w:spacing w:val="6"/>
              </w:rPr>
              <w:t xml:space="preserve"> por impuestos especiales sobre </w:t>
            </w:r>
            <w:r>
              <w:rPr>
                <w:rFonts w:ascii="Arial Narrow" w:hAnsi="Arial Narrow"/>
                <w:spacing w:val="6"/>
              </w:rPr>
              <w:t>h</w:t>
            </w:r>
            <w:r w:rsidR="00784E54" w:rsidRPr="00784E54">
              <w:rPr>
                <w:rFonts w:ascii="Arial Narrow" w:hAnsi="Arial Narrow"/>
                <w:spacing w:val="6"/>
              </w:rPr>
              <w:t>idrocarburos</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-50.825</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-10.034</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-80</w:t>
            </w:r>
          </w:p>
        </w:tc>
      </w:tr>
      <w:tr w:rsidR="00784E54" w:rsidRPr="00784E54" w:rsidTr="00F50ED7">
        <w:trPr>
          <w:trHeight w:val="255"/>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784E54">
              <w:rPr>
                <w:rFonts w:ascii="Arial Narrow" w:hAnsi="Arial Narrow"/>
                <w:i/>
                <w:spacing w:val="6"/>
              </w:rPr>
              <w:t xml:space="preserve">        Subtotal Ajustes IVA y Especiales</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784E54">
              <w:rPr>
                <w:rFonts w:ascii="Arial Narrow" w:hAnsi="Arial Narrow"/>
                <w:i/>
                <w:spacing w:val="6"/>
              </w:rPr>
              <w:t>744.464</w:t>
            </w:r>
          </w:p>
        </w:tc>
        <w:tc>
          <w:tcPr>
            <w:tcW w:w="931" w:type="dxa"/>
            <w:tcBorders>
              <w:top w:val="single" w:sz="2" w:space="0" w:color="auto"/>
              <w:bottom w:val="single" w:sz="2" w:space="0" w:color="auto"/>
            </w:tcBorders>
            <w:noWrap/>
            <w:vAlign w:val="center"/>
          </w:tcPr>
          <w:p w:rsidR="00784E54" w:rsidRPr="00784E54" w:rsidRDefault="00784E54" w:rsidP="005B05A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784E54">
              <w:rPr>
                <w:rFonts w:ascii="Arial Narrow" w:hAnsi="Arial Narrow"/>
                <w:i/>
                <w:spacing w:val="6"/>
              </w:rPr>
              <w:t>800.53</w:t>
            </w:r>
            <w:r w:rsidR="005B05A4">
              <w:rPr>
                <w:rFonts w:ascii="Arial Narrow" w:hAnsi="Arial Narrow"/>
                <w:i/>
                <w:spacing w:val="6"/>
              </w:rPr>
              <w:t>5</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784E54">
              <w:rPr>
                <w:rFonts w:ascii="Arial Narrow" w:hAnsi="Arial Narrow"/>
                <w:i/>
                <w:spacing w:val="6"/>
              </w:rPr>
              <w:t>-48</w:t>
            </w:r>
          </w:p>
        </w:tc>
      </w:tr>
      <w:tr w:rsidR="00784E54" w:rsidRPr="00784E54" w:rsidTr="00F50ED7">
        <w:trPr>
          <w:trHeight w:val="198"/>
          <w:jc w:val="center"/>
        </w:trPr>
        <w:tc>
          <w:tcPr>
            <w:tcW w:w="5706" w:type="dxa"/>
            <w:tcBorders>
              <w:top w:val="single" w:sz="2" w:space="0" w:color="auto"/>
              <w:bottom w:val="single" w:sz="2" w:space="0" w:color="auto"/>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color w:val="000000"/>
                <w:spacing w:val="6"/>
                <w:sz w:val="16"/>
                <w:szCs w:val="16"/>
                <w:lang w:val="es-ES"/>
              </w:rPr>
            </w:pPr>
            <w:r w:rsidRPr="00784E54">
              <w:rPr>
                <w:rFonts w:ascii="Arial Narrow" w:hAnsi="Arial Narrow"/>
                <w:spacing w:val="6"/>
              </w:rPr>
              <w:t>Atención a la Dependencia</w:t>
            </w:r>
          </w:p>
        </w:tc>
        <w:tc>
          <w:tcPr>
            <w:tcW w:w="1007"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11.310</w:t>
            </w:r>
          </w:p>
        </w:tc>
        <w:tc>
          <w:tcPr>
            <w:tcW w:w="931"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11.626</w:t>
            </w:r>
          </w:p>
        </w:tc>
        <w:tc>
          <w:tcPr>
            <w:tcW w:w="124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w:t>
            </w:r>
          </w:p>
        </w:tc>
      </w:tr>
      <w:tr w:rsidR="00784E54" w:rsidRPr="00784E54" w:rsidTr="00F50ED7">
        <w:trPr>
          <w:trHeight w:val="255"/>
          <w:jc w:val="center"/>
        </w:trPr>
        <w:tc>
          <w:tcPr>
            <w:tcW w:w="5706" w:type="dxa"/>
            <w:tcBorders>
              <w:top w:val="single" w:sz="2" w:space="0" w:color="auto"/>
            </w:tcBorders>
            <w:shd w:val="clear" w:color="auto" w:fill="auto"/>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8"/>
                <w:szCs w:val="18"/>
                <w:lang w:val="es-ES"/>
              </w:rPr>
            </w:pPr>
            <w:r w:rsidRPr="00784E54">
              <w:rPr>
                <w:rFonts w:ascii="Arial" w:hAnsi="Arial" w:cs="Arial"/>
                <w:b/>
                <w:spacing w:val="6"/>
                <w:sz w:val="18"/>
                <w:szCs w:val="18"/>
              </w:rPr>
              <w:t>Total partidas Ingresos- Convenio</w:t>
            </w:r>
          </w:p>
        </w:tc>
        <w:tc>
          <w:tcPr>
            <w:tcW w:w="1007" w:type="dxa"/>
            <w:tcBorders>
              <w:top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784E54">
              <w:rPr>
                <w:rFonts w:ascii="Arial" w:hAnsi="Arial" w:cs="Arial"/>
                <w:b/>
                <w:spacing w:val="6"/>
                <w:sz w:val="18"/>
                <w:szCs w:val="18"/>
              </w:rPr>
              <w:t>755.774</w:t>
            </w:r>
          </w:p>
        </w:tc>
        <w:tc>
          <w:tcPr>
            <w:tcW w:w="931" w:type="dxa"/>
            <w:tcBorders>
              <w:top w:val="single" w:sz="2" w:space="0" w:color="auto"/>
            </w:tcBorders>
            <w:shd w:val="clear" w:color="auto" w:fill="auto"/>
            <w:noWrap/>
            <w:vAlign w:val="center"/>
          </w:tcPr>
          <w:p w:rsidR="00784E54" w:rsidRPr="00784E54" w:rsidRDefault="005B05A4" w:rsidP="009F49CC">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812.16</w:t>
            </w:r>
            <w:r w:rsidR="009F49CC">
              <w:rPr>
                <w:rFonts w:ascii="Arial" w:hAnsi="Arial" w:cs="Arial"/>
                <w:b/>
                <w:spacing w:val="6"/>
                <w:sz w:val="18"/>
                <w:szCs w:val="18"/>
              </w:rPr>
              <w:t>1</w:t>
            </w:r>
          </w:p>
        </w:tc>
        <w:tc>
          <w:tcPr>
            <w:tcW w:w="1244" w:type="dxa"/>
            <w:tcBorders>
              <w:top w:val="single" w:sz="2" w:space="0" w:color="auto"/>
            </w:tcBorders>
            <w:shd w:val="clear" w:color="auto" w:fill="auto"/>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784E54">
              <w:rPr>
                <w:rFonts w:ascii="Arial" w:hAnsi="Arial" w:cs="Arial"/>
                <w:b/>
                <w:spacing w:val="6"/>
                <w:sz w:val="18"/>
                <w:szCs w:val="18"/>
              </w:rPr>
              <w:t>8</w:t>
            </w:r>
          </w:p>
        </w:tc>
      </w:tr>
    </w:tbl>
    <w:p w:rsidR="00784E54" w:rsidRPr="004E3969" w:rsidRDefault="00784E54" w:rsidP="004E3969">
      <w:pPr>
        <w:spacing w:before="240" w:after="240"/>
        <w:ind w:firstLine="284"/>
        <w:jc w:val="left"/>
        <w:rPr>
          <w:rFonts w:ascii="Arial" w:hAnsi="Arial"/>
          <w:i/>
          <w:iCs/>
          <w:color w:val="000000"/>
          <w:spacing w:val="10"/>
          <w:kern w:val="28"/>
          <w:sz w:val="25"/>
          <w:szCs w:val="26"/>
          <w:lang w:val="es-ES"/>
        </w:rPr>
      </w:pPr>
      <w:r w:rsidRPr="004E3969">
        <w:rPr>
          <w:rFonts w:ascii="Arial" w:hAnsi="Arial"/>
          <w:i/>
          <w:iCs/>
          <w:color w:val="000000"/>
          <w:spacing w:val="10"/>
          <w:kern w:val="28"/>
          <w:sz w:val="25"/>
          <w:szCs w:val="26"/>
          <w:lang w:val="es-ES"/>
        </w:rPr>
        <w:t>Gastos</w:t>
      </w:r>
    </w:p>
    <w:p w:rsidR="00784E54" w:rsidRPr="004E3969"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E3969">
        <w:rPr>
          <w:rFonts w:cs="Arial"/>
        </w:rPr>
        <w:t>La aportación al Estado en 2016 ascendió a 520,69 millones de euros, s</w:t>
      </w:r>
      <w:r w:rsidRPr="004E3969">
        <w:rPr>
          <w:rFonts w:cs="Arial"/>
        </w:rPr>
        <w:t>u</w:t>
      </w:r>
      <w:r w:rsidRPr="004E3969">
        <w:rPr>
          <w:rFonts w:cs="Arial"/>
        </w:rPr>
        <w:t>poniendo el 13 por ciento del total de obligaciones reconocidas en el ejercicio</w:t>
      </w:r>
      <w:r w:rsidR="009F49CC">
        <w:rPr>
          <w:rFonts w:cs="Arial"/>
        </w:rPr>
        <w:t xml:space="preserve"> y</w:t>
      </w:r>
      <w:r w:rsidRPr="004E3969">
        <w:rPr>
          <w:rFonts w:cs="Arial"/>
        </w:rPr>
        <w:t xml:space="preserve"> disminuyó un 12 por ciento respecto </w:t>
      </w:r>
      <w:r w:rsidR="009F49CC">
        <w:rPr>
          <w:rFonts w:cs="Arial"/>
        </w:rPr>
        <w:t>a 2015</w:t>
      </w:r>
      <w:r w:rsidRPr="004E3969">
        <w:rPr>
          <w:rFonts w:cs="Arial"/>
        </w:rPr>
        <w:t xml:space="preserve">. </w:t>
      </w:r>
    </w:p>
    <w:p w:rsidR="00784E54" w:rsidRPr="00784E54" w:rsidRDefault="00784E54" w:rsidP="004E3969">
      <w:pPr>
        <w:pStyle w:val="texto"/>
        <w:rPr>
          <w:lang w:val="es-ES"/>
        </w:rPr>
      </w:pPr>
      <w:r w:rsidRPr="00784E54">
        <w:rPr>
          <w:lang w:val="es-ES"/>
        </w:rPr>
        <w:t>El ejercicio 2015 fue año base para el quinquenio 2015-2019; sin embargo, no se llegó a un acuerdo sobre la aportación base del mismo. Por este motivo, y según establece la normativa en la Disposición Transitoria Segunda, se fijó una aportación líquida provisional por aplicación del índice de actualización como si se tratara de un año más del quinquenio anterior. Ante la ausencia de acue</w:t>
      </w:r>
      <w:r w:rsidRPr="00784E54">
        <w:rPr>
          <w:lang w:val="es-ES"/>
        </w:rPr>
        <w:t>r</w:t>
      </w:r>
      <w:r w:rsidRPr="00784E54">
        <w:rPr>
          <w:lang w:val="es-ES"/>
        </w:rPr>
        <w:t>do, en 2016, se utilizó este mismo criterio para fijar la aportación líquida prov</w:t>
      </w:r>
      <w:r w:rsidRPr="00784E54">
        <w:rPr>
          <w:lang w:val="es-ES"/>
        </w:rPr>
        <w:t>i</w:t>
      </w:r>
      <w:r w:rsidRPr="00784E54">
        <w:rPr>
          <w:lang w:val="es-ES"/>
        </w:rPr>
        <w:t xml:space="preserve">sional que se estableció en 613,69 millones de euros. </w:t>
      </w:r>
    </w:p>
    <w:p w:rsidR="00784E54" w:rsidRPr="00784E54" w:rsidRDefault="00784E54" w:rsidP="004E3969">
      <w:pPr>
        <w:pStyle w:val="texto"/>
        <w:rPr>
          <w:lang w:val="es-ES"/>
        </w:rPr>
      </w:pPr>
      <w:r w:rsidRPr="00784E54">
        <w:rPr>
          <w:lang w:val="es-ES"/>
        </w:rPr>
        <w:t xml:space="preserve">En abril de 2016, la Comisión Coordinadora suscribió un acuerdo </w:t>
      </w:r>
      <w:r w:rsidR="005B05A4">
        <w:rPr>
          <w:lang w:val="es-ES"/>
        </w:rPr>
        <w:t>por el que se creó</w:t>
      </w:r>
      <w:r w:rsidRPr="00784E54">
        <w:rPr>
          <w:lang w:val="es-ES"/>
        </w:rPr>
        <w:t xml:space="preserve"> una subcomisión </w:t>
      </w:r>
      <w:r w:rsidR="005B05A4">
        <w:rPr>
          <w:lang w:val="es-ES"/>
        </w:rPr>
        <w:t>para</w:t>
      </w:r>
      <w:r w:rsidRPr="00784E54">
        <w:rPr>
          <w:lang w:val="es-ES"/>
        </w:rPr>
        <w:t xml:space="preserve"> impulsar y coordinar los trabajos técnicos para actualizar la aportación económica y hacer efectivos los ajustes por impuestos indirectos del periodo 2015-201</w:t>
      </w:r>
      <w:r w:rsidR="00F50ED7">
        <w:rPr>
          <w:lang w:val="es-ES"/>
        </w:rPr>
        <w:t>9</w:t>
      </w:r>
      <w:r w:rsidRPr="00784E54">
        <w:rPr>
          <w:lang w:val="es-ES"/>
        </w:rPr>
        <w:t>. Sin embargo, esta subcomisión no llegó a constituirse durante 2016 pese a los requerimientos de los representantes de Navarra. Por este motivo, los gastos de los tres primeros trimestres de 2016 se abonaron teniendo en cuenta la cantidad antes mencionada (613,69 millones).</w:t>
      </w:r>
    </w:p>
    <w:p w:rsidR="00784E54" w:rsidRPr="00784E54" w:rsidRDefault="00784E54" w:rsidP="004E3969">
      <w:pPr>
        <w:pStyle w:val="texto"/>
        <w:rPr>
          <w:lang w:val="es-ES"/>
        </w:rPr>
      </w:pPr>
      <w:r w:rsidRPr="00784E54">
        <w:rPr>
          <w:lang w:val="es-ES"/>
        </w:rPr>
        <w:t>En octubre de 2016, Navarra remitió al Estado un informe con los resultados de un exhaustivo estudio llevado a cabo sobre las distintas variables que dete</w:t>
      </w:r>
      <w:r w:rsidRPr="00784E54">
        <w:rPr>
          <w:lang w:val="es-ES"/>
        </w:rPr>
        <w:t>r</w:t>
      </w:r>
      <w:r w:rsidRPr="00784E54">
        <w:rPr>
          <w:lang w:val="es-ES"/>
        </w:rPr>
        <w:t>minan la aportación y que regulan las relaciones financieras entre ambos (an</w:t>
      </w:r>
      <w:r w:rsidRPr="00784E54">
        <w:rPr>
          <w:lang w:val="es-ES"/>
        </w:rPr>
        <w:t>á</w:t>
      </w:r>
      <w:r w:rsidRPr="00784E54">
        <w:rPr>
          <w:lang w:val="es-ES"/>
        </w:rPr>
        <w:t xml:space="preserve">lisis de todas las partidas presupuestarias del Presupuesto General del Estado, de los índices de actualización aplicados, </w:t>
      </w:r>
      <w:r w:rsidR="005B05A4">
        <w:rPr>
          <w:lang w:val="es-ES"/>
        </w:rPr>
        <w:t>índices de consumo, índices de ge</w:t>
      </w:r>
      <w:r w:rsidR="005B05A4">
        <w:rPr>
          <w:lang w:val="es-ES"/>
        </w:rPr>
        <w:t>s</w:t>
      </w:r>
      <w:r w:rsidR="005B05A4">
        <w:rPr>
          <w:lang w:val="es-ES"/>
        </w:rPr>
        <w:t xml:space="preserve">tión de impuestos, </w:t>
      </w:r>
      <w:r w:rsidRPr="00784E54">
        <w:rPr>
          <w:lang w:val="es-ES"/>
        </w:rPr>
        <w:t xml:space="preserve">etc.), para que la subcomisión se </w:t>
      </w:r>
      <w:r w:rsidR="005B05A4">
        <w:rPr>
          <w:lang w:val="es-ES"/>
        </w:rPr>
        <w:t xml:space="preserve">constituyera </w:t>
      </w:r>
      <w:r w:rsidRPr="00784E54">
        <w:rPr>
          <w:lang w:val="es-ES"/>
        </w:rPr>
        <w:t xml:space="preserve">y lo tuviera en cuenta. </w:t>
      </w:r>
    </w:p>
    <w:p w:rsidR="00784E54" w:rsidRPr="00784E54" w:rsidRDefault="00784E54" w:rsidP="004E3969">
      <w:pPr>
        <w:pStyle w:val="texto"/>
        <w:rPr>
          <w:lang w:val="es-ES"/>
        </w:rPr>
      </w:pPr>
      <w:r w:rsidRPr="00784E54">
        <w:rPr>
          <w:lang w:val="es-ES"/>
        </w:rPr>
        <w:lastRenderedPageBreak/>
        <w:t xml:space="preserve">La subcomisión siguió sin </w:t>
      </w:r>
      <w:r w:rsidR="005B05A4">
        <w:rPr>
          <w:lang w:val="es-ES"/>
        </w:rPr>
        <w:t>constituirse</w:t>
      </w:r>
      <w:r w:rsidRPr="00784E54">
        <w:rPr>
          <w:lang w:val="es-ES"/>
        </w:rPr>
        <w:t xml:space="preserve"> y, cuando en diciembre de 2016 N</w:t>
      </w:r>
      <w:r w:rsidRPr="00784E54">
        <w:rPr>
          <w:lang w:val="es-ES"/>
        </w:rPr>
        <w:t>a</w:t>
      </w:r>
      <w:r w:rsidRPr="00784E54">
        <w:rPr>
          <w:lang w:val="es-ES"/>
        </w:rPr>
        <w:t xml:space="preserve">varra iba a reconocer y abonar el gasto del cuarto trimestre, el criterio utilizado previamente se modificó </w:t>
      </w:r>
      <w:r w:rsidR="005B05A4">
        <w:rPr>
          <w:lang w:val="es-ES"/>
        </w:rPr>
        <w:t xml:space="preserve">por el Gobierno de Navarra </w:t>
      </w:r>
      <w:r w:rsidRPr="00784E54">
        <w:rPr>
          <w:lang w:val="es-ES"/>
        </w:rPr>
        <w:t>con el soporte de un i</w:t>
      </w:r>
      <w:r w:rsidRPr="00784E54">
        <w:rPr>
          <w:lang w:val="es-ES"/>
        </w:rPr>
        <w:t>n</w:t>
      </w:r>
      <w:r w:rsidRPr="00784E54">
        <w:rPr>
          <w:lang w:val="es-ES"/>
        </w:rPr>
        <w:t>forme técnico y jurídico; tras describir los antecedentes de la cuestión, este d</w:t>
      </w:r>
      <w:r w:rsidRPr="00784E54">
        <w:rPr>
          <w:lang w:val="es-ES"/>
        </w:rPr>
        <w:t>o</w:t>
      </w:r>
      <w:r w:rsidRPr="00784E54">
        <w:rPr>
          <w:lang w:val="es-ES"/>
        </w:rPr>
        <w:t>cumento indica</w:t>
      </w:r>
      <w:r w:rsidR="005B05A4">
        <w:rPr>
          <w:lang w:val="es-ES"/>
        </w:rPr>
        <w:t>ba</w:t>
      </w:r>
      <w:r w:rsidRPr="00784E54">
        <w:rPr>
          <w:lang w:val="es-ES"/>
        </w:rPr>
        <w:t xml:space="preserve"> que Navarra ha avanzado significativamente en la realización de estudios para determinar las relaciones financieras del quinquenio 2015-2019, habiendo remitido estas conclusiones al Estado en octubre de 2016 tal y como hemos descrito en el párrafo anterior.</w:t>
      </w:r>
    </w:p>
    <w:p w:rsidR="00784E54" w:rsidRPr="00784E54" w:rsidRDefault="00784E54" w:rsidP="004E3969">
      <w:pPr>
        <w:pStyle w:val="texto"/>
        <w:rPr>
          <w:lang w:val="es-ES"/>
        </w:rPr>
      </w:pPr>
      <w:r w:rsidRPr="00784E54">
        <w:rPr>
          <w:lang w:val="es-ES"/>
        </w:rPr>
        <w:t>Se indica además que, teniendo en cuenta dichos estudios, la situación de prórroga indefinida de aplicación de esa aportació</w:t>
      </w:r>
      <w:r w:rsidR="005B05A4">
        <w:rPr>
          <w:lang w:val="es-ES"/>
        </w:rPr>
        <w:t>n líquida (613,69 millones) estaba</w:t>
      </w:r>
      <w:r w:rsidRPr="00784E54">
        <w:rPr>
          <w:lang w:val="es-ES"/>
        </w:rPr>
        <w:t xml:space="preserve"> suponiendo un perjuicio significativo para la estabilidad y sostenibilidad de las cuentas públicas de Navarra, sin que la subcomisión para analizar estos aspectos se </w:t>
      </w:r>
      <w:r w:rsidR="005B05A4">
        <w:rPr>
          <w:lang w:val="es-ES"/>
        </w:rPr>
        <w:t>hubiera constituido</w:t>
      </w:r>
      <w:r w:rsidRPr="00784E54">
        <w:rPr>
          <w:lang w:val="es-ES"/>
        </w:rPr>
        <w:t>. Continúa mencionando que, si bien las relaci</w:t>
      </w:r>
      <w:r w:rsidRPr="00784E54">
        <w:rPr>
          <w:lang w:val="es-ES"/>
        </w:rPr>
        <w:t>o</w:t>
      </w:r>
      <w:r w:rsidRPr="00784E54">
        <w:rPr>
          <w:lang w:val="es-ES"/>
        </w:rPr>
        <w:t xml:space="preserve">nes </w:t>
      </w:r>
      <w:r w:rsidR="005B05A4">
        <w:rPr>
          <w:lang w:val="es-ES"/>
        </w:rPr>
        <w:t xml:space="preserve">financieras </w:t>
      </w:r>
      <w:r w:rsidRPr="00784E54">
        <w:rPr>
          <w:lang w:val="es-ES"/>
        </w:rPr>
        <w:t>deben acordarse, hasta los escenarios más pesimistas conte</w:t>
      </w:r>
      <w:r w:rsidRPr="00784E54">
        <w:rPr>
          <w:lang w:val="es-ES"/>
        </w:rPr>
        <w:t>m</w:t>
      </w:r>
      <w:r w:rsidRPr="00784E54">
        <w:rPr>
          <w:lang w:val="es-ES"/>
        </w:rPr>
        <w:t>plados en dichos estudios justifica</w:t>
      </w:r>
      <w:r w:rsidR="005B05A4">
        <w:rPr>
          <w:lang w:val="es-ES"/>
        </w:rPr>
        <w:t>ba</w:t>
      </w:r>
      <w:r w:rsidRPr="00784E54">
        <w:rPr>
          <w:lang w:val="es-ES"/>
        </w:rPr>
        <w:t xml:space="preserve">n este perjuicio; por este motivo, </w:t>
      </w:r>
      <w:r w:rsidR="005B05A4">
        <w:rPr>
          <w:lang w:val="es-ES"/>
        </w:rPr>
        <w:t xml:space="preserve">se </w:t>
      </w:r>
      <w:r w:rsidRPr="00784E54">
        <w:rPr>
          <w:lang w:val="es-ES"/>
        </w:rPr>
        <w:t>prop</w:t>
      </w:r>
      <w:r w:rsidRPr="00784E54">
        <w:rPr>
          <w:lang w:val="es-ES"/>
        </w:rPr>
        <w:t>o</w:t>
      </w:r>
      <w:r w:rsidRPr="00784E54">
        <w:rPr>
          <w:lang w:val="es-ES"/>
        </w:rPr>
        <w:t xml:space="preserve">ne que, en lugar de aplicar la Disposición Transitoria Segunda, que implica considerar una aportación provisional de 613,69 millones, se tenga en cuenta el artículo 63.2. que </w:t>
      </w:r>
      <w:r w:rsidR="005B05A4">
        <w:rPr>
          <w:lang w:val="es-ES"/>
        </w:rPr>
        <w:t>supone</w:t>
      </w:r>
      <w:r w:rsidRPr="00784E54">
        <w:rPr>
          <w:lang w:val="es-ES"/>
        </w:rPr>
        <w:t xml:space="preserve"> que la aportación se establezca según la última apo</w:t>
      </w:r>
      <w:r w:rsidRPr="00784E54">
        <w:rPr>
          <w:lang w:val="es-ES"/>
        </w:rPr>
        <w:t>r</w:t>
      </w:r>
      <w:r w:rsidRPr="00784E54">
        <w:rPr>
          <w:lang w:val="es-ES"/>
        </w:rPr>
        <w:t xml:space="preserve">tación líquida provisional acordada que correspondería a la del año 2012 (520,69 millones). </w:t>
      </w:r>
    </w:p>
    <w:p w:rsidR="00784E54" w:rsidRPr="00784E54" w:rsidRDefault="00784E54" w:rsidP="004E3969">
      <w:pPr>
        <w:pStyle w:val="texto"/>
        <w:rPr>
          <w:lang w:val="es-ES"/>
        </w:rPr>
      </w:pPr>
      <w:r w:rsidRPr="00784E54">
        <w:rPr>
          <w:lang w:val="es-ES"/>
        </w:rPr>
        <w:t>Teniendo en cuenta los pagos realizados hasta la fecha, lo que le resta</w:t>
      </w:r>
      <w:r w:rsidR="005B05A4">
        <w:rPr>
          <w:lang w:val="es-ES"/>
        </w:rPr>
        <w:t>b</w:t>
      </w:r>
      <w:r w:rsidRPr="00784E54">
        <w:rPr>
          <w:lang w:val="es-ES"/>
        </w:rPr>
        <w:t>a a Navarra por abonar al Estado alcanza</w:t>
      </w:r>
      <w:r w:rsidR="009F49CC">
        <w:rPr>
          <w:lang w:val="es-ES"/>
        </w:rPr>
        <w:t>b</w:t>
      </w:r>
      <w:r w:rsidRPr="00784E54">
        <w:rPr>
          <w:lang w:val="es-ES"/>
        </w:rPr>
        <w:t>a los 60,24 millones, y esa es la cantidad que efectivamente se pagó. El Estado no aceptó esta propuesta, y la diferencia entre lo que ellos entienden que Navarra debería haber abonado, y lo que efe</w:t>
      </w:r>
      <w:r w:rsidRPr="00784E54">
        <w:rPr>
          <w:lang w:val="es-ES"/>
        </w:rPr>
        <w:t>c</w:t>
      </w:r>
      <w:r w:rsidR="00B6722E">
        <w:rPr>
          <w:lang w:val="es-ES"/>
        </w:rPr>
        <w:t xml:space="preserve">tivamente pagó fue </w:t>
      </w:r>
      <w:r w:rsidR="009F49CC">
        <w:rPr>
          <w:lang w:val="es-ES"/>
        </w:rPr>
        <w:t>93</w:t>
      </w:r>
      <w:r w:rsidR="00B6722E">
        <w:rPr>
          <w:lang w:val="es-ES"/>
        </w:rPr>
        <w:t xml:space="preserve"> millones de euros</w:t>
      </w:r>
      <w:r w:rsidRPr="00784E54">
        <w:rPr>
          <w:lang w:val="es-ES"/>
        </w:rPr>
        <w:t>.</w:t>
      </w:r>
    </w:p>
    <w:p w:rsidR="00B6722E" w:rsidRDefault="00B6722E"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El otro gasto del Convenio está relacionado con la </w:t>
      </w:r>
      <w:r w:rsidR="00784E54" w:rsidRPr="004E3969">
        <w:rPr>
          <w:rFonts w:cs="Arial"/>
        </w:rPr>
        <w:t>compensación por i</w:t>
      </w:r>
      <w:r w:rsidR="00784E54" w:rsidRPr="004E3969">
        <w:rPr>
          <w:rFonts w:cs="Arial"/>
        </w:rPr>
        <w:t>m</w:t>
      </w:r>
      <w:r w:rsidR="00784E54" w:rsidRPr="004E3969">
        <w:rPr>
          <w:rFonts w:cs="Arial"/>
        </w:rPr>
        <w:t>puestos sobre el sector eléctrico</w:t>
      </w:r>
      <w:r>
        <w:rPr>
          <w:rFonts w:cs="Arial"/>
        </w:rPr>
        <w:t xml:space="preserve"> que en 2016</w:t>
      </w:r>
      <w:r w:rsidR="00784E54" w:rsidRPr="004E3969">
        <w:rPr>
          <w:rFonts w:cs="Arial"/>
        </w:rPr>
        <w:t xml:space="preserve"> ascendió a 20,17 millones de e</w:t>
      </w:r>
      <w:r w:rsidR="00784E54" w:rsidRPr="004E3969">
        <w:rPr>
          <w:rFonts w:cs="Arial"/>
        </w:rPr>
        <w:t>u</w:t>
      </w:r>
      <w:r w:rsidR="00784E54" w:rsidRPr="004E3969">
        <w:rPr>
          <w:rFonts w:cs="Arial"/>
        </w:rPr>
        <w:t>ros</w:t>
      </w:r>
      <w:r>
        <w:rPr>
          <w:rFonts w:cs="Arial"/>
        </w:rPr>
        <w:t xml:space="preserve">; este importe fue inferior al de 2015 en un </w:t>
      </w:r>
      <w:r w:rsidR="00784E54" w:rsidRPr="004E3969">
        <w:rPr>
          <w:rFonts w:cs="Arial"/>
        </w:rPr>
        <w:t>25 por ciento</w:t>
      </w:r>
      <w:r>
        <w:rPr>
          <w:rFonts w:cs="Arial"/>
        </w:rPr>
        <w:t xml:space="preserve"> ya</w:t>
      </w:r>
      <w:r w:rsidR="00784E54" w:rsidRPr="004E3969">
        <w:rPr>
          <w:rFonts w:cs="Arial"/>
        </w:rPr>
        <w:t xml:space="preserve"> que en ese año se incluyeron las liquidaciones provisionales del periodo 2013-201</w:t>
      </w:r>
      <w:r>
        <w:rPr>
          <w:rFonts w:cs="Arial"/>
        </w:rPr>
        <w:t>4</w:t>
      </w:r>
      <w:r w:rsidR="00784E54" w:rsidRPr="004E3969">
        <w:rPr>
          <w:rFonts w:cs="Arial"/>
        </w:rPr>
        <w:t>.</w:t>
      </w:r>
      <w:r>
        <w:rPr>
          <w:rFonts w:cs="Arial"/>
        </w:rPr>
        <w:t xml:space="preserve"> En este caso, el Estado interpretó que Navarra debería haber a</w:t>
      </w:r>
      <w:r w:rsidR="00242CEF">
        <w:rPr>
          <w:rFonts w:cs="Arial"/>
        </w:rPr>
        <w:t>bonado en lugar de esa cantidad</w:t>
      </w:r>
      <w:r>
        <w:rPr>
          <w:rFonts w:cs="Arial"/>
        </w:rPr>
        <w:t xml:space="preserve"> 10,45 millones de euro</w:t>
      </w:r>
    </w:p>
    <w:p w:rsidR="00D41E85" w:rsidRDefault="00B6722E" w:rsidP="0084121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En definitiva, la suma de estas diferencias de interpretación sobre las ca</w:t>
      </w:r>
      <w:r>
        <w:rPr>
          <w:rFonts w:cs="Arial"/>
        </w:rPr>
        <w:t>n</w:t>
      </w:r>
      <w:r>
        <w:rPr>
          <w:rFonts w:cs="Arial"/>
        </w:rPr>
        <w:t>tidades a tener en cuenta debido a la inexistencia de un acuerdo sobre la aport</w:t>
      </w:r>
      <w:r>
        <w:rPr>
          <w:rFonts w:cs="Arial"/>
        </w:rPr>
        <w:t>a</w:t>
      </w:r>
      <w:r>
        <w:rPr>
          <w:rFonts w:cs="Arial"/>
        </w:rPr>
        <w:t>ción económica de 2015 (año base para el quinquenio 2015-2019) supuso que Navarra abonara al Estado 82,55 millones de euros menos de lo que éste ente</w:t>
      </w:r>
      <w:r>
        <w:rPr>
          <w:rFonts w:cs="Arial"/>
        </w:rPr>
        <w:t>n</w:t>
      </w:r>
      <w:r>
        <w:rPr>
          <w:rFonts w:cs="Arial"/>
        </w:rPr>
        <w:t>día, tal y como se muestra en el siguiente cuadro:</w:t>
      </w:r>
    </w:p>
    <w:tbl>
      <w:tblPr>
        <w:tblStyle w:val="Tablaconcuadrcula"/>
        <w:tblW w:w="8789" w:type="dxa"/>
        <w:tblInd w:w="108" w:type="dxa"/>
        <w:tblLook w:val="04A0" w:firstRow="1" w:lastRow="0" w:firstColumn="1" w:lastColumn="0" w:noHBand="0" w:noVBand="1"/>
      </w:tblPr>
      <w:tblGrid>
        <w:gridCol w:w="4111"/>
        <w:gridCol w:w="1668"/>
        <w:gridCol w:w="1668"/>
        <w:gridCol w:w="1342"/>
      </w:tblGrid>
      <w:tr w:rsidR="00841212" w:rsidRPr="00841212" w:rsidTr="00D41E85">
        <w:tc>
          <w:tcPr>
            <w:tcW w:w="8789" w:type="dxa"/>
            <w:gridSpan w:val="4"/>
            <w:tcBorders>
              <w:top w:val="nil"/>
              <w:left w:val="nil"/>
              <w:bottom w:val="single" w:sz="4" w:space="0" w:color="auto"/>
              <w:right w:val="nil"/>
            </w:tcBorders>
            <w:shd w:val="clear" w:color="auto" w:fill="auto"/>
          </w:tcPr>
          <w:p w:rsidR="00841212" w:rsidRPr="00841212" w:rsidRDefault="00841212"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7"/>
                <w:szCs w:val="17"/>
              </w:rPr>
            </w:pPr>
            <w:r w:rsidRPr="00841212">
              <w:rPr>
                <w:rFonts w:ascii="Arial" w:hAnsi="Arial" w:cs="Arial"/>
                <w:sz w:val="17"/>
                <w:szCs w:val="17"/>
              </w:rPr>
              <w:t>(en miles de euros)</w:t>
            </w:r>
          </w:p>
        </w:tc>
      </w:tr>
      <w:tr w:rsidR="00B6722E" w:rsidRPr="005537AF" w:rsidTr="00E042B5">
        <w:trPr>
          <w:trHeight w:val="255"/>
        </w:trPr>
        <w:tc>
          <w:tcPr>
            <w:tcW w:w="4111"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w:hAnsi="Arial" w:cs="Arial"/>
                <w:sz w:val="18"/>
                <w:szCs w:val="18"/>
              </w:rPr>
            </w:pP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sidRPr="005537AF">
              <w:rPr>
                <w:rFonts w:ascii="Arial" w:hAnsi="Arial" w:cs="Arial"/>
                <w:sz w:val="18"/>
                <w:szCs w:val="18"/>
              </w:rPr>
              <w:t>Criterio Navarra</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sidRPr="005537AF">
              <w:rPr>
                <w:rFonts w:ascii="Arial" w:hAnsi="Arial" w:cs="Arial"/>
                <w:sz w:val="18"/>
                <w:szCs w:val="18"/>
              </w:rPr>
              <w:t>Criterio Estado</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sidRPr="005537AF">
              <w:rPr>
                <w:rFonts w:ascii="Arial" w:hAnsi="Arial" w:cs="Arial"/>
                <w:sz w:val="18"/>
                <w:szCs w:val="18"/>
              </w:rPr>
              <w:t>Diferencia</w:t>
            </w:r>
          </w:p>
        </w:tc>
      </w:tr>
      <w:tr w:rsidR="00B6722E" w:rsidRPr="005537AF" w:rsidTr="00E042B5">
        <w:trPr>
          <w:trHeight w:val="198"/>
        </w:trPr>
        <w:tc>
          <w:tcPr>
            <w:tcW w:w="4111" w:type="dxa"/>
            <w:tcBorders>
              <w:top w:val="single" w:sz="4" w:space="0" w:color="auto"/>
              <w:left w:val="nil"/>
              <w:bottom w:val="single" w:sz="2" w:space="0" w:color="auto"/>
              <w:right w:val="nil"/>
            </w:tcBorders>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Narrow" w:hAnsi="Arial Narrow" w:cs="Arial"/>
                <w:sz w:val="20"/>
                <w:szCs w:val="20"/>
              </w:rPr>
            </w:pPr>
            <w:r w:rsidRPr="005537AF">
              <w:rPr>
                <w:rFonts w:ascii="Arial Narrow" w:hAnsi="Arial Narrow" w:cs="Arial"/>
                <w:sz w:val="20"/>
                <w:szCs w:val="20"/>
              </w:rPr>
              <w:t>Aportación al Estado</w:t>
            </w:r>
          </w:p>
        </w:tc>
        <w:tc>
          <w:tcPr>
            <w:tcW w:w="1668"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520.687</w:t>
            </w:r>
          </w:p>
        </w:tc>
        <w:tc>
          <w:tcPr>
            <w:tcW w:w="1668"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613.687</w:t>
            </w:r>
          </w:p>
        </w:tc>
        <w:tc>
          <w:tcPr>
            <w:tcW w:w="1342" w:type="dxa"/>
            <w:tcBorders>
              <w:top w:val="single" w:sz="4" w:space="0" w:color="auto"/>
              <w:left w:val="nil"/>
              <w:bottom w:val="single" w:sz="2"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93.000</w:t>
            </w:r>
          </w:p>
        </w:tc>
      </w:tr>
      <w:tr w:rsidR="00B6722E" w:rsidRPr="005537AF" w:rsidTr="00E042B5">
        <w:trPr>
          <w:trHeight w:val="198"/>
        </w:trPr>
        <w:tc>
          <w:tcPr>
            <w:tcW w:w="4111" w:type="dxa"/>
            <w:tcBorders>
              <w:top w:val="single" w:sz="2" w:space="0" w:color="auto"/>
              <w:left w:val="nil"/>
              <w:bottom w:val="single" w:sz="4" w:space="0" w:color="auto"/>
              <w:right w:val="nil"/>
            </w:tcBorders>
          </w:tcPr>
          <w:p w:rsidR="00B6722E" w:rsidRPr="005537AF" w:rsidRDefault="00B6722E"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Narrow" w:hAnsi="Arial Narrow" w:cs="Arial"/>
                <w:sz w:val="20"/>
                <w:szCs w:val="20"/>
              </w:rPr>
            </w:pPr>
            <w:r w:rsidRPr="005537AF">
              <w:rPr>
                <w:rFonts w:ascii="Arial Narrow" w:hAnsi="Arial Narrow" w:cs="Arial"/>
                <w:sz w:val="20"/>
                <w:szCs w:val="20"/>
              </w:rPr>
              <w:t>Compensación impuesto sector eléctrico</w:t>
            </w:r>
          </w:p>
        </w:tc>
        <w:tc>
          <w:tcPr>
            <w:tcW w:w="1668"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20.169</w:t>
            </w:r>
          </w:p>
        </w:tc>
        <w:tc>
          <w:tcPr>
            <w:tcW w:w="1668"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9.722</w:t>
            </w:r>
          </w:p>
        </w:tc>
        <w:tc>
          <w:tcPr>
            <w:tcW w:w="1342" w:type="dxa"/>
            <w:tcBorders>
              <w:top w:val="single" w:sz="2" w:space="0" w:color="auto"/>
              <w:left w:val="nil"/>
              <w:bottom w:val="single" w:sz="4" w:space="0" w:color="auto"/>
              <w:right w:val="nil"/>
            </w:tcBorders>
          </w:tcPr>
          <w:p w:rsidR="00B6722E" w:rsidRPr="005537AF" w:rsidRDefault="00B6722E"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Narrow" w:hAnsi="Arial Narrow" w:cs="Arial"/>
                <w:sz w:val="20"/>
                <w:szCs w:val="20"/>
              </w:rPr>
            </w:pPr>
            <w:r w:rsidRPr="005537AF">
              <w:rPr>
                <w:rFonts w:ascii="Arial Narrow" w:hAnsi="Arial Narrow" w:cs="Arial"/>
                <w:sz w:val="20"/>
                <w:szCs w:val="20"/>
              </w:rPr>
              <w:t>-10.447</w:t>
            </w:r>
          </w:p>
        </w:tc>
      </w:tr>
      <w:tr w:rsidR="00B6722E" w:rsidRPr="00841212" w:rsidTr="00E042B5">
        <w:trPr>
          <w:trHeight w:val="255"/>
        </w:trPr>
        <w:tc>
          <w:tcPr>
            <w:tcW w:w="4111"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5537A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rPr>
                <w:rFonts w:ascii="Arial" w:hAnsi="Arial" w:cs="Arial"/>
                <w:sz w:val="18"/>
                <w:szCs w:val="18"/>
              </w:rPr>
            </w:pPr>
            <w:r w:rsidRPr="00841212">
              <w:rPr>
                <w:rFonts w:ascii="Arial" w:hAnsi="Arial" w:cs="Arial"/>
                <w:sz w:val="18"/>
                <w:szCs w:val="18"/>
              </w:rPr>
              <w:t>Total gastos convenio</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E042B5">
            <w:pPr>
              <w:pStyle w:val="texto"/>
              <w:tabs>
                <w:tab w:val="clear" w:pos="2835"/>
                <w:tab w:val="clear" w:pos="3969"/>
                <w:tab w:val="clear" w:pos="5103"/>
                <w:tab w:val="clear" w:pos="6237"/>
                <w:tab w:val="clear" w:pos="7371"/>
                <w:tab w:val="left" w:pos="480"/>
                <w:tab w:val="num" w:pos="600"/>
                <w:tab w:val="num" w:pos="720"/>
                <w:tab w:val="num" w:pos="1913"/>
                <w:tab w:val="num" w:pos="1948"/>
              </w:tabs>
              <w:spacing w:after="0"/>
              <w:ind w:firstLine="0"/>
              <w:jc w:val="right"/>
              <w:rPr>
                <w:rFonts w:ascii="Arial" w:hAnsi="Arial" w:cs="Arial"/>
                <w:sz w:val="18"/>
                <w:szCs w:val="18"/>
              </w:rPr>
            </w:pPr>
            <w:r w:rsidRPr="00841212">
              <w:rPr>
                <w:rFonts w:ascii="Arial" w:hAnsi="Arial" w:cs="Arial"/>
                <w:sz w:val="18"/>
                <w:szCs w:val="18"/>
              </w:rPr>
              <w:t>540.856</w:t>
            </w:r>
          </w:p>
        </w:tc>
        <w:tc>
          <w:tcPr>
            <w:tcW w:w="1668"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E042B5">
            <w:pPr>
              <w:pStyle w:val="texto"/>
              <w:tabs>
                <w:tab w:val="clear" w:pos="2835"/>
                <w:tab w:val="clear" w:pos="3969"/>
                <w:tab w:val="clear" w:pos="5103"/>
                <w:tab w:val="clear" w:pos="6237"/>
                <w:tab w:val="clear" w:pos="7371"/>
                <w:tab w:val="left" w:pos="480"/>
                <w:tab w:val="num" w:pos="600"/>
                <w:tab w:val="num" w:pos="720"/>
                <w:tab w:val="num" w:pos="1913"/>
                <w:tab w:val="num" w:pos="1948"/>
              </w:tabs>
              <w:spacing w:after="0"/>
              <w:ind w:firstLine="0"/>
              <w:jc w:val="right"/>
              <w:rPr>
                <w:rFonts w:ascii="Arial" w:hAnsi="Arial" w:cs="Arial"/>
                <w:sz w:val="18"/>
                <w:szCs w:val="18"/>
              </w:rPr>
            </w:pPr>
            <w:r w:rsidRPr="00841212">
              <w:rPr>
                <w:rFonts w:ascii="Arial" w:hAnsi="Arial" w:cs="Arial"/>
                <w:sz w:val="18"/>
                <w:szCs w:val="18"/>
              </w:rPr>
              <w:t>623.409</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B6722E" w:rsidRPr="00841212" w:rsidRDefault="005537AF" w:rsidP="00841212">
            <w:pPr>
              <w:pStyle w:val="texto"/>
              <w:tabs>
                <w:tab w:val="clear" w:pos="2835"/>
                <w:tab w:val="clear" w:pos="3969"/>
                <w:tab w:val="clear" w:pos="5103"/>
                <w:tab w:val="clear" w:pos="6237"/>
                <w:tab w:val="clear" w:pos="7371"/>
                <w:tab w:val="left" w:pos="480"/>
                <w:tab w:val="num" w:pos="600"/>
                <w:tab w:val="num" w:pos="720"/>
                <w:tab w:val="num" w:pos="1320"/>
                <w:tab w:val="num" w:pos="1948"/>
              </w:tabs>
              <w:spacing w:after="0"/>
              <w:ind w:firstLine="0"/>
              <w:jc w:val="right"/>
              <w:rPr>
                <w:rFonts w:ascii="Arial" w:hAnsi="Arial" w:cs="Arial"/>
                <w:sz w:val="18"/>
                <w:szCs w:val="18"/>
              </w:rPr>
            </w:pPr>
            <w:r w:rsidRPr="00841212">
              <w:rPr>
                <w:rFonts w:ascii="Arial" w:hAnsi="Arial" w:cs="Arial"/>
                <w:sz w:val="18"/>
                <w:szCs w:val="18"/>
              </w:rPr>
              <w:t>82.553</w:t>
            </w:r>
          </w:p>
        </w:tc>
      </w:tr>
    </w:tbl>
    <w:p w:rsidR="00841212" w:rsidRPr="00333A64" w:rsidRDefault="00841212" w:rsidP="00923441">
      <w:pPr>
        <w:pStyle w:val="texto"/>
        <w:spacing w:before="240"/>
        <w:rPr>
          <w:lang w:val="es-ES"/>
        </w:rPr>
      </w:pPr>
      <w:r w:rsidRPr="00841212">
        <w:rPr>
          <w:lang w:val="es-ES"/>
        </w:rPr>
        <w:lastRenderedPageBreak/>
        <w:t xml:space="preserve">Como hechos relevantes posteriores al cierre del ejercicio destacamos que en </w:t>
      </w:r>
      <w:r w:rsidRPr="00333A64">
        <w:rPr>
          <w:lang w:val="es-ES"/>
        </w:rPr>
        <w:t>enero de 2017 se creó finalmente un grupo técnico de trabajo para comenzar a trabajar sobre la fijación de una aportación para el año base del quinquenio; s</w:t>
      </w:r>
      <w:r w:rsidRPr="00333A64">
        <w:rPr>
          <w:lang w:val="es-ES"/>
        </w:rPr>
        <w:t>e</w:t>
      </w:r>
      <w:r w:rsidRPr="00333A64">
        <w:rPr>
          <w:lang w:val="es-ES"/>
        </w:rPr>
        <w:t>gún indica el Departamento de Hacienda y Política Financiera, las negociaci</w:t>
      </w:r>
      <w:r w:rsidRPr="00333A64">
        <w:rPr>
          <w:lang w:val="es-ES"/>
        </w:rPr>
        <w:t>o</w:t>
      </w:r>
      <w:r w:rsidRPr="00333A64">
        <w:rPr>
          <w:lang w:val="es-ES"/>
        </w:rPr>
        <w:t>nes están próximas a finalizar</w:t>
      </w:r>
      <w:r w:rsidR="00F50ED7" w:rsidRPr="00333A64">
        <w:rPr>
          <w:lang w:val="es-ES"/>
        </w:rPr>
        <w:t xml:space="preserve">. </w:t>
      </w:r>
      <w:r w:rsidR="00333A64" w:rsidRPr="00333A64">
        <w:rPr>
          <w:lang w:val="es-ES"/>
        </w:rPr>
        <w:t>La</w:t>
      </w:r>
      <w:r w:rsidR="00F50ED7" w:rsidRPr="00333A64">
        <w:rPr>
          <w:lang w:val="es-ES"/>
        </w:rPr>
        <w:t xml:space="preserve"> Comisión Coordinadora del Convenio tiene que </w:t>
      </w:r>
      <w:r w:rsidR="00333A64" w:rsidRPr="00333A64">
        <w:rPr>
          <w:lang w:val="es-ES"/>
        </w:rPr>
        <w:t>valid</w:t>
      </w:r>
      <w:r w:rsidR="00F50ED7" w:rsidRPr="00333A64">
        <w:rPr>
          <w:lang w:val="es-ES"/>
        </w:rPr>
        <w:t>a</w:t>
      </w:r>
      <w:r w:rsidR="00333A64" w:rsidRPr="00333A64">
        <w:rPr>
          <w:lang w:val="es-ES"/>
        </w:rPr>
        <w:t xml:space="preserve">r los acuerdos correspondientes, </w:t>
      </w:r>
      <w:r w:rsidR="00F50ED7" w:rsidRPr="00333A64">
        <w:rPr>
          <w:lang w:val="es-ES"/>
        </w:rPr>
        <w:t xml:space="preserve">y </w:t>
      </w:r>
      <w:r w:rsidR="00242CEF">
        <w:rPr>
          <w:lang w:val="es-ES"/>
        </w:rPr>
        <w:t>según</w:t>
      </w:r>
      <w:r w:rsidR="00F50ED7" w:rsidRPr="00333A64">
        <w:rPr>
          <w:lang w:val="es-ES"/>
        </w:rPr>
        <w:t xml:space="preserve"> aseguró el Ministro de H</w:t>
      </w:r>
      <w:r w:rsidR="00F50ED7" w:rsidRPr="00333A64">
        <w:rPr>
          <w:lang w:val="es-ES"/>
        </w:rPr>
        <w:t>a</w:t>
      </w:r>
      <w:r w:rsidR="00F50ED7" w:rsidRPr="00333A64">
        <w:rPr>
          <w:lang w:val="es-ES"/>
        </w:rPr>
        <w:t>cienda y Función Pública el pasado 18 de octubre el Congreso de los Dip</w:t>
      </w:r>
      <w:r w:rsidR="00F50ED7" w:rsidRPr="00333A64">
        <w:rPr>
          <w:lang w:val="es-ES"/>
        </w:rPr>
        <w:t>u</w:t>
      </w:r>
      <w:r w:rsidR="00F50ED7" w:rsidRPr="00333A64">
        <w:rPr>
          <w:lang w:val="es-ES"/>
        </w:rPr>
        <w:t>tados, esta aproba</w:t>
      </w:r>
      <w:r w:rsidR="00333A64" w:rsidRPr="00333A64">
        <w:rPr>
          <w:lang w:val="es-ES"/>
        </w:rPr>
        <w:t>ción se realizará</w:t>
      </w:r>
      <w:r w:rsidR="00F50ED7" w:rsidRPr="00333A64">
        <w:rPr>
          <w:lang w:val="es-ES"/>
        </w:rPr>
        <w:t xml:space="preserve"> antes de que finalice el año.</w:t>
      </w:r>
    </w:p>
    <w:p w:rsidR="00B6722E" w:rsidRPr="00841212" w:rsidRDefault="00841212" w:rsidP="00841212">
      <w:pPr>
        <w:pStyle w:val="texto"/>
        <w:rPr>
          <w:lang w:val="es-ES"/>
        </w:rPr>
      </w:pPr>
      <w:r w:rsidRPr="00333A64">
        <w:rPr>
          <w:lang w:val="es-ES"/>
        </w:rPr>
        <w:t>Además, la discrepancia descrita m</w:t>
      </w:r>
      <w:r w:rsidR="00B6722E" w:rsidRPr="00333A64">
        <w:rPr>
          <w:lang w:val="es-ES"/>
        </w:rPr>
        <w:t>otivó que</w:t>
      </w:r>
      <w:r w:rsidR="00242CEF">
        <w:rPr>
          <w:lang w:val="es-ES"/>
        </w:rPr>
        <w:t xml:space="preserve"> en el primer trimestre de 2017</w:t>
      </w:r>
      <w:r w:rsidR="00B6722E" w:rsidRPr="00333A64">
        <w:rPr>
          <w:lang w:val="es-ES"/>
        </w:rPr>
        <w:t xml:space="preserve"> </w:t>
      </w:r>
      <w:r w:rsidR="00B6722E" w:rsidRPr="00841212">
        <w:rPr>
          <w:lang w:val="es-ES"/>
        </w:rPr>
        <w:t>el ingreso que realiza el Estado a Navarra para ajustar y compensar el IVA fu</w:t>
      </w:r>
      <w:r w:rsidR="00B6722E" w:rsidRPr="00841212">
        <w:rPr>
          <w:lang w:val="es-ES"/>
        </w:rPr>
        <w:t>e</w:t>
      </w:r>
      <w:r w:rsidR="00B6722E" w:rsidRPr="00841212">
        <w:rPr>
          <w:lang w:val="es-ES"/>
        </w:rPr>
        <w:t xml:space="preserve">ra menor en los 82,55 millones de euros citados; posteriormente, en el abono del segundo trimestre de 2017, en el ingreso que Navarra realizó al Estado por la aportación volvió a descontar esa cantidad. </w:t>
      </w:r>
      <w:r w:rsidR="00333A64">
        <w:rPr>
          <w:lang w:val="es-ES"/>
        </w:rPr>
        <w:t>En el tercer trimestre de 2017, ni Navarra ni el Estado han realizado ningún ajuste o compensación por este i</w:t>
      </w:r>
      <w:r w:rsidR="00333A64">
        <w:rPr>
          <w:lang w:val="es-ES"/>
        </w:rPr>
        <w:t>m</w:t>
      </w:r>
      <w:r w:rsidR="00333A64">
        <w:rPr>
          <w:lang w:val="es-ES"/>
        </w:rPr>
        <w:t>porte.</w:t>
      </w:r>
    </w:p>
    <w:p w:rsidR="00784E54" w:rsidRPr="004E3969" w:rsidRDefault="00784E54" w:rsidP="00841212">
      <w:pPr>
        <w:spacing w:before="240" w:after="120"/>
        <w:ind w:firstLine="284"/>
        <w:jc w:val="left"/>
        <w:rPr>
          <w:rFonts w:ascii="Arial" w:hAnsi="Arial"/>
          <w:i/>
          <w:iCs/>
          <w:color w:val="000000"/>
          <w:spacing w:val="10"/>
          <w:kern w:val="28"/>
          <w:sz w:val="25"/>
          <w:szCs w:val="26"/>
          <w:lang w:val="es-ES"/>
        </w:rPr>
      </w:pPr>
      <w:r w:rsidRPr="004E3969">
        <w:rPr>
          <w:rFonts w:ascii="Arial" w:hAnsi="Arial"/>
          <w:i/>
          <w:iCs/>
          <w:color w:val="000000"/>
          <w:spacing w:val="10"/>
          <w:kern w:val="28"/>
          <w:sz w:val="25"/>
          <w:szCs w:val="26"/>
          <w:lang w:val="es-ES"/>
        </w:rPr>
        <w:t>Ingresos tributarios</w:t>
      </w:r>
    </w:p>
    <w:p w:rsidR="00784E54" w:rsidRPr="00784E54" w:rsidRDefault="00784E54" w:rsidP="004E3969">
      <w:pPr>
        <w:pStyle w:val="texto"/>
        <w:rPr>
          <w:lang w:val="es-ES"/>
        </w:rPr>
      </w:pPr>
      <w:r w:rsidRPr="00784E54">
        <w:rPr>
          <w:lang w:val="es-ES"/>
        </w:rPr>
        <w:t>Los ajustes aplicados corresponden a los impuestos indirectos, IVA e i</w:t>
      </w:r>
      <w:r w:rsidRPr="00784E54">
        <w:rPr>
          <w:lang w:val="es-ES"/>
        </w:rPr>
        <w:t>m</w:t>
      </w:r>
      <w:r w:rsidRPr="00784E54">
        <w:rPr>
          <w:lang w:val="es-ES"/>
        </w:rPr>
        <w:t>puestos especiales, y se calculan conforme a las fórmulas y métodos previstos en el Convenio Económico.</w:t>
      </w:r>
    </w:p>
    <w:p w:rsidR="00784E54" w:rsidRPr="00793162" w:rsidRDefault="00784E54" w:rsidP="004E3969">
      <w:pPr>
        <w:pStyle w:val="texto"/>
        <w:rPr>
          <w:lang w:val="es-ES"/>
        </w:rPr>
      </w:pPr>
      <w:r w:rsidRPr="00784E54">
        <w:rPr>
          <w:lang w:val="es-ES"/>
        </w:rPr>
        <w:t>Al no haberse acordado la metodología para determinar los ajustes fiscales para el nuevo quinquenio 2015-2019, y de conformidad a la normativa, se apl</w:t>
      </w:r>
      <w:r w:rsidRPr="00784E54">
        <w:rPr>
          <w:lang w:val="es-ES"/>
        </w:rPr>
        <w:t>i</w:t>
      </w:r>
      <w:r w:rsidRPr="00784E54">
        <w:rPr>
          <w:lang w:val="es-ES"/>
        </w:rPr>
        <w:t>can provisionalmente los métodos acordados para el quinquenio anterior, sin perjuicio de la regularización que proceda una vez establecido el método def</w:t>
      </w:r>
      <w:r w:rsidRPr="00784E54">
        <w:rPr>
          <w:lang w:val="es-ES"/>
        </w:rPr>
        <w:t>i</w:t>
      </w:r>
      <w:r w:rsidRPr="00784E54">
        <w:rPr>
          <w:lang w:val="es-ES"/>
        </w:rPr>
        <w:t>nitivo del quinquenio.</w:t>
      </w:r>
    </w:p>
    <w:p w:rsidR="00784E54" w:rsidRPr="00784E54" w:rsidRDefault="00784E54" w:rsidP="004E3969">
      <w:pPr>
        <w:pStyle w:val="texto"/>
        <w:rPr>
          <w:lang w:val="es-ES"/>
        </w:rPr>
      </w:pPr>
      <w:r w:rsidRPr="00784E54">
        <w:rPr>
          <w:lang w:val="es-ES"/>
        </w:rPr>
        <w:t>En relación con los ingresos derivados del Convenio</w:t>
      </w:r>
      <w:r w:rsidR="00242CEF">
        <w:rPr>
          <w:lang w:val="es-ES"/>
        </w:rPr>
        <w:t>,</w:t>
      </w:r>
      <w:r w:rsidRPr="00784E54">
        <w:rPr>
          <w:lang w:val="es-ES"/>
        </w:rPr>
        <w:t xml:space="preserve"> el 3 de febrero de 2016 la Sala del Tribunal Supremo dictó un Decreto dando por terminado el recurso contencioso-administrativo relacionado con el IVA derivado de la comercial</w:t>
      </w:r>
      <w:r w:rsidRPr="00784E54">
        <w:rPr>
          <w:lang w:val="es-ES"/>
        </w:rPr>
        <w:t>i</w:t>
      </w:r>
      <w:r w:rsidRPr="00784E54">
        <w:rPr>
          <w:lang w:val="es-ES"/>
        </w:rPr>
        <w:t xml:space="preserve">zación de vehículos fabricados en territorio foral, transformando el archivo provisional de los autos en archivo definitivo. </w:t>
      </w:r>
    </w:p>
    <w:p w:rsidR="001D647F" w:rsidRDefault="001D647F">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784E54" w:rsidRPr="00784E54" w:rsidRDefault="00784E54" w:rsidP="004E3969">
      <w:pPr>
        <w:spacing w:before="240" w:after="240"/>
        <w:ind w:firstLine="284"/>
        <w:rPr>
          <w:rFonts w:ascii="Arial" w:hAnsi="Arial"/>
          <w:i/>
          <w:iCs/>
          <w:color w:val="000000"/>
          <w:spacing w:val="10"/>
          <w:kern w:val="28"/>
          <w:sz w:val="25"/>
          <w:szCs w:val="26"/>
          <w:lang w:val="es-ES"/>
        </w:rPr>
      </w:pPr>
      <w:r w:rsidRPr="00784E54">
        <w:rPr>
          <w:rFonts w:ascii="Arial" w:hAnsi="Arial"/>
          <w:i/>
          <w:iCs/>
          <w:color w:val="000000"/>
          <w:spacing w:val="10"/>
          <w:kern w:val="28"/>
          <w:sz w:val="25"/>
          <w:szCs w:val="26"/>
          <w:lang w:val="es-ES"/>
        </w:rPr>
        <w:lastRenderedPageBreak/>
        <w:t xml:space="preserve">Evolución 2012-2016 de los gastos e ingresos presupuestarios del Convenio </w:t>
      </w:r>
    </w:p>
    <w:p w:rsidR="00784E54" w:rsidRPr="00784E54" w:rsidRDefault="00784E54" w:rsidP="00784E54">
      <w:pPr>
        <w:tabs>
          <w:tab w:val="center" w:pos="2835"/>
          <w:tab w:val="center" w:pos="3969"/>
          <w:tab w:val="center" w:pos="5103"/>
          <w:tab w:val="center" w:pos="6237"/>
          <w:tab w:val="center" w:pos="7371"/>
        </w:tabs>
        <w:spacing w:after="240"/>
        <w:ind w:firstLine="284"/>
        <w:rPr>
          <w:spacing w:val="2"/>
          <w:sz w:val="26"/>
          <w:szCs w:val="24"/>
          <w:lang w:val="es-ES"/>
        </w:rPr>
      </w:pPr>
      <w:r w:rsidRPr="00784E54">
        <w:rPr>
          <w:spacing w:val="2"/>
          <w:sz w:val="26"/>
          <w:szCs w:val="24"/>
          <w:lang w:val="es-ES"/>
        </w:rPr>
        <w:t>En el cuadro siguiente se muestra la evolución de las principales partidas pr</w:t>
      </w:r>
      <w:r w:rsidRPr="00784E54">
        <w:rPr>
          <w:spacing w:val="2"/>
          <w:sz w:val="26"/>
          <w:szCs w:val="24"/>
          <w:lang w:val="es-ES"/>
        </w:rPr>
        <w:t>e</w:t>
      </w:r>
      <w:r w:rsidRPr="00784E54">
        <w:rPr>
          <w:spacing w:val="2"/>
          <w:sz w:val="26"/>
          <w:szCs w:val="24"/>
          <w:lang w:val="es-ES"/>
        </w:rPr>
        <w:t>supuestarias del Convenio para el periodo 2012-2016:</w:t>
      </w:r>
    </w:p>
    <w:tbl>
      <w:tblPr>
        <w:tblW w:w="8847"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21"/>
        <w:gridCol w:w="921"/>
        <w:gridCol w:w="921"/>
        <w:gridCol w:w="921"/>
        <w:gridCol w:w="921"/>
        <w:gridCol w:w="1120"/>
      </w:tblGrid>
      <w:tr w:rsidR="005B05A4" w:rsidRPr="005B05A4" w:rsidTr="005B05A4">
        <w:trPr>
          <w:trHeight w:val="270"/>
        </w:trPr>
        <w:tc>
          <w:tcPr>
            <w:tcW w:w="8847" w:type="dxa"/>
            <w:gridSpan w:val="7"/>
            <w:tcBorders>
              <w:top w:val="nil"/>
              <w:bottom w:val="single" w:sz="4" w:space="0" w:color="auto"/>
            </w:tcBorders>
            <w:shd w:val="clear" w:color="auto" w:fill="auto"/>
            <w:vAlign w:val="center"/>
          </w:tcPr>
          <w:p w:rsidR="005B05A4" w:rsidRPr="005B05A4" w:rsidRDefault="005B05A4" w:rsidP="00793162">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rPr>
            </w:pPr>
            <w:r w:rsidRPr="005B05A4">
              <w:rPr>
                <w:rFonts w:ascii="Arial" w:hAnsi="Arial"/>
                <w:spacing w:val="6"/>
                <w:sz w:val="17"/>
                <w:szCs w:val="17"/>
                <w:lang w:val="es-ES"/>
              </w:rPr>
              <w:t>(en miles de euros)</w:t>
            </w:r>
          </w:p>
        </w:tc>
      </w:tr>
      <w:tr w:rsidR="00784E54" w:rsidRPr="00784E54" w:rsidTr="00D41E85">
        <w:trPr>
          <w:trHeight w:val="255"/>
        </w:trPr>
        <w:tc>
          <w:tcPr>
            <w:tcW w:w="3122" w:type="dxa"/>
            <w:tcBorders>
              <w:bottom w:val="single" w:sz="4" w:space="0" w:color="auto"/>
            </w:tcBorders>
            <w:shd w:val="clear" w:color="auto" w:fill="8DB3E2" w:themeFill="text2" w:themeFillTint="66"/>
            <w:vAlign w:val="center"/>
            <w:hideMark/>
          </w:tcPr>
          <w:p w:rsidR="00784E54" w:rsidRPr="00784E54" w:rsidRDefault="00784E54" w:rsidP="00793162">
            <w:pPr>
              <w:keepLines/>
              <w:tabs>
                <w:tab w:val="right" w:pos="5103"/>
                <w:tab w:val="right" w:pos="6237"/>
                <w:tab w:val="right" w:pos="7371"/>
              </w:tabs>
              <w:spacing w:after="0"/>
              <w:ind w:right="-70" w:firstLine="0"/>
              <w:jc w:val="center"/>
              <w:rPr>
                <w:rFonts w:ascii="Arial" w:hAnsi="Arial"/>
                <w:spacing w:val="6"/>
                <w:sz w:val="18"/>
                <w:szCs w:val="24"/>
                <w:lang w:val="es-ES"/>
              </w:rPr>
            </w:pPr>
            <w:r w:rsidRPr="00784E54">
              <w:rPr>
                <w:rFonts w:ascii="Arial" w:hAnsi="Arial"/>
                <w:spacing w:val="6"/>
                <w:sz w:val="18"/>
                <w:szCs w:val="24"/>
                <w:lang w:val="es-ES"/>
              </w:rPr>
              <w:t xml:space="preserve">Convenio-Partidas Presupuestarias </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2012</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2013</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2014</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2015</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784E54">
              <w:rPr>
                <w:rFonts w:ascii="Arial" w:hAnsi="Arial"/>
                <w:spacing w:val="6"/>
                <w:sz w:val="18"/>
                <w:szCs w:val="24"/>
                <w:lang w:val="es-ES"/>
              </w:rPr>
              <w:t>2016</w:t>
            </w:r>
          </w:p>
        </w:tc>
        <w:tc>
          <w:tcPr>
            <w:tcW w:w="1120" w:type="dxa"/>
            <w:tcBorders>
              <w:bottom w:val="single" w:sz="4" w:space="0" w:color="auto"/>
            </w:tcBorders>
            <w:shd w:val="clear" w:color="auto" w:fill="8DB3E2" w:themeFill="text2" w:themeFillTint="66"/>
            <w:vAlign w:val="center"/>
          </w:tcPr>
          <w:p w:rsidR="00784E54" w:rsidRPr="00784E54" w:rsidRDefault="00784E54" w:rsidP="00E042B5">
            <w:pPr>
              <w:keepLines/>
              <w:tabs>
                <w:tab w:val="right" w:pos="2835"/>
                <w:tab w:val="right" w:pos="3969"/>
                <w:tab w:val="right" w:pos="5103"/>
                <w:tab w:val="right" w:pos="6237"/>
                <w:tab w:val="right" w:pos="7371"/>
              </w:tabs>
              <w:spacing w:after="0"/>
              <w:ind w:left="-70" w:firstLine="0"/>
              <w:jc w:val="right"/>
              <w:rPr>
                <w:rFonts w:ascii="Arial" w:hAnsi="Arial"/>
                <w:spacing w:val="6"/>
                <w:sz w:val="18"/>
                <w:szCs w:val="24"/>
                <w:lang w:val="es-ES"/>
              </w:rPr>
            </w:pPr>
            <w:r w:rsidRPr="00784E54">
              <w:rPr>
                <w:rFonts w:ascii="Arial" w:hAnsi="Arial"/>
                <w:spacing w:val="6"/>
                <w:sz w:val="18"/>
                <w:szCs w:val="24"/>
                <w:lang w:val="es-ES"/>
              </w:rPr>
              <w:t>%</w:t>
            </w:r>
            <w:r w:rsidR="00E042B5">
              <w:rPr>
                <w:rFonts w:ascii="Arial" w:hAnsi="Arial"/>
                <w:spacing w:val="6"/>
                <w:sz w:val="18"/>
                <w:szCs w:val="24"/>
                <w:lang w:val="es-ES"/>
              </w:rPr>
              <w:t xml:space="preserve"> v</w:t>
            </w:r>
            <w:r w:rsidRPr="00784E54">
              <w:rPr>
                <w:rFonts w:ascii="Arial" w:hAnsi="Arial"/>
                <w:spacing w:val="6"/>
                <w:sz w:val="18"/>
                <w:szCs w:val="24"/>
                <w:lang w:val="es-ES"/>
              </w:rPr>
              <w:t>ar</w:t>
            </w:r>
            <w:r w:rsidR="00793162">
              <w:rPr>
                <w:rFonts w:ascii="Arial" w:hAnsi="Arial"/>
                <w:spacing w:val="6"/>
                <w:sz w:val="18"/>
                <w:szCs w:val="24"/>
                <w:lang w:val="es-ES"/>
              </w:rPr>
              <w:t>iación</w:t>
            </w:r>
          </w:p>
          <w:p w:rsidR="00784E54" w:rsidRPr="00784E54" w:rsidRDefault="00784E54" w:rsidP="00E042B5">
            <w:pPr>
              <w:keepLines/>
              <w:tabs>
                <w:tab w:val="right" w:pos="2835"/>
                <w:tab w:val="right" w:pos="3969"/>
                <w:tab w:val="right" w:pos="5103"/>
                <w:tab w:val="right" w:pos="6237"/>
                <w:tab w:val="right" w:pos="7371"/>
              </w:tabs>
              <w:spacing w:after="0"/>
              <w:ind w:left="-70" w:firstLine="0"/>
              <w:jc w:val="right"/>
              <w:rPr>
                <w:rFonts w:ascii="Arial" w:hAnsi="Arial"/>
                <w:spacing w:val="6"/>
                <w:sz w:val="18"/>
                <w:szCs w:val="24"/>
                <w:lang w:val="es-ES"/>
              </w:rPr>
            </w:pPr>
            <w:r w:rsidRPr="00784E54">
              <w:rPr>
                <w:rFonts w:ascii="Arial" w:hAnsi="Arial"/>
                <w:spacing w:val="6"/>
                <w:sz w:val="18"/>
                <w:szCs w:val="24"/>
                <w:lang w:val="es-ES"/>
              </w:rPr>
              <w:t>2016/2012</w:t>
            </w:r>
          </w:p>
        </w:tc>
      </w:tr>
      <w:tr w:rsidR="00784E54" w:rsidRPr="00793162" w:rsidTr="00D41E85">
        <w:trPr>
          <w:trHeight w:val="198"/>
        </w:trPr>
        <w:tc>
          <w:tcPr>
            <w:tcW w:w="3122" w:type="dxa"/>
            <w:tcBorders>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Aportación al Estado</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520.687</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571.859</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555.835</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591.043</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520.687</w:t>
            </w:r>
          </w:p>
        </w:tc>
        <w:tc>
          <w:tcPr>
            <w:tcW w:w="1120" w:type="dxa"/>
            <w:tcBorders>
              <w:bottom w:val="single" w:sz="2" w:space="0" w:color="auto"/>
            </w:tcBorders>
            <w:vAlign w:val="center"/>
          </w:tcPr>
          <w:p w:rsidR="00784E54" w:rsidRPr="00793162" w:rsidRDefault="00841212"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r>
      <w:tr w:rsidR="00784E54" w:rsidRPr="00793162" w:rsidTr="00D41E85">
        <w:trPr>
          <w:trHeight w:val="198"/>
        </w:trPr>
        <w:tc>
          <w:tcPr>
            <w:tcW w:w="3122" w:type="dxa"/>
            <w:tcBorders>
              <w:top w:val="single" w:sz="2" w:space="0" w:color="auto"/>
              <w:bottom w:val="single" w:sz="4"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Compensación por impuestos sobre el sector eléctrico</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26.859</w:t>
            </w:r>
          </w:p>
        </w:tc>
        <w:tc>
          <w:tcPr>
            <w:tcW w:w="921"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20.169</w:t>
            </w:r>
          </w:p>
        </w:tc>
        <w:tc>
          <w:tcPr>
            <w:tcW w:w="1120" w:type="dxa"/>
            <w:tcBorders>
              <w:top w:val="single" w:sz="2" w:space="0" w:color="auto"/>
              <w:bottom w:val="single" w:sz="4"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w:t>
            </w:r>
          </w:p>
        </w:tc>
      </w:tr>
      <w:tr w:rsidR="00784E54" w:rsidRPr="00784E54" w:rsidTr="00D41E85">
        <w:trPr>
          <w:trHeight w:val="255"/>
        </w:trPr>
        <w:tc>
          <w:tcPr>
            <w:tcW w:w="312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5103"/>
                <w:tab w:val="right" w:pos="6237"/>
                <w:tab w:val="right" w:pos="7371"/>
              </w:tabs>
              <w:spacing w:after="0"/>
              <w:ind w:firstLine="0"/>
              <w:jc w:val="left"/>
              <w:rPr>
                <w:rFonts w:ascii="Arial" w:hAnsi="Arial" w:cs="Arial"/>
                <w:spacing w:val="6"/>
                <w:sz w:val="18"/>
                <w:szCs w:val="18"/>
              </w:rPr>
            </w:pPr>
            <w:r w:rsidRPr="00784E54">
              <w:rPr>
                <w:rFonts w:ascii="Arial" w:hAnsi="Arial" w:cs="Arial"/>
                <w:spacing w:val="6"/>
                <w:sz w:val="18"/>
                <w:szCs w:val="18"/>
              </w:rPr>
              <w:t>Total partidas Gastos- Convenio</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520.687</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571.859</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555.835</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617.902</w:t>
            </w:r>
          </w:p>
        </w:tc>
        <w:tc>
          <w:tcPr>
            <w:tcW w:w="921"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540.856</w:t>
            </w:r>
          </w:p>
        </w:tc>
        <w:tc>
          <w:tcPr>
            <w:tcW w:w="1120" w:type="dxa"/>
            <w:tcBorders>
              <w:bottom w:val="single" w:sz="4" w:space="0" w:color="auto"/>
            </w:tcBorders>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4</w:t>
            </w:r>
          </w:p>
        </w:tc>
      </w:tr>
      <w:tr w:rsidR="00784E54" w:rsidRPr="00793162" w:rsidTr="00D41E85">
        <w:trPr>
          <w:trHeight w:val="198"/>
        </w:trPr>
        <w:tc>
          <w:tcPr>
            <w:tcW w:w="3122" w:type="dxa"/>
            <w:tcBorders>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Ajustes por  IVA</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483.270</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646.767</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750.869</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811.648</w:t>
            </w:r>
          </w:p>
        </w:tc>
        <w:tc>
          <w:tcPr>
            <w:tcW w:w="921"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835.522</w:t>
            </w:r>
          </w:p>
        </w:tc>
        <w:tc>
          <w:tcPr>
            <w:tcW w:w="1120" w:type="dxa"/>
            <w:tcBorders>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73</w:t>
            </w:r>
          </w:p>
        </w:tc>
      </w:tr>
      <w:tr w:rsidR="00784E54" w:rsidRPr="00793162" w:rsidTr="00D41E85">
        <w:trPr>
          <w:trHeight w:val="198"/>
        </w:trPr>
        <w:tc>
          <w:tcPr>
            <w:tcW w:w="3122" w:type="dxa"/>
            <w:tcBorders>
              <w:top w:val="single" w:sz="2" w:space="0" w:color="auto"/>
              <w:bottom w:val="single" w:sz="2" w:space="0" w:color="auto"/>
            </w:tcBorders>
            <w:noWrap/>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Ajustes I. Especiales Fabricación</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-50.703</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9.273</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-32.095</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-67.184</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-34.987</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-31</w:t>
            </w:r>
          </w:p>
        </w:tc>
      </w:tr>
      <w:tr w:rsidR="00784E54" w:rsidRPr="00793162" w:rsidTr="00D41E85">
        <w:trPr>
          <w:trHeight w:val="198"/>
        </w:trPr>
        <w:tc>
          <w:tcPr>
            <w:tcW w:w="3122" w:type="dxa"/>
            <w:tcBorders>
              <w:top w:val="single" w:sz="2" w:space="0" w:color="auto"/>
              <w:bottom w:val="single" w:sz="2" w:space="0" w:color="auto"/>
            </w:tcBorders>
            <w:vAlign w:val="center"/>
            <w:hideMark/>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Liq. Def. Aportación al Estado</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8.066</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 </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w:t>
            </w:r>
          </w:p>
        </w:tc>
      </w:tr>
      <w:tr w:rsidR="00784E54" w:rsidRPr="00793162" w:rsidTr="00D41E85">
        <w:trPr>
          <w:trHeight w:val="198"/>
        </w:trPr>
        <w:tc>
          <w:tcPr>
            <w:tcW w:w="3122" w:type="dxa"/>
            <w:tcBorders>
              <w:top w:val="single" w:sz="2" w:space="0" w:color="auto"/>
              <w:bottom w:val="single" w:sz="2" w:space="0" w:color="auto"/>
            </w:tcBorders>
            <w:vAlign w:val="center"/>
          </w:tcPr>
          <w:p w:rsidR="00784E54" w:rsidRPr="00793162" w:rsidRDefault="00784E54" w:rsidP="00784E54">
            <w:pPr>
              <w:keepLines/>
              <w:tabs>
                <w:tab w:val="right" w:pos="5103"/>
                <w:tab w:val="right" w:pos="6237"/>
                <w:tab w:val="right" w:pos="7371"/>
              </w:tabs>
              <w:spacing w:after="0"/>
              <w:ind w:firstLine="0"/>
              <w:jc w:val="left"/>
              <w:rPr>
                <w:rFonts w:ascii="Arial Narrow" w:hAnsi="Arial Narrow"/>
                <w:spacing w:val="6"/>
              </w:rPr>
            </w:pPr>
            <w:r w:rsidRPr="00793162">
              <w:rPr>
                <w:rFonts w:ascii="Arial Narrow" w:hAnsi="Arial Narrow"/>
                <w:spacing w:val="6"/>
              </w:rPr>
              <w:t>Atención a la Dependencia</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12.569</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11.554</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12.219</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11.310</w:t>
            </w:r>
          </w:p>
        </w:tc>
        <w:tc>
          <w:tcPr>
            <w:tcW w:w="921"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11.626</w:t>
            </w:r>
          </w:p>
        </w:tc>
        <w:tc>
          <w:tcPr>
            <w:tcW w:w="1120" w:type="dxa"/>
            <w:tcBorders>
              <w:top w:val="single" w:sz="2" w:space="0" w:color="auto"/>
              <w:bottom w:val="single" w:sz="2" w:space="0" w:color="auto"/>
            </w:tcBorders>
            <w:vAlign w:val="center"/>
          </w:tcPr>
          <w:p w:rsidR="00784E54" w:rsidRPr="00793162" w:rsidRDefault="00784E54" w:rsidP="0079316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93162">
              <w:rPr>
                <w:rFonts w:ascii="Arial Narrow" w:hAnsi="Arial Narrow"/>
                <w:spacing w:val="6"/>
              </w:rPr>
              <w:t>-8</w:t>
            </w:r>
          </w:p>
        </w:tc>
      </w:tr>
      <w:tr w:rsidR="00784E54" w:rsidRPr="00784E54" w:rsidTr="00793162">
        <w:trPr>
          <w:trHeight w:val="270"/>
        </w:trPr>
        <w:tc>
          <w:tcPr>
            <w:tcW w:w="3122" w:type="dxa"/>
            <w:shd w:val="clear" w:color="auto" w:fill="8DB3E2" w:themeFill="text2" w:themeFillTint="66"/>
            <w:vAlign w:val="center"/>
            <w:hideMark/>
          </w:tcPr>
          <w:p w:rsidR="00784E54" w:rsidRPr="00784E54" w:rsidRDefault="00784E54" w:rsidP="00793162">
            <w:pPr>
              <w:keepLines/>
              <w:tabs>
                <w:tab w:val="right" w:pos="5103"/>
                <w:tab w:val="right" w:pos="6237"/>
                <w:tab w:val="right" w:pos="7371"/>
              </w:tabs>
              <w:spacing w:after="0"/>
              <w:ind w:firstLine="0"/>
              <w:jc w:val="left"/>
              <w:rPr>
                <w:rFonts w:ascii="Arial" w:hAnsi="Arial" w:cs="Arial"/>
                <w:spacing w:val="6"/>
                <w:sz w:val="18"/>
                <w:szCs w:val="18"/>
              </w:rPr>
            </w:pPr>
            <w:r w:rsidRPr="00784E54">
              <w:rPr>
                <w:rFonts w:ascii="Arial" w:hAnsi="Arial" w:cs="Arial"/>
                <w:spacing w:val="6"/>
                <w:sz w:val="18"/>
                <w:szCs w:val="18"/>
              </w:rPr>
              <w:t>Total partidas Ingresos-Convenio</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445.136</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667.595</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730.994</w:t>
            </w:r>
          </w:p>
        </w:tc>
        <w:tc>
          <w:tcPr>
            <w:tcW w:w="921"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755.774</w:t>
            </w:r>
          </w:p>
        </w:tc>
        <w:tc>
          <w:tcPr>
            <w:tcW w:w="921" w:type="dxa"/>
            <w:shd w:val="clear" w:color="auto" w:fill="8DB3E2" w:themeFill="text2" w:themeFillTint="66"/>
            <w:vAlign w:val="center"/>
          </w:tcPr>
          <w:p w:rsidR="00784E54" w:rsidRPr="00784E54" w:rsidRDefault="00784E54" w:rsidP="0084121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81</w:t>
            </w:r>
            <w:r w:rsidR="00841212">
              <w:rPr>
                <w:rFonts w:ascii="Arial" w:hAnsi="Arial" w:cs="Arial"/>
                <w:spacing w:val="6"/>
                <w:sz w:val="18"/>
                <w:szCs w:val="18"/>
              </w:rPr>
              <w:t>2.161</w:t>
            </w:r>
          </w:p>
        </w:tc>
        <w:tc>
          <w:tcPr>
            <w:tcW w:w="1120" w:type="dxa"/>
            <w:shd w:val="clear" w:color="auto" w:fill="8DB3E2" w:themeFill="text2" w:themeFillTint="66"/>
            <w:vAlign w:val="center"/>
          </w:tcPr>
          <w:p w:rsidR="00784E54" w:rsidRPr="00784E54" w:rsidRDefault="00784E54" w:rsidP="0079316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83</w:t>
            </w:r>
          </w:p>
        </w:tc>
      </w:tr>
    </w:tbl>
    <w:p w:rsidR="00784E54" w:rsidRPr="00784E54" w:rsidRDefault="00784E54" w:rsidP="004E3969">
      <w:pPr>
        <w:pStyle w:val="texto"/>
        <w:spacing w:before="240"/>
        <w:rPr>
          <w:lang w:val="es-ES"/>
        </w:rPr>
      </w:pPr>
      <w:r w:rsidRPr="00784E54">
        <w:rPr>
          <w:lang w:val="es-ES"/>
        </w:rPr>
        <w:t xml:space="preserve">Como se observa, </w:t>
      </w:r>
      <w:r w:rsidR="0002216F">
        <w:rPr>
          <w:lang w:val="es-ES"/>
        </w:rPr>
        <w:t xml:space="preserve">en 2016 </w:t>
      </w:r>
      <w:r w:rsidRPr="00784E54">
        <w:rPr>
          <w:lang w:val="es-ES"/>
        </w:rPr>
        <w:t xml:space="preserve">la </w:t>
      </w:r>
      <w:r w:rsidR="001D647F">
        <w:rPr>
          <w:lang w:val="es-ES"/>
        </w:rPr>
        <w:t xml:space="preserve">partida presupuestaria correspondiente a la </w:t>
      </w:r>
      <w:r w:rsidRPr="00784E54">
        <w:rPr>
          <w:lang w:val="es-ES"/>
        </w:rPr>
        <w:t xml:space="preserve">aportación al Estado no varía </w:t>
      </w:r>
      <w:r w:rsidR="0002216F">
        <w:rPr>
          <w:lang w:val="es-ES"/>
        </w:rPr>
        <w:t>respecto a la de 2012</w:t>
      </w:r>
      <w:r w:rsidR="001D647F">
        <w:rPr>
          <w:lang w:val="es-ES"/>
        </w:rPr>
        <w:t>,</w:t>
      </w:r>
      <w:r w:rsidR="0002216F">
        <w:rPr>
          <w:lang w:val="es-ES"/>
        </w:rPr>
        <w:t xml:space="preserve"> debido a</w:t>
      </w:r>
      <w:r w:rsidRPr="00784E54">
        <w:rPr>
          <w:lang w:val="es-ES"/>
        </w:rPr>
        <w:t>l cambio de crit</w:t>
      </w:r>
      <w:r w:rsidRPr="00784E54">
        <w:rPr>
          <w:lang w:val="es-ES"/>
        </w:rPr>
        <w:t>e</w:t>
      </w:r>
      <w:r w:rsidRPr="00784E54">
        <w:rPr>
          <w:lang w:val="es-ES"/>
        </w:rPr>
        <w:t xml:space="preserve">rio adoptado en diciembre de 2016; si se hubiera seguido aplicando el criterio </w:t>
      </w:r>
      <w:r w:rsidR="0002216F">
        <w:rPr>
          <w:lang w:val="es-ES"/>
        </w:rPr>
        <w:t>utilizado en</w:t>
      </w:r>
      <w:r w:rsidRPr="00784E54">
        <w:rPr>
          <w:lang w:val="es-ES"/>
        </w:rPr>
        <w:t xml:space="preserve"> 2015 y </w:t>
      </w:r>
      <w:r w:rsidR="0002216F">
        <w:rPr>
          <w:lang w:val="es-ES"/>
        </w:rPr>
        <w:t xml:space="preserve">en </w:t>
      </w:r>
      <w:r w:rsidRPr="00784E54">
        <w:rPr>
          <w:lang w:val="es-ES"/>
        </w:rPr>
        <w:t xml:space="preserve">los tres primeros trimestres de 2016, la </w:t>
      </w:r>
      <w:r w:rsidR="001D647F">
        <w:rPr>
          <w:lang w:val="es-ES"/>
        </w:rPr>
        <w:t>partida pres</w:t>
      </w:r>
      <w:r w:rsidR="001D647F">
        <w:rPr>
          <w:lang w:val="es-ES"/>
        </w:rPr>
        <w:t>u</w:t>
      </w:r>
      <w:r w:rsidR="001D647F">
        <w:rPr>
          <w:lang w:val="es-ES"/>
        </w:rPr>
        <w:t>puestaria</w:t>
      </w:r>
      <w:r w:rsidRPr="00784E54">
        <w:rPr>
          <w:lang w:val="es-ES"/>
        </w:rPr>
        <w:t xml:space="preserve"> h</w:t>
      </w:r>
      <w:r w:rsidR="0002216F">
        <w:rPr>
          <w:lang w:val="es-ES"/>
        </w:rPr>
        <w:t xml:space="preserve">abría sido de 613,69 millones, lo que supondría </w:t>
      </w:r>
      <w:r w:rsidRPr="00784E54">
        <w:rPr>
          <w:lang w:val="es-ES"/>
        </w:rPr>
        <w:t>un crecimiento de un 18 por ciento en el periodo</w:t>
      </w:r>
      <w:r w:rsidR="0002216F">
        <w:rPr>
          <w:lang w:val="es-ES"/>
        </w:rPr>
        <w:t xml:space="preserve"> (</w:t>
      </w:r>
      <w:r w:rsidRPr="00784E54">
        <w:rPr>
          <w:lang w:val="es-ES"/>
        </w:rPr>
        <w:t>93 millones</w:t>
      </w:r>
      <w:r w:rsidR="0002216F">
        <w:rPr>
          <w:lang w:val="es-ES"/>
        </w:rPr>
        <w:t>)</w:t>
      </w:r>
      <w:r w:rsidRPr="00784E54">
        <w:rPr>
          <w:lang w:val="es-ES"/>
        </w:rPr>
        <w:t xml:space="preserve">. </w:t>
      </w:r>
    </w:p>
    <w:p w:rsidR="00784E54" w:rsidRPr="00784E54" w:rsidRDefault="00784E54" w:rsidP="004E3969">
      <w:pPr>
        <w:pStyle w:val="texto"/>
        <w:rPr>
          <w:lang w:val="es-ES"/>
        </w:rPr>
      </w:pPr>
      <w:r w:rsidRPr="00784E54">
        <w:rPr>
          <w:lang w:val="es-ES"/>
        </w:rPr>
        <w:t>Los ajustes de IVA aumentan un 73 por ciento debido al cambio de metod</w:t>
      </w:r>
      <w:r w:rsidRPr="00784E54">
        <w:rPr>
          <w:lang w:val="es-ES"/>
        </w:rPr>
        <w:t>o</w:t>
      </w:r>
      <w:r w:rsidRPr="00784E54">
        <w:rPr>
          <w:lang w:val="es-ES"/>
        </w:rPr>
        <w:t>logía en su cálculo acordado en mayo de 2012; esta circunstancia justifica que, desde 2013, los ingresos derivados del Convenio superan a los gastos.</w:t>
      </w:r>
    </w:p>
    <w:p w:rsidR="00784E54" w:rsidRPr="004E3969" w:rsidRDefault="00784E54" w:rsidP="004E3969">
      <w:pPr>
        <w:pStyle w:val="atitulo2"/>
        <w:spacing w:before="240"/>
        <w:rPr>
          <w:bCs w:val="0"/>
          <w:iCs w:val="0"/>
        </w:rPr>
      </w:pPr>
      <w:bookmarkStart w:id="71" w:name="_Toc494270389"/>
      <w:bookmarkStart w:id="72" w:name="_Toc498515798"/>
      <w:r w:rsidRPr="004E3969">
        <w:rPr>
          <w:bCs w:val="0"/>
          <w:iCs w:val="0"/>
        </w:rPr>
        <w:t>IV.</w:t>
      </w:r>
      <w:r w:rsidR="005C0FDA">
        <w:rPr>
          <w:bCs w:val="0"/>
          <w:iCs w:val="0"/>
        </w:rPr>
        <w:t>9</w:t>
      </w:r>
      <w:r w:rsidRPr="004E3969">
        <w:rPr>
          <w:bCs w:val="0"/>
          <w:iCs w:val="0"/>
        </w:rPr>
        <w:t>. Inversiones e inmovilizado no financiero</w:t>
      </w:r>
      <w:bookmarkEnd w:id="71"/>
      <w:bookmarkEnd w:id="72"/>
    </w:p>
    <w:p w:rsidR="00784E54" w:rsidRDefault="00784E54" w:rsidP="00841212">
      <w:pPr>
        <w:pStyle w:val="texto"/>
        <w:spacing w:after="120"/>
        <w:rPr>
          <w:lang w:val="es-ES"/>
        </w:rPr>
      </w:pPr>
      <w:r w:rsidRPr="00784E54">
        <w:rPr>
          <w:lang w:val="es-ES"/>
        </w:rPr>
        <w:t xml:space="preserve">Las inversiones del año 2016 ascendieron a 84,86 millones de euros, el dos por ciento del total de las obligaciones reconocidas, con un grado de ejecución del 87 por ciento, siendo el gasto por conceptos económicos el que presentamos a continuación: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02216F" w:rsidRPr="0002216F" w:rsidTr="0002216F">
        <w:trPr>
          <w:trHeight w:val="300"/>
        </w:trPr>
        <w:tc>
          <w:tcPr>
            <w:tcW w:w="8834" w:type="dxa"/>
            <w:gridSpan w:val="4"/>
            <w:tcBorders>
              <w:bottom w:val="single" w:sz="4" w:space="0" w:color="auto"/>
            </w:tcBorders>
            <w:shd w:val="clear" w:color="auto" w:fill="auto"/>
            <w:noWrap/>
            <w:vAlign w:val="center"/>
          </w:tcPr>
          <w:p w:rsidR="0002216F" w:rsidRPr="0002216F" w:rsidRDefault="0002216F" w:rsidP="00784E54">
            <w:pPr>
              <w:spacing w:after="0"/>
              <w:ind w:firstLine="0"/>
              <w:contextualSpacing/>
              <w:jc w:val="right"/>
              <w:rPr>
                <w:rFonts w:ascii="Arial" w:hAnsi="Arial" w:cs="Arial"/>
                <w:color w:val="000000"/>
                <w:sz w:val="17"/>
                <w:szCs w:val="17"/>
                <w:lang w:val="es-ES" w:eastAsia="es-ES"/>
              </w:rPr>
            </w:pPr>
            <w:r w:rsidRPr="0002216F">
              <w:rPr>
                <w:rFonts w:ascii="Arial" w:hAnsi="Arial" w:cs="Arial"/>
                <w:color w:val="000000"/>
                <w:sz w:val="17"/>
                <w:szCs w:val="17"/>
                <w:lang w:val="es-ES" w:eastAsia="es-ES"/>
              </w:rPr>
              <w:t>(en miles de euros)</w:t>
            </w:r>
          </w:p>
        </w:tc>
      </w:tr>
      <w:tr w:rsidR="00784E54" w:rsidRPr="00784E54" w:rsidTr="004F6517">
        <w:trPr>
          <w:trHeight w:val="300"/>
        </w:trPr>
        <w:tc>
          <w:tcPr>
            <w:tcW w:w="358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left"/>
              <w:rPr>
                <w:rFonts w:ascii="Arial" w:hAnsi="Arial" w:cs="Arial"/>
                <w:color w:val="000000"/>
                <w:sz w:val="18"/>
                <w:szCs w:val="18"/>
                <w:lang w:val="es-ES" w:eastAsia="es-ES"/>
              </w:rPr>
            </w:pPr>
            <w:r w:rsidRPr="00784E54">
              <w:rPr>
                <w:rFonts w:ascii="Arial" w:hAnsi="Arial" w:cs="Arial"/>
                <w:color w:val="000000"/>
                <w:sz w:val="18"/>
                <w:szCs w:val="18"/>
                <w:lang w:val="es-ES" w:eastAsia="es-ES"/>
              </w:rPr>
              <w:t> </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Gasto 2015</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Gasto 2016</w:t>
            </w:r>
          </w:p>
        </w:tc>
        <w:tc>
          <w:tcPr>
            <w:tcW w:w="1752" w:type="dxa"/>
            <w:tcBorders>
              <w:top w:val="single" w:sz="4" w:space="0" w:color="auto"/>
              <w:bottom w:val="single" w:sz="4" w:space="0" w:color="auto"/>
            </w:tcBorders>
            <w:shd w:val="clear" w:color="auto" w:fill="8DB3E2" w:themeFill="text2" w:themeFillTint="66"/>
            <w:noWrap/>
            <w:vAlign w:val="center"/>
            <w:hideMark/>
          </w:tcPr>
          <w:p w:rsidR="004F6517" w:rsidRDefault="00E042B5" w:rsidP="00784E54">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 v</w:t>
            </w:r>
            <w:r w:rsidR="00784E54" w:rsidRPr="00784E54">
              <w:rPr>
                <w:rFonts w:ascii="Arial" w:hAnsi="Arial" w:cs="Arial"/>
                <w:color w:val="000000"/>
                <w:sz w:val="18"/>
                <w:szCs w:val="18"/>
                <w:lang w:val="es-ES" w:eastAsia="es-ES"/>
              </w:rPr>
              <w:t>ar</w:t>
            </w:r>
            <w:r w:rsidR="004F6517">
              <w:rPr>
                <w:rFonts w:ascii="Arial" w:hAnsi="Arial" w:cs="Arial"/>
                <w:color w:val="000000"/>
                <w:sz w:val="18"/>
                <w:szCs w:val="18"/>
                <w:lang w:val="es-ES" w:eastAsia="es-ES"/>
              </w:rPr>
              <w:t>iación</w:t>
            </w:r>
            <w:r w:rsidR="00784E54" w:rsidRPr="00784E54">
              <w:rPr>
                <w:rFonts w:ascii="Arial" w:hAnsi="Arial" w:cs="Arial"/>
                <w:color w:val="000000"/>
                <w:sz w:val="18"/>
                <w:szCs w:val="18"/>
                <w:lang w:val="es-ES" w:eastAsia="es-ES"/>
              </w:rPr>
              <w:t xml:space="preserve"> </w:t>
            </w:r>
          </w:p>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2016/2015</w:t>
            </w:r>
          </w:p>
        </w:tc>
      </w:tr>
      <w:tr w:rsidR="00784E54" w:rsidRPr="00784E54" w:rsidTr="004F6517">
        <w:trPr>
          <w:trHeight w:val="198"/>
        </w:trPr>
        <w:tc>
          <w:tcPr>
            <w:tcW w:w="3580"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Terrenos y bienes naturales</w:t>
            </w:r>
          </w:p>
        </w:tc>
        <w:tc>
          <w:tcPr>
            <w:tcW w:w="1751"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2.155</w:t>
            </w:r>
          </w:p>
        </w:tc>
        <w:tc>
          <w:tcPr>
            <w:tcW w:w="1751"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713</w:t>
            </w:r>
          </w:p>
        </w:tc>
        <w:tc>
          <w:tcPr>
            <w:tcW w:w="1752" w:type="dxa"/>
            <w:tcBorders>
              <w:top w:val="single" w:sz="4"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-67</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Obras públicas</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46.367</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34.033</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-27</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Edificios y otras construcciones</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10.027</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15.408</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54</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Maquinaria, instalaciones y utillaje</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1.718</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1.071</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-38</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Material de transporte</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1.112</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1.728</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55</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Mobiliario y enseres</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13.048</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7.546</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-42</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Equipos para proceso de información</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1.822</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3.301</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81</w:t>
            </w:r>
          </w:p>
        </w:tc>
      </w:tr>
      <w:tr w:rsidR="00784E54" w:rsidRPr="00784E54" w:rsidTr="004F6517">
        <w:trPr>
          <w:trHeight w:val="198"/>
        </w:trPr>
        <w:tc>
          <w:tcPr>
            <w:tcW w:w="3580"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Otro inmovilizado material</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2.994</w:t>
            </w:r>
          </w:p>
        </w:tc>
        <w:tc>
          <w:tcPr>
            <w:tcW w:w="1751"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3.045</w:t>
            </w:r>
          </w:p>
        </w:tc>
        <w:tc>
          <w:tcPr>
            <w:tcW w:w="1752" w:type="dxa"/>
            <w:tcBorders>
              <w:top w:val="single" w:sz="2" w:space="0" w:color="auto"/>
              <w:bottom w:val="single" w:sz="2"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2</w:t>
            </w:r>
          </w:p>
        </w:tc>
      </w:tr>
      <w:tr w:rsidR="00784E54" w:rsidRPr="00784E54" w:rsidTr="004F6517">
        <w:trPr>
          <w:trHeight w:val="198"/>
        </w:trPr>
        <w:tc>
          <w:tcPr>
            <w:tcW w:w="3580"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left"/>
              <w:rPr>
                <w:rFonts w:ascii="Arial Narrow" w:hAnsi="Arial Narrow"/>
                <w:color w:val="000000"/>
                <w:lang w:val="es-ES" w:eastAsia="es-ES"/>
              </w:rPr>
            </w:pPr>
            <w:r w:rsidRPr="00784E54">
              <w:rPr>
                <w:rFonts w:ascii="Arial Narrow" w:hAnsi="Arial Narrow"/>
                <w:color w:val="000000"/>
                <w:lang w:val="es-ES" w:eastAsia="es-ES"/>
              </w:rPr>
              <w:t>Inmovilizado inmaterial</w:t>
            </w:r>
          </w:p>
        </w:tc>
        <w:tc>
          <w:tcPr>
            <w:tcW w:w="1751"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12.618</w:t>
            </w:r>
          </w:p>
        </w:tc>
        <w:tc>
          <w:tcPr>
            <w:tcW w:w="1751"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18.010</w:t>
            </w:r>
          </w:p>
        </w:tc>
        <w:tc>
          <w:tcPr>
            <w:tcW w:w="1752" w:type="dxa"/>
            <w:tcBorders>
              <w:top w:val="single" w:sz="2" w:space="0" w:color="auto"/>
              <w:bottom w:val="single" w:sz="4" w:space="0" w:color="auto"/>
            </w:tcBorders>
            <w:shd w:val="clear" w:color="000000" w:fill="FFFFFF"/>
            <w:noWrap/>
            <w:vAlign w:val="center"/>
            <w:hideMark/>
          </w:tcPr>
          <w:p w:rsidR="00784E54" w:rsidRPr="00784E54" w:rsidRDefault="00784E54" w:rsidP="00784E54">
            <w:pPr>
              <w:spacing w:after="0"/>
              <w:ind w:firstLine="0"/>
              <w:contextualSpacing/>
              <w:jc w:val="right"/>
              <w:rPr>
                <w:rFonts w:ascii="Arial Narrow" w:hAnsi="Arial Narrow"/>
                <w:color w:val="000000"/>
                <w:lang w:val="es-ES" w:eastAsia="es-ES"/>
              </w:rPr>
            </w:pPr>
            <w:r w:rsidRPr="00784E54">
              <w:rPr>
                <w:rFonts w:ascii="Arial Narrow" w:hAnsi="Arial Narrow"/>
                <w:color w:val="000000"/>
                <w:lang w:val="es-ES" w:eastAsia="es-ES"/>
              </w:rPr>
              <w:t>43</w:t>
            </w:r>
          </w:p>
        </w:tc>
      </w:tr>
      <w:tr w:rsidR="00784E54" w:rsidRPr="00784E54" w:rsidTr="004F6517">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left"/>
              <w:rPr>
                <w:rFonts w:ascii="Arial" w:hAnsi="Arial" w:cs="Arial"/>
                <w:color w:val="000000"/>
                <w:sz w:val="18"/>
                <w:szCs w:val="18"/>
                <w:lang w:val="es-ES" w:eastAsia="es-ES"/>
              </w:rPr>
            </w:pPr>
            <w:r w:rsidRPr="00784E54">
              <w:rPr>
                <w:rFonts w:ascii="Arial" w:hAnsi="Arial" w:cs="Arial"/>
                <w:color w:val="000000"/>
                <w:sz w:val="18"/>
                <w:szCs w:val="18"/>
                <w:lang w:val="es-ES" w:eastAsia="es-ES"/>
              </w:rPr>
              <w:t> Total</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91.861</w:t>
            </w:r>
          </w:p>
        </w:tc>
        <w:tc>
          <w:tcPr>
            <w:tcW w:w="1751"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84.855</w:t>
            </w:r>
          </w:p>
        </w:tc>
        <w:tc>
          <w:tcPr>
            <w:tcW w:w="1752"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spacing w:after="0"/>
              <w:ind w:firstLine="0"/>
              <w:contextualSpacing/>
              <w:jc w:val="right"/>
              <w:rPr>
                <w:rFonts w:ascii="Arial" w:hAnsi="Arial" w:cs="Arial"/>
                <w:color w:val="000000"/>
                <w:sz w:val="18"/>
                <w:szCs w:val="18"/>
                <w:lang w:val="es-ES" w:eastAsia="es-ES"/>
              </w:rPr>
            </w:pPr>
            <w:r w:rsidRPr="00784E54">
              <w:rPr>
                <w:rFonts w:ascii="Arial" w:hAnsi="Arial" w:cs="Arial"/>
                <w:color w:val="000000"/>
                <w:sz w:val="18"/>
                <w:szCs w:val="18"/>
                <w:lang w:val="es-ES" w:eastAsia="es-ES"/>
              </w:rPr>
              <w:t>-8</w:t>
            </w:r>
          </w:p>
        </w:tc>
      </w:tr>
    </w:tbl>
    <w:p w:rsidR="00784E54" w:rsidRPr="00784E54" w:rsidRDefault="00784E54" w:rsidP="004E3969">
      <w:pPr>
        <w:pStyle w:val="texto"/>
        <w:spacing w:before="240"/>
        <w:rPr>
          <w:lang w:val="es-ES"/>
        </w:rPr>
      </w:pPr>
      <w:r w:rsidRPr="00784E54">
        <w:rPr>
          <w:lang w:val="es-ES"/>
        </w:rPr>
        <w:lastRenderedPageBreak/>
        <w:t>Las principales inversiones corresponden a los siguientes conceptos: un 37 por ciento a carreteras y caminos, un 16 por ciento a edificios, un 16 por ciento a aplicaciones informáticas (de las cuales un cinco por ciento se correspondi</w:t>
      </w:r>
      <w:r w:rsidRPr="00784E54">
        <w:rPr>
          <w:lang w:val="es-ES"/>
        </w:rPr>
        <w:t>e</w:t>
      </w:r>
      <w:r w:rsidRPr="00784E54">
        <w:rPr>
          <w:lang w:val="es-ES"/>
        </w:rPr>
        <w:t>ron con la adquisición de las licencias de Microsoft por 3,94 millones de euros) y un cuatro por ciento a equipos médicos.</w:t>
      </w:r>
    </w:p>
    <w:p w:rsidR="00784E54" w:rsidRPr="00784E54" w:rsidRDefault="00784E54" w:rsidP="004E3969">
      <w:pPr>
        <w:pStyle w:val="texto"/>
        <w:rPr>
          <w:lang w:val="es-ES"/>
        </w:rPr>
      </w:pPr>
      <w:r w:rsidRPr="00784E54">
        <w:rPr>
          <w:lang w:val="es-ES"/>
        </w:rPr>
        <w:t>El 41 por ciento de las inversiones corresponde al Departamento de Desarr</w:t>
      </w:r>
      <w:r w:rsidRPr="00784E54">
        <w:rPr>
          <w:lang w:val="es-ES"/>
        </w:rPr>
        <w:t>o</w:t>
      </w:r>
      <w:r w:rsidRPr="00784E54">
        <w:rPr>
          <w:lang w:val="es-ES"/>
        </w:rPr>
        <w:t>llo Económico y el 26 por ciento al Departamento de Salud.</w:t>
      </w:r>
    </w:p>
    <w:p w:rsidR="00784E54" w:rsidRPr="00784E54" w:rsidRDefault="00784E54" w:rsidP="004E3969">
      <w:pPr>
        <w:pStyle w:val="texto"/>
        <w:rPr>
          <w:lang w:val="es-ES"/>
        </w:rPr>
      </w:pPr>
      <w:r w:rsidRPr="00784E54">
        <w:rPr>
          <w:lang w:val="es-ES"/>
        </w:rPr>
        <w:t>Las inversiones en 2016 fueron un ocho por ciento inferiores a las ejecutadas en 2015. Este gasto ha descendido un 69 por ciento respecto a 2010 pasando de 273,59 millones a 84,86 millones.</w:t>
      </w:r>
    </w:p>
    <w:p w:rsidR="00784E54" w:rsidRPr="00784E54" w:rsidRDefault="00784E54" w:rsidP="004E3969">
      <w:pPr>
        <w:pStyle w:val="texto"/>
        <w:rPr>
          <w:lang w:val="es-ES"/>
        </w:rPr>
      </w:pPr>
      <w:r w:rsidRPr="00784E54">
        <w:rPr>
          <w:lang w:val="es-ES"/>
        </w:rPr>
        <w:t xml:space="preserve">Las inversiones en infraestructuras de uso o servicio público, 33,9 millones de euros en 2016 correspondientes fundamentalmente a obras en carreteras, no se recogen en el inmovilizado material del balance, sino que se imputan a la cuenta del resultado económico en concepto de pérdidas del inmovilizado. </w:t>
      </w:r>
    </w:p>
    <w:p w:rsidR="00784E54" w:rsidRPr="00784E54" w:rsidRDefault="00784E54" w:rsidP="004E3969">
      <w:pPr>
        <w:pStyle w:val="texto"/>
        <w:rPr>
          <w:lang w:val="es-ES"/>
        </w:rPr>
      </w:pPr>
      <w:r w:rsidRPr="00784E54">
        <w:rPr>
          <w:lang w:val="es-ES"/>
        </w:rPr>
        <w:t>Las inversiones en inmovilizaciones intangibles tampoco se recogen en el activo del balance como inmovilizado intangible sino que se imputan a la cue</w:t>
      </w:r>
      <w:r w:rsidRPr="00784E54">
        <w:rPr>
          <w:lang w:val="es-ES"/>
        </w:rPr>
        <w:t>n</w:t>
      </w:r>
      <w:r w:rsidRPr="00784E54">
        <w:rPr>
          <w:lang w:val="es-ES"/>
        </w:rPr>
        <w:t>ta de resultado económico como pérdidas de inmovilizado inmaterial, habiendo ascendido en 2016 a 18 millones de euros.</w:t>
      </w:r>
    </w:p>
    <w:p w:rsidR="00784E54" w:rsidRPr="00784E54" w:rsidRDefault="00784E54" w:rsidP="004E3969">
      <w:pPr>
        <w:pStyle w:val="texto"/>
        <w:rPr>
          <w:lang w:val="es-ES"/>
        </w:rPr>
      </w:pPr>
      <w:r w:rsidRPr="00784E54">
        <w:rPr>
          <w:lang w:val="es-ES"/>
        </w:rPr>
        <w:t>No se ha definido ni aplicado una política de amortizaciones para reflejar el deterioro de los bienes del inmovilizado.</w:t>
      </w:r>
    </w:p>
    <w:p w:rsidR="00784E54" w:rsidRDefault="00784E54" w:rsidP="00841212">
      <w:pPr>
        <w:pStyle w:val="texto"/>
        <w:spacing w:after="200"/>
        <w:rPr>
          <w:lang w:val="es-ES"/>
        </w:rPr>
      </w:pPr>
      <w:r w:rsidRPr="00784E54">
        <w:rPr>
          <w:lang w:val="es-ES"/>
        </w:rPr>
        <w:t>No consta en la memoria de las Cuentas Generales información sobre el i</w:t>
      </w:r>
      <w:r w:rsidRPr="00784E54">
        <w:rPr>
          <w:lang w:val="es-ES"/>
        </w:rPr>
        <w:t>n</w:t>
      </w:r>
      <w:r w:rsidRPr="00784E54">
        <w:rPr>
          <w:lang w:val="es-ES"/>
        </w:rPr>
        <w:t xml:space="preserve">ventario de bienes y derechos, contrariamente a lo establecido en la Ley Foral de Hacienda Pública. </w:t>
      </w:r>
      <w:r w:rsidR="001D647F">
        <w:rPr>
          <w:lang w:val="es-ES"/>
        </w:rPr>
        <w:t>Al respecto, está previsto que se inicie un proyecto en 2018 para elaborar un inventario que refleje las altas, bajas, modificación de propiedad, etc. del inmovilizado.</w:t>
      </w:r>
    </w:p>
    <w:p w:rsidR="00784E54" w:rsidRPr="00784E54" w:rsidRDefault="00841212" w:rsidP="00923441">
      <w:pPr>
        <w:pStyle w:val="texto"/>
        <w:spacing w:after="120"/>
        <w:rPr>
          <w:lang w:val="es-ES"/>
        </w:rPr>
      </w:pPr>
      <w:r>
        <w:rPr>
          <w:lang w:val="es-ES"/>
        </w:rPr>
        <w:t>Hemos revisado</w:t>
      </w:r>
      <w:r w:rsidR="00784E54" w:rsidRPr="00784E54">
        <w:rPr>
          <w:lang w:val="es-ES"/>
        </w:rPr>
        <w:t xml:space="preserve"> los siguientes gastos:</w:t>
      </w:r>
    </w:p>
    <w:tbl>
      <w:tblPr>
        <w:tblW w:w="4961" w:type="pct"/>
        <w:jc w:val="center"/>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492"/>
        <w:gridCol w:w="1789"/>
        <w:gridCol w:w="1790"/>
        <w:gridCol w:w="1788"/>
      </w:tblGrid>
      <w:tr w:rsidR="0002216F" w:rsidRPr="00784E54" w:rsidTr="0002216F">
        <w:trPr>
          <w:trHeight w:val="198"/>
          <w:jc w:val="center"/>
        </w:trPr>
        <w:tc>
          <w:tcPr>
            <w:tcW w:w="5000" w:type="pct"/>
            <w:gridSpan w:val="4"/>
            <w:tcBorders>
              <w:top w:val="nil"/>
              <w:left w:val="nil"/>
              <w:bottom w:val="single" w:sz="4" w:space="0" w:color="auto"/>
              <w:right w:val="nil"/>
            </w:tcBorders>
            <w:shd w:val="clear" w:color="auto" w:fill="auto"/>
            <w:vAlign w:val="center"/>
          </w:tcPr>
          <w:p w:rsidR="0002216F" w:rsidRPr="0002216F" w:rsidRDefault="0002216F"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784E54" w:rsidRPr="00784E54" w:rsidTr="0002216F">
        <w:trPr>
          <w:trHeight w:val="198"/>
          <w:jc w:val="center"/>
        </w:trPr>
        <w:tc>
          <w:tcPr>
            <w:tcW w:w="1971"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Descripción gasto</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2015</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2016</w:t>
            </w:r>
          </w:p>
        </w:tc>
        <w:tc>
          <w:tcPr>
            <w:tcW w:w="1010" w:type="pct"/>
            <w:tcBorders>
              <w:top w:val="single" w:sz="4" w:space="0" w:color="auto"/>
              <w:left w:val="nil"/>
              <w:bottom w:val="single" w:sz="4" w:space="0" w:color="auto"/>
              <w:right w:val="nil"/>
            </w:tcBorders>
            <w:shd w:val="clear" w:color="auto" w:fill="8DB3E2" w:themeFill="text2" w:themeFillTint="66"/>
            <w:vAlign w:val="center"/>
          </w:tcPr>
          <w:p w:rsidR="004F6517" w:rsidRDefault="00E042B5"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v</w:t>
            </w:r>
            <w:r w:rsidR="00784E54" w:rsidRPr="00784E54">
              <w:rPr>
                <w:rFonts w:ascii="Arial" w:hAnsi="Arial"/>
                <w:spacing w:val="6"/>
                <w:sz w:val="18"/>
                <w:szCs w:val="24"/>
              </w:rPr>
              <w:t>ar</w:t>
            </w:r>
            <w:r w:rsidR="004F6517">
              <w:rPr>
                <w:rFonts w:ascii="Arial" w:hAnsi="Arial"/>
                <w:spacing w:val="6"/>
                <w:sz w:val="18"/>
                <w:szCs w:val="24"/>
              </w:rPr>
              <w:t xml:space="preserve">iación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2016/2015</w:t>
            </w:r>
          </w:p>
        </w:tc>
      </w:tr>
      <w:tr w:rsidR="00784E54" w:rsidRPr="00784E54" w:rsidTr="0002216F">
        <w:trPr>
          <w:trHeight w:val="198"/>
          <w:jc w:val="center"/>
        </w:trPr>
        <w:tc>
          <w:tcPr>
            <w:tcW w:w="1971" w:type="pct"/>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Conservación red viaria</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25.958</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21.881</w:t>
            </w:r>
          </w:p>
        </w:tc>
        <w:tc>
          <w:tcPr>
            <w:tcW w:w="1010" w:type="pct"/>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-16</w:t>
            </w:r>
          </w:p>
        </w:tc>
      </w:tr>
      <w:tr w:rsidR="00784E54" w:rsidRPr="00784E54" w:rsidTr="0002216F">
        <w:trPr>
          <w:trHeight w:val="198"/>
          <w:jc w:val="center"/>
        </w:trPr>
        <w:tc>
          <w:tcPr>
            <w:tcW w:w="1971" w:type="pct"/>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Obras Plan Director Centro Psicogeriátrico</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3.734</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3.695</w:t>
            </w:r>
          </w:p>
        </w:tc>
        <w:tc>
          <w:tcPr>
            <w:tcW w:w="1010"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w:t>
            </w:r>
          </w:p>
        </w:tc>
      </w:tr>
    </w:tbl>
    <w:p w:rsidR="00784E54" w:rsidRPr="00784E54" w:rsidRDefault="00784E54" w:rsidP="00DF7BDD">
      <w:pPr>
        <w:pStyle w:val="texto"/>
        <w:spacing w:before="240"/>
        <w:rPr>
          <w:lang w:val="es-ES"/>
        </w:rPr>
      </w:pPr>
      <w:r w:rsidRPr="00784E54">
        <w:rPr>
          <w:lang w:val="es-ES"/>
        </w:rPr>
        <w:t>Hemos constatado que estos gastos están aprobados, justificados e interven</w:t>
      </w:r>
      <w:r w:rsidRPr="00784E54">
        <w:rPr>
          <w:lang w:val="es-ES"/>
        </w:rPr>
        <w:t>i</w:t>
      </w:r>
      <w:r w:rsidRPr="00784E54">
        <w:rPr>
          <w:lang w:val="es-ES"/>
        </w:rPr>
        <w:t>dos y abonados en plazo; al respecto destacamos los siguientes aspectos:</w:t>
      </w:r>
    </w:p>
    <w:p w:rsidR="001D647F" w:rsidRDefault="001D647F">
      <w:pPr>
        <w:spacing w:after="0"/>
        <w:ind w:firstLine="0"/>
        <w:jc w:val="left"/>
        <w:rPr>
          <w:rFonts w:cs="Arial"/>
          <w:spacing w:val="6"/>
          <w:sz w:val="26"/>
          <w:szCs w:val="24"/>
        </w:rPr>
      </w:pPr>
      <w:r>
        <w:rPr>
          <w:rFonts w:cs="Arial"/>
        </w:rPr>
        <w:br w:type="page"/>
      </w:r>
    </w:p>
    <w:p w:rsidR="00784E54" w:rsidRDefault="00784E54" w:rsidP="0084121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784E54">
        <w:rPr>
          <w:rFonts w:cs="Arial"/>
        </w:rPr>
        <w:lastRenderedPageBreak/>
        <w:t>El gasto en conservación viaria en los últimos diez años ha alcanzado los 240,33 millones de euros; su evolución ha sido la siguiente:</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2995"/>
        <w:gridCol w:w="2643"/>
      </w:tblGrid>
      <w:tr w:rsidR="0002216F" w:rsidRPr="0002216F" w:rsidTr="0002216F">
        <w:trPr>
          <w:trHeight w:val="255"/>
        </w:trPr>
        <w:tc>
          <w:tcPr>
            <w:tcW w:w="8861" w:type="dxa"/>
            <w:gridSpan w:val="3"/>
            <w:tcBorders>
              <w:bottom w:val="single" w:sz="4" w:space="0" w:color="auto"/>
            </w:tcBorders>
            <w:shd w:val="clear" w:color="auto" w:fill="auto"/>
            <w:vAlign w:val="center"/>
          </w:tcPr>
          <w:p w:rsidR="0002216F" w:rsidRPr="0002216F" w:rsidRDefault="0002216F" w:rsidP="00784E54">
            <w:pPr>
              <w:tabs>
                <w:tab w:val="left" w:pos="480"/>
              </w:tabs>
              <w:spacing w:after="0"/>
              <w:ind w:firstLine="0"/>
              <w:jc w:val="right"/>
              <w:rPr>
                <w:rFonts w:ascii="Arial" w:hAnsi="Arial" w:cs="Arial"/>
                <w:spacing w:val="6"/>
                <w:sz w:val="17"/>
                <w:szCs w:val="17"/>
              </w:rPr>
            </w:pPr>
            <w:r>
              <w:rPr>
                <w:rFonts w:ascii="Arial" w:hAnsi="Arial" w:cs="Arial"/>
                <w:spacing w:val="6"/>
                <w:sz w:val="17"/>
                <w:szCs w:val="17"/>
              </w:rPr>
              <w:t>(en miles de euros)</w:t>
            </w:r>
          </w:p>
        </w:tc>
      </w:tr>
      <w:tr w:rsidR="00784E54" w:rsidRPr="00784E54" w:rsidTr="004F6517">
        <w:trPr>
          <w:trHeight w:val="255"/>
        </w:trPr>
        <w:tc>
          <w:tcPr>
            <w:tcW w:w="3223"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r w:rsidRPr="00784E54">
              <w:rPr>
                <w:rFonts w:ascii="Arial" w:hAnsi="Arial" w:cs="Arial"/>
                <w:spacing w:val="6"/>
                <w:sz w:val="18"/>
                <w:szCs w:val="18"/>
              </w:rPr>
              <w:t>Año</w:t>
            </w:r>
          </w:p>
        </w:tc>
        <w:tc>
          <w:tcPr>
            <w:tcW w:w="2995"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Gasto</w:t>
            </w:r>
          </w:p>
        </w:tc>
        <w:tc>
          <w:tcPr>
            <w:tcW w:w="2643"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Nº acreedores</w:t>
            </w:r>
          </w:p>
        </w:tc>
      </w:tr>
      <w:tr w:rsidR="00784E54" w:rsidRPr="00784E54" w:rsidTr="004F6517">
        <w:trPr>
          <w:trHeight w:val="198"/>
        </w:trPr>
        <w:tc>
          <w:tcPr>
            <w:tcW w:w="3223"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2007</w:t>
            </w:r>
          </w:p>
        </w:tc>
        <w:tc>
          <w:tcPr>
            <w:tcW w:w="2995"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26.522</w:t>
            </w:r>
          </w:p>
        </w:tc>
        <w:tc>
          <w:tcPr>
            <w:tcW w:w="2643"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17</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2008</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20.401</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16</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2009</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20.389</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2010</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21.000</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12</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2011</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16.094</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2012</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23.542</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13</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2013</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38.548</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26</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2014</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25.994</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15</w:t>
            </w:r>
          </w:p>
        </w:tc>
      </w:tr>
      <w:tr w:rsidR="00784E54" w:rsidRPr="00784E54" w:rsidTr="004F6517">
        <w:trPr>
          <w:trHeight w:val="198"/>
        </w:trPr>
        <w:tc>
          <w:tcPr>
            <w:tcW w:w="322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2015</w:t>
            </w:r>
          </w:p>
        </w:tc>
        <w:tc>
          <w:tcPr>
            <w:tcW w:w="299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25.958</w:t>
            </w:r>
          </w:p>
        </w:tc>
        <w:tc>
          <w:tcPr>
            <w:tcW w:w="2643"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18</w:t>
            </w:r>
          </w:p>
        </w:tc>
      </w:tr>
      <w:tr w:rsidR="00784E54" w:rsidRPr="00784E54" w:rsidTr="004F6517">
        <w:trPr>
          <w:trHeight w:val="198"/>
        </w:trPr>
        <w:tc>
          <w:tcPr>
            <w:tcW w:w="3223"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2016</w:t>
            </w:r>
          </w:p>
        </w:tc>
        <w:tc>
          <w:tcPr>
            <w:tcW w:w="2995"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21.881</w:t>
            </w:r>
          </w:p>
        </w:tc>
        <w:tc>
          <w:tcPr>
            <w:tcW w:w="2643"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14</w:t>
            </w:r>
          </w:p>
        </w:tc>
      </w:tr>
    </w:tbl>
    <w:p w:rsidR="00784E54" w:rsidRPr="00784E54" w:rsidRDefault="00784E54" w:rsidP="00DF7BDD">
      <w:pPr>
        <w:pStyle w:val="texto"/>
        <w:spacing w:before="240"/>
      </w:pPr>
      <w:r w:rsidRPr="00784E54">
        <w:t>El gasto medio anual se sitúa en los 24</w:t>
      </w:r>
      <w:r w:rsidR="0002216F">
        <w:t xml:space="preserve"> millones de </w:t>
      </w:r>
      <w:r w:rsidRPr="00784E54">
        <w:t xml:space="preserve">euros y el número de acreedores en 16. </w:t>
      </w:r>
    </w:p>
    <w:p w:rsidR="00211B29" w:rsidRDefault="00784E54" w:rsidP="00DF7BDD">
      <w:pPr>
        <w:pStyle w:val="texto"/>
      </w:pPr>
      <w:r w:rsidRPr="00784E54">
        <w:t>En noviembre de 2010 se elaboró el Plan Director de Carreteras para el p</w:t>
      </w:r>
      <w:r w:rsidRPr="00784E54">
        <w:t>e</w:t>
      </w:r>
      <w:r w:rsidRPr="00784E54">
        <w:t xml:space="preserve">riodo 2010-2018 con unas previsiones de </w:t>
      </w:r>
      <w:r w:rsidR="0002216F">
        <w:t>225</w:t>
      </w:r>
      <w:r w:rsidRPr="00784E54">
        <w:t xml:space="preserve"> actuaciones y una inversión de 1.661 millones de euros; de esta cantidad, 1.248 millones se estimaron que se tenían que destinar para ampliación y mejora de las vías y 413 millones para la conservación de la red viaria. </w:t>
      </w:r>
    </w:p>
    <w:p w:rsidR="00784E54" w:rsidRPr="00784E54" w:rsidRDefault="00784E54" w:rsidP="00DF7BDD">
      <w:pPr>
        <w:pStyle w:val="texto"/>
      </w:pPr>
      <w:r w:rsidRPr="00784E54">
        <w:t xml:space="preserve">De este gasto, 1.331 millones se financiarían </w:t>
      </w:r>
      <w:r w:rsidR="00DE175A">
        <w:t>con</w:t>
      </w:r>
      <w:r w:rsidRPr="00784E54">
        <w:t xml:space="preserve"> los presupuestos generales del Gobierno de Navarra y los 330 restantes a través de</w:t>
      </w:r>
      <w:r w:rsidR="00AF7F1A">
        <w:t xml:space="preserve"> las </w:t>
      </w:r>
      <w:r w:rsidR="00211B29">
        <w:t>concesiones</w:t>
      </w:r>
      <w:r w:rsidR="00AF7F1A">
        <w:t xml:space="preserve"> de pe</w:t>
      </w:r>
      <w:r w:rsidR="00AF7F1A">
        <w:t>a</w:t>
      </w:r>
      <w:r w:rsidR="00AF7F1A">
        <w:t>je en la sombra en un 70 por ciento</w:t>
      </w:r>
      <w:r w:rsidR="00211B29">
        <w:t xml:space="preserve"> (232 millones)</w:t>
      </w:r>
      <w:r w:rsidR="00AF7F1A">
        <w:t xml:space="preserve">, de </w:t>
      </w:r>
      <w:r w:rsidR="00211B29">
        <w:t>convenios firmados con distintas entidades (Ministerio de Fomento, Ayuntamiento de Pamplona, etc.) en un 29 por ciento (96 millones) y, de</w:t>
      </w:r>
      <w:r w:rsidR="00AF7F1A">
        <w:t xml:space="preserve"> un convenio firmado con la Sociedad de Promoción de Inversiones e Infraestructuras de Navarra (SPRIN)</w:t>
      </w:r>
      <w:r w:rsidR="00211B29">
        <w:t>, ya extingu</w:t>
      </w:r>
      <w:r w:rsidR="00211B29">
        <w:t>i</w:t>
      </w:r>
      <w:r w:rsidR="00211B29">
        <w:t>da, en el uno por ciento restante (dos millones)</w:t>
      </w:r>
      <w:r w:rsidRPr="00784E54">
        <w:t xml:space="preserve">. Este plan preveía una </w:t>
      </w:r>
      <w:r w:rsidR="0002216F">
        <w:t xml:space="preserve">posible </w:t>
      </w:r>
      <w:r w:rsidRPr="00784E54">
        <w:t xml:space="preserve">revisión y actualización del mismo en 2014. </w:t>
      </w:r>
    </w:p>
    <w:p w:rsidR="00784E54" w:rsidRPr="00784E54" w:rsidRDefault="00784E54" w:rsidP="00DF7BDD">
      <w:pPr>
        <w:pStyle w:val="texto"/>
      </w:pPr>
      <w:r w:rsidRPr="00784E54">
        <w:t xml:space="preserve">Según la Ley Foral 5/2007 de carreteras, este plan, una vez aprobado por el Parlamento, debería considerarse como un instrumento de ordenación territorial por el que debe regirse la Administración de la Comunidad Foral. </w:t>
      </w:r>
    </w:p>
    <w:p w:rsidR="00784E54" w:rsidRPr="00784E54" w:rsidRDefault="00784E54" w:rsidP="00DF7BDD">
      <w:pPr>
        <w:pStyle w:val="texto"/>
      </w:pPr>
      <w:r w:rsidRPr="00784E54">
        <w:t xml:space="preserve">El departamento encargado de acometer </w:t>
      </w:r>
      <w:r w:rsidR="002B3EF2">
        <w:t xml:space="preserve">las actuaciones de ampliación, </w:t>
      </w:r>
      <w:r w:rsidRPr="00784E54">
        <w:t>m</w:t>
      </w:r>
      <w:r w:rsidRPr="00784E54">
        <w:t>e</w:t>
      </w:r>
      <w:r w:rsidRPr="00784E54">
        <w:t>jora</w:t>
      </w:r>
      <w:r w:rsidR="002B3EF2">
        <w:t xml:space="preserve"> y conservación</w:t>
      </w:r>
      <w:r w:rsidRPr="00784E54">
        <w:t xml:space="preserve"> de las vías, realiza anualmente una memoria en la que se hace mención a la ejecución de este plan en relación con las actuaciones de ampliación y mejora de la red. En cuanto a la conservación de la red viaria</w:t>
      </w:r>
      <w:r w:rsidR="002B3EF2">
        <w:t>, el departamento elabora una memoria específica en la que se incluye las actuaci</w:t>
      </w:r>
      <w:r w:rsidR="002B3EF2">
        <w:t>o</w:t>
      </w:r>
      <w:r w:rsidR="002B3EF2">
        <w:t xml:space="preserve">nes relacionadas con la conservación viaria, con </w:t>
      </w:r>
      <w:r w:rsidR="00B643D2">
        <w:t>los centros de control de carr</w:t>
      </w:r>
      <w:r w:rsidR="00B643D2">
        <w:t>e</w:t>
      </w:r>
      <w:r w:rsidR="00B643D2">
        <w:t>teras existentes y con todo lo relativo a la seguridad vial. No existe correlación entre esta memoria y el Plan Director, por lo que no podemos contrastar si las actuaciones relacionadas en materia de conservación eran las previstas en dicho plan o eran otras añadidas.</w:t>
      </w:r>
    </w:p>
    <w:p w:rsidR="001F3380" w:rsidRPr="00784E54" w:rsidRDefault="00784E54" w:rsidP="00923441">
      <w:pPr>
        <w:pStyle w:val="texto"/>
        <w:spacing w:after="120"/>
      </w:pPr>
      <w:r w:rsidRPr="00784E54">
        <w:lastRenderedPageBreak/>
        <w:t xml:space="preserve">Hemos </w:t>
      </w:r>
      <w:r w:rsidR="00B643D2">
        <w:t>obtenid</w:t>
      </w:r>
      <w:r w:rsidRPr="00784E54">
        <w:t>o el gasto presupuestario desde 2010 hasta 2016 teniendo en cuenta la información contenida en las memorias citadas y el resultado es el s</w:t>
      </w:r>
      <w:r w:rsidRPr="00784E54">
        <w:t>i</w:t>
      </w:r>
      <w:r w:rsidRPr="00784E54">
        <w:t>guiente: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2006"/>
        <w:gridCol w:w="1497"/>
        <w:gridCol w:w="1058"/>
        <w:gridCol w:w="1665"/>
        <w:gridCol w:w="1750"/>
      </w:tblGrid>
      <w:tr w:rsidR="00841212" w:rsidRPr="00841212" w:rsidTr="00EB03F8">
        <w:trPr>
          <w:trHeight w:val="198"/>
        </w:trPr>
        <w:tc>
          <w:tcPr>
            <w:tcW w:w="8805" w:type="dxa"/>
            <w:gridSpan w:val="6"/>
            <w:shd w:val="clear" w:color="auto" w:fill="auto"/>
            <w:vAlign w:val="center"/>
          </w:tcPr>
          <w:p w:rsidR="00841212" w:rsidRPr="00841212" w:rsidRDefault="00841212" w:rsidP="004F6517">
            <w:pPr>
              <w:tabs>
                <w:tab w:val="left" w:pos="480"/>
              </w:tabs>
              <w:spacing w:after="0"/>
              <w:ind w:left="-187" w:right="-58" w:firstLine="0"/>
              <w:jc w:val="right"/>
              <w:rPr>
                <w:rFonts w:ascii="Arial" w:hAnsi="Arial" w:cs="Arial"/>
                <w:spacing w:val="6"/>
                <w:sz w:val="17"/>
                <w:szCs w:val="17"/>
              </w:rPr>
            </w:pPr>
            <w:r w:rsidRPr="00841212">
              <w:rPr>
                <w:rFonts w:ascii="Arial" w:hAnsi="Arial" w:cs="Arial"/>
                <w:spacing w:val="6"/>
                <w:sz w:val="17"/>
                <w:szCs w:val="17"/>
              </w:rPr>
              <w:t>(en millones de euros)</w:t>
            </w:r>
          </w:p>
        </w:tc>
      </w:tr>
      <w:tr w:rsidR="00784E54" w:rsidRPr="00784E54" w:rsidTr="00EB03F8">
        <w:trPr>
          <w:trHeight w:val="198"/>
        </w:trPr>
        <w:tc>
          <w:tcPr>
            <w:tcW w:w="829" w:type="dxa"/>
            <w:tcBorders>
              <w:top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p>
        </w:tc>
        <w:tc>
          <w:tcPr>
            <w:tcW w:w="4561" w:type="dxa"/>
            <w:gridSpan w:val="3"/>
            <w:tcBorders>
              <w:top w:val="single" w:sz="4" w:space="0" w:color="auto"/>
              <w:bottom w:val="single" w:sz="2" w:space="0" w:color="auto"/>
            </w:tcBorders>
            <w:shd w:val="clear" w:color="auto" w:fill="8DB3E2" w:themeFill="text2" w:themeFillTint="66"/>
            <w:vAlign w:val="center"/>
          </w:tcPr>
          <w:p w:rsidR="00784E54" w:rsidRPr="00784E54" w:rsidRDefault="00784E54" w:rsidP="004F6517">
            <w:pPr>
              <w:tabs>
                <w:tab w:val="left" w:pos="480"/>
              </w:tabs>
              <w:spacing w:after="0"/>
              <w:ind w:firstLine="0"/>
              <w:jc w:val="center"/>
              <w:rPr>
                <w:rFonts w:ascii="Arial" w:hAnsi="Arial" w:cs="Arial"/>
                <w:spacing w:val="6"/>
                <w:sz w:val="18"/>
                <w:szCs w:val="18"/>
              </w:rPr>
            </w:pPr>
            <w:r w:rsidRPr="00784E54">
              <w:rPr>
                <w:rFonts w:ascii="Arial" w:hAnsi="Arial" w:cs="Arial"/>
                <w:spacing w:val="6"/>
                <w:sz w:val="18"/>
                <w:szCs w:val="18"/>
              </w:rPr>
              <w:t>Gasto previsto en Plan Director Carreteras</w:t>
            </w:r>
          </w:p>
        </w:tc>
        <w:tc>
          <w:tcPr>
            <w:tcW w:w="1665" w:type="dxa"/>
            <w:vMerge w:val="restart"/>
            <w:tcBorders>
              <w:top w:val="single" w:sz="4" w:space="0" w:color="auto"/>
              <w:bottom w:val="single" w:sz="4" w:space="0" w:color="auto"/>
            </w:tcBorders>
            <w:shd w:val="clear" w:color="auto" w:fill="8DB3E2" w:themeFill="text2" w:themeFillTint="66"/>
            <w:vAlign w:val="center"/>
          </w:tcPr>
          <w:p w:rsidR="00784E54" w:rsidRPr="00784E54" w:rsidRDefault="00B643D2" w:rsidP="00784E54">
            <w:pPr>
              <w:tabs>
                <w:tab w:val="left" w:pos="480"/>
              </w:tabs>
              <w:spacing w:after="0"/>
              <w:ind w:firstLine="0"/>
              <w:jc w:val="right"/>
              <w:rPr>
                <w:rFonts w:ascii="Arial" w:hAnsi="Arial" w:cs="Arial"/>
                <w:spacing w:val="6"/>
                <w:sz w:val="18"/>
                <w:szCs w:val="18"/>
              </w:rPr>
            </w:pPr>
            <w:r>
              <w:rPr>
                <w:rFonts w:ascii="Arial" w:hAnsi="Arial" w:cs="Arial"/>
                <w:spacing w:val="6"/>
                <w:sz w:val="18"/>
                <w:szCs w:val="18"/>
              </w:rPr>
              <w:t>Gasto realizado (disposición)</w:t>
            </w:r>
          </w:p>
        </w:tc>
        <w:tc>
          <w:tcPr>
            <w:tcW w:w="1750" w:type="dxa"/>
            <w:vMerge w:val="restart"/>
            <w:tcBorders>
              <w:top w:val="single" w:sz="4" w:space="0" w:color="auto"/>
              <w:bottom w:val="single" w:sz="4" w:space="0" w:color="auto"/>
            </w:tcBorders>
            <w:shd w:val="clear" w:color="auto" w:fill="8DB3E2" w:themeFill="text2" w:themeFillTint="66"/>
            <w:vAlign w:val="center"/>
          </w:tcPr>
          <w:p w:rsidR="004F6517" w:rsidRDefault="004F6517" w:rsidP="004F6517">
            <w:pPr>
              <w:tabs>
                <w:tab w:val="left" w:pos="480"/>
              </w:tabs>
              <w:spacing w:after="0"/>
              <w:ind w:left="-187" w:right="-58" w:firstLine="0"/>
              <w:jc w:val="right"/>
              <w:rPr>
                <w:rFonts w:ascii="Arial" w:hAnsi="Arial" w:cs="Arial"/>
                <w:spacing w:val="6"/>
                <w:sz w:val="18"/>
                <w:szCs w:val="18"/>
              </w:rPr>
            </w:pPr>
            <w:r>
              <w:rPr>
                <w:rFonts w:ascii="Arial" w:hAnsi="Arial" w:cs="Arial"/>
                <w:spacing w:val="6"/>
                <w:sz w:val="18"/>
                <w:szCs w:val="18"/>
              </w:rPr>
              <w:t>%</w:t>
            </w:r>
            <w:r w:rsidR="00784E54" w:rsidRPr="00784E54">
              <w:rPr>
                <w:rFonts w:ascii="Arial" w:hAnsi="Arial" w:cs="Arial"/>
                <w:spacing w:val="6"/>
                <w:sz w:val="18"/>
                <w:szCs w:val="18"/>
              </w:rPr>
              <w:t xml:space="preserve"> </w:t>
            </w:r>
            <w:r w:rsidR="00B643D2">
              <w:rPr>
                <w:rFonts w:ascii="Arial" w:hAnsi="Arial" w:cs="Arial"/>
                <w:spacing w:val="6"/>
                <w:sz w:val="18"/>
                <w:szCs w:val="18"/>
              </w:rPr>
              <w:t>disposición</w:t>
            </w:r>
            <w:r w:rsidR="00784E54" w:rsidRPr="00784E54">
              <w:rPr>
                <w:rFonts w:ascii="Arial" w:hAnsi="Arial" w:cs="Arial"/>
                <w:spacing w:val="6"/>
                <w:sz w:val="18"/>
                <w:szCs w:val="18"/>
              </w:rPr>
              <w:t xml:space="preserve">/ </w:t>
            </w:r>
          </w:p>
          <w:p w:rsidR="00784E54" w:rsidRPr="00784E54" w:rsidRDefault="00784E54" w:rsidP="004F6517">
            <w:pPr>
              <w:tabs>
                <w:tab w:val="left" w:pos="480"/>
              </w:tabs>
              <w:spacing w:after="0"/>
              <w:ind w:left="-187" w:right="-58" w:firstLine="0"/>
              <w:jc w:val="right"/>
              <w:rPr>
                <w:rFonts w:ascii="Arial" w:hAnsi="Arial" w:cs="Arial"/>
                <w:spacing w:val="6"/>
                <w:sz w:val="18"/>
                <w:szCs w:val="18"/>
              </w:rPr>
            </w:pPr>
            <w:r w:rsidRPr="00784E54">
              <w:rPr>
                <w:rFonts w:ascii="Arial" w:hAnsi="Arial" w:cs="Arial"/>
                <w:spacing w:val="6"/>
                <w:sz w:val="18"/>
                <w:szCs w:val="18"/>
              </w:rPr>
              <w:t>gasto previsto</w:t>
            </w:r>
          </w:p>
        </w:tc>
      </w:tr>
      <w:tr w:rsidR="00784E54" w:rsidRPr="00784E54" w:rsidTr="00EB03F8">
        <w:tc>
          <w:tcPr>
            <w:tcW w:w="829" w:type="dxa"/>
            <w:tcBorders>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left"/>
              <w:rPr>
                <w:rFonts w:ascii="Arial" w:hAnsi="Arial" w:cs="Arial"/>
                <w:spacing w:val="6"/>
                <w:sz w:val="18"/>
                <w:szCs w:val="18"/>
              </w:rPr>
            </w:pPr>
            <w:r w:rsidRPr="00784E54">
              <w:rPr>
                <w:rFonts w:ascii="Arial" w:hAnsi="Arial" w:cs="Arial"/>
                <w:spacing w:val="6"/>
                <w:sz w:val="18"/>
                <w:szCs w:val="18"/>
              </w:rPr>
              <w:t>Año</w:t>
            </w:r>
          </w:p>
        </w:tc>
        <w:tc>
          <w:tcPr>
            <w:tcW w:w="2006" w:type="dxa"/>
            <w:tcBorders>
              <w:top w:val="single" w:sz="2" w:space="0" w:color="auto"/>
              <w:bottom w:val="single" w:sz="4" w:space="0" w:color="auto"/>
            </w:tcBorders>
            <w:shd w:val="clear" w:color="auto" w:fill="8DB3E2" w:themeFill="text2" w:themeFillTint="66"/>
            <w:vAlign w:val="center"/>
          </w:tcPr>
          <w:p w:rsidR="00784E54" w:rsidRPr="00784E54" w:rsidRDefault="00784E54" w:rsidP="004F6517">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Ampliación y mejora</w:t>
            </w:r>
          </w:p>
        </w:tc>
        <w:tc>
          <w:tcPr>
            <w:tcW w:w="149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Conservación</w:t>
            </w:r>
          </w:p>
        </w:tc>
        <w:tc>
          <w:tcPr>
            <w:tcW w:w="1058"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Total</w:t>
            </w:r>
          </w:p>
        </w:tc>
        <w:tc>
          <w:tcPr>
            <w:tcW w:w="1665" w:type="dxa"/>
            <w:vMerge/>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left" w:pos="480"/>
              </w:tabs>
              <w:spacing w:after="0"/>
              <w:ind w:firstLine="0"/>
              <w:jc w:val="right"/>
              <w:rPr>
                <w:rFonts w:ascii="Arial" w:hAnsi="Arial" w:cs="Arial"/>
                <w:spacing w:val="6"/>
                <w:sz w:val="18"/>
                <w:szCs w:val="18"/>
              </w:rPr>
            </w:pPr>
          </w:p>
        </w:tc>
        <w:tc>
          <w:tcPr>
            <w:tcW w:w="1750" w:type="dxa"/>
            <w:vMerge/>
            <w:tcBorders>
              <w:top w:val="single" w:sz="4" w:space="0" w:color="auto"/>
              <w:bottom w:val="single" w:sz="4" w:space="0" w:color="auto"/>
            </w:tcBorders>
            <w:shd w:val="clear" w:color="auto" w:fill="8DB3E2" w:themeFill="text2" w:themeFillTint="66"/>
            <w:vAlign w:val="center"/>
          </w:tcPr>
          <w:p w:rsidR="00784E54" w:rsidRPr="00784E54" w:rsidRDefault="00784E54" w:rsidP="004F6517">
            <w:pPr>
              <w:tabs>
                <w:tab w:val="left" w:pos="480"/>
              </w:tabs>
              <w:spacing w:after="0"/>
              <w:ind w:left="-187" w:right="-58" w:firstLine="0"/>
              <w:jc w:val="right"/>
              <w:rPr>
                <w:rFonts w:ascii="Arial" w:hAnsi="Arial" w:cs="Arial"/>
                <w:spacing w:val="6"/>
                <w:sz w:val="18"/>
                <w:szCs w:val="18"/>
              </w:rPr>
            </w:pPr>
          </w:p>
        </w:tc>
      </w:tr>
      <w:tr w:rsidR="00784E54" w:rsidRPr="00784E54" w:rsidTr="00EB03F8">
        <w:trPr>
          <w:trHeight w:val="198"/>
        </w:trPr>
        <w:tc>
          <w:tcPr>
            <w:tcW w:w="829"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2010</w:t>
            </w:r>
          </w:p>
        </w:tc>
        <w:tc>
          <w:tcPr>
            <w:tcW w:w="2006"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34,9</w:t>
            </w:r>
          </w:p>
        </w:tc>
        <w:tc>
          <w:tcPr>
            <w:tcW w:w="1497"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24,0</w:t>
            </w:r>
          </w:p>
        </w:tc>
        <w:tc>
          <w:tcPr>
            <w:tcW w:w="1058"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58,9</w:t>
            </w:r>
          </w:p>
        </w:tc>
        <w:tc>
          <w:tcPr>
            <w:tcW w:w="1665" w:type="dxa"/>
            <w:tcBorders>
              <w:top w:val="single" w:sz="4"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Sin datos</w:t>
            </w:r>
          </w:p>
        </w:tc>
        <w:tc>
          <w:tcPr>
            <w:tcW w:w="1750" w:type="dxa"/>
            <w:tcBorders>
              <w:top w:val="single" w:sz="4"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2011</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22,7</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37,5</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60,2</w:t>
            </w:r>
          </w:p>
        </w:tc>
        <w:tc>
          <w:tcPr>
            <w:tcW w:w="1665" w:type="dxa"/>
            <w:tcBorders>
              <w:top w:val="single" w:sz="2" w:space="0" w:color="auto"/>
              <w:bottom w:val="single" w:sz="2" w:space="0" w:color="auto"/>
            </w:tcBorders>
            <w:vAlign w:val="center"/>
          </w:tcPr>
          <w:p w:rsidR="00784E54" w:rsidRPr="00784E54" w:rsidRDefault="00B643D2" w:rsidP="00784E54">
            <w:pPr>
              <w:tabs>
                <w:tab w:val="left" w:pos="480"/>
              </w:tabs>
              <w:spacing w:after="0"/>
              <w:ind w:firstLine="0"/>
              <w:jc w:val="right"/>
              <w:rPr>
                <w:rFonts w:ascii="Arial Narrow" w:hAnsi="Arial Narrow" w:cs="Arial"/>
                <w:spacing w:val="6"/>
              </w:rPr>
            </w:pPr>
            <w:r>
              <w:rPr>
                <w:rFonts w:ascii="Arial Narrow" w:hAnsi="Arial Narrow" w:cs="Arial"/>
                <w:spacing w:val="6"/>
              </w:rPr>
              <w:t>36,9</w:t>
            </w:r>
          </w:p>
        </w:tc>
        <w:tc>
          <w:tcPr>
            <w:tcW w:w="1750" w:type="dxa"/>
            <w:tcBorders>
              <w:top w:val="single" w:sz="2" w:space="0" w:color="auto"/>
              <w:bottom w:val="single" w:sz="2" w:space="0" w:color="auto"/>
            </w:tcBorders>
            <w:vAlign w:val="center"/>
          </w:tcPr>
          <w:p w:rsidR="00784E54" w:rsidRPr="00784E54" w:rsidRDefault="00784E54" w:rsidP="00B643D2">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6</w:t>
            </w:r>
            <w:r w:rsidR="00B643D2">
              <w:rPr>
                <w:rFonts w:ascii="Arial Narrow" w:hAnsi="Arial Narrow" w:cs="Arial"/>
                <w:spacing w:val="6"/>
              </w:rPr>
              <w:t>1</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2012</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58,4</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37,5</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95,9</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33,9</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35</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2013</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64,4</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35,6</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100,0</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25,6</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26</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2014</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182,1</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52,8</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234,9</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Sin datos</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w:t>
            </w:r>
          </w:p>
        </w:tc>
      </w:tr>
      <w:tr w:rsidR="00784E54" w:rsidRPr="00784E54" w:rsidTr="00EB03F8">
        <w:trPr>
          <w:trHeight w:val="198"/>
        </w:trPr>
        <w:tc>
          <w:tcPr>
            <w:tcW w:w="829"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2015</w:t>
            </w:r>
          </w:p>
        </w:tc>
        <w:tc>
          <w:tcPr>
            <w:tcW w:w="2006"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180,2</w:t>
            </w:r>
          </w:p>
        </w:tc>
        <w:tc>
          <w:tcPr>
            <w:tcW w:w="1497"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51,3</w:t>
            </w:r>
          </w:p>
        </w:tc>
        <w:tc>
          <w:tcPr>
            <w:tcW w:w="1058"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231,5</w:t>
            </w:r>
          </w:p>
        </w:tc>
        <w:tc>
          <w:tcPr>
            <w:tcW w:w="1665" w:type="dxa"/>
            <w:tcBorders>
              <w:top w:val="single" w:sz="2" w:space="0" w:color="auto"/>
              <w:bottom w:val="single" w:sz="2"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37,9</w:t>
            </w:r>
          </w:p>
        </w:tc>
        <w:tc>
          <w:tcPr>
            <w:tcW w:w="1750" w:type="dxa"/>
            <w:tcBorders>
              <w:top w:val="single" w:sz="2" w:space="0" w:color="auto"/>
              <w:bottom w:val="single" w:sz="2"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16</w:t>
            </w:r>
          </w:p>
        </w:tc>
      </w:tr>
      <w:tr w:rsidR="00784E54" w:rsidRPr="00784E54" w:rsidTr="00EB03F8">
        <w:trPr>
          <w:trHeight w:val="198"/>
        </w:trPr>
        <w:tc>
          <w:tcPr>
            <w:tcW w:w="829"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left"/>
              <w:rPr>
                <w:rFonts w:ascii="Arial Narrow" w:hAnsi="Arial Narrow" w:cs="Arial"/>
                <w:spacing w:val="6"/>
              </w:rPr>
            </w:pPr>
            <w:r w:rsidRPr="00784E54">
              <w:rPr>
                <w:rFonts w:ascii="Arial Narrow" w:hAnsi="Arial Narrow" w:cs="Arial"/>
                <w:spacing w:val="6"/>
              </w:rPr>
              <w:t>2016</w:t>
            </w:r>
          </w:p>
        </w:tc>
        <w:tc>
          <w:tcPr>
            <w:tcW w:w="2006"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134,1</w:t>
            </w:r>
          </w:p>
        </w:tc>
        <w:tc>
          <w:tcPr>
            <w:tcW w:w="1497"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53,8</w:t>
            </w:r>
          </w:p>
        </w:tc>
        <w:tc>
          <w:tcPr>
            <w:tcW w:w="1058"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187,9</w:t>
            </w:r>
          </w:p>
        </w:tc>
        <w:tc>
          <w:tcPr>
            <w:tcW w:w="1665" w:type="dxa"/>
            <w:tcBorders>
              <w:top w:val="single" w:sz="2" w:space="0" w:color="auto"/>
              <w:bottom w:val="single" w:sz="4" w:space="0" w:color="auto"/>
            </w:tcBorders>
            <w:vAlign w:val="center"/>
          </w:tcPr>
          <w:p w:rsidR="00784E54" w:rsidRPr="00784E54" w:rsidRDefault="00784E54" w:rsidP="00784E54">
            <w:pPr>
              <w:tabs>
                <w:tab w:val="left" w:pos="480"/>
              </w:tabs>
              <w:spacing w:after="0"/>
              <w:ind w:firstLine="0"/>
              <w:jc w:val="right"/>
              <w:rPr>
                <w:rFonts w:ascii="Arial Narrow" w:hAnsi="Arial Narrow" w:cs="Arial"/>
                <w:spacing w:val="6"/>
              </w:rPr>
            </w:pPr>
            <w:r w:rsidRPr="00784E54">
              <w:rPr>
                <w:rFonts w:ascii="Arial Narrow" w:hAnsi="Arial Narrow" w:cs="Arial"/>
                <w:spacing w:val="6"/>
              </w:rPr>
              <w:t>34,9</w:t>
            </w:r>
          </w:p>
        </w:tc>
        <w:tc>
          <w:tcPr>
            <w:tcW w:w="1750" w:type="dxa"/>
            <w:tcBorders>
              <w:top w:val="single" w:sz="2" w:space="0" w:color="auto"/>
              <w:bottom w:val="single" w:sz="4" w:space="0" w:color="auto"/>
            </w:tcBorders>
            <w:vAlign w:val="center"/>
          </w:tcPr>
          <w:p w:rsidR="00784E54" w:rsidRPr="00784E54" w:rsidRDefault="00784E54" w:rsidP="004F6517">
            <w:pPr>
              <w:tabs>
                <w:tab w:val="left" w:pos="480"/>
              </w:tabs>
              <w:spacing w:after="0"/>
              <w:ind w:left="-187" w:right="-58" w:firstLine="0"/>
              <w:jc w:val="right"/>
              <w:rPr>
                <w:rFonts w:ascii="Arial Narrow" w:hAnsi="Arial Narrow" w:cs="Arial"/>
                <w:spacing w:val="6"/>
              </w:rPr>
            </w:pPr>
            <w:r w:rsidRPr="00784E54">
              <w:rPr>
                <w:rFonts w:ascii="Arial Narrow" w:hAnsi="Arial Narrow" w:cs="Arial"/>
                <w:spacing w:val="6"/>
              </w:rPr>
              <w:t>19</w:t>
            </w:r>
          </w:p>
        </w:tc>
      </w:tr>
    </w:tbl>
    <w:p w:rsidR="00784E54" w:rsidRPr="00784E54" w:rsidRDefault="00784E54" w:rsidP="00DF7BDD">
      <w:pPr>
        <w:pStyle w:val="texto"/>
        <w:spacing w:before="240"/>
      </w:pPr>
      <w:r w:rsidRPr="00784E54">
        <w:t>En definitiva, de los datos aportados por el departamento y del gasto pres</w:t>
      </w:r>
      <w:r w:rsidRPr="00784E54">
        <w:t>u</w:t>
      </w:r>
      <w:r w:rsidRPr="00784E54">
        <w:t xml:space="preserve">puestario </w:t>
      </w:r>
      <w:r w:rsidR="00B643D2">
        <w:t xml:space="preserve">extraído </w:t>
      </w:r>
      <w:r w:rsidRPr="00784E54">
        <w:t xml:space="preserve">se deduce un porcentaje de ejecución bajo. </w:t>
      </w:r>
    </w:p>
    <w:p w:rsidR="00784E54" w:rsidRPr="00EB03F8" w:rsidRDefault="00841212" w:rsidP="00EB03F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B03F8">
        <w:rPr>
          <w:rFonts w:cs="Arial"/>
        </w:rPr>
        <w:t>H</w:t>
      </w:r>
      <w:r w:rsidR="00784E54" w:rsidRPr="00EB03F8">
        <w:rPr>
          <w:rFonts w:cs="Arial"/>
        </w:rPr>
        <w:t xml:space="preserve">emos constatado que cuatro </w:t>
      </w:r>
      <w:r w:rsidRPr="00EB03F8">
        <w:rPr>
          <w:rFonts w:cs="Arial"/>
        </w:rPr>
        <w:t xml:space="preserve">de las facturas de conservación viaria </w:t>
      </w:r>
      <w:r w:rsidR="00784E54" w:rsidRPr="00EB03F8">
        <w:rPr>
          <w:rFonts w:cs="Arial"/>
        </w:rPr>
        <w:t>se abonaron en un plazo superior a los 30 días establecidos en la normativa, en concreto a los 41, 52, 73 y 84 días.</w:t>
      </w:r>
    </w:p>
    <w:p w:rsidR="00784E54" w:rsidRDefault="00784E54" w:rsidP="00EB03F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F7BDD">
        <w:rPr>
          <w:rFonts w:cs="Arial"/>
        </w:rPr>
        <w:t xml:space="preserve">En cuanto a las obras del </w:t>
      </w:r>
      <w:r w:rsidR="00B643D2">
        <w:rPr>
          <w:rFonts w:cs="Arial"/>
        </w:rPr>
        <w:t>Centro P</w:t>
      </w:r>
      <w:r w:rsidRPr="00DF7BDD">
        <w:rPr>
          <w:rFonts w:cs="Arial"/>
        </w:rPr>
        <w:t>sicogeriátrico es destacable el retraso en su ejecución, si bien ha estado motivado por ca</w:t>
      </w:r>
      <w:r w:rsidR="00A5476B">
        <w:rPr>
          <w:rFonts w:cs="Arial"/>
        </w:rPr>
        <w:t>usas ajenas al contratista; se s</w:t>
      </w:r>
      <w:r w:rsidR="00A5476B">
        <w:rPr>
          <w:rFonts w:cs="Arial"/>
        </w:rPr>
        <w:t>o</w:t>
      </w:r>
      <w:r w:rsidR="00A5476B">
        <w:rPr>
          <w:rFonts w:cs="Arial"/>
        </w:rPr>
        <w:t xml:space="preserve">licitó una </w:t>
      </w:r>
      <w:r w:rsidRPr="00DF7BDD">
        <w:rPr>
          <w:rFonts w:cs="Arial"/>
        </w:rPr>
        <w:t xml:space="preserve">prórroga </w:t>
      </w:r>
      <w:r w:rsidR="00A5476B">
        <w:rPr>
          <w:rFonts w:cs="Arial"/>
        </w:rPr>
        <w:t>para la ejecución de la obra en junio de 2017 que fue conc</w:t>
      </w:r>
      <w:r w:rsidR="00A5476B">
        <w:rPr>
          <w:rFonts w:cs="Arial"/>
        </w:rPr>
        <w:t>e</w:t>
      </w:r>
      <w:r w:rsidR="00A5476B">
        <w:rPr>
          <w:rFonts w:cs="Arial"/>
        </w:rPr>
        <w:t xml:space="preserve">dida. </w:t>
      </w:r>
    </w:p>
    <w:p w:rsidR="00784E54" w:rsidRPr="00784E54" w:rsidRDefault="00427F34" w:rsidP="00DF7BDD">
      <w:pPr>
        <w:pStyle w:val="texto"/>
        <w:spacing w:after="240"/>
        <w:rPr>
          <w:lang w:val="es-ES"/>
        </w:rPr>
      </w:pPr>
      <w:r>
        <w:rPr>
          <w:lang w:val="es-ES"/>
        </w:rPr>
        <w:t>H</w:t>
      </w:r>
      <w:r w:rsidR="00784E54" w:rsidRPr="00784E54">
        <w:rPr>
          <w:lang w:val="es-ES"/>
        </w:rPr>
        <w:t>emos revisado los siguientes expedientes de adjudicación de inversiones tanto del Gobierno de Navarra como de una de sus empresas públicas:</w:t>
      </w:r>
    </w:p>
    <w:tbl>
      <w:tblPr>
        <w:tblW w:w="1016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2"/>
        <w:gridCol w:w="731"/>
        <w:gridCol w:w="1520"/>
        <w:gridCol w:w="1315"/>
        <w:gridCol w:w="992"/>
        <w:gridCol w:w="1276"/>
        <w:gridCol w:w="1275"/>
      </w:tblGrid>
      <w:tr w:rsidR="00784E54" w:rsidRPr="00784E54" w:rsidTr="000E6665">
        <w:trPr>
          <w:trHeight w:val="198"/>
          <w:jc w:val="center"/>
        </w:trPr>
        <w:tc>
          <w:tcPr>
            <w:tcW w:w="305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84E54">
              <w:rPr>
                <w:rFonts w:ascii="Arial" w:hAnsi="Arial"/>
                <w:spacing w:val="6"/>
                <w:sz w:val="16"/>
                <w:szCs w:val="16"/>
              </w:rPr>
              <w:t>Objeto</w:t>
            </w:r>
          </w:p>
        </w:tc>
        <w:tc>
          <w:tcPr>
            <w:tcW w:w="731"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left="-382" w:right="100" w:firstLine="0"/>
              <w:jc w:val="right"/>
              <w:rPr>
                <w:rFonts w:ascii="Arial" w:hAnsi="Arial"/>
                <w:spacing w:val="6"/>
                <w:sz w:val="16"/>
                <w:szCs w:val="16"/>
              </w:rPr>
            </w:pPr>
            <w:r w:rsidRPr="00784E54">
              <w:rPr>
                <w:rFonts w:ascii="Arial" w:hAnsi="Arial"/>
                <w:spacing w:val="6"/>
                <w:sz w:val="16"/>
                <w:szCs w:val="16"/>
              </w:rPr>
              <w:t>Tipo</w:t>
            </w:r>
          </w:p>
        </w:tc>
        <w:tc>
          <w:tcPr>
            <w:tcW w:w="1520"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left="124" w:right="-132" w:firstLine="0"/>
              <w:jc w:val="left"/>
              <w:rPr>
                <w:rFonts w:ascii="Arial" w:hAnsi="Arial"/>
                <w:spacing w:val="6"/>
                <w:sz w:val="16"/>
                <w:szCs w:val="16"/>
              </w:rPr>
            </w:pPr>
            <w:r w:rsidRPr="00784E54">
              <w:rPr>
                <w:rFonts w:ascii="Arial" w:hAnsi="Arial"/>
                <w:spacing w:val="6"/>
                <w:sz w:val="16"/>
                <w:szCs w:val="16"/>
              </w:rPr>
              <w:t>Procedimiento</w:t>
            </w:r>
          </w:p>
        </w:tc>
        <w:tc>
          <w:tcPr>
            <w:tcW w:w="1315"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Criterio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adjudicación</w:t>
            </w:r>
          </w:p>
        </w:tc>
        <w:tc>
          <w:tcPr>
            <w:tcW w:w="992"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Precio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licitación </w:t>
            </w:r>
          </w:p>
        </w:tc>
        <w:tc>
          <w:tcPr>
            <w:tcW w:w="1276" w:type="dxa"/>
            <w:tcBorders>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Importe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adjudicación </w:t>
            </w:r>
          </w:p>
        </w:tc>
        <w:tc>
          <w:tcPr>
            <w:tcW w:w="1275" w:type="dxa"/>
            <w:tcBorders>
              <w:bottom w:val="single" w:sz="4" w:space="0" w:color="auto"/>
            </w:tcBorders>
            <w:shd w:val="clear" w:color="auto" w:fill="8DB3E2" w:themeFill="text2" w:themeFillTint="66"/>
            <w:vAlign w:val="center"/>
          </w:tcPr>
          <w:p w:rsidR="00784E54" w:rsidRPr="00784E54" w:rsidRDefault="00E042B5"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b</w:t>
            </w:r>
            <w:r w:rsidR="00784E54" w:rsidRPr="00784E54">
              <w:rPr>
                <w:rFonts w:ascii="Arial" w:hAnsi="Arial"/>
                <w:spacing w:val="6"/>
                <w:sz w:val="16"/>
                <w:szCs w:val="16"/>
              </w:rPr>
              <w:t>aja</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 adjudicación </w:t>
            </w:r>
          </w:p>
        </w:tc>
      </w:tr>
      <w:tr w:rsidR="00784E54" w:rsidRPr="004F6517" w:rsidTr="000E6665">
        <w:trPr>
          <w:trHeight w:val="198"/>
          <w:jc w:val="center"/>
        </w:trPr>
        <w:tc>
          <w:tcPr>
            <w:tcW w:w="3052"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F6517">
              <w:rPr>
                <w:rFonts w:ascii="Arial Narrow" w:hAnsi="Arial Narrow"/>
                <w:spacing w:val="6"/>
                <w:sz w:val="18"/>
                <w:szCs w:val="18"/>
              </w:rPr>
              <w:t>Construcción del nuevo C.P.E.I.P. en Buztintxuri</w:t>
            </w:r>
          </w:p>
        </w:tc>
        <w:tc>
          <w:tcPr>
            <w:tcW w:w="731"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Obras</w:t>
            </w:r>
          </w:p>
        </w:tc>
        <w:tc>
          <w:tcPr>
            <w:tcW w:w="1520"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sidRPr="004F6517">
              <w:rPr>
                <w:rFonts w:ascii="Arial Narrow" w:hAnsi="Arial Narrow"/>
                <w:spacing w:val="6"/>
                <w:sz w:val="18"/>
                <w:szCs w:val="18"/>
              </w:rPr>
              <w:t xml:space="preserve">Abierto </w:t>
            </w:r>
          </w:p>
        </w:tc>
        <w:tc>
          <w:tcPr>
            <w:tcW w:w="1315"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Oferta más ventajosa</w:t>
            </w:r>
          </w:p>
        </w:tc>
        <w:tc>
          <w:tcPr>
            <w:tcW w:w="992"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3.686.622</w:t>
            </w:r>
          </w:p>
        </w:tc>
        <w:tc>
          <w:tcPr>
            <w:tcW w:w="1276" w:type="dxa"/>
            <w:tcBorders>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3.178.123</w:t>
            </w:r>
          </w:p>
        </w:tc>
        <w:tc>
          <w:tcPr>
            <w:tcW w:w="1275" w:type="dxa"/>
            <w:tcBorders>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14</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F6517">
              <w:rPr>
                <w:rFonts w:ascii="Arial Narrow" w:hAnsi="Arial Narrow"/>
                <w:spacing w:val="6"/>
                <w:sz w:val="18"/>
                <w:szCs w:val="18"/>
              </w:rPr>
              <w:t>Construcción del nuevo I.E.S.O. en Castejón</w:t>
            </w:r>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Obras</w:t>
            </w:r>
          </w:p>
        </w:tc>
        <w:tc>
          <w:tcPr>
            <w:tcW w:w="1520"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sidRPr="004F6517">
              <w:rPr>
                <w:rFonts w:ascii="Arial Narrow" w:hAnsi="Arial Narrow"/>
                <w:spacing w:val="6"/>
                <w:sz w:val="18"/>
                <w:szCs w:val="18"/>
              </w:rPr>
              <w:t>Abierto</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Oferta más ventajosa</w:t>
            </w:r>
          </w:p>
        </w:tc>
        <w:tc>
          <w:tcPr>
            <w:tcW w:w="99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2.712.617</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2.099.039</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23</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F6517">
              <w:rPr>
                <w:rFonts w:ascii="Arial Narrow" w:hAnsi="Arial Narrow"/>
                <w:spacing w:val="6"/>
                <w:sz w:val="18"/>
                <w:szCs w:val="18"/>
              </w:rPr>
              <w:t>Construcción de una EDAR para el tratamiento de aguas residuales de Liédena (adjudicado por NILSA)</w:t>
            </w:r>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Obras</w:t>
            </w:r>
          </w:p>
        </w:tc>
        <w:tc>
          <w:tcPr>
            <w:tcW w:w="1520"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sidRPr="004F6517">
              <w:rPr>
                <w:rFonts w:ascii="Arial Narrow" w:hAnsi="Arial Narrow"/>
                <w:spacing w:val="6"/>
                <w:sz w:val="18"/>
                <w:szCs w:val="18"/>
              </w:rPr>
              <w:t>Abierto</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Precio más bajo</w:t>
            </w:r>
          </w:p>
        </w:tc>
        <w:tc>
          <w:tcPr>
            <w:tcW w:w="992" w:type="dxa"/>
            <w:tcBorders>
              <w:top w:val="single" w:sz="2" w:space="0" w:color="auto"/>
              <w:bottom w:val="single" w:sz="2" w:space="0" w:color="auto"/>
            </w:tcBorders>
            <w:vAlign w:val="center"/>
          </w:tcPr>
          <w:p w:rsidR="00784E54" w:rsidRPr="004F6517" w:rsidRDefault="00373CC9"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827.642</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605.200</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2</w:t>
            </w:r>
            <w:r w:rsidR="00373CC9">
              <w:rPr>
                <w:rFonts w:ascii="Arial Narrow" w:hAnsi="Arial Narrow"/>
                <w:spacing w:val="6"/>
                <w:sz w:val="18"/>
                <w:szCs w:val="18"/>
              </w:rPr>
              <w:t>7</w:t>
            </w:r>
          </w:p>
        </w:tc>
      </w:tr>
      <w:tr w:rsidR="00784E54" w:rsidRPr="004F6517" w:rsidTr="000E6665">
        <w:trPr>
          <w:trHeight w:val="198"/>
          <w:jc w:val="center"/>
        </w:trPr>
        <w:tc>
          <w:tcPr>
            <w:tcW w:w="305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F6517">
              <w:rPr>
                <w:rFonts w:ascii="Arial Narrow" w:hAnsi="Arial Narrow"/>
                <w:spacing w:val="6"/>
                <w:sz w:val="18"/>
                <w:szCs w:val="18"/>
              </w:rPr>
              <w:t>Construcción de una nave de autom</w:t>
            </w:r>
            <w:r w:rsidRPr="004F6517">
              <w:rPr>
                <w:rFonts w:ascii="Arial Narrow" w:hAnsi="Arial Narrow"/>
                <w:spacing w:val="6"/>
                <w:sz w:val="18"/>
                <w:szCs w:val="18"/>
              </w:rPr>
              <w:t>o</w:t>
            </w:r>
            <w:r w:rsidRPr="004F6517">
              <w:rPr>
                <w:rFonts w:ascii="Arial Narrow" w:hAnsi="Arial Narrow"/>
                <w:spacing w:val="6"/>
                <w:sz w:val="18"/>
                <w:szCs w:val="18"/>
              </w:rPr>
              <w:t>ción en el I.E.S. de Huarte</w:t>
            </w:r>
          </w:p>
        </w:tc>
        <w:tc>
          <w:tcPr>
            <w:tcW w:w="731"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Obras</w:t>
            </w:r>
          </w:p>
        </w:tc>
        <w:tc>
          <w:tcPr>
            <w:tcW w:w="1520" w:type="dxa"/>
            <w:tcBorders>
              <w:top w:val="single" w:sz="2" w:space="0" w:color="auto"/>
              <w:bottom w:val="single" w:sz="2" w:space="0" w:color="auto"/>
            </w:tcBorders>
            <w:vAlign w:val="center"/>
          </w:tcPr>
          <w:p w:rsidR="00784E54" w:rsidRPr="004F6517" w:rsidRDefault="00923441" w:rsidP="00923441">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Pr>
                <w:rFonts w:ascii="Arial Narrow" w:hAnsi="Arial Narrow"/>
                <w:spacing w:val="6"/>
                <w:sz w:val="18"/>
                <w:szCs w:val="18"/>
              </w:rPr>
              <w:t xml:space="preserve">Negociado sin </w:t>
            </w:r>
            <w:r w:rsidR="00784E54" w:rsidRPr="004F6517">
              <w:rPr>
                <w:rFonts w:ascii="Arial Narrow" w:hAnsi="Arial Narrow"/>
                <w:spacing w:val="6"/>
                <w:sz w:val="18"/>
                <w:szCs w:val="18"/>
              </w:rPr>
              <w:t>public</w:t>
            </w:r>
            <w:r>
              <w:rPr>
                <w:rFonts w:ascii="Arial Narrow" w:hAnsi="Arial Narrow"/>
                <w:spacing w:val="6"/>
                <w:sz w:val="18"/>
                <w:szCs w:val="18"/>
              </w:rPr>
              <w:t>.</w:t>
            </w:r>
            <w:r w:rsidR="00784E54" w:rsidRPr="004F6517">
              <w:rPr>
                <w:rFonts w:ascii="Arial Narrow" w:hAnsi="Arial Narrow"/>
                <w:spacing w:val="6"/>
                <w:sz w:val="18"/>
                <w:szCs w:val="18"/>
              </w:rPr>
              <w:t xml:space="preserve"> </w:t>
            </w:r>
            <w:r>
              <w:rPr>
                <w:rFonts w:ascii="Arial Narrow" w:hAnsi="Arial Narrow"/>
                <w:spacing w:val="6"/>
                <w:sz w:val="18"/>
                <w:szCs w:val="18"/>
              </w:rPr>
              <w:t>c</w:t>
            </w:r>
            <w:r w:rsidR="00784E54" w:rsidRPr="004F6517">
              <w:rPr>
                <w:rFonts w:ascii="Arial Narrow" w:hAnsi="Arial Narrow"/>
                <w:spacing w:val="6"/>
                <w:sz w:val="18"/>
                <w:szCs w:val="18"/>
              </w:rPr>
              <w:t>omunit</w:t>
            </w:r>
            <w:r>
              <w:rPr>
                <w:rFonts w:ascii="Arial Narrow" w:hAnsi="Arial Narrow"/>
                <w:spacing w:val="6"/>
                <w:sz w:val="18"/>
                <w:szCs w:val="18"/>
              </w:rPr>
              <w:t>.</w:t>
            </w:r>
          </w:p>
        </w:tc>
        <w:tc>
          <w:tcPr>
            <w:tcW w:w="1315"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Oferta más ventajosa</w:t>
            </w:r>
          </w:p>
        </w:tc>
        <w:tc>
          <w:tcPr>
            <w:tcW w:w="992"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488.450</w:t>
            </w:r>
          </w:p>
        </w:tc>
        <w:tc>
          <w:tcPr>
            <w:tcW w:w="1276" w:type="dxa"/>
            <w:tcBorders>
              <w:top w:val="single" w:sz="2" w:space="0" w:color="auto"/>
              <w:bottom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483.565</w:t>
            </w:r>
          </w:p>
        </w:tc>
        <w:tc>
          <w:tcPr>
            <w:tcW w:w="1275" w:type="dxa"/>
            <w:tcBorders>
              <w:top w:val="single" w:sz="2" w:space="0" w:color="auto"/>
              <w:bottom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1</w:t>
            </w:r>
          </w:p>
        </w:tc>
      </w:tr>
      <w:tr w:rsidR="00784E54" w:rsidRPr="004F6517" w:rsidTr="000E6665">
        <w:trPr>
          <w:trHeight w:val="198"/>
          <w:jc w:val="center"/>
        </w:trPr>
        <w:tc>
          <w:tcPr>
            <w:tcW w:w="3052"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4F6517">
              <w:rPr>
                <w:rFonts w:ascii="Arial Narrow" w:hAnsi="Arial Narrow"/>
                <w:spacing w:val="6"/>
                <w:sz w:val="18"/>
                <w:szCs w:val="18"/>
              </w:rPr>
              <w:t>Reforma de los aseos públicos del monasterio de Iranzu</w:t>
            </w:r>
          </w:p>
        </w:tc>
        <w:tc>
          <w:tcPr>
            <w:tcW w:w="731"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Obras</w:t>
            </w:r>
          </w:p>
        </w:tc>
        <w:tc>
          <w:tcPr>
            <w:tcW w:w="1520"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left="132" w:firstLine="0"/>
              <w:jc w:val="right"/>
              <w:rPr>
                <w:rFonts w:ascii="Arial Narrow" w:hAnsi="Arial Narrow"/>
                <w:spacing w:val="6"/>
                <w:sz w:val="18"/>
                <w:szCs w:val="18"/>
              </w:rPr>
            </w:pPr>
            <w:r w:rsidRPr="004F6517">
              <w:rPr>
                <w:rFonts w:ascii="Arial Narrow" w:hAnsi="Arial Narrow"/>
                <w:spacing w:val="6"/>
                <w:sz w:val="18"/>
                <w:szCs w:val="18"/>
              </w:rPr>
              <w:t>Neg</w:t>
            </w:r>
            <w:r w:rsidR="00923441">
              <w:rPr>
                <w:rFonts w:ascii="Arial Narrow" w:hAnsi="Arial Narrow"/>
                <w:spacing w:val="6"/>
                <w:sz w:val="18"/>
                <w:szCs w:val="18"/>
              </w:rPr>
              <w:t>ociado sin public.</w:t>
            </w:r>
            <w:r w:rsidRPr="004F6517">
              <w:rPr>
                <w:rFonts w:ascii="Arial Narrow" w:hAnsi="Arial Narrow"/>
                <w:spacing w:val="6"/>
                <w:sz w:val="18"/>
                <w:szCs w:val="18"/>
              </w:rPr>
              <w:t xml:space="preserve"> </w:t>
            </w:r>
            <w:r w:rsidR="00923441" w:rsidRPr="004F6517">
              <w:rPr>
                <w:rFonts w:ascii="Arial Narrow" w:hAnsi="Arial Narrow"/>
                <w:spacing w:val="6"/>
                <w:sz w:val="18"/>
                <w:szCs w:val="18"/>
              </w:rPr>
              <w:t>C</w:t>
            </w:r>
            <w:r w:rsidRPr="004F6517">
              <w:rPr>
                <w:rFonts w:ascii="Arial Narrow" w:hAnsi="Arial Narrow"/>
                <w:spacing w:val="6"/>
                <w:sz w:val="18"/>
                <w:szCs w:val="18"/>
              </w:rPr>
              <w:t>omunit</w:t>
            </w:r>
            <w:r w:rsidR="00923441">
              <w:rPr>
                <w:rFonts w:ascii="Arial Narrow" w:hAnsi="Arial Narrow"/>
                <w:spacing w:val="6"/>
                <w:sz w:val="18"/>
                <w:szCs w:val="18"/>
              </w:rPr>
              <w:t>.</w:t>
            </w:r>
          </w:p>
        </w:tc>
        <w:tc>
          <w:tcPr>
            <w:tcW w:w="1315"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Precio más bajo</w:t>
            </w:r>
          </w:p>
        </w:tc>
        <w:tc>
          <w:tcPr>
            <w:tcW w:w="992"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60.951</w:t>
            </w:r>
          </w:p>
        </w:tc>
        <w:tc>
          <w:tcPr>
            <w:tcW w:w="1276" w:type="dxa"/>
            <w:tcBorders>
              <w:top w:val="single" w:sz="2" w:space="0" w:color="auto"/>
            </w:tcBorders>
            <w:vAlign w:val="center"/>
          </w:tcPr>
          <w:p w:rsidR="00784E54" w:rsidRPr="004F6517"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56.623</w:t>
            </w:r>
          </w:p>
        </w:tc>
        <w:tc>
          <w:tcPr>
            <w:tcW w:w="1275" w:type="dxa"/>
            <w:tcBorders>
              <w:top w:val="single" w:sz="2" w:space="0" w:color="auto"/>
            </w:tcBorders>
            <w:vAlign w:val="center"/>
          </w:tcPr>
          <w:p w:rsidR="00784E54" w:rsidRPr="004F6517" w:rsidRDefault="00784E54" w:rsidP="00E042B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4F6517">
              <w:rPr>
                <w:rFonts w:ascii="Arial Narrow" w:hAnsi="Arial Narrow"/>
                <w:spacing w:val="6"/>
                <w:sz w:val="18"/>
                <w:szCs w:val="18"/>
              </w:rPr>
              <w:t>7</w:t>
            </w:r>
          </w:p>
        </w:tc>
      </w:tr>
    </w:tbl>
    <w:p w:rsidR="00784E54" w:rsidRPr="00784E54" w:rsidRDefault="00784E54" w:rsidP="00DF7BDD">
      <w:pPr>
        <w:pStyle w:val="texto"/>
        <w:spacing w:before="240"/>
        <w:rPr>
          <w:lang w:val="es-ES"/>
        </w:rPr>
      </w:pPr>
      <w:r w:rsidRPr="00784E54">
        <w:rPr>
          <w:lang w:val="es-ES"/>
        </w:rPr>
        <w:t>En general, los expedientes de contratación revisados se adjudicaron y ejec</w:t>
      </w:r>
      <w:r w:rsidRPr="00784E54">
        <w:rPr>
          <w:lang w:val="es-ES"/>
        </w:rPr>
        <w:t>u</w:t>
      </w:r>
      <w:r w:rsidRPr="00784E54">
        <w:rPr>
          <w:lang w:val="es-ES"/>
        </w:rPr>
        <w:t>taron conforme a la legislación contractual y los gastos derivados de los mi</w:t>
      </w:r>
      <w:r w:rsidRPr="00784E54">
        <w:rPr>
          <w:lang w:val="es-ES"/>
        </w:rPr>
        <w:t>s</w:t>
      </w:r>
      <w:r w:rsidRPr="00784E54">
        <w:rPr>
          <w:lang w:val="es-ES"/>
        </w:rPr>
        <w:t>mos están aprobados, fiscalizados, justificados y correctamente contabilizados. De su análisis destacamos los siguientes puntos:</w:t>
      </w:r>
    </w:p>
    <w:p w:rsidR="00784E54" w:rsidRP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 xml:space="preserve">En el caso de Buztintxuri y Castejón, la </w:t>
      </w:r>
      <w:r w:rsidRPr="00211B29">
        <w:rPr>
          <w:rFonts w:cs="Arial"/>
        </w:rPr>
        <w:t>garantía</w:t>
      </w:r>
      <w:r w:rsidR="00211B29">
        <w:rPr>
          <w:rFonts w:cs="Arial"/>
        </w:rPr>
        <w:t>, que alcanzaba los 127.125 y 83.962 euros respectivamente,</w:t>
      </w:r>
      <w:r w:rsidRPr="00211B29">
        <w:rPr>
          <w:rFonts w:cs="Arial"/>
        </w:rPr>
        <w:t xml:space="preserve"> </w:t>
      </w:r>
      <w:r w:rsidRPr="00784E54">
        <w:rPr>
          <w:rFonts w:cs="Arial"/>
        </w:rPr>
        <w:t>fue depositada por la empresa post</w:t>
      </w:r>
      <w:r w:rsidRPr="00784E54">
        <w:rPr>
          <w:rFonts w:cs="Arial"/>
        </w:rPr>
        <w:t>e</w:t>
      </w:r>
      <w:r w:rsidRPr="00784E54">
        <w:rPr>
          <w:rFonts w:cs="Arial"/>
        </w:rPr>
        <w:t>riormente al acta de comprobación del replanteo y al inicio de las obras.</w:t>
      </w:r>
    </w:p>
    <w:p w:rsidR="00A5476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lastRenderedPageBreak/>
        <w:t xml:space="preserve">En la inversión en Huarte, el adjudicatario inicial renunció al contrato y se le impuso una sanción de 488.450 euros </w:t>
      </w:r>
      <w:r w:rsidR="001F3380">
        <w:rPr>
          <w:rFonts w:cs="Arial"/>
        </w:rPr>
        <w:t>sin realizarse</w:t>
      </w:r>
      <w:r w:rsidRPr="00784E54">
        <w:rPr>
          <w:rFonts w:cs="Arial"/>
        </w:rPr>
        <w:t xml:space="preserve"> los trámites oportunos para reclamarla</w:t>
      </w:r>
      <w:r w:rsidR="001F3380">
        <w:rPr>
          <w:rFonts w:cs="Arial"/>
        </w:rPr>
        <w:t xml:space="preserve"> (</w:t>
      </w:r>
      <w:r w:rsidRPr="00784E54">
        <w:rPr>
          <w:rFonts w:cs="Arial"/>
        </w:rPr>
        <w:t xml:space="preserve">a la fecha de redacción de este informe, </w:t>
      </w:r>
      <w:r w:rsidR="001F3380">
        <w:rPr>
          <w:rFonts w:cs="Arial"/>
        </w:rPr>
        <w:t xml:space="preserve">estos trámites </w:t>
      </w:r>
      <w:r w:rsidRPr="00784E54">
        <w:rPr>
          <w:rFonts w:cs="Arial"/>
        </w:rPr>
        <w:t>ya se han iniciado</w:t>
      </w:r>
      <w:r w:rsidR="001F3380">
        <w:rPr>
          <w:rFonts w:cs="Arial"/>
        </w:rPr>
        <w:t>)</w:t>
      </w:r>
      <w:r w:rsidRPr="00784E54">
        <w:rPr>
          <w:rFonts w:cs="Arial"/>
        </w:rPr>
        <w:t xml:space="preserve">; los dos licitadores siguientes no aceptaron el contrato, y el que </w:t>
      </w:r>
      <w:r w:rsidR="00A5476B">
        <w:rPr>
          <w:rFonts w:cs="Arial"/>
        </w:rPr>
        <w:t>había quedado en cuarta posición e</w:t>
      </w:r>
      <w:r w:rsidRPr="00784E54">
        <w:rPr>
          <w:rFonts w:cs="Arial"/>
        </w:rPr>
        <w:t>n el proceso de adjudicación es el que c</w:t>
      </w:r>
      <w:r w:rsidRPr="00784E54">
        <w:rPr>
          <w:rFonts w:cs="Arial"/>
        </w:rPr>
        <w:t>o</w:t>
      </w:r>
      <w:r w:rsidR="00A5476B">
        <w:rPr>
          <w:rFonts w:cs="Arial"/>
        </w:rPr>
        <w:t>menzó</w:t>
      </w:r>
      <w:r w:rsidRPr="00784E54">
        <w:rPr>
          <w:rFonts w:cs="Arial"/>
        </w:rPr>
        <w:t xml:space="preserve"> la obra finalmente. </w:t>
      </w:r>
    </w:p>
    <w:p w:rsidR="00784E54" w:rsidRPr="00EB03F8" w:rsidRDefault="00A5476B" w:rsidP="00EB03F8">
      <w:pPr>
        <w:pStyle w:val="texto"/>
      </w:pPr>
      <w:r w:rsidRPr="00EB03F8">
        <w:tab/>
      </w:r>
      <w:r w:rsidR="00784E54" w:rsidRPr="00EB03F8">
        <w:t>Este proveedor posteriormente entró en concurso de acreedores, y también renunció al contrato, quedando pendiente de liquidar la parte efectivamente re</w:t>
      </w:r>
      <w:r w:rsidR="00784E54" w:rsidRPr="00EB03F8">
        <w:t>a</w:t>
      </w:r>
      <w:r w:rsidR="00784E54" w:rsidRPr="00EB03F8">
        <w:t>lizada y la sanción por renuncia a la obra; según nos indican, esta liquidación se hará efectiva cuando finalice</w:t>
      </w:r>
      <w:r w:rsidRPr="00EB03F8">
        <w:t xml:space="preserve"> </w:t>
      </w:r>
      <w:r w:rsidR="00784E54" w:rsidRPr="00EB03F8">
        <w:t xml:space="preserve">la obra. </w:t>
      </w:r>
    </w:p>
    <w:p w:rsidR="00784E54" w:rsidRPr="00EB03F8" w:rsidRDefault="00A5476B" w:rsidP="00EB03F8">
      <w:pPr>
        <w:pStyle w:val="texto"/>
      </w:pPr>
      <w:r w:rsidRPr="00EB03F8">
        <w:t>Destacamos como hecho relevante posterior al cierre del ejercicio que e</w:t>
      </w:r>
      <w:r w:rsidR="00784E54" w:rsidRPr="00EB03F8">
        <w:t>l contrato fue adjudicado nuevamente en junio de 2017, sin que haya sido pos</w:t>
      </w:r>
      <w:r w:rsidR="00784E54" w:rsidRPr="00EB03F8">
        <w:t>i</w:t>
      </w:r>
      <w:r w:rsidR="00784E54" w:rsidRPr="00EB03F8">
        <w:t>ble que el centro comience a funcionar, tal y como estaba previsto, para el cu</w:t>
      </w:r>
      <w:r w:rsidR="00784E54" w:rsidRPr="00EB03F8">
        <w:t>r</w:t>
      </w:r>
      <w:r w:rsidR="00784E54" w:rsidRPr="00EB03F8">
        <w:t>so 2017-2018.</w:t>
      </w:r>
    </w:p>
    <w:p w:rsidR="00784E54" w:rsidRPr="00784E54" w:rsidRDefault="00784E54" w:rsidP="00DF7BDD">
      <w:pPr>
        <w:pStyle w:val="texto"/>
        <w:rPr>
          <w:lang w:val="es-ES"/>
        </w:rPr>
      </w:pPr>
      <w:bookmarkStart w:id="73" w:name="tm_385745019"/>
      <w:bookmarkEnd w:id="73"/>
      <w:r w:rsidRPr="00784E54">
        <w:rPr>
          <w:lang w:val="es-ES"/>
        </w:rPr>
        <w:t xml:space="preserve">Recomendamos: </w:t>
      </w:r>
    </w:p>
    <w:p w:rsidR="00373CC9" w:rsidRPr="00DF7BDD" w:rsidRDefault="00373C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DF7BDD">
        <w:rPr>
          <w:rFonts w:cs="Arial"/>
          <w:i/>
        </w:rPr>
        <w:t>Revisar el contenido del Plan Director de Carreteras y modificarlo ate</w:t>
      </w:r>
      <w:r w:rsidRPr="00DF7BDD">
        <w:rPr>
          <w:rFonts w:cs="Arial"/>
          <w:i/>
        </w:rPr>
        <w:t>n</w:t>
      </w:r>
      <w:r w:rsidRPr="00DF7BDD">
        <w:rPr>
          <w:rFonts w:cs="Arial"/>
          <w:i/>
        </w:rPr>
        <w:t>diendo a la realidad de lo que se pretenda realizar.</w:t>
      </w:r>
    </w:p>
    <w:p w:rsidR="00784E54" w:rsidRPr="00DF7BDD" w:rsidRDefault="001D647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Cumplir, en todos los casos, </w:t>
      </w:r>
      <w:r w:rsidR="00784E54" w:rsidRPr="00DF7BDD">
        <w:rPr>
          <w:rFonts w:cs="Arial"/>
          <w:i/>
        </w:rPr>
        <w:t>con los plazos de pago a proveedores establ</w:t>
      </w:r>
      <w:r w:rsidR="00784E54" w:rsidRPr="00DF7BDD">
        <w:rPr>
          <w:rFonts w:cs="Arial"/>
          <w:i/>
        </w:rPr>
        <w:t>e</w:t>
      </w:r>
      <w:r w:rsidR="00784E54" w:rsidRPr="00DF7BDD">
        <w:rPr>
          <w:rFonts w:cs="Arial"/>
          <w:i/>
        </w:rPr>
        <w:t>cidos en la normativa.</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DF7BDD">
        <w:rPr>
          <w:rFonts w:cs="Arial"/>
          <w:i/>
        </w:rPr>
        <w:t xml:space="preserve">Tan pronto como se conozca la situación, llevar a cabo las actuaciones oportunas para tramitar la liquidación de las sanciones impuestas. </w:t>
      </w:r>
    </w:p>
    <w:p w:rsidR="00784E54" w:rsidRPr="00DF7BDD" w:rsidRDefault="00373CC9"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E</w:t>
      </w:r>
      <w:r w:rsidR="00784E54" w:rsidRPr="00DF7BDD">
        <w:rPr>
          <w:rFonts w:cs="Arial"/>
          <w:i/>
        </w:rPr>
        <w:t>xigir el depósito de la garantía de forma previo al acta de comprobación del replanteo y comienzo de los trabajos.</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DF7BDD">
        <w:rPr>
          <w:rFonts w:cs="Arial"/>
          <w:i/>
        </w:rPr>
        <w:t>Definir una política de amortizaciones y de deterioros para reflejar la d</w:t>
      </w:r>
      <w:r w:rsidRPr="00DF7BDD">
        <w:rPr>
          <w:rFonts w:cs="Arial"/>
          <w:i/>
        </w:rPr>
        <w:t>e</w:t>
      </w:r>
      <w:r w:rsidRPr="00DF7BDD">
        <w:rPr>
          <w:rFonts w:cs="Arial"/>
          <w:i/>
        </w:rPr>
        <w:t>preciación de los elementos del inmovilizado no financiero y dotar anualmente la amortización que corresponda.</w:t>
      </w:r>
    </w:p>
    <w:p w:rsid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DF7BDD">
        <w:rPr>
          <w:rFonts w:cs="Arial"/>
          <w:i/>
        </w:rPr>
        <w:t>Aplicar los criterios contables incluidos en el Plan General de Contabil</w:t>
      </w:r>
      <w:r w:rsidRPr="00DF7BDD">
        <w:rPr>
          <w:rFonts w:cs="Arial"/>
          <w:i/>
        </w:rPr>
        <w:t>i</w:t>
      </w:r>
      <w:r w:rsidRPr="00DF7BDD">
        <w:rPr>
          <w:rFonts w:cs="Arial"/>
          <w:i/>
        </w:rPr>
        <w:t>dad Pública en toda su extensión a las operaciones de inmovilizado (cesiones, adscripciones, inversiones en infraestructuras, etc.)</w:t>
      </w:r>
      <w:r w:rsidR="00E042B5">
        <w:rPr>
          <w:rFonts w:cs="Arial"/>
          <w:i/>
        </w:rPr>
        <w:t>.</w:t>
      </w:r>
    </w:p>
    <w:p w:rsidR="00784E54" w:rsidRPr="00DF7BDD" w:rsidRDefault="00784E54" w:rsidP="00DF7BDD">
      <w:pPr>
        <w:pStyle w:val="atitulo2"/>
        <w:spacing w:before="240"/>
        <w:rPr>
          <w:bCs w:val="0"/>
          <w:iCs w:val="0"/>
        </w:rPr>
      </w:pPr>
      <w:bookmarkStart w:id="74" w:name="_Toc494270390"/>
      <w:bookmarkStart w:id="75" w:name="_Toc498515799"/>
      <w:r w:rsidRPr="00DF7BDD">
        <w:rPr>
          <w:bCs w:val="0"/>
          <w:iCs w:val="0"/>
        </w:rPr>
        <w:t>I</w:t>
      </w:r>
      <w:r w:rsidR="00EE34CE">
        <w:rPr>
          <w:bCs w:val="0"/>
          <w:iCs w:val="0"/>
        </w:rPr>
        <w:t>V.</w:t>
      </w:r>
      <w:r w:rsidR="005C0FDA">
        <w:rPr>
          <w:bCs w:val="0"/>
          <w:iCs w:val="0"/>
        </w:rPr>
        <w:t>10</w:t>
      </w:r>
      <w:r w:rsidRPr="00DF7BDD">
        <w:rPr>
          <w:bCs w:val="0"/>
          <w:iCs w:val="0"/>
        </w:rPr>
        <w:t>. Impuestos, tasas, precios públicos y otros ingresos</w:t>
      </w:r>
      <w:bookmarkEnd w:id="74"/>
      <w:bookmarkEnd w:id="75"/>
      <w:r w:rsidRPr="00DF7BDD">
        <w:rPr>
          <w:bCs w:val="0"/>
          <w:iCs w:val="0"/>
        </w:rPr>
        <w:t xml:space="preserve"> </w:t>
      </w:r>
    </w:p>
    <w:p w:rsidR="00784E54" w:rsidRPr="00DF7BDD" w:rsidRDefault="00784E54" w:rsidP="00DF7BDD">
      <w:pPr>
        <w:spacing w:before="240" w:after="240"/>
        <w:ind w:firstLine="284"/>
        <w:rPr>
          <w:rFonts w:ascii="Arial" w:hAnsi="Arial"/>
          <w:i/>
          <w:iCs/>
          <w:color w:val="000000"/>
          <w:spacing w:val="10"/>
          <w:kern w:val="28"/>
          <w:sz w:val="25"/>
          <w:szCs w:val="26"/>
          <w:lang w:val="es-ES"/>
        </w:rPr>
      </w:pPr>
      <w:r w:rsidRPr="00DF7BDD">
        <w:rPr>
          <w:rFonts w:ascii="Arial" w:hAnsi="Arial"/>
          <w:i/>
          <w:iCs/>
          <w:color w:val="000000"/>
          <w:spacing w:val="10"/>
          <w:kern w:val="28"/>
          <w:sz w:val="25"/>
          <w:szCs w:val="26"/>
          <w:lang w:val="es-ES"/>
        </w:rPr>
        <w:t>Impuestos</w:t>
      </w:r>
    </w:p>
    <w:p w:rsidR="00784E54" w:rsidRPr="00784E54" w:rsidRDefault="00784E54" w:rsidP="00DF7BDD">
      <w:pPr>
        <w:pStyle w:val="texto"/>
        <w:rPr>
          <w:lang w:val="es-ES"/>
        </w:rPr>
      </w:pPr>
      <w:r w:rsidRPr="00784E54">
        <w:rPr>
          <w:lang w:val="es-ES"/>
        </w:rPr>
        <w:t>Los derechos reconocidos netos por impuestos en el ejercicio 2016 ascendi</w:t>
      </w:r>
      <w:r w:rsidRPr="00784E54">
        <w:rPr>
          <w:lang w:val="es-ES"/>
        </w:rPr>
        <w:t>e</w:t>
      </w:r>
      <w:r w:rsidRPr="00784E54">
        <w:rPr>
          <w:lang w:val="es-ES"/>
        </w:rPr>
        <w:t>ron a 3.206,88 millones de euros, un tres por ciento más que en 2015 (97 m</w:t>
      </w:r>
      <w:r w:rsidRPr="00784E54">
        <w:rPr>
          <w:lang w:val="es-ES"/>
        </w:rPr>
        <w:t>i</w:t>
      </w:r>
      <w:r w:rsidRPr="00784E54">
        <w:rPr>
          <w:lang w:val="es-ES"/>
        </w:rPr>
        <w:t xml:space="preserve">llones), y suponen el 79 por ciento del total de derechos. </w:t>
      </w:r>
    </w:p>
    <w:p w:rsidR="001D647F" w:rsidRDefault="001D647F">
      <w:pPr>
        <w:spacing w:after="0"/>
        <w:ind w:firstLine="0"/>
        <w:jc w:val="left"/>
        <w:rPr>
          <w:spacing w:val="6"/>
          <w:sz w:val="26"/>
          <w:szCs w:val="24"/>
          <w:lang w:val="es-ES"/>
        </w:rPr>
      </w:pPr>
      <w:r>
        <w:rPr>
          <w:lang w:val="es-ES"/>
        </w:rPr>
        <w:br w:type="page"/>
      </w:r>
    </w:p>
    <w:p w:rsidR="00784E54" w:rsidRDefault="00784E54" w:rsidP="00DF7BDD">
      <w:pPr>
        <w:pStyle w:val="texto"/>
        <w:spacing w:after="240"/>
        <w:rPr>
          <w:lang w:val="es-ES"/>
        </w:rPr>
      </w:pPr>
      <w:r w:rsidRPr="00784E54">
        <w:rPr>
          <w:lang w:val="es-ES"/>
        </w:rPr>
        <w:lastRenderedPageBreak/>
        <w:t>A continuación mostramos los derechos reconocidos en el 2016 y su comp</w:t>
      </w:r>
      <w:r w:rsidRPr="00784E54">
        <w:rPr>
          <w:lang w:val="es-ES"/>
        </w:rPr>
        <w:t>a</w:t>
      </w:r>
      <w:r w:rsidRPr="00784E54">
        <w:rPr>
          <w:lang w:val="es-ES"/>
        </w:rPr>
        <w:t>ración con los del ejercicio anterior para las distintas figuras impositivas:</w:t>
      </w:r>
    </w:p>
    <w:tbl>
      <w:tblPr>
        <w:tblW w:w="888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9"/>
        <w:gridCol w:w="995"/>
        <w:gridCol w:w="1123"/>
        <w:gridCol w:w="995"/>
        <w:gridCol w:w="995"/>
        <w:gridCol w:w="842"/>
        <w:gridCol w:w="515"/>
      </w:tblGrid>
      <w:tr w:rsidR="00BD108F" w:rsidRPr="009E2A2F" w:rsidTr="00BD108F">
        <w:trPr>
          <w:trHeight w:val="255"/>
          <w:jc w:val="center"/>
        </w:trPr>
        <w:tc>
          <w:tcPr>
            <w:tcW w:w="8884" w:type="dxa"/>
            <w:gridSpan w:val="7"/>
            <w:tcBorders>
              <w:top w:val="nil"/>
            </w:tcBorders>
            <w:shd w:val="clear" w:color="auto" w:fill="auto"/>
            <w:vAlign w:val="center"/>
          </w:tcPr>
          <w:p w:rsidR="00BD108F"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(en miles de euros)</w:t>
            </w:r>
          </w:p>
        </w:tc>
      </w:tr>
      <w:tr w:rsidR="009E2A2F" w:rsidRPr="009E2A2F" w:rsidTr="007C550A">
        <w:trPr>
          <w:trHeight w:val="255"/>
          <w:jc w:val="center"/>
        </w:trPr>
        <w:tc>
          <w:tcPr>
            <w:tcW w:w="3419" w:type="dxa"/>
            <w:vMerge w:val="restart"/>
            <w:shd w:val="clear" w:color="auto" w:fill="8DB3E2" w:themeFill="text2" w:themeFillTint="66"/>
            <w:vAlign w:val="center"/>
          </w:tcPr>
          <w:p w:rsidR="009E2A2F" w:rsidRPr="009E2A2F" w:rsidRDefault="009E2A2F" w:rsidP="009E2A2F">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9E2A2F">
              <w:rPr>
                <w:rFonts w:ascii="Arial" w:hAnsi="Arial" w:cs="Arial"/>
                <w:spacing w:val="6"/>
                <w:sz w:val="16"/>
                <w:szCs w:val="16"/>
              </w:rPr>
              <w:t>Impuestos</w:t>
            </w:r>
          </w:p>
        </w:tc>
        <w:tc>
          <w:tcPr>
            <w:tcW w:w="2118" w:type="dxa"/>
            <w:gridSpan w:val="2"/>
            <w:tcBorders>
              <w:bottom w:val="nil"/>
            </w:tcBorders>
            <w:shd w:val="clear" w:color="auto" w:fill="8DB3E2" w:themeFill="text2" w:themeFillTint="66"/>
            <w:vAlign w:val="center"/>
          </w:tcPr>
          <w:p w:rsidR="009E2A2F" w:rsidRPr="009E2A2F" w:rsidRDefault="009E2A2F" w:rsidP="007C550A">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sidRPr="009E2A2F">
              <w:rPr>
                <w:rFonts w:ascii="Arial" w:hAnsi="Arial" w:cs="Arial"/>
                <w:spacing w:val="6"/>
                <w:sz w:val="16"/>
                <w:szCs w:val="16"/>
              </w:rPr>
              <w:t>Derechos</w:t>
            </w:r>
          </w:p>
          <w:p w:rsidR="009E2A2F" w:rsidRPr="009E2A2F" w:rsidRDefault="009E2A2F" w:rsidP="007C550A">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sidRPr="009E2A2F">
              <w:rPr>
                <w:rFonts w:ascii="Arial" w:hAnsi="Arial" w:cs="Arial"/>
                <w:spacing w:val="6"/>
                <w:sz w:val="16"/>
                <w:szCs w:val="16"/>
              </w:rPr>
              <w:t>Reconocidos Netos</w:t>
            </w:r>
          </w:p>
        </w:tc>
        <w:tc>
          <w:tcPr>
            <w:tcW w:w="1990" w:type="dxa"/>
            <w:gridSpan w:val="2"/>
            <w:tcBorders>
              <w:bottom w:val="nil"/>
            </w:tcBorders>
            <w:shd w:val="clear" w:color="auto" w:fill="8DB3E2" w:themeFill="text2" w:themeFillTint="66"/>
            <w:vAlign w:val="center"/>
          </w:tcPr>
          <w:p w:rsidR="00E042B5" w:rsidRDefault="009E2A2F" w:rsidP="007C550A">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sidRPr="009E2A2F">
              <w:rPr>
                <w:rFonts w:ascii="Arial" w:hAnsi="Arial" w:cs="Arial"/>
                <w:spacing w:val="6"/>
                <w:sz w:val="16"/>
                <w:szCs w:val="16"/>
              </w:rPr>
              <w:t>Recaudación</w:t>
            </w:r>
          </w:p>
          <w:p w:rsidR="009E2A2F" w:rsidRPr="009E2A2F" w:rsidRDefault="009E2A2F" w:rsidP="007C550A">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sidRPr="009E2A2F">
              <w:rPr>
                <w:rFonts w:ascii="Arial" w:hAnsi="Arial" w:cs="Arial"/>
                <w:spacing w:val="6"/>
                <w:sz w:val="16"/>
                <w:szCs w:val="16"/>
              </w:rPr>
              <w:t>Neta</w:t>
            </w:r>
          </w:p>
        </w:tc>
        <w:tc>
          <w:tcPr>
            <w:tcW w:w="1357" w:type="dxa"/>
            <w:gridSpan w:val="2"/>
            <w:tcBorders>
              <w:bottom w:val="nil"/>
            </w:tcBorders>
            <w:shd w:val="clear" w:color="auto" w:fill="8DB3E2" w:themeFill="text2" w:themeFillTint="66"/>
            <w:vAlign w:val="center"/>
          </w:tcPr>
          <w:p w:rsidR="009E2A2F" w:rsidRPr="009E2A2F" w:rsidRDefault="00E042B5" w:rsidP="00E042B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 v</w:t>
            </w:r>
            <w:r w:rsidR="009E2A2F" w:rsidRPr="009E2A2F">
              <w:rPr>
                <w:rFonts w:ascii="Arial" w:hAnsi="Arial" w:cs="Arial"/>
                <w:spacing w:val="6"/>
                <w:sz w:val="16"/>
                <w:szCs w:val="16"/>
              </w:rPr>
              <w:t>ariación 2016/2015</w:t>
            </w:r>
          </w:p>
        </w:tc>
      </w:tr>
      <w:tr w:rsidR="009E2A2F" w:rsidRPr="009E2A2F" w:rsidTr="007C550A">
        <w:trPr>
          <w:trHeight w:val="255"/>
          <w:jc w:val="center"/>
        </w:trPr>
        <w:tc>
          <w:tcPr>
            <w:tcW w:w="3419" w:type="dxa"/>
            <w:vMerge/>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2015</w:t>
            </w:r>
          </w:p>
        </w:tc>
        <w:tc>
          <w:tcPr>
            <w:tcW w:w="1123"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2016</w:t>
            </w: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2015</w:t>
            </w:r>
          </w:p>
        </w:tc>
        <w:tc>
          <w:tcPr>
            <w:tcW w:w="99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2016</w:t>
            </w:r>
          </w:p>
        </w:tc>
        <w:tc>
          <w:tcPr>
            <w:tcW w:w="842" w:type="dxa"/>
            <w:tcBorders>
              <w:top w:val="nil"/>
            </w:tcBorders>
            <w:shd w:val="clear" w:color="auto" w:fill="8DB3E2" w:themeFill="text2" w:themeFillTint="66"/>
            <w:vAlign w:val="center"/>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DRN</w:t>
            </w:r>
          </w:p>
        </w:tc>
        <w:tc>
          <w:tcPr>
            <w:tcW w:w="515" w:type="dxa"/>
            <w:tcBorders>
              <w:top w:val="nil"/>
            </w:tcBorders>
            <w:shd w:val="clear" w:color="auto" w:fill="8DB3E2" w:themeFill="text2" w:themeFillTint="66"/>
            <w:vAlign w:val="center"/>
            <w:hideMark/>
          </w:tcPr>
          <w:p w:rsidR="009E2A2F" w:rsidRPr="009E2A2F" w:rsidRDefault="009E2A2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RN</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IRPF</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1.106.869</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1.180.097</w:t>
            </w:r>
          </w:p>
        </w:tc>
        <w:tc>
          <w:tcPr>
            <w:tcW w:w="995" w:type="dxa"/>
            <w:vAlign w:val="center"/>
            <w:hideMark/>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w:t>
            </w:r>
            <w:r w:rsidR="00FD1A1D">
              <w:rPr>
                <w:rFonts w:ascii="Arial Narrow" w:hAnsi="Arial Narrow" w:cs="Arial"/>
                <w:spacing w:val="6"/>
                <w:sz w:val="18"/>
                <w:szCs w:val="18"/>
              </w:rPr>
              <w:t>106.869</w:t>
            </w:r>
          </w:p>
        </w:tc>
        <w:tc>
          <w:tcPr>
            <w:tcW w:w="995" w:type="dxa"/>
            <w:vAlign w:val="center"/>
            <w:hideMark/>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w:t>
            </w:r>
            <w:r w:rsidR="00FD1A1D">
              <w:rPr>
                <w:rFonts w:ascii="Arial Narrow" w:hAnsi="Arial Narrow" w:cs="Arial"/>
                <w:spacing w:val="6"/>
                <w:sz w:val="18"/>
                <w:szCs w:val="18"/>
              </w:rPr>
              <w:t>168.323</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7</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6</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Sociedades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213.557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205.097</w:t>
            </w:r>
          </w:p>
        </w:tc>
        <w:tc>
          <w:tcPr>
            <w:tcW w:w="995" w:type="dxa"/>
            <w:vAlign w:val="center"/>
            <w:hideMark/>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211.420</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w:t>
            </w:r>
            <w:r w:rsidR="00FD1A1D">
              <w:rPr>
                <w:rFonts w:ascii="Arial Narrow" w:hAnsi="Arial Narrow" w:cs="Arial"/>
                <w:spacing w:val="6"/>
                <w:sz w:val="18"/>
                <w:szCs w:val="18"/>
              </w:rPr>
              <w:t>05.097</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Renta de no residentes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7.093</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6.444</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6.</w:t>
            </w:r>
            <w:r w:rsidR="00FD1A1D">
              <w:rPr>
                <w:rFonts w:ascii="Arial Narrow" w:hAnsi="Arial Narrow" w:cs="Arial"/>
                <w:spacing w:val="6"/>
                <w:sz w:val="18"/>
                <w:szCs w:val="18"/>
              </w:rPr>
              <w:t>593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6.3</w:t>
            </w:r>
            <w:r w:rsidR="00FD1A1D">
              <w:rPr>
                <w:rFonts w:ascii="Arial Narrow" w:hAnsi="Arial Narrow" w:cs="Arial"/>
                <w:spacing w:val="6"/>
                <w:sz w:val="18"/>
                <w:szCs w:val="18"/>
              </w:rPr>
              <w:t>84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-9</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r w:rsidR="00BD108F">
              <w:rPr>
                <w:rFonts w:ascii="Arial Narrow" w:hAnsi="Arial Narrow" w:cs="Arial"/>
                <w:spacing w:val="6"/>
                <w:sz w:val="18"/>
                <w:szCs w:val="18"/>
              </w:rPr>
              <w:t>3</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Patrimonio</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44.741</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31.845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w:t>
            </w:r>
            <w:r w:rsidR="00FD1A1D">
              <w:rPr>
                <w:rFonts w:ascii="Arial Narrow" w:hAnsi="Arial Narrow" w:cs="Arial"/>
                <w:spacing w:val="6"/>
                <w:sz w:val="18"/>
                <w:szCs w:val="18"/>
              </w:rPr>
              <w:t>4.741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w:t>
            </w:r>
            <w:r w:rsidR="00FD1A1D">
              <w:rPr>
                <w:rFonts w:ascii="Arial Narrow" w:hAnsi="Arial Narrow" w:cs="Arial"/>
                <w:spacing w:val="6"/>
                <w:sz w:val="18"/>
                <w:szCs w:val="18"/>
              </w:rPr>
              <w:t>0.490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-29</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Sucesiones y donaciones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58.087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43.051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5</w:t>
            </w:r>
            <w:r w:rsidR="00FD1A1D">
              <w:rPr>
                <w:rFonts w:ascii="Arial Narrow" w:hAnsi="Arial Narrow" w:cs="Arial"/>
                <w:spacing w:val="6"/>
                <w:sz w:val="18"/>
                <w:szCs w:val="18"/>
              </w:rPr>
              <w:t>5.623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w:t>
            </w:r>
            <w:r w:rsidR="00FD1A1D">
              <w:rPr>
                <w:rFonts w:ascii="Arial Narrow" w:hAnsi="Arial Narrow" w:cs="Arial"/>
                <w:spacing w:val="6"/>
                <w:sz w:val="18"/>
                <w:szCs w:val="18"/>
              </w:rPr>
              <w:t>3.051</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-26</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r w:rsidR="00BD108F">
              <w:rPr>
                <w:rFonts w:ascii="Arial Narrow" w:hAnsi="Arial Narrow" w:cs="Arial"/>
                <w:spacing w:val="6"/>
                <w:sz w:val="18"/>
                <w:szCs w:val="18"/>
              </w:rPr>
              <w:t>23</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Sobre depósitos bancarios</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4.594</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3.118</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2.892</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3.1</w:t>
            </w:r>
            <w:r w:rsidR="00FD1A1D">
              <w:rPr>
                <w:rFonts w:ascii="Arial Narrow" w:hAnsi="Arial Narrow" w:cs="Arial"/>
                <w:spacing w:val="6"/>
                <w:sz w:val="18"/>
                <w:szCs w:val="18"/>
              </w:rPr>
              <w:t>16</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-32</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8</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Sobre producción energía</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14.034</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22.119</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13.</w:t>
            </w:r>
            <w:r w:rsidR="00FD1A1D">
              <w:rPr>
                <w:rFonts w:ascii="Arial Narrow" w:hAnsi="Arial Narrow" w:cs="Arial"/>
                <w:spacing w:val="6"/>
                <w:sz w:val="18"/>
                <w:szCs w:val="18"/>
              </w:rPr>
              <w:t>453</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21.</w:t>
            </w:r>
            <w:r w:rsidR="00FD1A1D">
              <w:rPr>
                <w:rFonts w:ascii="Arial Narrow" w:hAnsi="Arial Narrow" w:cs="Arial"/>
                <w:spacing w:val="6"/>
                <w:sz w:val="18"/>
                <w:szCs w:val="18"/>
              </w:rPr>
              <w:t>794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58</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62</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Grandes establecimientos comerciales</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0</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3.302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w:t>
            </w:r>
            <w:r w:rsidR="00FD1A1D">
              <w:rPr>
                <w:rFonts w:ascii="Arial Narrow" w:hAnsi="Arial Narrow" w:cs="Arial"/>
                <w:spacing w:val="6"/>
                <w:sz w:val="18"/>
                <w:szCs w:val="18"/>
              </w:rPr>
              <w:t>113</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Premios loterías y apuestas</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18.777</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4.940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18.777</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4.9</w:t>
            </w:r>
            <w:r w:rsidR="00FD1A1D">
              <w:rPr>
                <w:rFonts w:ascii="Arial Narrow" w:hAnsi="Arial Narrow" w:cs="Arial"/>
                <w:spacing w:val="6"/>
                <w:sz w:val="18"/>
                <w:szCs w:val="18"/>
              </w:rPr>
              <w:t>40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-74</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-7</w:t>
            </w:r>
            <w:r w:rsidR="00BD108F">
              <w:rPr>
                <w:rFonts w:ascii="Arial Narrow" w:hAnsi="Arial Narrow" w:cs="Arial"/>
                <w:spacing w:val="6"/>
                <w:sz w:val="18"/>
                <w:szCs w:val="18"/>
              </w:rPr>
              <w:t>4</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Otros</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20</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0</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20</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p>
        </w:tc>
      </w:tr>
      <w:tr w:rsidR="00784E54" w:rsidRPr="009E2A2F" w:rsidTr="007C550A">
        <w:trPr>
          <w:trHeight w:val="255"/>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sidRPr="009E2A2F">
              <w:rPr>
                <w:rFonts w:ascii="Arial" w:hAnsi="Arial" w:cs="Arial"/>
                <w:b/>
                <w:spacing w:val="6"/>
                <w:sz w:val="16"/>
                <w:szCs w:val="16"/>
              </w:rPr>
              <w:t>1. Impuestos directos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fldChar w:fldCharType="begin"/>
            </w:r>
            <w:r w:rsidRPr="009E2A2F">
              <w:rPr>
                <w:rFonts w:ascii="Arial" w:hAnsi="Arial" w:cs="Arial"/>
                <w:b/>
                <w:spacing w:val="6"/>
                <w:sz w:val="16"/>
                <w:szCs w:val="16"/>
              </w:rPr>
              <w:instrText xml:space="preserve"> =SUM(ABOVE) </w:instrText>
            </w:r>
            <w:r w:rsidRPr="009E2A2F">
              <w:rPr>
                <w:rFonts w:ascii="Arial" w:hAnsi="Arial" w:cs="Arial"/>
                <w:b/>
                <w:spacing w:val="6"/>
                <w:sz w:val="16"/>
                <w:szCs w:val="16"/>
              </w:rPr>
              <w:fldChar w:fldCharType="separate"/>
            </w:r>
            <w:r w:rsidRPr="009E2A2F">
              <w:rPr>
                <w:rFonts w:ascii="Arial" w:hAnsi="Arial" w:cs="Arial"/>
                <w:b/>
                <w:spacing w:val="6"/>
                <w:sz w:val="16"/>
                <w:szCs w:val="16"/>
              </w:rPr>
              <w:t>1.467.772</w:t>
            </w:r>
            <w:r w:rsidRPr="009E2A2F">
              <w:rPr>
                <w:rFonts w:ascii="Arial" w:hAnsi="Arial" w:cs="Arial"/>
                <w:b/>
                <w:spacing w:val="6"/>
                <w:sz w:val="16"/>
                <w:szCs w:val="16"/>
              </w:rPr>
              <w:fldChar w:fldCharType="end"/>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1.500.013</w:t>
            </w:r>
            <w:r w:rsidRPr="009E2A2F">
              <w:rPr>
                <w:rFonts w:ascii="Arial" w:hAnsi="Arial" w:cs="Arial"/>
                <w:b/>
                <w:spacing w:val="6"/>
                <w:sz w:val="16"/>
                <w:szCs w:val="16"/>
              </w:rPr>
              <w:fldChar w:fldCharType="begin"/>
            </w:r>
            <w:r w:rsidRPr="009E2A2F">
              <w:rPr>
                <w:rFonts w:ascii="Arial" w:hAnsi="Arial" w:cs="Arial"/>
                <w:b/>
                <w:spacing w:val="6"/>
                <w:sz w:val="16"/>
                <w:szCs w:val="16"/>
              </w:rPr>
              <w:instrText xml:space="preserve"> =SUM(ABOVE) </w:instrText>
            </w:r>
            <w:r w:rsidRPr="009E2A2F">
              <w:rPr>
                <w:rFonts w:ascii="Arial" w:hAnsi="Arial" w:cs="Arial"/>
                <w:b/>
                <w:spacing w:val="6"/>
                <w:sz w:val="16"/>
                <w:szCs w:val="16"/>
              </w:rPr>
              <w:fldChar w:fldCharType="end"/>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w:t>
            </w:r>
            <w:r w:rsidR="00FD1A1D">
              <w:rPr>
                <w:rFonts w:ascii="Arial" w:hAnsi="Arial" w:cs="Arial"/>
                <w:b/>
                <w:spacing w:val="6"/>
                <w:sz w:val="16"/>
                <w:szCs w:val="16"/>
              </w:rPr>
              <w:t>460.388</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w:t>
            </w:r>
            <w:r w:rsidR="00FD1A1D">
              <w:rPr>
                <w:rFonts w:ascii="Arial" w:hAnsi="Arial" w:cs="Arial"/>
                <w:b/>
                <w:spacing w:val="6"/>
                <w:sz w:val="16"/>
                <w:szCs w:val="16"/>
              </w:rPr>
              <w:t>486.308</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2</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cs="Arial"/>
                <w:b/>
                <w:spacing w:val="6"/>
                <w:sz w:val="16"/>
                <w:szCs w:val="16"/>
              </w:rPr>
              <w:t>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IVA</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1.184.257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1.221.862</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w:t>
            </w:r>
            <w:r w:rsidR="00FD1A1D">
              <w:rPr>
                <w:rFonts w:ascii="Arial Narrow" w:hAnsi="Arial Narrow" w:cs="Arial"/>
                <w:spacing w:val="6"/>
                <w:sz w:val="18"/>
                <w:szCs w:val="18"/>
              </w:rPr>
              <w:t>175.585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1.1</w:t>
            </w:r>
            <w:r w:rsidR="00FD1A1D">
              <w:rPr>
                <w:rFonts w:ascii="Arial Narrow" w:hAnsi="Arial Narrow" w:cs="Arial"/>
                <w:spacing w:val="6"/>
                <w:sz w:val="18"/>
                <w:szCs w:val="18"/>
              </w:rPr>
              <w:t>71.814</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Impuestos especiales</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394.647</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423.309</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392.260</w:t>
            </w:r>
          </w:p>
        </w:tc>
        <w:tc>
          <w:tcPr>
            <w:tcW w:w="995" w:type="dxa"/>
            <w:vAlign w:val="center"/>
          </w:tcPr>
          <w:p w:rsidR="00784E54" w:rsidRPr="009E2A2F" w:rsidRDefault="00FD1A1D" w:rsidP="00B15C51">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422.11</w:t>
            </w:r>
            <w:r w:rsidR="00B15C51">
              <w:rPr>
                <w:rFonts w:ascii="Arial Narrow" w:hAnsi="Arial Narrow" w:cs="Arial"/>
                <w:spacing w:val="6"/>
                <w:sz w:val="18"/>
                <w:szCs w:val="18"/>
              </w:rPr>
              <w:t>2</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7</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-7</w:t>
            </w:r>
          </w:p>
        </w:tc>
      </w:tr>
      <w:tr w:rsidR="00784E54" w:rsidRPr="009E2A2F" w:rsidTr="007C550A">
        <w:trPr>
          <w:trHeight w:val="198"/>
          <w:jc w:val="center"/>
        </w:trPr>
        <w:tc>
          <w:tcPr>
            <w:tcW w:w="3419" w:type="dxa"/>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Otros impuestos sobre consumos específicos</w:t>
            </w:r>
          </w:p>
        </w:tc>
        <w:tc>
          <w:tcPr>
            <w:tcW w:w="995"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w:t>
            </w:r>
          </w:p>
        </w:tc>
        <w:tc>
          <w:tcPr>
            <w:tcW w:w="1123"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-9.364</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-7.492</w:t>
            </w:r>
          </w:p>
        </w:tc>
        <w:tc>
          <w:tcPr>
            <w:tcW w:w="99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-5.5</w:t>
            </w:r>
            <w:r w:rsidR="00FD1A1D">
              <w:rPr>
                <w:rFonts w:ascii="Arial Narrow" w:hAnsi="Arial Narrow" w:cs="Arial"/>
                <w:spacing w:val="6"/>
                <w:sz w:val="18"/>
                <w:szCs w:val="18"/>
              </w:rPr>
              <w:t>44</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22</w:t>
            </w:r>
          </w:p>
        </w:tc>
        <w:tc>
          <w:tcPr>
            <w:tcW w:w="515"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w:t>
            </w:r>
            <w:r w:rsidR="00BD108F">
              <w:rPr>
                <w:rFonts w:ascii="Arial Narrow" w:hAnsi="Arial Narrow" w:cs="Arial"/>
                <w:spacing w:val="6"/>
                <w:sz w:val="18"/>
                <w:szCs w:val="18"/>
              </w:rPr>
              <w:t>26</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Impuesto sobre las primas de seguros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19.355</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19.715</w:t>
            </w:r>
          </w:p>
        </w:tc>
        <w:tc>
          <w:tcPr>
            <w:tcW w:w="995" w:type="dxa"/>
            <w:vAlign w:val="center"/>
            <w:hideMark/>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19.355</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19.</w:t>
            </w:r>
            <w:r w:rsidR="00FD1A1D">
              <w:rPr>
                <w:rFonts w:ascii="Arial Narrow" w:hAnsi="Arial Narrow" w:cs="Arial"/>
                <w:spacing w:val="6"/>
                <w:sz w:val="18"/>
                <w:szCs w:val="18"/>
              </w:rPr>
              <w:t>715</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Transmisiones patrimoniales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38.763</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37.056</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w:t>
            </w:r>
            <w:r w:rsidR="00FD1A1D">
              <w:rPr>
                <w:rFonts w:ascii="Arial Narrow" w:hAnsi="Arial Narrow" w:cs="Arial"/>
                <w:spacing w:val="6"/>
                <w:sz w:val="18"/>
                <w:szCs w:val="18"/>
              </w:rPr>
              <w:t>7.536</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3</w:t>
            </w:r>
            <w:r w:rsidR="00FD1A1D">
              <w:rPr>
                <w:rFonts w:ascii="Arial Narrow" w:hAnsi="Arial Narrow" w:cs="Arial"/>
                <w:spacing w:val="6"/>
                <w:sz w:val="18"/>
                <w:szCs w:val="18"/>
              </w:rPr>
              <w:t>7.056</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w:t>
            </w:r>
          </w:p>
        </w:tc>
      </w:tr>
      <w:tr w:rsidR="00784E54" w:rsidRPr="009E2A2F" w:rsidTr="007C550A">
        <w:trPr>
          <w:trHeight w:val="198"/>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sidRPr="009E2A2F">
              <w:rPr>
                <w:rFonts w:ascii="Arial Narrow" w:hAnsi="Arial Narrow" w:cs="Arial"/>
                <w:spacing w:val="6"/>
                <w:sz w:val="18"/>
                <w:szCs w:val="18"/>
              </w:rPr>
              <w:t>Actos jurídicos documentados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9.567</w:t>
            </w:r>
          </w:p>
        </w:tc>
        <w:tc>
          <w:tcPr>
            <w:tcW w:w="1123"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11.741</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9.3</w:t>
            </w:r>
            <w:r w:rsidR="00FD1A1D">
              <w:rPr>
                <w:rFonts w:ascii="Arial Narrow" w:hAnsi="Arial Narrow" w:cs="Arial"/>
                <w:spacing w:val="6"/>
                <w:sz w:val="18"/>
                <w:szCs w:val="18"/>
              </w:rPr>
              <w:t>83</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1</w:t>
            </w:r>
            <w:r w:rsidR="00FD1A1D">
              <w:rPr>
                <w:rFonts w:ascii="Arial Narrow" w:hAnsi="Arial Narrow" w:cs="Arial"/>
                <w:spacing w:val="6"/>
                <w:sz w:val="18"/>
                <w:szCs w:val="18"/>
              </w:rPr>
              <w:t>1.741</w:t>
            </w:r>
          </w:p>
        </w:tc>
        <w:tc>
          <w:tcPr>
            <w:tcW w:w="842" w:type="dxa"/>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23</w:t>
            </w:r>
          </w:p>
        </w:tc>
        <w:tc>
          <w:tcPr>
            <w:tcW w:w="51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E2A2F">
              <w:rPr>
                <w:rFonts w:ascii="Arial Narrow" w:hAnsi="Arial Narrow" w:cs="Arial"/>
                <w:spacing w:val="6"/>
                <w:sz w:val="18"/>
                <w:szCs w:val="18"/>
              </w:rPr>
              <w:t>2</w:t>
            </w:r>
            <w:r w:rsidR="00BD108F">
              <w:rPr>
                <w:rFonts w:ascii="Arial Narrow" w:hAnsi="Arial Narrow" w:cs="Arial"/>
                <w:spacing w:val="6"/>
                <w:sz w:val="18"/>
                <w:szCs w:val="18"/>
              </w:rPr>
              <w:t>5</w:t>
            </w:r>
          </w:p>
        </w:tc>
      </w:tr>
      <w:tr w:rsidR="00F91BB4" w:rsidRPr="009E2A2F" w:rsidTr="007C550A">
        <w:trPr>
          <w:trHeight w:val="198"/>
          <w:jc w:val="center"/>
        </w:trPr>
        <w:tc>
          <w:tcPr>
            <w:tcW w:w="3419" w:type="dxa"/>
            <w:noWrap/>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Actividades del juego</w:t>
            </w:r>
          </w:p>
        </w:tc>
        <w:tc>
          <w:tcPr>
            <w:tcW w:w="995" w:type="dxa"/>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2.700</w:t>
            </w:r>
          </w:p>
        </w:tc>
        <w:tc>
          <w:tcPr>
            <w:tcW w:w="1123" w:type="dxa"/>
            <w:vAlign w:val="center"/>
          </w:tcPr>
          <w:p w:rsidR="00F91BB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1.556</w:t>
            </w:r>
          </w:p>
        </w:tc>
        <w:tc>
          <w:tcPr>
            <w:tcW w:w="995"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2.700</w:t>
            </w:r>
          </w:p>
        </w:tc>
        <w:tc>
          <w:tcPr>
            <w:tcW w:w="995"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1.556</w:t>
            </w:r>
          </w:p>
        </w:tc>
        <w:tc>
          <w:tcPr>
            <w:tcW w:w="842" w:type="dxa"/>
            <w:vAlign w:val="center"/>
          </w:tcPr>
          <w:p w:rsidR="00F91BB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-42</w:t>
            </w:r>
          </w:p>
        </w:tc>
        <w:tc>
          <w:tcPr>
            <w:tcW w:w="515" w:type="dxa"/>
            <w:vAlign w:val="center"/>
          </w:tcPr>
          <w:p w:rsidR="00F91BB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-42</w:t>
            </w:r>
          </w:p>
        </w:tc>
      </w:tr>
      <w:tr w:rsidR="00784E54" w:rsidRPr="009E2A2F" w:rsidTr="007C550A">
        <w:trPr>
          <w:trHeight w:val="198"/>
          <w:jc w:val="center"/>
        </w:trPr>
        <w:tc>
          <w:tcPr>
            <w:tcW w:w="3419" w:type="dxa"/>
            <w:noWrap/>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cs="Arial"/>
                <w:spacing w:val="6"/>
                <w:sz w:val="18"/>
                <w:szCs w:val="18"/>
              </w:rPr>
              <w:t>Gases fluorados efecto invernadero</w:t>
            </w:r>
          </w:p>
        </w:tc>
        <w:tc>
          <w:tcPr>
            <w:tcW w:w="995"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372</w:t>
            </w:r>
          </w:p>
        </w:tc>
        <w:tc>
          <w:tcPr>
            <w:tcW w:w="1123" w:type="dxa"/>
            <w:vAlign w:val="center"/>
          </w:tcPr>
          <w:p w:rsidR="00784E54" w:rsidRPr="009E2A2F" w:rsidRDefault="00F91BB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992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362</w:t>
            </w:r>
          </w:p>
        </w:tc>
        <w:tc>
          <w:tcPr>
            <w:tcW w:w="995"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928</w:t>
            </w:r>
          </w:p>
        </w:tc>
        <w:tc>
          <w:tcPr>
            <w:tcW w:w="842" w:type="dxa"/>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166</w:t>
            </w:r>
          </w:p>
        </w:tc>
        <w:tc>
          <w:tcPr>
            <w:tcW w:w="515"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156</w:t>
            </w:r>
          </w:p>
        </w:tc>
      </w:tr>
      <w:tr w:rsidR="00784E54" w:rsidRPr="009E2A2F" w:rsidTr="007C550A">
        <w:trPr>
          <w:trHeight w:val="255"/>
          <w:jc w:val="center"/>
        </w:trPr>
        <w:tc>
          <w:tcPr>
            <w:tcW w:w="3419" w:type="dxa"/>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sidRPr="009E2A2F">
              <w:rPr>
                <w:rFonts w:ascii="Arial" w:hAnsi="Arial" w:cs="Arial"/>
                <w:b/>
                <w:spacing w:val="6"/>
                <w:sz w:val="16"/>
                <w:szCs w:val="16"/>
              </w:rPr>
              <w:t>2. Impuestos indirectos</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w:t>
            </w:r>
            <w:r w:rsidR="00F91BB4">
              <w:rPr>
                <w:rFonts w:ascii="Arial" w:hAnsi="Arial" w:cs="Arial"/>
                <w:b/>
                <w:spacing w:val="6"/>
                <w:sz w:val="16"/>
                <w:szCs w:val="16"/>
              </w:rPr>
              <w:t>641.986</w:t>
            </w:r>
          </w:p>
        </w:tc>
        <w:tc>
          <w:tcPr>
            <w:tcW w:w="1123" w:type="dxa"/>
            <w:vAlign w:val="center"/>
            <w:hideMark/>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1.706.86</w:t>
            </w:r>
            <w:r w:rsidR="00FD1A1D">
              <w:rPr>
                <w:rFonts w:ascii="Arial" w:hAnsi="Arial" w:cs="Arial"/>
                <w:b/>
                <w:spacing w:val="6"/>
                <w:sz w:val="16"/>
                <w:szCs w:val="16"/>
              </w:rPr>
              <w:t>8</w:t>
            </w:r>
            <w:r w:rsidRPr="009E2A2F">
              <w:rPr>
                <w:rFonts w:ascii="Arial" w:hAnsi="Arial" w:cs="Arial"/>
                <w:b/>
                <w:spacing w:val="6"/>
                <w:sz w:val="16"/>
                <w:szCs w:val="16"/>
              </w:rPr>
              <w:fldChar w:fldCharType="begin"/>
            </w:r>
            <w:r w:rsidRPr="009E2A2F">
              <w:rPr>
                <w:rFonts w:ascii="Arial" w:hAnsi="Arial" w:cs="Arial"/>
                <w:b/>
                <w:spacing w:val="6"/>
                <w:sz w:val="16"/>
                <w:szCs w:val="16"/>
              </w:rPr>
              <w:instrText xml:space="preserve"> =SUM(ABOVE) </w:instrText>
            </w:r>
            <w:r w:rsidRPr="009E2A2F">
              <w:rPr>
                <w:rFonts w:ascii="Arial" w:hAnsi="Arial" w:cs="Arial"/>
                <w:b/>
                <w:spacing w:val="6"/>
                <w:sz w:val="16"/>
                <w:szCs w:val="16"/>
              </w:rPr>
              <w:fldChar w:fldCharType="end"/>
            </w:r>
          </w:p>
        </w:tc>
        <w:tc>
          <w:tcPr>
            <w:tcW w:w="995" w:type="dxa"/>
            <w:vAlign w:val="center"/>
            <w:hideMark/>
          </w:tcPr>
          <w:p w:rsidR="00784E54" w:rsidRPr="009E2A2F" w:rsidRDefault="00FD1A1D" w:rsidP="00FD1A1D">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cs="Arial"/>
                <w:b/>
                <w:spacing w:val="6"/>
                <w:sz w:val="16"/>
                <w:szCs w:val="16"/>
              </w:rPr>
              <w:t>1.692.689</w:t>
            </w:r>
          </w:p>
        </w:tc>
        <w:tc>
          <w:tcPr>
            <w:tcW w:w="995" w:type="dxa"/>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sidRPr="009E2A2F">
              <w:rPr>
                <w:rFonts w:ascii="Arial" w:hAnsi="Arial" w:cs="Arial"/>
                <w:b/>
                <w:spacing w:val="6"/>
                <w:sz w:val="16"/>
                <w:szCs w:val="16"/>
              </w:rPr>
              <w:t>1.</w:t>
            </w:r>
            <w:r w:rsidR="00FD1A1D">
              <w:rPr>
                <w:rFonts w:ascii="Arial" w:hAnsi="Arial" w:cs="Arial"/>
                <w:b/>
                <w:spacing w:val="6"/>
                <w:sz w:val="16"/>
                <w:szCs w:val="16"/>
              </w:rPr>
              <w:t>659.378</w:t>
            </w:r>
          </w:p>
        </w:tc>
        <w:tc>
          <w:tcPr>
            <w:tcW w:w="842" w:type="dxa"/>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cs="Arial"/>
                <w:b/>
                <w:spacing w:val="6"/>
                <w:sz w:val="16"/>
                <w:szCs w:val="16"/>
              </w:rPr>
              <w:t>4</w:t>
            </w:r>
          </w:p>
        </w:tc>
        <w:tc>
          <w:tcPr>
            <w:tcW w:w="515" w:type="dxa"/>
            <w:vAlign w:val="center"/>
            <w:hideMark/>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cs="Arial"/>
                <w:b/>
                <w:spacing w:val="6"/>
                <w:sz w:val="16"/>
                <w:szCs w:val="16"/>
              </w:rPr>
              <w:t>2</w:t>
            </w:r>
          </w:p>
        </w:tc>
      </w:tr>
      <w:tr w:rsidR="00784E54" w:rsidRPr="009E2A2F" w:rsidTr="007C550A">
        <w:trPr>
          <w:trHeight w:val="255"/>
          <w:jc w:val="center"/>
        </w:trPr>
        <w:tc>
          <w:tcPr>
            <w:tcW w:w="3419" w:type="dxa"/>
            <w:shd w:val="clear" w:color="auto" w:fill="8DB3E2" w:themeFill="text2" w:themeFillTint="66"/>
            <w:noWrap/>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9E2A2F">
              <w:rPr>
                <w:rFonts w:ascii="Arial" w:hAnsi="Arial" w:cs="Arial"/>
                <w:spacing w:val="6"/>
                <w:sz w:val="16"/>
                <w:szCs w:val="16"/>
              </w:rPr>
              <w:t>Total impuestos</w:t>
            </w:r>
          </w:p>
        </w:tc>
        <w:tc>
          <w:tcPr>
            <w:tcW w:w="995" w:type="dxa"/>
            <w:shd w:val="clear" w:color="auto" w:fill="8DB3E2" w:themeFill="text2" w:themeFillTint="66"/>
            <w:vAlign w:val="center"/>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3.109.75</w:t>
            </w:r>
            <w:r w:rsidR="00FD1A1D">
              <w:rPr>
                <w:rFonts w:ascii="Arial" w:hAnsi="Arial" w:cs="Arial"/>
                <w:spacing w:val="6"/>
                <w:sz w:val="16"/>
                <w:szCs w:val="16"/>
              </w:rPr>
              <w:t>8</w:t>
            </w:r>
          </w:p>
        </w:tc>
        <w:tc>
          <w:tcPr>
            <w:tcW w:w="1123" w:type="dxa"/>
            <w:shd w:val="clear" w:color="auto" w:fill="8DB3E2" w:themeFill="text2" w:themeFillTint="66"/>
            <w:vAlign w:val="center"/>
          </w:tcPr>
          <w:p w:rsidR="00784E54" w:rsidRPr="009E2A2F" w:rsidRDefault="00784E54" w:rsidP="00FD1A1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3.206.88</w:t>
            </w:r>
            <w:r w:rsidR="00FD1A1D">
              <w:rPr>
                <w:rFonts w:ascii="Arial" w:hAnsi="Arial" w:cs="Arial"/>
                <w:spacing w:val="6"/>
                <w:sz w:val="16"/>
                <w:szCs w:val="16"/>
              </w:rPr>
              <w:t>1</w:t>
            </w:r>
          </w:p>
        </w:tc>
        <w:tc>
          <w:tcPr>
            <w:tcW w:w="995" w:type="dxa"/>
            <w:shd w:val="clear" w:color="auto" w:fill="8DB3E2" w:themeFill="text2" w:themeFillTint="66"/>
            <w:vAlign w:val="center"/>
          </w:tcPr>
          <w:p w:rsidR="00784E54" w:rsidRPr="009E2A2F" w:rsidRDefault="00FD1A1D"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3.090.077</w:t>
            </w:r>
          </w:p>
        </w:tc>
        <w:tc>
          <w:tcPr>
            <w:tcW w:w="995" w:type="dxa"/>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3.</w:t>
            </w:r>
            <w:r w:rsidR="00FD1A1D">
              <w:rPr>
                <w:rFonts w:ascii="Arial" w:hAnsi="Arial" w:cs="Arial"/>
                <w:spacing w:val="6"/>
                <w:sz w:val="16"/>
                <w:szCs w:val="16"/>
              </w:rPr>
              <w:t>145.686</w:t>
            </w:r>
          </w:p>
        </w:tc>
        <w:tc>
          <w:tcPr>
            <w:tcW w:w="842" w:type="dxa"/>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2A2F">
              <w:rPr>
                <w:rFonts w:ascii="Arial" w:hAnsi="Arial" w:cs="Arial"/>
                <w:spacing w:val="6"/>
                <w:sz w:val="16"/>
                <w:szCs w:val="16"/>
              </w:rPr>
              <w:t>3</w:t>
            </w:r>
          </w:p>
        </w:tc>
        <w:tc>
          <w:tcPr>
            <w:tcW w:w="515" w:type="dxa"/>
            <w:shd w:val="clear" w:color="auto" w:fill="8DB3E2" w:themeFill="text2" w:themeFillTint="66"/>
            <w:vAlign w:val="center"/>
          </w:tcPr>
          <w:p w:rsidR="00784E54" w:rsidRPr="009E2A2F" w:rsidRDefault="00BD108F"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2</w:t>
            </w:r>
          </w:p>
        </w:tc>
      </w:tr>
    </w:tbl>
    <w:p w:rsidR="00784E54" w:rsidRPr="00784E54" w:rsidRDefault="00784E54" w:rsidP="00DF7BDD">
      <w:pPr>
        <w:pStyle w:val="texto"/>
        <w:spacing w:before="240"/>
        <w:rPr>
          <w:lang w:val="es-ES"/>
        </w:rPr>
      </w:pPr>
      <w:r w:rsidRPr="00784E54">
        <w:rPr>
          <w:lang w:val="es-ES"/>
        </w:rPr>
        <w:t>De su análisis destacamos los siguientes aspectos:</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F7BDD">
        <w:rPr>
          <w:rFonts w:cs="Arial"/>
        </w:rPr>
        <w:t>Destacan por su cuantía el IVA con 1.221,86 millones de euros y el IRPF con 1.180,09 millones que suponen el 38 y el 3</w:t>
      </w:r>
      <w:r w:rsidR="00BD108F">
        <w:rPr>
          <w:rFonts w:cs="Arial"/>
        </w:rPr>
        <w:t>7</w:t>
      </w:r>
      <w:r w:rsidRPr="00DF7BDD">
        <w:rPr>
          <w:rFonts w:cs="Arial"/>
        </w:rPr>
        <w:t xml:space="preserve"> por ciento </w:t>
      </w:r>
      <w:r w:rsidR="00BD108F">
        <w:rPr>
          <w:rFonts w:cs="Arial"/>
        </w:rPr>
        <w:t xml:space="preserve">del total </w:t>
      </w:r>
      <w:r w:rsidRPr="00DF7BDD">
        <w:rPr>
          <w:rFonts w:cs="Arial"/>
        </w:rPr>
        <w:t>respect</w:t>
      </w:r>
      <w:r w:rsidRPr="00DF7BDD">
        <w:rPr>
          <w:rFonts w:cs="Arial"/>
        </w:rPr>
        <w:t>i</w:t>
      </w:r>
      <w:r w:rsidRPr="00DF7BDD">
        <w:rPr>
          <w:rFonts w:cs="Arial"/>
        </w:rPr>
        <w:t xml:space="preserve">vamente. </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F7BDD">
        <w:rPr>
          <w:rFonts w:cs="Arial"/>
        </w:rPr>
        <w:t>De las tres grandes figuras impositivas, el IVA y el IRPF presentan un cr</w:t>
      </w:r>
      <w:r w:rsidRPr="00DF7BDD">
        <w:rPr>
          <w:rFonts w:cs="Arial"/>
        </w:rPr>
        <w:t>e</w:t>
      </w:r>
      <w:r w:rsidRPr="00DF7BDD">
        <w:rPr>
          <w:rFonts w:cs="Arial"/>
        </w:rPr>
        <w:t>cimiento del tres (3</w:t>
      </w:r>
      <w:r w:rsidR="00BD108F">
        <w:rPr>
          <w:rFonts w:cs="Arial"/>
        </w:rPr>
        <w:t>8</w:t>
      </w:r>
      <w:r w:rsidRPr="00DF7BDD">
        <w:rPr>
          <w:rFonts w:cs="Arial"/>
        </w:rPr>
        <w:t xml:space="preserve"> millones) y del siete por ciento (73 millones) respectiv</w:t>
      </w:r>
      <w:r w:rsidRPr="00DF7BDD">
        <w:rPr>
          <w:rFonts w:cs="Arial"/>
        </w:rPr>
        <w:t>a</w:t>
      </w:r>
      <w:r w:rsidRPr="00DF7BDD">
        <w:rPr>
          <w:rFonts w:cs="Arial"/>
        </w:rPr>
        <w:t>mente motivado en este último caso, entre otros aspectos, por la reforma fiscal de 2016; por otra parte, el impuesto sobre sociedades disminuye un cuatro por ciento (ocho millones aproximadamente).</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F7BDD">
        <w:rPr>
          <w:rFonts w:cs="Arial"/>
        </w:rPr>
        <w:t>También destacamos el aumento de los ingresos por la producción de ene</w:t>
      </w:r>
      <w:r w:rsidRPr="00DF7BDD">
        <w:rPr>
          <w:rFonts w:cs="Arial"/>
        </w:rPr>
        <w:t>r</w:t>
      </w:r>
      <w:r w:rsidRPr="00DF7BDD">
        <w:rPr>
          <w:rFonts w:cs="Arial"/>
        </w:rPr>
        <w:t>gía (ocho millones más) debido a la modificación del Convenio Económico e</w:t>
      </w:r>
      <w:r w:rsidRPr="00DF7BDD">
        <w:rPr>
          <w:rFonts w:cs="Arial"/>
        </w:rPr>
        <w:t>n</w:t>
      </w:r>
      <w:r w:rsidRPr="00DF7BDD">
        <w:rPr>
          <w:rFonts w:cs="Arial"/>
        </w:rPr>
        <w:t>tre el Estado y la Comunidad Foral de Navarra que entró en vigor el 26 de junio de 2015; este cambio supuso que las obligaciones tributarias se hicieran efect</w:t>
      </w:r>
      <w:r w:rsidRPr="00DF7BDD">
        <w:rPr>
          <w:rFonts w:cs="Arial"/>
        </w:rPr>
        <w:t>i</w:t>
      </w:r>
      <w:r w:rsidRPr="00DF7BDD">
        <w:rPr>
          <w:rFonts w:cs="Arial"/>
        </w:rPr>
        <w:t>vas en Navarra desde dicha fecha, presentándose en Navarra el primer pago fraccionado en septiembre de 2015 pudiendo acumularse las de años anteriores.</w:t>
      </w:r>
    </w:p>
    <w:p w:rsidR="00BD108F" w:rsidRDefault="00BD108F"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Los problemas derivados de la falta de una </w:t>
      </w:r>
      <w:r w:rsidR="00B15C51">
        <w:rPr>
          <w:rFonts w:cs="Arial"/>
        </w:rPr>
        <w:t>conexión</w:t>
      </w:r>
      <w:r>
        <w:rPr>
          <w:rFonts w:cs="Arial"/>
        </w:rPr>
        <w:t xml:space="preserve"> adecuada entre las aplicaciones informáticas motiva que la recaudación neta </w:t>
      </w:r>
      <w:r w:rsidR="00B15C51">
        <w:rPr>
          <w:rFonts w:cs="Arial"/>
        </w:rPr>
        <w:t>del</w:t>
      </w:r>
      <w:r>
        <w:rPr>
          <w:rFonts w:cs="Arial"/>
        </w:rPr>
        <w:t xml:space="preserve"> sistema de cont</w:t>
      </w:r>
      <w:r>
        <w:rPr>
          <w:rFonts w:cs="Arial"/>
        </w:rPr>
        <w:t>a</w:t>
      </w:r>
      <w:r>
        <w:rPr>
          <w:rFonts w:cs="Arial"/>
        </w:rPr>
        <w:t>bilidad SAPGE21 no sea razonable</w:t>
      </w:r>
      <w:r w:rsidR="00B15C51">
        <w:rPr>
          <w:rFonts w:cs="Arial"/>
        </w:rPr>
        <w:t>,</w:t>
      </w:r>
      <w:r>
        <w:rPr>
          <w:rFonts w:cs="Arial"/>
        </w:rPr>
        <w:t xml:space="preserve"> ya que incluye los cobros originados por derechos del ejercicio actual y de anteriores. </w:t>
      </w:r>
      <w:r w:rsidRPr="00BD108F">
        <w:rPr>
          <w:rFonts w:cs="Arial"/>
        </w:rPr>
        <w:t>Por este motivo</w:t>
      </w:r>
      <w:r>
        <w:rPr>
          <w:rFonts w:cs="Arial"/>
        </w:rPr>
        <w:t>, con la inform</w:t>
      </w:r>
      <w:r>
        <w:rPr>
          <w:rFonts w:cs="Arial"/>
        </w:rPr>
        <w:t>a</w:t>
      </w:r>
      <w:r>
        <w:rPr>
          <w:rFonts w:cs="Arial"/>
        </w:rPr>
        <w:lastRenderedPageBreak/>
        <w:t>ción proporcionada por CAT-GT se realiza una estimación de lo que serían c</w:t>
      </w:r>
      <w:r>
        <w:rPr>
          <w:rFonts w:cs="Arial"/>
        </w:rPr>
        <w:t>o</w:t>
      </w:r>
      <w:r>
        <w:rPr>
          <w:rFonts w:cs="Arial"/>
        </w:rPr>
        <w:t xml:space="preserve">bros de este ejercicio y los que procederían de años anteriores; sobre estos cálculos, desde el Servicio de Contabilidad se realiza otra estimación de lo que supondrían estas cifras. </w:t>
      </w:r>
      <w:r w:rsidRPr="00BD108F">
        <w:rPr>
          <w:rFonts w:cs="Arial"/>
        </w:rPr>
        <w:t xml:space="preserve">Esta segunda estimación es la que finalmente figura como recaudación neta de cada impuesto. </w:t>
      </w:r>
    </w:p>
    <w:p w:rsidR="00784E54" w:rsidRPr="00BD108F" w:rsidRDefault="00BD108F" w:rsidP="00BD108F">
      <w:pPr>
        <w:pStyle w:val="texto"/>
        <w:tabs>
          <w:tab w:val="clear" w:pos="2835"/>
          <w:tab w:val="clear" w:pos="3969"/>
          <w:tab w:val="clear" w:pos="5103"/>
          <w:tab w:val="clear" w:pos="6237"/>
          <w:tab w:val="clear" w:pos="7371"/>
          <w:tab w:val="num" w:pos="360"/>
          <w:tab w:val="left" w:pos="480"/>
          <w:tab w:val="num" w:pos="600"/>
          <w:tab w:val="num" w:pos="720"/>
          <w:tab w:val="num" w:pos="1320"/>
        </w:tabs>
        <w:rPr>
          <w:rFonts w:cs="Arial"/>
        </w:rPr>
      </w:pPr>
      <w:r>
        <w:rPr>
          <w:rFonts w:cs="Arial"/>
        </w:rPr>
        <w:t>Teniendo en cuenta lo anterior, l</w:t>
      </w:r>
      <w:r w:rsidRPr="00BD108F">
        <w:rPr>
          <w:rFonts w:cs="Arial"/>
        </w:rPr>
        <w:t xml:space="preserve">a recaudación neta </w:t>
      </w:r>
      <w:r w:rsidR="00784E54" w:rsidRPr="00BD108F">
        <w:rPr>
          <w:rFonts w:cs="Arial"/>
        </w:rPr>
        <w:t>alcanzó los 3.</w:t>
      </w:r>
      <w:r>
        <w:rPr>
          <w:rFonts w:cs="Arial"/>
        </w:rPr>
        <w:t>145,69</w:t>
      </w:r>
      <w:r w:rsidR="00784E54" w:rsidRPr="00BD108F">
        <w:rPr>
          <w:rFonts w:cs="Arial"/>
        </w:rPr>
        <w:t xml:space="preserve"> m</w:t>
      </w:r>
      <w:r w:rsidR="00784E54" w:rsidRPr="00BD108F">
        <w:rPr>
          <w:rFonts w:cs="Arial"/>
        </w:rPr>
        <w:t>i</w:t>
      </w:r>
      <w:r w:rsidR="00784E54" w:rsidRPr="00BD108F">
        <w:rPr>
          <w:rFonts w:cs="Arial"/>
        </w:rPr>
        <w:t xml:space="preserve">llones superando en un </w:t>
      </w:r>
      <w:r>
        <w:rPr>
          <w:rFonts w:cs="Arial"/>
        </w:rPr>
        <w:t>dos</w:t>
      </w:r>
      <w:r w:rsidR="005E5317">
        <w:rPr>
          <w:rFonts w:cs="Arial"/>
        </w:rPr>
        <w:t xml:space="preserve"> por ciento a la de 2015;</w:t>
      </w:r>
      <w:r w:rsidR="00784E54" w:rsidRPr="00BD108F">
        <w:rPr>
          <w:rFonts w:cs="Arial"/>
        </w:rPr>
        <w:t xml:space="preserve"> los aumentos más signific</w:t>
      </w:r>
      <w:r w:rsidR="00784E54" w:rsidRPr="00BD108F">
        <w:rPr>
          <w:rFonts w:cs="Arial"/>
        </w:rPr>
        <w:t>a</w:t>
      </w:r>
      <w:r w:rsidR="00784E54" w:rsidRPr="00BD108F">
        <w:rPr>
          <w:rFonts w:cs="Arial"/>
        </w:rPr>
        <w:t xml:space="preserve">tivos </w:t>
      </w:r>
      <w:r w:rsidR="005E5317">
        <w:rPr>
          <w:rFonts w:cs="Arial"/>
        </w:rPr>
        <w:t>fueron lo</w:t>
      </w:r>
      <w:r w:rsidR="00784E54" w:rsidRPr="00BD108F">
        <w:rPr>
          <w:rFonts w:cs="Arial"/>
        </w:rPr>
        <w:t xml:space="preserve">s correspondientes al impuesto </w:t>
      </w:r>
      <w:r w:rsidR="005E5317">
        <w:rPr>
          <w:rFonts w:cs="Arial"/>
        </w:rPr>
        <w:t>sobre la renta de las personas f</w:t>
      </w:r>
      <w:r w:rsidR="005E5317">
        <w:rPr>
          <w:rFonts w:cs="Arial"/>
        </w:rPr>
        <w:t>í</w:t>
      </w:r>
      <w:r w:rsidR="005E5317">
        <w:rPr>
          <w:rFonts w:cs="Arial"/>
        </w:rPr>
        <w:t>sicas</w:t>
      </w:r>
      <w:r w:rsidR="00784E54" w:rsidRPr="00BD108F">
        <w:rPr>
          <w:rFonts w:cs="Arial"/>
        </w:rPr>
        <w:t xml:space="preserve"> con un </w:t>
      </w:r>
      <w:r w:rsidR="005E5317">
        <w:rPr>
          <w:rFonts w:cs="Arial"/>
        </w:rPr>
        <w:t>seis</w:t>
      </w:r>
      <w:r w:rsidR="00784E54" w:rsidRPr="00BD108F">
        <w:rPr>
          <w:rFonts w:cs="Arial"/>
        </w:rPr>
        <w:t xml:space="preserve"> por ciento (</w:t>
      </w:r>
      <w:r w:rsidR="005E5317">
        <w:rPr>
          <w:rFonts w:cs="Arial"/>
        </w:rPr>
        <w:t xml:space="preserve">61 </w:t>
      </w:r>
      <w:r w:rsidR="00784E54" w:rsidRPr="00BD108F">
        <w:rPr>
          <w:rFonts w:cs="Arial"/>
        </w:rPr>
        <w:t>millones)</w:t>
      </w:r>
      <w:r w:rsidR="005E5317">
        <w:rPr>
          <w:rFonts w:cs="Arial"/>
        </w:rPr>
        <w:t xml:space="preserve"> y al impuesto sobre la producción de energía eléctrica con un 62 por ciento (ocho millones)</w:t>
      </w:r>
      <w:r w:rsidR="00784E54" w:rsidRPr="00BD108F">
        <w:rPr>
          <w:rFonts w:cs="Arial"/>
        </w:rPr>
        <w:t xml:space="preserve">. </w:t>
      </w:r>
    </w:p>
    <w:p w:rsidR="00784E54" w:rsidRPr="00DF7BDD" w:rsidRDefault="005E5317"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relación con el IVA</w:t>
      </w:r>
      <w:r w:rsidR="00784E54" w:rsidRPr="00DF7BDD">
        <w:rPr>
          <w:rFonts w:cs="Arial"/>
        </w:rPr>
        <w:t xml:space="preserve"> hay que tener en cuenta si la gestión es directa por Navarra o si se refiere a la que se produce por el Convenio Económico con el Estado. Así, el desglose según el criterio anterior es el siguiente:</w:t>
      </w:r>
    </w:p>
    <w:p w:rsidR="00784E54" w:rsidRPr="009C04F5" w:rsidRDefault="00784E54" w:rsidP="009C04F5">
      <w:pPr>
        <w:tabs>
          <w:tab w:val="left" w:pos="490"/>
          <w:tab w:val="num" w:pos="4920"/>
        </w:tabs>
        <w:spacing w:after="60"/>
        <w:ind w:left="289" w:firstLine="0"/>
        <w:jc w:val="right"/>
        <w:rPr>
          <w:rFonts w:ascii="Arial" w:hAnsi="Arial"/>
          <w:spacing w:val="6"/>
          <w:sz w:val="17"/>
          <w:szCs w:val="17"/>
          <w:lang w:val="es-ES"/>
        </w:rPr>
      </w:pPr>
      <w:r w:rsidRPr="009C04F5">
        <w:rPr>
          <w:rFonts w:ascii="Arial" w:hAnsi="Arial"/>
          <w:spacing w:val="6"/>
          <w:sz w:val="17"/>
          <w:szCs w:val="17"/>
          <w:lang w:val="es-ES"/>
        </w:rPr>
        <w:t>(</w:t>
      </w:r>
      <w:r w:rsidR="001A35E1">
        <w:rPr>
          <w:rFonts w:ascii="Arial" w:hAnsi="Arial"/>
          <w:spacing w:val="6"/>
          <w:sz w:val="17"/>
          <w:szCs w:val="17"/>
          <w:lang w:val="es-ES"/>
        </w:rPr>
        <w:t xml:space="preserve">en </w:t>
      </w:r>
      <w:r w:rsidRPr="009C04F5">
        <w:rPr>
          <w:rFonts w:ascii="Arial" w:hAnsi="Arial"/>
          <w:spacing w:val="6"/>
          <w:sz w:val="17"/>
          <w:szCs w:val="17"/>
          <w:lang w:val="es-ES"/>
        </w:rPr>
        <w:t>miles de euros)</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080"/>
        <w:gridCol w:w="1095"/>
      </w:tblGrid>
      <w:tr w:rsidR="00784E54" w:rsidRPr="00784E54" w:rsidTr="007C550A">
        <w:trPr>
          <w:trHeight w:val="198"/>
          <w:jc w:val="center"/>
        </w:trPr>
        <w:tc>
          <w:tcPr>
            <w:tcW w:w="1624" w:type="dxa"/>
            <w:vMerge w:val="restart"/>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784E54">
              <w:rPr>
                <w:rFonts w:ascii="Arial" w:hAnsi="Arial" w:cs="Arial"/>
                <w:spacing w:val="6"/>
                <w:sz w:val="18"/>
                <w:szCs w:val="24"/>
              </w:rPr>
              <w:t>IVA reconocido</w:t>
            </w:r>
          </w:p>
        </w:tc>
        <w:tc>
          <w:tcPr>
            <w:tcW w:w="2397" w:type="dxa"/>
            <w:gridSpan w:val="2"/>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left="230" w:firstLine="0"/>
              <w:jc w:val="center"/>
              <w:rPr>
                <w:rFonts w:ascii="Arial" w:hAnsi="Arial" w:cs="Arial"/>
                <w:spacing w:val="6"/>
                <w:sz w:val="18"/>
                <w:szCs w:val="24"/>
              </w:rPr>
            </w:pPr>
            <w:r w:rsidRPr="00784E54">
              <w:rPr>
                <w:rFonts w:ascii="Arial" w:hAnsi="Arial" w:cs="Arial"/>
                <w:spacing w:val="6"/>
                <w:sz w:val="18"/>
                <w:szCs w:val="24"/>
              </w:rPr>
              <w:t>2014</w:t>
            </w:r>
          </w:p>
        </w:tc>
        <w:tc>
          <w:tcPr>
            <w:tcW w:w="2640" w:type="dxa"/>
            <w:gridSpan w:val="2"/>
            <w:tcBorders>
              <w:top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sidRPr="00784E54">
              <w:rPr>
                <w:rFonts w:ascii="Arial" w:hAnsi="Arial" w:cs="Arial"/>
                <w:spacing w:val="6"/>
                <w:sz w:val="18"/>
                <w:szCs w:val="24"/>
              </w:rPr>
              <w:t>2015</w:t>
            </w:r>
          </w:p>
        </w:tc>
        <w:tc>
          <w:tcPr>
            <w:tcW w:w="2175" w:type="dxa"/>
            <w:gridSpan w:val="2"/>
            <w:tcBorders>
              <w:top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sidRPr="00784E54">
              <w:rPr>
                <w:rFonts w:ascii="Arial" w:hAnsi="Arial" w:cs="Arial"/>
                <w:spacing w:val="6"/>
                <w:sz w:val="18"/>
                <w:szCs w:val="24"/>
              </w:rPr>
              <w:t>2016</w:t>
            </w:r>
          </w:p>
        </w:tc>
      </w:tr>
      <w:tr w:rsidR="00784E54" w:rsidRPr="00784E54" w:rsidTr="007C550A">
        <w:trPr>
          <w:trHeight w:val="198"/>
          <w:jc w:val="center"/>
        </w:trPr>
        <w:tc>
          <w:tcPr>
            <w:tcW w:w="1624" w:type="dxa"/>
            <w:vMerge/>
            <w:tcBorders>
              <w:bottom w:val="single" w:sz="4" w:space="0" w:color="auto"/>
            </w:tcBorders>
            <w:shd w:val="clear" w:color="auto" w:fill="EEECE1" w:themeFill="background2"/>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200" w:type="dxa"/>
            <w:tcBorders>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Importe</w:t>
            </w:r>
          </w:p>
        </w:tc>
        <w:tc>
          <w:tcPr>
            <w:tcW w:w="1197"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Porcentaje</w:t>
            </w:r>
          </w:p>
        </w:tc>
        <w:tc>
          <w:tcPr>
            <w:tcW w:w="132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Importe</w:t>
            </w:r>
          </w:p>
        </w:tc>
        <w:tc>
          <w:tcPr>
            <w:tcW w:w="132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Porcentaje</w:t>
            </w:r>
          </w:p>
        </w:tc>
        <w:tc>
          <w:tcPr>
            <w:tcW w:w="1080" w:type="dxa"/>
            <w:tcBorders>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Importe</w:t>
            </w:r>
          </w:p>
        </w:tc>
        <w:tc>
          <w:tcPr>
            <w:tcW w:w="1095" w:type="dxa"/>
            <w:tcBorders>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Porcentaje</w:t>
            </w:r>
          </w:p>
        </w:tc>
      </w:tr>
      <w:tr w:rsidR="00784E54" w:rsidRPr="00784E54" w:rsidTr="009E2A2F">
        <w:trPr>
          <w:trHeight w:val="198"/>
          <w:jc w:val="center"/>
        </w:trPr>
        <w:tc>
          <w:tcPr>
            <w:tcW w:w="1624" w:type="dxa"/>
            <w:tcBorders>
              <w:top w:val="single" w:sz="4"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784E54">
              <w:rPr>
                <w:rFonts w:ascii="Arial Narrow" w:hAnsi="Arial Narrow" w:cs="Arial"/>
                <w:spacing w:val="6"/>
                <w:lang w:val="es-ES" w:eastAsia="es-ES"/>
              </w:rPr>
              <w:t>Gestión directa</w:t>
            </w:r>
          </w:p>
        </w:tc>
        <w:tc>
          <w:tcPr>
            <w:tcW w:w="1200"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361.073</w:t>
            </w:r>
          </w:p>
        </w:tc>
        <w:tc>
          <w:tcPr>
            <w:tcW w:w="1197"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32</w:t>
            </w:r>
          </w:p>
        </w:tc>
        <w:tc>
          <w:tcPr>
            <w:tcW w:w="132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372.609</w:t>
            </w:r>
          </w:p>
        </w:tc>
        <w:tc>
          <w:tcPr>
            <w:tcW w:w="132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31</w:t>
            </w:r>
          </w:p>
        </w:tc>
        <w:tc>
          <w:tcPr>
            <w:tcW w:w="108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386.340</w:t>
            </w:r>
          </w:p>
        </w:tc>
        <w:tc>
          <w:tcPr>
            <w:tcW w:w="1095"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32</w:t>
            </w:r>
          </w:p>
        </w:tc>
      </w:tr>
      <w:tr w:rsidR="00784E54" w:rsidRPr="00784E54" w:rsidTr="009E2A2F">
        <w:trPr>
          <w:trHeight w:val="198"/>
          <w:jc w:val="center"/>
        </w:trPr>
        <w:tc>
          <w:tcPr>
            <w:tcW w:w="1624"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784E54">
              <w:rPr>
                <w:rFonts w:ascii="Arial Narrow" w:hAnsi="Arial Narrow" w:cs="Arial"/>
                <w:spacing w:val="6"/>
                <w:lang w:val="es-ES" w:eastAsia="es-ES"/>
              </w:rPr>
              <w:t>Ajuste Convenio</w:t>
            </w:r>
          </w:p>
        </w:tc>
        <w:tc>
          <w:tcPr>
            <w:tcW w:w="1200" w:type="dxa"/>
            <w:tcBorders>
              <w:top w:val="single" w:sz="2" w:space="0" w:color="auto"/>
              <w:bottom w:val="single" w:sz="4"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750.869</w:t>
            </w:r>
          </w:p>
        </w:tc>
        <w:tc>
          <w:tcPr>
            <w:tcW w:w="1197"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68</w:t>
            </w:r>
          </w:p>
        </w:tc>
        <w:tc>
          <w:tcPr>
            <w:tcW w:w="132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811.648</w:t>
            </w:r>
          </w:p>
        </w:tc>
        <w:tc>
          <w:tcPr>
            <w:tcW w:w="132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69</w:t>
            </w:r>
          </w:p>
        </w:tc>
        <w:tc>
          <w:tcPr>
            <w:tcW w:w="1080" w:type="dxa"/>
            <w:tcBorders>
              <w:top w:val="single" w:sz="2" w:space="0" w:color="auto"/>
              <w:bottom w:val="single" w:sz="4"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835.522</w:t>
            </w:r>
          </w:p>
        </w:tc>
        <w:tc>
          <w:tcPr>
            <w:tcW w:w="1095" w:type="dxa"/>
            <w:tcBorders>
              <w:top w:val="single" w:sz="2" w:space="0" w:color="auto"/>
              <w:bottom w:val="single" w:sz="4"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68</w:t>
            </w:r>
          </w:p>
        </w:tc>
      </w:tr>
      <w:tr w:rsidR="00784E54" w:rsidRPr="00784E54" w:rsidTr="009E2A2F">
        <w:trPr>
          <w:trHeight w:val="255"/>
          <w:jc w:val="center"/>
        </w:trPr>
        <w:tc>
          <w:tcPr>
            <w:tcW w:w="1624"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784E54">
              <w:rPr>
                <w:rFonts w:ascii="Arial" w:hAnsi="Arial"/>
                <w:spacing w:val="6"/>
                <w:sz w:val="18"/>
                <w:szCs w:val="24"/>
                <w:lang w:val="es-ES" w:eastAsia="es-ES"/>
              </w:rPr>
              <w:t>Total IVA</w:t>
            </w:r>
          </w:p>
        </w:tc>
        <w:tc>
          <w:tcPr>
            <w:tcW w:w="1200"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1.111.942</w:t>
            </w:r>
          </w:p>
        </w:tc>
        <w:tc>
          <w:tcPr>
            <w:tcW w:w="119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100</w:t>
            </w:r>
          </w:p>
        </w:tc>
        <w:tc>
          <w:tcPr>
            <w:tcW w:w="132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1.184.257</w:t>
            </w:r>
          </w:p>
        </w:tc>
        <w:tc>
          <w:tcPr>
            <w:tcW w:w="132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100</w:t>
            </w:r>
          </w:p>
        </w:tc>
        <w:tc>
          <w:tcPr>
            <w:tcW w:w="108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1.221.862</w:t>
            </w:r>
          </w:p>
        </w:tc>
        <w:tc>
          <w:tcPr>
            <w:tcW w:w="1095"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100</w:t>
            </w:r>
          </w:p>
        </w:tc>
      </w:tr>
    </w:tbl>
    <w:p w:rsidR="00784E54" w:rsidRPr="00784E54" w:rsidRDefault="00784E54" w:rsidP="00DF7BDD">
      <w:pPr>
        <w:pStyle w:val="texto"/>
        <w:spacing w:before="240"/>
        <w:rPr>
          <w:lang w:val="es-ES"/>
        </w:rPr>
      </w:pPr>
      <w:r w:rsidRPr="00784E54">
        <w:rPr>
          <w:lang w:val="es-ES"/>
        </w:rPr>
        <w:t>Como se observa, l</w:t>
      </w:r>
      <w:r w:rsidR="005E5317">
        <w:rPr>
          <w:lang w:val="es-ES"/>
        </w:rPr>
        <w:t>a may</w:t>
      </w:r>
      <w:r w:rsidRPr="00784E54">
        <w:rPr>
          <w:lang w:val="es-ES"/>
        </w:rPr>
        <w:t>o</w:t>
      </w:r>
      <w:r w:rsidR="005E5317">
        <w:rPr>
          <w:lang w:val="es-ES"/>
        </w:rPr>
        <w:t>r parte de los</w:t>
      </w:r>
      <w:r w:rsidRPr="00784E54">
        <w:rPr>
          <w:lang w:val="es-ES"/>
        </w:rPr>
        <w:t xml:space="preserve"> derechos reconocidos se generan </w:t>
      </w:r>
      <w:r w:rsidR="005E5317">
        <w:rPr>
          <w:lang w:val="es-ES"/>
        </w:rPr>
        <w:t>d</w:t>
      </w:r>
      <w:r w:rsidR="005E5317">
        <w:rPr>
          <w:lang w:val="es-ES"/>
        </w:rPr>
        <w:t>e</w:t>
      </w:r>
      <w:r w:rsidR="005E5317">
        <w:rPr>
          <w:lang w:val="es-ES"/>
        </w:rPr>
        <w:t>bido a</w:t>
      </w:r>
      <w:r w:rsidRPr="00784E54">
        <w:rPr>
          <w:lang w:val="es-ES"/>
        </w:rPr>
        <w:t xml:space="preserve"> los ajustes derivados del Convenio, gestionando la Hacienda Foral</w:t>
      </w:r>
      <w:r w:rsidR="005E5317">
        <w:rPr>
          <w:lang w:val="es-ES"/>
        </w:rPr>
        <w:t xml:space="preserve"> de forma directa</w:t>
      </w:r>
      <w:r w:rsidRPr="00784E54">
        <w:rPr>
          <w:lang w:val="es-ES"/>
        </w:rPr>
        <w:t xml:space="preserve"> un tercio de</w:t>
      </w:r>
      <w:r w:rsidR="005E5317">
        <w:rPr>
          <w:lang w:val="es-ES"/>
        </w:rPr>
        <w:t>l total de dichos</w:t>
      </w:r>
      <w:r w:rsidRPr="00784E54">
        <w:rPr>
          <w:lang w:val="es-ES"/>
        </w:rPr>
        <w:t xml:space="preserve"> derechos.</w:t>
      </w:r>
    </w:p>
    <w:p w:rsidR="00784E54" w:rsidRPr="00784E54" w:rsidRDefault="00784E54" w:rsidP="00DF7BDD">
      <w:pPr>
        <w:pStyle w:val="texto"/>
        <w:rPr>
          <w:lang w:val="es-ES"/>
        </w:rPr>
      </w:pPr>
      <w:r w:rsidRPr="00784E54">
        <w:rPr>
          <w:lang w:val="es-ES"/>
        </w:rPr>
        <w:t xml:space="preserve">Por otra parte, el IVA a compensar al cierre del ejercicio 2016, teniendo en cuenta que el derecho a solicitar devolución o efectuar la compensación </w:t>
      </w:r>
      <w:r w:rsidR="00B15C51">
        <w:rPr>
          <w:lang w:val="es-ES"/>
        </w:rPr>
        <w:t>pre</w:t>
      </w:r>
      <w:r w:rsidR="00B15C51">
        <w:rPr>
          <w:lang w:val="es-ES"/>
        </w:rPr>
        <w:t>s</w:t>
      </w:r>
      <w:r w:rsidR="00B15C51">
        <w:rPr>
          <w:lang w:val="es-ES"/>
        </w:rPr>
        <w:t>cribe</w:t>
      </w:r>
      <w:r w:rsidRPr="00784E54">
        <w:rPr>
          <w:lang w:val="es-ES"/>
        </w:rPr>
        <w:t xml:space="preserve"> a los cinco años, cuya devolución puede solicitarse a partir de enero del ejercicio siguiente, asciende a 174,54 millones. Este IVA se recoge en una cuenta de CAT</w:t>
      </w:r>
      <w:r w:rsidR="00961CC6">
        <w:rPr>
          <w:lang w:val="es-ES"/>
        </w:rPr>
        <w:t>-GT</w:t>
      </w:r>
      <w:r w:rsidRPr="00784E54">
        <w:rPr>
          <w:lang w:val="es-ES"/>
        </w:rPr>
        <w:t xml:space="preserve"> denominada “IVA global” y no tiene reflejo en la contabil</w:t>
      </w:r>
      <w:r w:rsidRPr="00784E54">
        <w:rPr>
          <w:lang w:val="es-ES"/>
        </w:rPr>
        <w:t>i</w:t>
      </w:r>
      <w:r w:rsidRPr="00784E54">
        <w:rPr>
          <w:lang w:val="es-ES"/>
        </w:rPr>
        <w:t>dad general. Se imputa al presupuesto cuando se devuelve o se compensa sie</w:t>
      </w:r>
      <w:r w:rsidRPr="00784E54">
        <w:rPr>
          <w:lang w:val="es-ES"/>
        </w:rPr>
        <w:t>m</w:t>
      </w:r>
      <w:r w:rsidRPr="00784E54">
        <w:rPr>
          <w:lang w:val="es-ES"/>
        </w:rPr>
        <w:t xml:space="preserve">pre que de la compensación resulte un saldo a pagar a la Hacienda Tributaria. No se aporta información en la memoria sobre esta cuenta. </w:t>
      </w:r>
    </w:p>
    <w:p w:rsidR="00784E54" w:rsidRPr="00DF7BDD"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F7BDD">
        <w:rPr>
          <w:rFonts w:cs="Arial"/>
        </w:rPr>
        <w:t>Las devoluciones gestionadas desde el CAT</w:t>
      </w:r>
      <w:r w:rsidR="00961CC6">
        <w:rPr>
          <w:rFonts w:cs="Arial"/>
        </w:rPr>
        <w:t>-GT</w:t>
      </w:r>
      <w:r w:rsidRPr="00DF7BDD">
        <w:rPr>
          <w:rFonts w:cs="Arial"/>
        </w:rPr>
        <w:t xml:space="preserve"> </w:t>
      </w:r>
      <w:r w:rsidR="008121DB">
        <w:rPr>
          <w:rFonts w:cs="Arial"/>
        </w:rPr>
        <w:t>-</w:t>
      </w:r>
      <w:r w:rsidRPr="00DF7BDD">
        <w:rPr>
          <w:rFonts w:cs="Arial"/>
        </w:rPr>
        <w:t>tanto en efectivo como por compensación</w:t>
      </w:r>
      <w:r w:rsidR="008121DB">
        <w:rPr>
          <w:rFonts w:cs="Arial"/>
        </w:rPr>
        <w:t>-</w:t>
      </w:r>
      <w:r w:rsidRPr="00DF7BDD">
        <w:rPr>
          <w:rFonts w:cs="Arial"/>
        </w:rPr>
        <w:t xml:space="preserve"> y traspasadas globalmente a la liquidación presupuestaria junto a los contraídos, sin tener en cuenta los ajustes con el Estado, han asce</w:t>
      </w:r>
      <w:r w:rsidRPr="00DF7BDD">
        <w:rPr>
          <w:rFonts w:cs="Arial"/>
        </w:rPr>
        <w:t>n</w:t>
      </w:r>
      <w:r w:rsidRPr="00DF7BDD">
        <w:rPr>
          <w:rFonts w:cs="Arial"/>
        </w:rPr>
        <w:t>dido a 1.2</w:t>
      </w:r>
      <w:r w:rsidR="005E5317">
        <w:rPr>
          <w:rFonts w:cs="Arial"/>
        </w:rPr>
        <w:t>23,12</w:t>
      </w:r>
      <w:r w:rsidRPr="00DF7BDD">
        <w:rPr>
          <w:rFonts w:cs="Arial"/>
        </w:rPr>
        <w:t xml:space="preserve"> millones</w:t>
      </w:r>
      <w:r w:rsidRPr="005B0D3F">
        <w:rPr>
          <w:rFonts w:cs="Arial"/>
          <w:vertAlign w:val="superscript"/>
        </w:rPr>
        <w:footnoteReference w:id="6"/>
      </w:r>
      <w:r w:rsidRPr="005B0D3F">
        <w:rPr>
          <w:rFonts w:cs="Arial"/>
          <w:vertAlign w:val="superscript"/>
        </w:rPr>
        <w:t>,</w:t>
      </w:r>
      <w:r w:rsidRPr="00DF7BDD">
        <w:rPr>
          <w:rFonts w:cs="Arial"/>
        </w:rPr>
        <w:t xml:space="preserve"> cantidad superior a la de 2015 en un diez por ciento. Atendiendo a su naturaleza, el </w:t>
      </w:r>
      <w:r w:rsidR="005E5317">
        <w:rPr>
          <w:rFonts w:cs="Arial"/>
        </w:rPr>
        <w:t>84</w:t>
      </w:r>
      <w:r w:rsidRPr="00DF7BDD">
        <w:rPr>
          <w:rFonts w:cs="Arial"/>
        </w:rPr>
        <w:t xml:space="preserve"> por ciento de las devoluciones se ha efectu</w:t>
      </w:r>
      <w:r w:rsidRPr="00DF7BDD">
        <w:rPr>
          <w:rFonts w:cs="Arial"/>
        </w:rPr>
        <w:t>a</w:t>
      </w:r>
      <w:r w:rsidRPr="00DF7BDD">
        <w:rPr>
          <w:rFonts w:cs="Arial"/>
        </w:rPr>
        <w:t xml:space="preserve">do en metálico. </w:t>
      </w:r>
    </w:p>
    <w:p w:rsidR="001F3380" w:rsidRPr="00784E54" w:rsidRDefault="00784E54" w:rsidP="00923441">
      <w:pPr>
        <w:pStyle w:val="texto"/>
        <w:spacing w:after="240"/>
        <w:rPr>
          <w:lang w:val="es-ES"/>
        </w:rPr>
      </w:pPr>
      <w:r w:rsidRPr="00784E54">
        <w:rPr>
          <w:lang w:val="es-ES"/>
        </w:rPr>
        <w:t>Presentamos a continuación las devoluciones de los impuestos más releva</w:t>
      </w:r>
      <w:r w:rsidRPr="00784E54">
        <w:rPr>
          <w:lang w:val="es-ES"/>
        </w:rPr>
        <w:t>n</w:t>
      </w:r>
      <w:r w:rsidRPr="00784E54">
        <w:rPr>
          <w:lang w:val="es-ES"/>
        </w:rPr>
        <w:t>tes en 2016</w:t>
      </w:r>
      <w:r w:rsidR="001A35E1">
        <w:rPr>
          <w:lang w:val="es-ES"/>
        </w:rPr>
        <w:t xml:space="preserve"> y su</w:t>
      </w:r>
      <w:r w:rsidRPr="00784E54">
        <w:rPr>
          <w:lang w:val="es-ES"/>
        </w:rPr>
        <w:t xml:space="preserve"> comparación con el ejercicio anterior:</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1A35E1" w:rsidRPr="001A35E1" w:rsidTr="001A35E1">
        <w:trPr>
          <w:trHeight w:val="284"/>
          <w:jc w:val="center"/>
        </w:trPr>
        <w:tc>
          <w:tcPr>
            <w:tcW w:w="8880" w:type="dxa"/>
            <w:gridSpan w:val="3"/>
            <w:tcBorders>
              <w:left w:val="nil"/>
              <w:bottom w:val="single" w:sz="4" w:space="0" w:color="auto"/>
              <w:right w:val="nil"/>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1A35E1">
              <w:rPr>
                <w:rFonts w:ascii="Arial" w:hAnsi="Arial" w:cs="Arial"/>
                <w:spacing w:val="6"/>
                <w:sz w:val="17"/>
                <w:szCs w:val="17"/>
              </w:rPr>
              <w:lastRenderedPageBreak/>
              <w:t>(en miles de euros)</w:t>
            </w:r>
          </w:p>
        </w:tc>
      </w:tr>
      <w:tr w:rsidR="00784E54" w:rsidRPr="009E2A2F" w:rsidTr="009E2A2F">
        <w:trPr>
          <w:trHeight w:val="284"/>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E2A2F">
              <w:rPr>
                <w:rFonts w:ascii="Arial" w:hAnsi="Arial" w:cs="Arial"/>
                <w:spacing w:val="6"/>
                <w:sz w:val="18"/>
                <w:szCs w:val="18"/>
              </w:rPr>
              <w:t>Devolución de impuestos</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2015</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2016</w:t>
            </w:r>
          </w:p>
        </w:tc>
      </w:tr>
      <w:tr w:rsidR="00784E54" w:rsidRPr="00784E54" w:rsidTr="000E66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IRPF</w:t>
            </w:r>
          </w:p>
        </w:tc>
        <w:tc>
          <w:tcPr>
            <w:tcW w:w="1459" w:type="dxa"/>
            <w:tcBorders>
              <w:top w:val="single" w:sz="4"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211.068</w:t>
            </w:r>
          </w:p>
        </w:tc>
        <w:tc>
          <w:tcPr>
            <w:tcW w:w="1303" w:type="dxa"/>
            <w:tcBorders>
              <w:top w:val="single" w:sz="4"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214.813</w:t>
            </w:r>
          </w:p>
        </w:tc>
      </w:tr>
      <w:tr w:rsidR="00784E54" w:rsidRPr="00784E54" w:rsidTr="000E66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Sociedades</w:t>
            </w:r>
          </w:p>
        </w:tc>
        <w:tc>
          <w:tcPr>
            <w:tcW w:w="1459" w:type="dxa"/>
            <w:tcBorders>
              <w:top w:val="single" w:sz="2"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78.053</w:t>
            </w:r>
          </w:p>
        </w:tc>
        <w:tc>
          <w:tcPr>
            <w:tcW w:w="1303" w:type="dxa"/>
            <w:tcBorders>
              <w:top w:val="single" w:sz="2" w:space="0" w:color="auto"/>
              <w:left w:val="nil"/>
              <w:bottom w:val="single" w:sz="2"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81.604</w:t>
            </w:r>
          </w:p>
        </w:tc>
      </w:tr>
      <w:tr w:rsidR="00784E54" w:rsidRPr="00784E54" w:rsidTr="000E66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IVA gestión directa</w:t>
            </w:r>
          </w:p>
        </w:tc>
        <w:tc>
          <w:tcPr>
            <w:tcW w:w="1459" w:type="dxa"/>
            <w:tcBorders>
              <w:top w:val="single" w:sz="2" w:space="0" w:color="auto"/>
              <w:left w:val="nil"/>
              <w:bottom w:val="single" w:sz="4"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806.042</w:t>
            </w:r>
          </w:p>
        </w:tc>
        <w:tc>
          <w:tcPr>
            <w:tcW w:w="1303" w:type="dxa"/>
            <w:tcBorders>
              <w:top w:val="single" w:sz="2" w:space="0" w:color="auto"/>
              <w:left w:val="nil"/>
              <w:bottom w:val="single" w:sz="4" w:space="0" w:color="auto"/>
              <w:right w:val="nil"/>
            </w:tcBorders>
            <w:shd w:val="clear" w:color="auto" w:fill="FFFFFF" w:themeFill="background1"/>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902.771</w:t>
            </w:r>
          </w:p>
        </w:tc>
      </w:tr>
    </w:tbl>
    <w:p w:rsidR="00784E54" w:rsidRPr="00784E54" w:rsidRDefault="00784E54" w:rsidP="00DF7BDD">
      <w:pPr>
        <w:pStyle w:val="texto"/>
        <w:spacing w:before="240"/>
        <w:rPr>
          <w:lang w:val="es-ES"/>
        </w:rPr>
      </w:pPr>
      <w:r w:rsidRPr="00784E54">
        <w:rPr>
          <w:lang w:val="es-ES"/>
        </w:rPr>
        <w:t xml:space="preserve">Como viene ocurriendo en los últimos años, el IVA de gestión directa es, el impuesto que genera un mayor volumen de devoluciones, en torno al 74 por ciento del total. </w:t>
      </w:r>
    </w:p>
    <w:p w:rsidR="00784E54" w:rsidRPr="00784E54" w:rsidRDefault="00784E54" w:rsidP="00DF7BDD">
      <w:pPr>
        <w:pStyle w:val="texto"/>
      </w:pPr>
      <w:r w:rsidRPr="00784E54">
        <w:t>Por otra parte, las devoluciones de impuestos descontadas directamente de los derechos reconocidos han ascendido a 0,29 millones frente a los 33,04 m</w:t>
      </w:r>
      <w:r w:rsidRPr="00784E54">
        <w:t>i</w:t>
      </w:r>
      <w:r w:rsidRPr="00784E54">
        <w:t>llones del ejercicio anterior. Esta disminución está motivada en la devolución registrada en 2015 del impuesto sobre hidrocarburos por liquidaciones corre</w:t>
      </w:r>
      <w:r w:rsidRPr="00784E54">
        <w:t>s</w:t>
      </w:r>
      <w:r w:rsidRPr="00784E54">
        <w:t>pondientes a los ejercicios de 2013 y 2014 por una cuantía de 32,75 millones.</w:t>
      </w:r>
    </w:p>
    <w:p w:rsidR="00784E54" w:rsidRPr="00DF7BDD"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DF7BDD">
        <w:rPr>
          <w:rFonts w:cs="Arial"/>
        </w:rPr>
        <w:t>La memoria de las Cuentas Generales contiene información sobre la ejec</w:t>
      </w:r>
      <w:r w:rsidRPr="00DF7BDD">
        <w:rPr>
          <w:rFonts w:cs="Arial"/>
        </w:rPr>
        <w:t>u</w:t>
      </w:r>
      <w:r w:rsidRPr="00DF7BDD">
        <w:rPr>
          <w:rFonts w:cs="Arial"/>
        </w:rPr>
        <w:t>ción de los beneficios fiscales, cuyo resumen es el siguiente:</w:t>
      </w:r>
    </w:p>
    <w:tbl>
      <w:tblPr>
        <w:tblW w:w="8873" w:type="dxa"/>
        <w:jc w:val="center"/>
        <w:tblInd w:w="136" w:type="dxa"/>
        <w:tblCellMar>
          <w:left w:w="70" w:type="dxa"/>
          <w:right w:w="70" w:type="dxa"/>
        </w:tblCellMar>
        <w:tblLook w:val="04A0" w:firstRow="1" w:lastRow="0" w:firstColumn="1" w:lastColumn="0" w:noHBand="0" w:noVBand="1"/>
      </w:tblPr>
      <w:tblGrid>
        <w:gridCol w:w="5015"/>
        <w:gridCol w:w="1286"/>
        <w:gridCol w:w="1286"/>
        <w:gridCol w:w="1286"/>
      </w:tblGrid>
      <w:tr w:rsidR="000A20C1" w:rsidRPr="000A20C1" w:rsidTr="000A20C1">
        <w:trPr>
          <w:trHeight w:val="198"/>
          <w:jc w:val="center"/>
        </w:trPr>
        <w:tc>
          <w:tcPr>
            <w:tcW w:w="8873" w:type="dxa"/>
            <w:gridSpan w:val="4"/>
            <w:tcBorders>
              <w:left w:val="nil"/>
              <w:bottom w:val="single" w:sz="4" w:space="0" w:color="auto"/>
              <w:right w:val="nil"/>
            </w:tcBorders>
            <w:shd w:val="clear" w:color="auto" w:fill="auto"/>
            <w:vAlign w:val="center"/>
          </w:tcPr>
          <w:p w:rsidR="000A20C1" w:rsidRPr="000A20C1" w:rsidRDefault="000A20C1"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0A20C1">
              <w:rPr>
                <w:rFonts w:ascii="Arial" w:hAnsi="Arial" w:cs="Arial"/>
                <w:spacing w:val="6"/>
                <w:sz w:val="17"/>
                <w:szCs w:val="17"/>
              </w:rPr>
              <w:t>(en miles de euros)</w:t>
            </w:r>
          </w:p>
        </w:tc>
      </w:tr>
      <w:tr w:rsidR="00784E54" w:rsidRPr="009E2A2F" w:rsidTr="008D7445">
        <w:trPr>
          <w:trHeight w:val="198"/>
          <w:jc w:val="center"/>
        </w:trPr>
        <w:tc>
          <w:tcPr>
            <w:tcW w:w="5015"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E2A2F">
              <w:rPr>
                <w:rFonts w:ascii="Arial" w:hAnsi="Arial" w:cs="Arial"/>
                <w:spacing w:val="6"/>
                <w:sz w:val="18"/>
                <w:szCs w:val="18"/>
              </w:rPr>
              <w:t>Impuestos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Presupuesto</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Beneficios</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fiscales 2016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Resultados</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2016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8D7445"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 xml:space="preserve">% </w:t>
            </w:r>
          </w:p>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Realización</w:t>
            </w:r>
          </w:p>
        </w:tc>
      </w:tr>
      <w:tr w:rsidR="00784E54" w:rsidRPr="00784E54" w:rsidTr="008D7445">
        <w:trPr>
          <w:trHeight w:val="198"/>
          <w:jc w:val="center"/>
        </w:trPr>
        <w:tc>
          <w:tcPr>
            <w:tcW w:w="5015" w:type="dxa"/>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IRPF</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392.931</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392.461</w:t>
            </w:r>
          </w:p>
        </w:tc>
        <w:tc>
          <w:tcPr>
            <w:tcW w:w="1286" w:type="dxa"/>
            <w:tcBorders>
              <w:top w:val="single" w:sz="4"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99,9</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Sociedades</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92.171</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116.137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126,0</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Patrimonio</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32.515</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27.533</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84,7</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Renta de no residentes</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5.918</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5.098</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86,1</w:t>
            </w:r>
          </w:p>
        </w:tc>
      </w:tr>
      <w:tr w:rsidR="00784E54" w:rsidRPr="00784E54" w:rsidTr="008D7445">
        <w:trPr>
          <w:trHeight w:val="198"/>
          <w:jc w:val="center"/>
        </w:trPr>
        <w:tc>
          <w:tcPr>
            <w:tcW w:w="5015"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Sucesiones y donaciones</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8.580</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8.244</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96,1</w:t>
            </w:r>
          </w:p>
        </w:tc>
      </w:tr>
      <w:tr w:rsidR="00784E54" w:rsidRPr="009E2A2F" w:rsidTr="008D7445">
        <w:trPr>
          <w:trHeight w:val="284"/>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sidRPr="009E2A2F">
              <w:rPr>
                <w:rFonts w:ascii="Arial" w:hAnsi="Arial" w:cs="Arial"/>
                <w:i/>
                <w:spacing w:val="6"/>
                <w:sz w:val="18"/>
                <w:szCs w:val="18"/>
              </w:rPr>
              <w:t>1. Impuestos directos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0A20C1">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532.11</w:t>
            </w:r>
            <w:r w:rsidR="000A20C1">
              <w:rPr>
                <w:rFonts w:ascii="Arial" w:hAnsi="Arial" w:cs="Arial"/>
                <w:i/>
                <w:spacing w:val="6"/>
                <w:sz w:val="18"/>
                <w:szCs w:val="18"/>
              </w:rPr>
              <w:t>5</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549.473</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103,3</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IVA</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765.007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757.193</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99,0</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Impuestos especiales</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65.557</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61.452</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93,7</w:t>
            </w:r>
          </w:p>
        </w:tc>
      </w:tr>
      <w:tr w:rsidR="00784E54" w:rsidRPr="00784E54" w:rsidTr="008D7445">
        <w:trPr>
          <w:trHeight w:val="198"/>
          <w:jc w:val="center"/>
        </w:trPr>
        <w:tc>
          <w:tcPr>
            <w:tcW w:w="5015"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Impuesto sobre las primas de seguros</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7.831</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7.700</w:t>
            </w:r>
          </w:p>
        </w:tc>
        <w:tc>
          <w:tcPr>
            <w:tcW w:w="1286" w:type="dxa"/>
            <w:tcBorders>
              <w:top w:val="single" w:sz="2" w:space="0" w:color="auto"/>
              <w:left w:val="nil"/>
              <w:bottom w:val="single" w:sz="2"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98,3</w:t>
            </w:r>
          </w:p>
        </w:tc>
      </w:tr>
      <w:tr w:rsidR="00784E54" w:rsidRPr="00784E54" w:rsidTr="008D7445">
        <w:trPr>
          <w:trHeight w:val="198"/>
          <w:jc w:val="center"/>
        </w:trPr>
        <w:tc>
          <w:tcPr>
            <w:tcW w:w="5015"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Transmisiones patrimoniales y actos jurídicos documentados</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5.207</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5.211</w:t>
            </w:r>
          </w:p>
        </w:tc>
        <w:tc>
          <w:tcPr>
            <w:tcW w:w="1286" w:type="dxa"/>
            <w:tcBorders>
              <w:top w:val="single" w:sz="2" w:space="0" w:color="auto"/>
              <w:left w:val="nil"/>
              <w:bottom w:val="single" w:sz="4" w:space="0" w:color="auto"/>
              <w:right w:val="nil"/>
            </w:tcBorders>
            <w:vAlign w:val="center"/>
          </w:tcPr>
          <w:p w:rsidR="00784E54" w:rsidRPr="00784E54" w:rsidRDefault="00784E54" w:rsidP="009E2A2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100,1</w:t>
            </w:r>
          </w:p>
        </w:tc>
      </w:tr>
      <w:tr w:rsidR="00784E54" w:rsidRPr="009E2A2F" w:rsidTr="008D7445">
        <w:trPr>
          <w:trHeight w:val="284"/>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sidRPr="009E2A2F">
              <w:rPr>
                <w:rFonts w:ascii="Arial" w:hAnsi="Arial" w:cs="Arial"/>
                <w:i/>
                <w:spacing w:val="6"/>
                <w:sz w:val="18"/>
                <w:szCs w:val="18"/>
              </w:rPr>
              <w:t>2. Impuestos indirectos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843.602</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831.556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9E2A2F">
              <w:rPr>
                <w:rFonts w:ascii="Arial" w:hAnsi="Arial" w:cs="Arial"/>
                <w:i/>
                <w:spacing w:val="6"/>
                <w:sz w:val="18"/>
                <w:szCs w:val="18"/>
              </w:rPr>
              <w:t>98,6</w:t>
            </w:r>
          </w:p>
        </w:tc>
      </w:tr>
      <w:tr w:rsidR="00784E54" w:rsidRPr="009E2A2F" w:rsidTr="008D7445">
        <w:trPr>
          <w:trHeight w:val="312"/>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9E2A2F"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9E2A2F">
              <w:rPr>
                <w:rFonts w:ascii="Arial" w:hAnsi="Arial" w:cs="Arial"/>
                <w:spacing w:val="6"/>
                <w:sz w:val="18"/>
                <w:szCs w:val="18"/>
              </w:rPr>
              <w:t>Total Beneficios fiscales</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0A20C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1.375.71</w:t>
            </w:r>
            <w:r w:rsidR="000A20C1">
              <w:rPr>
                <w:rFonts w:ascii="Arial" w:hAnsi="Arial" w:cs="Arial"/>
                <w:spacing w:val="6"/>
                <w:sz w:val="18"/>
                <w:szCs w:val="18"/>
              </w:rPr>
              <w:t>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1.381.029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784E54" w:rsidRPr="009E2A2F" w:rsidRDefault="00784E54" w:rsidP="009E2A2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E2A2F">
              <w:rPr>
                <w:rFonts w:ascii="Arial" w:hAnsi="Arial" w:cs="Arial"/>
                <w:spacing w:val="6"/>
                <w:sz w:val="18"/>
                <w:szCs w:val="18"/>
              </w:rPr>
              <w:t>100,4</w:t>
            </w:r>
          </w:p>
        </w:tc>
      </w:tr>
    </w:tbl>
    <w:p w:rsidR="00784E54" w:rsidRPr="00784E54" w:rsidRDefault="00784E54" w:rsidP="00F321CF">
      <w:pPr>
        <w:pStyle w:val="texto"/>
        <w:spacing w:before="240"/>
        <w:rPr>
          <w:lang w:val="es-ES"/>
        </w:rPr>
      </w:pPr>
      <w:r w:rsidRPr="00784E54">
        <w:rPr>
          <w:lang w:val="es-ES"/>
        </w:rPr>
        <w:t>Los beneficios fiscales de 2016, según la información contenida en la mem</w:t>
      </w:r>
      <w:r w:rsidRPr="00784E54">
        <w:rPr>
          <w:lang w:val="es-ES"/>
        </w:rPr>
        <w:t>o</w:t>
      </w:r>
      <w:r w:rsidRPr="00784E54">
        <w:rPr>
          <w:lang w:val="es-ES"/>
        </w:rPr>
        <w:t>ria, alcanzan los 1.381 millones de euros y son prácticamente los mismos que se presupuestaron; es significativo que estos beneficios representan el 43 por ciento de los derechos reconocidos netos por impuestos del ejercicio de 2016.</w:t>
      </w:r>
    </w:p>
    <w:p w:rsidR="00784E54" w:rsidRPr="00DF7BDD"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DF7BDD">
        <w:rPr>
          <w:rFonts w:cs="Arial"/>
        </w:rPr>
        <w:t>Hemos analizado los procedimientos de gestión y una muestra de los s</w:t>
      </w:r>
      <w:r w:rsidRPr="00DF7BDD">
        <w:rPr>
          <w:rFonts w:cs="Arial"/>
        </w:rPr>
        <w:t>i</w:t>
      </w:r>
      <w:r w:rsidRPr="00DF7BDD">
        <w:rPr>
          <w:rFonts w:cs="Arial"/>
        </w:rPr>
        <w:t>guientes impuestos:</w:t>
      </w:r>
    </w:p>
    <w:p w:rsidR="008D7445" w:rsidRPr="009C04F5" w:rsidRDefault="008D7445" w:rsidP="009C04F5">
      <w:pPr>
        <w:tabs>
          <w:tab w:val="left" w:pos="490"/>
          <w:tab w:val="num" w:pos="4920"/>
        </w:tabs>
        <w:spacing w:after="60"/>
        <w:ind w:left="289" w:firstLine="0"/>
        <w:jc w:val="right"/>
        <w:rPr>
          <w:rFonts w:ascii="Arial" w:hAnsi="Arial"/>
          <w:spacing w:val="6"/>
          <w:sz w:val="17"/>
          <w:szCs w:val="17"/>
          <w:lang w:val="es-ES"/>
        </w:rPr>
      </w:pPr>
      <w:r w:rsidRPr="009C04F5">
        <w:rPr>
          <w:rFonts w:ascii="Arial" w:hAnsi="Arial"/>
          <w:spacing w:val="6"/>
          <w:sz w:val="17"/>
          <w:szCs w:val="17"/>
          <w:lang w:val="es-ES"/>
        </w:rPr>
        <w:t>(en miles de euros)</w:t>
      </w:r>
    </w:p>
    <w:tbl>
      <w:tblPr>
        <w:tblStyle w:val="Tablaconcuadrcula"/>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1422"/>
        <w:gridCol w:w="1423"/>
        <w:gridCol w:w="1423"/>
        <w:gridCol w:w="1423"/>
      </w:tblGrid>
      <w:tr w:rsidR="00784E54" w:rsidRPr="00784E54" w:rsidTr="008D7445">
        <w:trPr>
          <w:trHeight w:val="198"/>
        </w:trPr>
        <w:tc>
          <w:tcPr>
            <w:tcW w:w="3262" w:type="dxa"/>
            <w:tcBorders>
              <w:top w:val="single" w:sz="4" w:space="0" w:color="auto"/>
              <w:bottom w:val="single" w:sz="4" w:space="0" w:color="auto"/>
            </w:tcBorders>
            <w:shd w:val="clear" w:color="auto" w:fill="8DB3E2" w:themeFill="text2" w:themeFillTint="66"/>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w:hAnsi="Arial" w:cs="Arial"/>
                <w:spacing w:val="6"/>
                <w:sz w:val="18"/>
                <w:szCs w:val="18"/>
                <w:lang w:val="es-ES"/>
              </w:rPr>
            </w:pPr>
          </w:p>
        </w:tc>
        <w:tc>
          <w:tcPr>
            <w:tcW w:w="1399" w:type="dxa"/>
            <w:tcBorders>
              <w:top w:val="single" w:sz="4" w:space="0" w:color="auto"/>
              <w:bottom w:val="single" w:sz="4" w:space="0" w:color="auto"/>
            </w:tcBorders>
            <w:shd w:val="clear" w:color="auto" w:fill="8DB3E2" w:themeFill="text2" w:themeFillTint="66"/>
            <w:vAlign w:val="center"/>
          </w:tcPr>
          <w:p w:rsidR="008D7445"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 xml:space="preserve">Derechos </w:t>
            </w:r>
          </w:p>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Reconocidos Netos 2016</w:t>
            </w:r>
          </w:p>
        </w:tc>
        <w:tc>
          <w:tcPr>
            <w:tcW w:w="1400"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 xml:space="preserve">Recaudación </w:t>
            </w:r>
          </w:p>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Neta 2016</w:t>
            </w:r>
          </w:p>
        </w:tc>
        <w:tc>
          <w:tcPr>
            <w:tcW w:w="1400" w:type="dxa"/>
            <w:tcBorders>
              <w:top w:val="single" w:sz="4" w:space="0" w:color="auto"/>
              <w:bottom w:val="single" w:sz="4" w:space="0" w:color="auto"/>
            </w:tcBorders>
            <w:shd w:val="clear" w:color="auto" w:fill="8DB3E2" w:themeFill="text2" w:themeFillTint="66"/>
            <w:vAlign w:val="center"/>
          </w:tcPr>
          <w:p w:rsidR="008D7445" w:rsidRDefault="00784E54" w:rsidP="00784E54">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 xml:space="preserve">% </w:t>
            </w:r>
          </w:p>
          <w:p w:rsidR="00784E54" w:rsidRPr="00784E54" w:rsidRDefault="00784E54" w:rsidP="008D7445">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784E54">
              <w:rPr>
                <w:rFonts w:ascii="Arial" w:hAnsi="Arial" w:cs="Arial"/>
                <w:spacing w:val="6"/>
                <w:sz w:val="18"/>
                <w:szCs w:val="18"/>
                <w:lang w:val="es-ES"/>
              </w:rPr>
              <w:t>Recaud</w:t>
            </w:r>
            <w:r w:rsidR="008D7445">
              <w:rPr>
                <w:rFonts w:ascii="Arial" w:hAnsi="Arial" w:cs="Arial"/>
                <w:spacing w:val="6"/>
                <w:sz w:val="18"/>
                <w:szCs w:val="18"/>
                <w:lang w:val="es-ES"/>
              </w:rPr>
              <w:t>.</w:t>
            </w:r>
            <w:r w:rsidRPr="00784E54">
              <w:rPr>
                <w:rFonts w:ascii="Arial" w:hAnsi="Arial" w:cs="Arial"/>
                <w:spacing w:val="6"/>
                <w:sz w:val="18"/>
                <w:szCs w:val="18"/>
                <w:lang w:val="es-ES"/>
              </w:rPr>
              <w:t>/DRN</w:t>
            </w:r>
          </w:p>
        </w:tc>
        <w:tc>
          <w:tcPr>
            <w:tcW w:w="1400" w:type="dxa"/>
            <w:tcBorders>
              <w:top w:val="single" w:sz="4" w:space="0" w:color="auto"/>
              <w:bottom w:val="single" w:sz="4" w:space="0" w:color="auto"/>
            </w:tcBorders>
            <w:shd w:val="clear" w:color="auto" w:fill="8DB3E2" w:themeFill="text2" w:themeFillTint="66"/>
            <w:vAlign w:val="center"/>
          </w:tcPr>
          <w:p w:rsidR="008D7445" w:rsidRDefault="00784E54" w:rsidP="008D744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lang w:val="es-ES"/>
              </w:rPr>
            </w:pPr>
            <w:r w:rsidRPr="00784E54">
              <w:rPr>
                <w:rFonts w:ascii="Arial" w:hAnsi="Arial" w:cs="Arial"/>
                <w:spacing w:val="6"/>
                <w:sz w:val="18"/>
                <w:szCs w:val="18"/>
                <w:lang w:val="es-ES"/>
              </w:rPr>
              <w:t xml:space="preserve">% </w:t>
            </w:r>
            <w:r w:rsidR="00E042B5">
              <w:rPr>
                <w:rFonts w:ascii="Arial" w:hAnsi="Arial" w:cs="Arial"/>
                <w:spacing w:val="6"/>
                <w:sz w:val="18"/>
                <w:szCs w:val="18"/>
                <w:lang w:val="es-ES"/>
              </w:rPr>
              <w:t>v</w:t>
            </w:r>
            <w:r w:rsidRPr="00784E54">
              <w:rPr>
                <w:rFonts w:ascii="Arial" w:hAnsi="Arial" w:cs="Arial"/>
                <w:spacing w:val="6"/>
                <w:sz w:val="18"/>
                <w:szCs w:val="18"/>
                <w:lang w:val="es-ES"/>
              </w:rPr>
              <w:t>ar</w:t>
            </w:r>
            <w:r w:rsidR="008D7445">
              <w:rPr>
                <w:rFonts w:ascii="Arial" w:hAnsi="Arial" w:cs="Arial"/>
                <w:spacing w:val="6"/>
                <w:sz w:val="18"/>
                <w:szCs w:val="18"/>
                <w:lang w:val="es-ES"/>
              </w:rPr>
              <w:t>iación</w:t>
            </w:r>
            <w:r w:rsidRPr="00784E54">
              <w:rPr>
                <w:rFonts w:ascii="Arial" w:hAnsi="Arial" w:cs="Arial"/>
                <w:spacing w:val="6"/>
                <w:sz w:val="18"/>
                <w:szCs w:val="18"/>
                <w:lang w:val="es-ES"/>
              </w:rPr>
              <w:t xml:space="preserve"> </w:t>
            </w:r>
          </w:p>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lang w:val="es-ES"/>
              </w:rPr>
            </w:pPr>
            <w:r w:rsidRPr="00784E54">
              <w:rPr>
                <w:rFonts w:ascii="Arial" w:hAnsi="Arial" w:cs="Arial"/>
                <w:spacing w:val="6"/>
                <w:sz w:val="18"/>
                <w:szCs w:val="18"/>
                <w:lang w:val="es-ES"/>
              </w:rPr>
              <w:t>2016/2015</w:t>
            </w:r>
          </w:p>
        </w:tc>
      </w:tr>
      <w:tr w:rsidR="00784E54" w:rsidRPr="00784E54" w:rsidTr="008D7445">
        <w:trPr>
          <w:trHeight w:val="198"/>
        </w:trPr>
        <w:tc>
          <w:tcPr>
            <w:tcW w:w="3262" w:type="dxa"/>
            <w:tcBorders>
              <w:top w:val="single" w:sz="4" w:space="0" w:color="auto"/>
              <w:bottom w:val="single" w:sz="2" w:space="0" w:color="auto"/>
            </w:tcBorders>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Narrow" w:hAnsi="Arial Narrow"/>
                <w:spacing w:val="6"/>
                <w:lang w:val="es-ES"/>
              </w:rPr>
            </w:pPr>
            <w:r w:rsidRPr="00784E54">
              <w:rPr>
                <w:rFonts w:ascii="Arial Narrow" w:hAnsi="Arial Narrow"/>
                <w:spacing w:val="6"/>
                <w:lang w:val="es-ES"/>
              </w:rPr>
              <w:t>Producción energía eléctrica</w:t>
            </w:r>
          </w:p>
        </w:tc>
        <w:tc>
          <w:tcPr>
            <w:tcW w:w="1399"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22.119</w:t>
            </w:r>
          </w:p>
        </w:tc>
        <w:tc>
          <w:tcPr>
            <w:tcW w:w="1400"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21.223</w:t>
            </w:r>
          </w:p>
        </w:tc>
        <w:tc>
          <w:tcPr>
            <w:tcW w:w="1400" w:type="dxa"/>
            <w:tcBorders>
              <w:top w:val="single" w:sz="4" w:space="0" w:color="auto"/>
              <w:bottom w:val="single" w:sz="2"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96</w:t>
            </w:r>
          </w:p>
        </w:tc>
        <w:tc>
          <w:tcPr>
            <w:tcW w:w="1400" w:type="dxa"/>
            <w:tcBorders>
              <w:top w:val="single" w:sz="4" w:space="0" w:color="auto"/>
              <w:bottom w:val="single" w:sz="2" w:space="0" w:color="auto"/>
            </w:tcBorders>
            <w:vAlign w:val="center"/>
          </w:tcPr>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Narrow" w:hAnsi="Arial Narrow"/>
                <w:spacing w:val="6"/>
                <w:lang w:val="es-ES"/>
              </w:rPr>
            </w:pPr>
            <w:r w:rsidRPr="00784E54">
              <w:rPr>
                <w:rFonts w:ascii="Arial Narrow" w:hAnsi="Arial Narrow"/>
                <w:spacing w:val="6"/>
                <w:lang w:val="es-ES"/>
              </w:rPr>
              <w:t>58</w:t>
            </w:r>
          </w:p>
        </w:tc>
      </w:tr>
      <w:tr w:rsidR="00784E54" w:rsidRPr="00784E54" w:rsidTr="008D7445">
        <w:trPr>
          <w:trHeight w:val="198"/>
        </w:trPr>
        <w:tc>
          <w:tcPr>
            <w:tcW w:w="3262" w:type="dxa"/>
            <w:tcBorders>
              <w:top w:val="single" w:sz="2" w:space="0" w:color="auto"/>
              <w:bottom w:val="single" w:sz="4" w:space="0" w:color="auto"/>
            </w:tcBorders>
          </w:tcPr>
          <w:p w:rsidR="00784E54" w:rsidRPr="00784E54" w:rsidRDefault="00784E54" w:rsidP="00784E54">
            <w:pPr>
              <w:tabs>
                <w:tab w:val="center" w:pos="2835"/>
                <w:tab w:val="center" w:pos="3969"/>
                <w:tab w:val="center" w:pos="5103"/>
                <w:tab w:val="center" w:pos="6237"/>
                <w:tab w:val="center" w:pos="7371"/>
              </w:tabs>
              <w:spacing w:after="0"/>
              <w:ind w:firstLine="0"/>
              <w:rPr>
                <w:rFonts w:ascii="Arial Narrow" w:hAnsi="Arial Narrow"/>
                <w:spacing w:val="6"/>
                <w:lang w:val="es-ES"/>
              </w:rPr>
            </w:pPr>
            <w:r w:rsidRPr="00784E54">
              <w:rPr>
                <w:rFonts w:ascii="Arial Narrow" w:hAnsi="Arial Narrow"/>
                <w:spacing w:val="6"/>
                <w:lang w:val="es-ES"/>
              </w:rPr>
              <w:t>Impuesto especial producción energía</w:t>
            </w:r>
          </w:p>
        </w:tc>
        <w:tc>
          <w:tcPr>
            <w:tcW w:w="1399"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20.864</w:t>
            </w:r>
          </w:p>
        </w:tc>
        <w:tc>
          <w:tcPr>
            <w:tcW w:w="1400"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20.883</w:t>
            </w:r>
          </w:p>
        </w:tc>
        <w:tc>
          <w:tcPr>
            <w:tcW w:w="1400" w:type="dxa"/>
            <w:tcBorders>
              <w:top w:val="single" w:sz="2" w:space="0" w:color="auto"/>
              <w:bottom w:val="single" w:sz="4" w:space="0" w:color="auto"/>
            </w:tcBorders>
            <w:vAlign w:val="center"/>
          </w:tcPr>
          <w:p w:rsidR="00784E54" w:rsidRPr="00784E54" w:rsidRDefault="00784E54" w:rsidP="00784E54">
            <w:pPr>
              <w:tabs>
                <w:tab w:val="center" w:pos="2835"/>
                <w:tab w:val="center" w:pos="3969"/>
                <w:tab w:val="center" w:pos="5103"/>
                <w:tab w:val="center" w:pos="6237"/>
                <w:tab w:val="center" w:pos="7371"/>
              </w:tabs>
              <w:spacing w:after="0"/>
              <w:ind w:firstLine="0"/>
              <w:jc w:val="right"/>
              <w:rPr>
                <w:rFonts w:ascii="Arial Narrow" w:hAnsi="Arial Narrow"/>
                <w:spacing w:val="6"/>
                <w:lang w:val="es-ES"/>
              </w:rPr>
            </w:pPr>
            <w:r w:rsidRPr="00784E54">
              <w:rPr>
                <w:rFonts w:ascii="Arial Narrow" w:hAnsi="Arial Narrow"/>
                <w:spacing w:val="6"/>
                <w:lang w:val="es-ES"/>
              </w:rPr>
              <w:t>100</w:t>
            </w:r>
          </w:p>
        </w:tc>
        <w:tc>
          <w:tcPr>
            <w:tcW w:w="1400" w:type="dxa"/>
            <w:tcBorders>
              <w:top w:val="single" w:sz="2" w:space="0" w:color="auto"/>
              <w:bottom w:val="single" w:sz="4" w:space="0" w:color="auto"/>
            </w:tcBorders>
            <w:vAlign w:val="center"/>
          </w:tcPr>
          <w:p w:rsidR="00784E54" w:rsidRPr="00784E54" w:rsidRDefault="00784E54" w:rsidP="008D7445">
            <w:pPr>
              <w:tabs>
                <w:tab w:val="center" w:pos="2835"/>
                <w:tab w:val="center" w:pos="3969"/>
                <w:tab w:val="center" w:pos="5103"/>
                <w:tab w:val="center" w:pos="6237"/>
                <w:tab w:val="center" w:pos="7371"/>
              </w:tabs>
              <w:spacing w:after="0"/>
              <w:ind w:left="-162" w:firstLine="0"/>
              <w:jc w:val="right"/>
              <w:rPr>
                <w:rFonts w:ascii="Arial Narrow" w:hAnsi="Arial Narrow"/>
                <w:spacing w:val="6"/>
                <w:lang w:val="es-ES"/>
              </w:rPr>
            </w:pPr>
            <w:r w:rsidRPr="00784E54">
              <w:rPr>
                <w:rFonts w:ascii="Arial Narrow" w:hAnsi="Arial Narrow"/>
                <w:spacing w:val="6"/>
                <w:lang w:val="es-ES"/>
              </w:rPr>
              <w:t>-8</w:t>
            </w:r>
          </w:p>
        </w:tc>
      </w:tr>
    </w:tbl>
    <w:p w:rsidR="00784E54" w:rsidRPr="00784E54" w:rsidRDefault="00784E54" w:rsidP="00F321CF">
      <w:pPr>
        <w:pStyle w:val="texto"/>
        <w:spacing w:before="240"/>
        <w:rPr>
          <w:rFonts w:cs="Arial"/>
        </w:rPr>
      </w:pPr>
      <w:bookmarkStart w:id="76" w:name="_Toc418853788"/>
      <w:r w:rsidRPr="00784E54">
        <w:rPr>
          <w:lang w:val="es-ES"/>
        </w:rPr>
        <w:lastRenderedPageBreak/>
        <w:t>De la revisión realizada hemos comprobado que, en general, los proced</w:t>
      </w:r>
      <w:r w:rsidRPr="00784E54">
        <w:rPr>
          <w:lang w:val="es-ES"/>
        </w:rPr>
        <w:t>i</w:t>
      </w:r>
      <w:r w:rsidRPr="00784E54">
        <w:rPr>
          <w:lang w:val="es-ES"/>
        </w:rPr>
        <w:t>mientos, liquidación y recaudación se llevaron a cabo de conformidad con su normativa reguladora. En cuanto a la revisión del procedimiento de ambos i</w:t>
      </w:r>
      <w:r w:rsidRPr="00784E54">
        <w:rPr>
          <w:lang w:val="es-ES"/>
        </w:rPr>
        <w:t>m</w:t>
      </w:r>
      <w:r w:rsidRPr="00784E54">
        <w:rPr>
          <w:lang w:val="es-ES"/>
        </w:rPr>
        <w:t>puestos señalamos los siguientes aspectos:</w:t>
      </w:r>
    </w:p>
    <w:p w:rsidR="00784E54" w:rsidRPr="00784E54" w:rsidRDefault="00784E54" w:rsidP="00664032">
      <w:pPr>
        <w:numPr>
          <w:ilvl w:val="0"/>
          <w:numId w:val="7"/>
        </w:numPr>
        <w:tabs>
          <w:tab w:val="left" w:pos="630"/>
        </w:tabs>
        <w:spacing w:before="120"/>
        <w:ind w:left="0" w:firstLine="322"/>
        <w:rPr>
          <w:spacing w:val="6"/>
          <w:sz w:val="26"/>
          <w:szCs w:val="24"/>
          <w:lang w:val="es-ES"/>
        </w:rPr>
      </w:pPr>
      <w:r w:rsidRPr="00784E54">
        <w:rPr>
          <w:rFonts w:cs="Arial"/>
          <w:spacing w:val="6"/>
          <w:sz w:val="26"/>
          <w:szCs w:val="24"/>
        </w:rPr>
        <w:t xml:space="preserve">El impuesto sobre el valor de la producción de energía eléctrica </w:t>
      </w:r>
      <w:r w:rsidRPr="00784E54">
        <w:rPr>
          <w:spacing w:val="6"/>
          <w:sz w:val="26"/>
          <w:szCs w:val="24"/>
          <w:lang w:val="es-ES"/>
        </w:rPr>
        <w:t>se creó en el Estado en 2013 y grava la realización de actividades de producción e i</w:t>
      </w:r>
      <w:r w:rsidRPr="00784E54">
        <w:rPr>
          <w:spacing w:val="6"/>
          <w:sz w:val="26"/>
          <w:szCs w:val="24"/>
          <w:lang w:val="es-ES"/>
        </w:rPr>
        <w:t>n</w:t>
      </w:r>
      <w:r w:rsidRPr="00784E54">
        <w:rPr>
          <w:spacing w:val="6"/>
          <w:sz w:val="26"/>
          <w:szCs w:val="24"/>
          <w:lang w:val="es-ES"/>
        </w:rPr>
        <w:t>corporación al sistema eléctrico de energía eléctrica.</w:t>
      </w:r>
    </w:p>
    <w:p w:rsidR="00784E54" w:rsidRPr="00784E54" w:rsidRDefault="00784E54" w:rsidP="002C0995">
      <w:pPr>
        <w:tabs>
          <w:tab w:val="left" w:pos="480"/>
        </w:tabs>
        <w:spacing w:before="120"/>
        <w:ind w:left="14" w:firstLine="294"/>
        <w:rPr>
          <w:spacing w:val="6"/>
          <w:sz w:val="26"/>
          <w:szCs w:val="24"/>
          <w:lang w:val="es-ES"/>
        </w:rPr>
      </w:pPr>
      <w:r w:rsidRPr="00784E54">
        <w:rPr>
          <w:spacing w:val="6"/>
          <w:sz w:val="26"/>
          <w:szCs w:val="24"/>
          <w:lang w:val="es-ES"/>
        </w:rPr>
        <w:t>La Ley Foral 11/2015, de 18 de marzo, estableció que los titulares de las in</w:t>
      </w:r>
      <w:r w:rsidRPr="00784E54">
        <w:rPr>
          <w:spacing w:val="6"/>
          <w:sz w:val="26"/>
          <w:szCs w:val="24"/>
          <w:lang w:val="es-ES"/>
        </w:rPr>
        <w:t>s</w:t>
      </w:r>
      <w:r w:rsidRPr="00784E54">
        <w:rPr>
          <w:spacing w:val="6"/>
          <w:sz w:val="26"/>
          <w:szCs w:val="24"/>
          <w:lang w:val="es-ES"/>
        </w:rPr>
        <w:t>talaciones de producción de energía eléctrica con una potencia nominal inferior a 100 kw, podrían beneficiarse de deducciones, equivalentes a la cuantía del impuesto abonado, en los impuestos sobre la renta de las personas físicas (</w:t>
      </w:r>
      <w:r w:rsidR="000A20C1">
        <w:rPr>
          <w:spacing w:val="6"/>
          <w:sz w:val="26"/>
          <w:szCs w:val="24"/>
          <w:lang w:val="es-ES"/>
        </w:rPr>
        <w:t>IRPF) y sobre sociedades que se presentaran en 2015 y 2016</w:t>
      </w:r>
      <w:r w:rsidRPr="00784E54">
        <w:rPr>
          <w:spacing w:val="6"/>
          <w:sz w:val="26"/>
          <w:szCs w:val="24"/>
          <w:lang w:val="es-ES"/>
        </w:rPr>
        <w:t xml:space="preserve">. </w:t>
      </w:r>
    </w:p>
    <w:p w:rsidR="00784E54" w:rsidRPr="00784E54" w:rsidRDefault="00784E54" w:rsidP="002C0995">
      <w:pPr>
        <w:tabs>
          <w:tab w:val="center" w:pos="2835"/>
          <w:tab w:val="center" w:pos="3969"/>
          <w:tab w:val="center" w:pos="5103"/>
          <w:tab w:val="center" w:pos="6237"/>
          <w:tab w:val="center" w:pos="7371"/>
        </w:tabs>
        <w:ind w:left="14" w:firstLine="294"/>
        <w:rPr>
          <w:spacing w:val="6"/>
          <w:sz w:val="26"/>
          <w:szCs w:val="24"/>
          <w:lang w:val="es-ES"/>
        </w:rPr>
      </w:pPr>
      <w:r w:rsidRPr="00784E54">
        <w:rPr>
          <w:spacing w:val="6"/>
          <w:sz w:val="26"/>
          <w:szCs w:val="24"/>
          <w:lang w:val="es-ES"/>
        </w:rPr>
        <w:tab/>
        <w:t>Las cantidades deducidas en ambos tributos fueron 2,92 millones de euros en 2016 y 1,99 millones en 2017. Destaca que en 2016 no se fijó un límite de d</w:t>
      </w:r>
      <w:r w:rsidRPr="00784E54">
        <w:rPr>
          <w:spacing w:val="6"/>
          <w:sz w:val="26"/>
          <w:szCs w:val="24"/>
          <w:lang w:val="es-ES"/>
        </w:rPr>
        <w:t>e</w:t>
      </w:r>
      <w:r w:rsidRPr="00784E54">
        <w:rPr>
          <w:spacing w:val="6"/>
          <w:sz w:val="26"/>
          <w:szCs w:val="24"/>
          <w:lang w:val="es-ES"/>
        </w:rPr>
        <w:t xml:space="preserve">ducción y se permitía incluir importes pagados en años anteriores en Navarra; sin embargo, en 2017 se estableció un límite máximo deducible de 500 euros. </w:t>
      </w:r>
    </w:p>
    <w:p w:rsidR="00784E54" w:rsidRPr="00784E54" w:rsidRDefault="00784E54" w:rsidP="00664032">
      <w:pPr>
        <w:numPr>
          <w:ilvl w:val="0"/>
          <w:numId w:val="7"/>
        </w:numPr>
        <w:tabs>
          <w:tab w:val="left" w:pos="630"/>
        </w:tabs>
        <w:spacing w:before="120"/>
        <w:ind w:left="0" w:firstLine="322"/>
        <w:rPr>
          <w:rFonts w:cs="Arial"/>
          <w:spacing w:val="6"/>
          <w:sz w:val="26"/>
          <w:szCs w:val="24"/>
        </w:rPr>
      </w:pPr>
      <w:r w:rsidRPr="002C0995">
        <w:rPr>
          <w:rFonts w:cs="Arial"/>
          <w:spacing w:val="6"/>
          <w:sz w:val="26"/>
          <w:szCs w:val="24"/>
        </w:rPr>
        <w:t>Hemos constatado que la recaudación neta contabilizada en el presupue</w:t>
      </w:r>
      <w:r w:rsidRPr="002C0995">
        <w:rPr>
          <w:rFonts w:cs="Arial"/>
          <w:spacing w:val="6"/>
          <w:sz w:val="26"/>
          <w:szCs w:val="24"/>
        </w:rPr>
        <w:t>s</w:t>
      </w:r>
      <w:r w:rsidRPr="002C0995">
        <w:rPr>
          <w:rFonts w:cs="Arial"/>
          <w:spacing w:val="6"/>
          <w:sz w:val="26"/>
          <w:szCs w:val="24"/>
        </w:rPr>
        <w:t>to del impuesto especial de producción de energía es 527.313 euros inferior a la cantidad establecida en el informe de recaudación de 2016 para este tributo aplicable a este ejercicio</w:t>
      </w:r>
      <w:r w:rsidRPr="00784E54">
        <w:rPr>
          <w:rFonts w:cs="Arial"/>
          <w:spacing w:val="6"/>
          <w:sz w:val="26"/>
          <w:szCs w:val="24"/>
        </w:rPr>
        <w:t xml:space="preserve">. Este hecho es una consecuencia de </w:t>
      </w:r>
      <w:r w:rsidR="000A20C1">
        <w:rPr>
          <w:rFonts w:cs="Arial"/>
          <w:spacing w:val="6"/>
          <w:sz w:val="26"/>
          <w:szCs w:val="24"/>
        </w:rPr>
        <w:t>no aplicar</w:t>
      </w:r>
      <w:r w:rsidRPr="00784E54">
        <w:rPr>
          <w:rFonts w:cs="Arial"/>
          <w:spacing w:val="6"/>
          <w:sz w:val="26"/>
          <w:szCs w:val="24"/>
        </w:rPr>
        <w:t xml:space="preserve"> los principios contables en toda su extensión a la contabilización de los impuestos y de las deficiencias existentes entre la conexión del CAT</w:t>
      </w:r>
      <w:r w:rsidR="000A20C1">
        <w:rPr>
          <w:rFonts w:cs="Arial"/>
          <w:spacing w:val="6"/>
          <w:sz w:val="26"/>
          <w:szCs w:val="24"/>
        </w:rPr>
        <w:t>-GT</w:t>
      </w:r>
      <w:r w:rsidRPr="00784E54">
        <w:rPr>
          <w:rFonts w:cs="Arial"/>
          <w:spacing w:val="6"/>
          <w:sz w:val="26"/>
          <w:szCs w:val="24"/>
        </w:rPr>
        <w:t xml:space="preserve"> y SAPGE21.</w:t>
      </w:r>
    </w:p>
    <w:p w:rsidR="00784E54" w:rsidRPr="005B0D3F" w:rsidRDefault="00784E54" w:rsidP="00B15C51">
      <w:pPr>
        <w:spacing w:before="240" w:after="240"/>
        <w:ind w:firstLine="284"/>
        <w:rPr>
          <w:rFonts w:ascii="Arial" w:hAnsi="Arial"/>
          <w:i/>
          <w:iCs/>
          <w:color w:val="000000"/>
          <w:spacing w:val="10"/>
          <w:kern w:val="28"/>
          <w:sz w:val="25"/>
          <w:szCs w:val="26"/>
          <w:lang w:val="es-ES"/>
        </w:rPr>
      </w:pPr>
      <w:r w:rsidRPr="005B0D3F">
        <w:rPr>
          <w:rFonts w:ascii="Arial" w:hAnsi="Arial"/>
          <w:i/>
          <w:iCs/>
          <w:color w:val="000000"/>
          <w:spacing w:val="10"/>
          <w:kern w:val="28"/>
          <w:sz w:val="25"/>
          <w:szCs w:val="26"/>
          <w:lang w:val="es-ES"/>
        </w:rPr>
        <w:t>Lucha contra el fraude fiscal</w:t>
      </w:r>
    </w:p>
    <w:p w:rsidR="00784E54" w:rsidRPr="00784E54" w:rsidRDefault="00784E54" w:rsidP="00B15C51">
      <w:pPr>
        <w:pStyle w:val="texto"/>
        <w:spacing w:before="240" w:after="120"/>
        <w:rPr>
          <w:lang w:val="es-ES"/>
        </w:rPr>
      </w:pPr>
      <w:r w:rsidRPr="00784E54">
        <w:rPr>
          <w:lang w:val="es-ES"/>
        </w:rPr>
        <w:t>De acuerdo con los datos aportados por la Hacienda Tributaria de Navarra, la lucha contra el fraude fiscal entre 2008 y 2016 ha devengado los siguientes i</w:t>
      </w:r>
      <w:r w:rsidRPr="00784E54">
        <w:rPr>
          <w:lang w:val="es-ES"/>
        </w:rPr>
        <w:t>n</w:t>
      </w:r>
      <w:r w:rsidR="001A35E1">
        <w:rPr>
          <w:lang w:val="es-ES"/>
        </w:rPr>
        <w:t>gresos</w:t>
      </w:r>
      <w:r w:rsidRPr="00784E54">
        <w:rPr>
          <w:lang w:val="es-ES"/>
        </w:rPr>
        <w:t>:</w:t>
      </w:r>
    </w:p>
    <w:tbl>
      <w:tblPr>
        <w:tblW w:w="8805" w:type="dxa"/>
        <w:jc w:val="center"/>
        <w:tblLayout w:type="fixed"/>
        <w:tblCellMar>
          <w:left w:w="70" w:type="dxa"/>
          <w:right w:w="70" w:type="dxa"/>
        </w:tblCellMar>
        <w:tblLook w:val="04A0" w:firstRow="1" w:lastRow="0" w:firstColumn="1" w:lastColumn="0" w:noHBand="0" w:noVBand="1"/>
      </w:tblPr>
      <w:tblGrid>
        <w:gridCol w:w="981"/>
        <w:gridCol w:w="1564"/>
        <w:gridCol w:w="1432"/>
        <w:gridCol w:w="2268"/>
        <w:gridCol w:w="1276"/>
        <w:gridCol w:w="1284"/>
      </w:tblGrid>
      <w:tr w:rsidR="000A20C1" w:rsidRPr="000A20C1" w:rsidTr="000A20C1">
        <w:trPr>
          <w:trHeight w:val="198"/>
          <w:jc w:val="center"/>
        </w:trPr>
        <w:tc>
          <w:tcPr>
            <w:tcW w:w="8805" w:type="dxa"/>
            <w:gridSpan w:val="6"/>
            <w:tcBorders>
              <w:bottom w:val="single" w:sz="4" w:space="0" w:color="auto"/>
            </w:tcBorders>
            <w:shd w:val="clear" w:color="auto" w:fill="auto"/>
            <w:vAlign w:val="center"/>
          </w:tcPr>
          <w:p w:rsidR="000A20C1" w:rsidRPr="000A20C1" w:rsidRDefault="000A20C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0A20C1">
              <w:rPr>
                <w:rFonts w:ascii="Arial" w:hAnsi="Arial" w:cs="Arial"/>
                <w:spacing w:val="6"/>
                <w:sz w:val="17"/>
                <w:szCs w:val="17"/>
              </w:rPr>
              <w:t>(en miles de euros)</w:t>
            </w:r>
          </w:p>
        </w:tc>
      </w:tr>
      <w:tr w:rsidR="00784E54" w:rsidRPr="00784E54" w:rsidTr="008D7445">
        <w:trPr>
          <w:trHeight w:val="198"/>
          <w:jc w:val="center"/>
        </w:trPr>
        <w:tc>
          <w:tcPr>
            <w:tcW w:w="981"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Ejercicio</w:t>
            </w:r>
          </w:p>
        </w:tc>
        <w:tc>
          <w:tcPr>
            <w:tcW w:w="1564" w:type="dxa"/>
            <w:tcBorders>
              <w:top w:val="single" w:sz="4" w:space="0" w:color="auto"/>
              <w:bottom w:val="single" w:sz="4" w:space="0" w:color="auto"/>
            </w:tcBorders>
            <w:shd w:val="clear" w:color="auto" w:fill="8DB3E2" w:themeFill="text2" w:themeFillTint="66"/>
            <w:vAlign w:val="center"/>
            <w:hideMark/>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 xml:space="preserve">Gestión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tributaria</w:t>
            </w:r>
          </w:p>
        </w:tc>
        <w:tc>
          <w:tcPr>
            <w:tcW w:w="1432"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Inspección</w:t>
            </w:r>
          </w:p>
        </w:tc>
        <w:tc>
          <w:tcPr>
            <w:tcW w:w="2268" w:type="dxa"/>
            <w:tcBorders>
              <w:top w:val="single" w:sz="4" w:space="0" w:color="auto"/>
              <w:bottom w:val="single" w:sz="4" w:space="0" w:color="auto"/>
            </w:tcBorders>
            <w:shd w:val="clear" w:color="auto" w:fill="8DB3E2" w:themeFill="text2" w:themeFillTint="66"/>
            <w:vAlign w:val="center"/>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 xml:space="preserve">Otras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actuaciones tributarias*</w:t>
            </w:r>
          </w:p>
        </w:tc>
        <w:tc>
          <w:tcPr>
            <w:tcW w:w="1276" w:type="dxa"/>
            <w:tcBorders>
              <w:top w:val="single" w:sz="4" w:space="0" w:color="auto"/>
              <w:bottom w:val="single" w:sz="4" w:space="0" w:color="auto"/>
            </w:tcBorders>
            <w:shd w:val="clear" w:color="auto" w:fill="8DB3E2" w:themeFill="text2" w:themeFillTint="66"/>
            <w:vAlign w:val="center"/>
            <w:hideMark/>
          </w:tcPr>
          <w:p w:rsidR="008D7445"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 xml:space="preserve">Importe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total</w:t>
            </w:r>
          </w:p>
        </w:tc>
        <w:tc>
          <w:tcPr>
            <w:tcW w:w="1284" w:type="dxa"/>
            <w:tcBorders>
              <w:top w:val="single" w:sz="4" w:space="0" w:color="auto"/>
              <w:bottom w:val="single" w:sz="4" w:space="0" w:color="auto"/>
            </w:tcBorders>
            <w:shd w:val="clear" w:color="auto" w:fill="8DB3E2" w:themeFill="text2" w:themeFillTint="66"/>
            <w:vAlign w:val="center"/>
          </w:tcPr>
          <w:p w:rsidR="00784E54" w:rsidRPr="00784E54" w:rsidRDefault="00DF6A1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í</w:t>
            </w:r>
            <w:r w:rsidR="00784E54" w:rsidRPr="00784E54">
              <w:rPr>
                <w:rFonts w:ascii="Arial" w:hAnsi="Arial" w:cs="Arial"/>
                <w:spacing w:val="6"/>
                <w:sz w:val="18"/>
                <w:szCs w:val="18"/>
              </w:rPr>
              <w:t>ndice</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2008</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83.930</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47.636</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131.566</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100</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2009</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81.404</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56.630</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138.034</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105</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2010</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67.518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54.852</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122.370</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93</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2011</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52.045</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38.808</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90.853</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69</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2012</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58.648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69.499</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128.147</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97</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2013</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57.358</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37.826</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95.184</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72</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2014</w:t>
            </w:r>
          </w:p>
        </w:tc>
        <w:tc>
          <w:tcPr>
            <w:tcW w:w="1564"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56.137</w:t>
            </w:r>
          </w:p>
        </w:tc>
        <w:tc>
          <w:tcPr>
            <w:tcW w:w="1432"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28.681</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84.818</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64</w:t>
            </w:r>
          </w:p>
        </w:tc>
      </w:tr>
      <w:tr w:rsidR="00784E54" w:rsidRPr="00784E54" w:rsidTr="008D7445">
        <w:trPr>
          <w:trHeight w:val="198"/>
          <w:jc w:val="center"/>
        </w:trPr>
        <w:tc>
          <w:tcPr>
            <w:tcW w:w="981"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2015</w:t>
            </w:r>
          </w:p>
        </w:tc>
        <w:tc>
          <w:tcPr>
            <w:tcW w:w="1564"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50.992</w:t>
            </w:r>
          </w:p>
        </w:tc>
        <w:tc>
          <w:tcPr>
            <w:tcW w:w="1432"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45.610</w:t>
            </w:r>
          </w:p>
        </w:tc>
        <w:tc>
          <w:tcPr>
            <w:tcW w:w="2268"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8.129</w:t>
            </w:r>
          </w:p>
        </w:tc>
        <w:tc>
          <w:tcPr>
            <w:tcW w:w="1276" w:type="dxa"/>
            <w:tcBorders>
              <w:top w:val="single" w:sz="2" w:space="0" w:color="auto"/>
              <w:bottom w:val="single" w:sz="2"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104.731</w:t>
            </w:r>
          </w:p>
        </w:tc>
        <w:tc>
          <w:tcPr>
            <w:tcW w:w="1284" w:type="dxa"/>
            <w:tcBorders>
              <w:top w:val="single" w:sz="2" w:space="0" w:color="auto"/>
              <w:bottom w:val="single" w:sz="2"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80</w:t>
            </w:r>
          </w:p>
        </w:tc>
      </w:tr>
      <w:tr w:rsidR="00784E54" w:rsidRPr="00784E54" w:rsidTr="008D7445">
        <w:trPr>
          <w:trHeight w:val="198"/>
          <w:jc w:val="center"/>
        </w:trPr>
        <w:tc>
          <w:tcPr>
            <w:tcW w:w="981"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2016</w:t>
            </w:r>
          </w:p>
        </w:tc>
        <w:tc>
          <w:tcPr>
            <w:tcW w:w="1564"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58.774</w:t>
            </w:r>
          </w:p>
        </w:tc>
        <w:tc>
          <w:tcPr>
            <w:tcW w:w="1432"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46.142</w:t>
            </w:r>
          </w:p>
        </w:tc>
        <w:tc>
          <w:tcPr>
            <w:tcW w:w="2268" w:type="dxa"/>
            <w:tcBorders>
              <w:top w:val="single" w:sz="2" w:space="0" w:color="auto"/>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19.363</w:t>
            </w:r>
          </w:p>
        </w:tc>
        <w:tc>
          <w:tcPr>
            <w:tcW w:w="1276" w:type="dxa"/>
            <w:tcBorders>
              <w:top w:val="single" w:sz="2" w:space="0" w:color="auto"/>
              <w:bottom w:val="single" w:sz="4"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124.279</w:t>
            </w:r>
          </w:p>
        </w:tc>
        <w:tc>
          <w:tcPr>
            <w:tcW w:w="1284" w:type="dxa"/>
            <w:tcBorders>
              <w:top w:val="single" w:sz="2" w:space="0" w:color="auto"/>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784E54">
              <w:rPr>
                <w:rFonts w:ascii="Arial Narrow" w:hAnsi="Arial Narrow" w:cs="Arial"/>
                <w:spacing w:val="6"/>
              </w:rPr>
              <w:t>94</w:t>
            </w:r>
          </w:p>
        </w:tc>
      </w:tr>
    </w:tbl>
    <w:p w:rsidR="008D7445" w:rsidRPr="008D7445" w:rsidRDefault="008D7445" w:rsidP="008D7445">
      <w:pPr>
        <w:keepLines/>
        <w:spacing w:before="60" w:after="0"/>
        <w:ind w:firstLine="0"/>
        <w:jc w:val="left"/>
        <w:rPr>
          <w:rFonts w:ascii="Arial" w:hAnsi="Arial" w:cs="Arial"/>
          <w:spacing w:val="6"/>
          <w:sz w:val="16"/>
          <w:szCs w:val="16"/>
        </w:rPr>
      </w:pPr>
      <w:r w:rsidRPr="008D7445">
        <w:rPr>
          <w:rFonts w:ascii="Arial" w:hAnsi="Arial" w:cs="Arial"/>
          <w:spacing w:val="6"/>
          <w:sz w:val="16"/>
          <w:szCs w:val="16"/>
        </w:rPr>
        <w:t>*En 2015 comienza el recuento de este tipo de actuaciones que no tienen una relación directa con el contribuye</w:t>
      </w:r>
      <w:r w:rsidRPr="008D7445">
        <w:rPr>
          <w:rFonts w:ascii="Arial" w:hAnsi="Arial" w:cs="Arial"/>
          <w:spacing w:val="6"/>
          <w:sz w:val="16"/>
          <w:szCs w:val="16"/>
        </w:rPr>
        <w:t>n</w:t>
      </w:r>
      <w:r w:rsidRPr="008D7445">
        <w:rPr>
          <w:rFonts w:ascii="Arial" w:hAnsi="Arial" w:cs="Arial"/>
          <w:spacing w:val="6"/>
          <w:sz w:val="16"/>
          <w:szCs w:val="16"/>
        </w:rPr>
        <w:t>te pero suponen recaudación para Navarra</w:t>
      </w:r>
      <w:r>
        <w:rPr>
          <w:rFonts w:ascii="Arial" w:hAnsi="Arial" w:cs="Arial"/>
          <w:spacing w:val="6"/>
          <w:sz w:val="16"/>
          <w:szCs w:val="16"/>
        </w:rPr>
        <w:t>.</w:t>
      </w:r>
    </w:p>
    <w:p w:rsidR="00784E54" w:rsidRPr="00784E54" w:rsidRDefault="00784E54" w:rsidP="005B0D3F">
      <w:pPr>
        <w:pStyle w:val="texto"/>
        <w:spacing w:before="240"/>
        <w:rPr>
          <w:lang w:val="es-ES"/>
        </w:rPr>
      </w:pPr>
      <w:r w:rsidRPr="00784E54">
        <w:rPr>
          <w:lang w:val="es-ES"/>
        </w:rPr>
        <w:t xml:space="preserve">Como se observa, los ingresos devengados originados por la lucha contra el fraude fiscal han oscilado significativamente alcanzando su menor valor en </w:t>
      </w:r>
      <w:r w:rsidRPr="00784E54">
        <w:rPr>
          <w:lang w:val="es-ES"/>
        </w:rPr>
        <w:lastRenderedPageBreak/>
        <w:t>2014; sin embargo, desde esa fecha han vuelto a aumentar siendo en 2016 de 124,28 millones de euros.</w:t>
      </w:r>
    </w:p>
    <w:p w:rsidR="00784E54" w:rsidRPr="00784E54" w:rsidRDefault="00784E54" w:rsidP="00211B29">
      <w:pPr>
        <w:pStyle w:val="texto"/>
        <w:spacing w:after="120"/>
        <w:rPr>
          <w:lang w:val="es-ES"/>
        </w:rPr>
      </w:pPr>
      <w:r w:rsidRPr="00784E54">
        <w:rPr>
          <w:lang w:val="es-ES"/>
        </w:rPr>
        <w:t>En el siguiente cuadro comparamos, con un mayor detalle, las actuaciones contra el fraud</w:t>
      </w:r>
      <w:r w:rsidR="000A20C1">
        <w:rPr>
          <w:lang w:val="es-ES"/>
        </w:rPr>
        <w:t>e de los ejercicios 2015 y 2016</w:t>
      </w:r>
      <w:r w:rsidRPr="00784E54">
        <w:rPr>
          <w:lang w:val="es-ES"/>
        </w:rPr>
        <w:t>:</w:t>
      </w:r>
    </w:p>
    <w:tbl>
      <w:tblPr>
        <w:tblW w:w="887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03"/>
        <w:gridCol w:w="1629"/>
        <w:gridCol w:w="1357"/>
        <w:gridCol w:w="1689"/>
        <w:gridCol w:w="994"/>
      </w:tblGrid>
      <w:tr w:rsidR="000A20C1" w:rsidRPr="000A20C1" w:rsidTr="000A20C1">
        <w:trPr>
          <w:trHeight w:val="255"/>
          <w:jc w:val="center"/>
        </w:trPr>
        <w:tc>
          <w:tcPr>
            <w:tcW w:w="8872" w:type="dxa"/>
            <w:gridSpan w:val="5"/>
            <w:tcBorders>
              <w:top w:val="nil"/>
              <w:bottom w:val="single" w:sz="4" w:space="0" w:color="auto"/>
            </w:tcBorders>
            <w:shd w:val="clear" w:color="auto" w:fill="auto"/>
            <w:noWrap/>
            <w:vAlign w:val="center"/>
          </w:tcPr>
          <w:p w:rsidR="000A20C1" w:rsidRPr="000A20C1" w:rsidRDefault="000A20C1" w:rsidP="000A20C1">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784E54" w:rsidRPr="00784E54" w:rsidTr="000A20C1">
        <w:trPr>
          <w:trHeight w:val="255"/>
          <w:jc w:val="center"/>
        </w:trPr>
        <w:tc>
          <w:tcPr>
            <w:tcW w:w="3203" w:type="dxa"/>
            <w:tcBorders>
              <w:top w:val="single" w:sz="4" w:space="0" w:color="auto"/>
              <w:bottom w:val="single" w:sz="2"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Lucha contra el fraude fiscal</w:t>
            </w:r>
          </w:p>
        </w:tc>
        <w:tc>
          <w:tcPr>
            <w:tcW w:w="2986" w:type="dxa"/>
            <w:gridSpan w:val="2"/>
            <w:tcBorders>
              <w:top w:val="single" w:sz="4" w:space="0" w:color="auto"/>
              <w:bottom w:val="single" w:sz="2"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spacing w:val="6"/>
                <w:sz w:val="18"/>
                <w:szCs w:val="18"/>
              </w:rPr>
            </w:pPr>
            <w:r w:rsidRPr="00784E54">
              <w:rPr>
                <w:rFonts w:ascii="Arial" w:hAnsi="Arial"/>
                <w:spacing w:val="6"/>
                <w:sz w:val="18"/>
                <w:szCs w:val="18"/>
              </w:rPr>
              <w:t xml:space="preserve">2015 </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center"/>
              <w:rPr>
                <w:rFonts w:ascii="Arial" w:hAnsi="Arial"/>
                <w:spacing w:val="6"/>
                <w:sz w:val="18"/>
                <w:szCs w:val="18"/>
              </w:rPr>
            </w:pPr>
            <w:r w:rsidRPr="00784E54">
              <w:rPr>
                <w:rFonts w:ascii="Arial" w:hAnsi="Arial"/>
                <w:spacing w:val="6"/>
                <w:sz w:val="18"/>
                <w:szCs w:val="18"/>
              </w:rPr>
              <w:t>2016</w:t>
            </w:r>
          </w:p>
        </w:tc>
      </w:tr>
      <w:tr w:rsidR="00784E54" w:rsidRPr="00784E54" w:rsidTr="000A20C1">
        <w:trPr>
          <w:trHeight w:val="255"/>
          <w:jc w:val="center"/>
        </w:trPr>
        <w:tc>
          <w:tcPr>
            <w:tcW w:w="3203"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Inspección</w:t>
            </w:r>
          </w:p>
        </w:tc>
        <w:tc>
          <w:tcPr>
            <w:tcW w:w="1629"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Nº Actuaciones</w:t>
            </w:r>
          </w:p>
        </w:tc>
        <w:tc>
          <w:tcPr>
            <w:tcW w:w="1357"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Importe</w:t>
            </w:r>
          </w:p>
        </w:tc>
        <w:tc>
          <w:tcPr>
            <w:tcW w:w="1689"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Nº Actuaciones</w:t>
            </w:r>
          </w:p>
        </w:tc>
        <w:tc>
          <w:tcPr>
            <w:tcW w:w="994" w:type="dxa"/>
            <w:tcBorders>
              <w:top w:val="single" w:sz="2"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Importe</w:t>
            </w:r>
          </w:p>
        </w:tc>
      </w:tr>
      <w:tr w:rsidR="00784E54" w:rsidRPr="008D7445" w:rsidTr="000A20C1">
        <w:trPr>
          <w:trHeight w:val="198"/>
          <w:jc w:val="center"/>
        </w:trPr>
        <w:tc>
          <w:tcPr>
            <w:tcW w:w="3203"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Actas inspección</w:t>
            </w:r>
          </w:p>
        </w:tc>
        <w:tc>
          <w:tcPr>
            <w:tcW w:w="162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692</w:t>
            </w:r>
          </w:p>
        </w:tc>
        <w:tc>
          <w:tcPr>
            <w:tcW w:w="1357"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26.767</w:t>
            </w:r>
          </w:p>
        </w:tc>
        <w:tc>
          <w:tcPr>
            <w:tcW w:w="168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573</w:t>
            </w:r>
          </w:p>
        </w:tc>
        <w:tc>
          <w:tcPr>
            <w:tcW w:w="994"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19.869</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Expedientes sancionadores</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407</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8.293</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367</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10.571</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Responsabilidad civil delito</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2.411</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7.982</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Regularizaciones inducidas inspección</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10</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1.482</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9</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434</w:t>
            </w:r>
          </w:p>
        </w:tc>
      </w:tr>
      <w:tr w:rsidR="00784E54" w:rsidRPr="008D7445" w:rsidTr="000A20C1">
        <w:trPr>
          <w:trHeight w:val="198"/>
          <w:jc w:val="center"/>
        </w:trPr>
        <w:tc>
          <w:tcPr>
            <w:tcW w:w="3203"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Eliminación créditos fiscales</w:t>
            </w:r>
          </w:p>
        </w:tc>
        <w:tc>
          <w:tcPr>
            <w:tcW w:w="162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78</w:t>
            </w:r>
          </w:p>
        </w:tc>
        <w:tc>
          <w:tcPr>
            <w:tcW w:w="1357"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6.657</w:t>
            </w:r>
          </w:p>
        </w:tc>
        <w:tc>
          <w:tcPr>
            <w:tcW w:w="1689"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75</w:t>
            </w:r>
          </w:p>
        </w:tc>
        <w:tc>
          <w:tcPr>
            <w:tcW w:w="994" w:type="dxa"/>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7.286</w:t>
            </w:r>
          </w:p>
        </w:tc>
      </w:tr>
      <w:tr w:rsidR="00784E54" w:rsidRPr="00784E54" w:rsidTr="000A20C1">
        <w:trPr>
          <w:trHeight w:val="255"/>
          <w:jc w:val="center"/>
        </w:trPr>
        <w:tc>
          <w:tcPr>
            <w:tcW w:w="3203"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b/>
                <w:spacing w:val="6"/>
                <w:sz w:val="18"/>
                <w:szCs w:val="18"/>
              </w:rPr>
            </w:pPr>
            <w:r w:rsidRPr="00784E54">
              <w:rPr>
                <w:rFonts w:ascii="Arial Narrow" w:hAnsi="Arial Narrow"/>
                <w:b/>
                <w:spacing w:val="6"/>
                <w:sz w:val="18"/>
                <w:szCs w:val="18"/>
              </w:rPr>
              <w:t xml:space="preserve">Total Inspección </w:t>
            </w:r>
          </w:p>
        </w:tc>
        <w:tc>
          <w:tcPr>
            <w:tcW w:w="1629"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1.192</w:t>
            </w:r>
          </w:p>
        </w:tc>
        <w:tc>
          <w:tcPr>
            <w:tcW w:w="1357"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45.610</w:t>
            </w:r>
          </w:p>
        </w:tc>
        <w:tc>
          <w:tcPr>
            <w:tcW w:w="1689"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1.027</w:t>
            </w:r>
          </w:p>
        </w:tc>
        <w:tc>
          <w:tcPr>
            <w:tcW w:w="994" w:type="dxa"/>
            <w:tcBorders>
              <w:bottom w:val="single" w:sz="4" w:space="0" w:color="auto"/>
            </w:tcBorders>
            <w:shd w:val="clear" w:color="auto" w:fill="auto"/>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46.142</w:t>
            </w:r>
          </w:p>
        </w:tc>
      </w:tr>
      <w:tr w:rsidR="00784E54" w:rsidRPr="00784E54" w:rsidTr="000A20C1">
        <w:trPr>
          <w:trHeight w:val="255"/>
          <w:jc w:val="center"/>
        </w:trPr>
        <w:tc>
          <w:tcPr>
            <w:tcW w:w="3203"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Gestión Tributaria</w:t>
            </w:r>
          </w:p>
        </w:tc>
        <w:tc>
          <w:tcPr>
            <w:tcW w:w="1629"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Nº liquidaciones</w:t>
            </w:r>
          </w:p>
        </w:tc>
        <w:tc>
          <w:tcPr>
            <w:tcW w:w="1357"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Importe</w:t>
            </w:r>
          </w:p>
        </w:tc>
        <w:tc>
          <w:tcPr>
            <w:tcW w:w="1689"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Nº liquidaciones</w:t>
            </w:r>
          </w:p>
        </w:tc>
        <w:tc>
          <w:tcPr>
            <w:tcW w:w="994" w:type="dxa"/>
            <w:tcBorders>
              <w:top w:val="single" w:sz="4" w:space="0" w:color="auto"/>
              <w:bottom w:val="single" w:sz="4" w:space="0" w:color="auto"/>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Importe</w:t>
            </w:r>
          </w:p>
        </w:tc>
      </w:tr>
      <w:tr w:rsidR="00784E54" w:rsidRPr="008D7445" w:rsidTr="000A20C1">
        <w:trPr>
          <w:trHeight w:val="198"/>
          <w:jc w:val="center"/>
        </w:trPr>
        <w:tc>
          <w:tcPr>
            <w:tcW w:w="3203"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IVA</w:t>
            </w:r>
          </w:p>
        </w:tc>
        <w:tc>
          <w:tcPr>
            <w:tcW w:w="162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2.559</w:t>
            </w:r>
          </w:p>
        </w:tc>
        <w:tc>
          <w:tcPr>
            <w:tcW w:w="1357"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15.244</w:t>
            </w:r>
          </w:p>
        </w:tc>
        <w:tc>
          <w:tcPr>
            <w:tcW w:w="1689"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3.520</w:t>
            </w:r>
          </w:p>
        </w:tc>
        <w:tc>
          <w:tcPr>
            <w:tcW w:w="994" w:type="dxa"/>
            <w:tcBorders>
              <w:top w:val="single" w:sz="4" w:space="0" w:color="auto"/>
            </w:tcBorders>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12.936</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IRPF</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3.258</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5.852</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4.090</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4.960</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Sociedades</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274</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3.385</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279</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2.185</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Resto impuestos</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1.239</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2.800</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5.674</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5.891</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Sanciones</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18.953</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4.766</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21.641</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5.683</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Recargos extemporáneos</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5.525</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1.984</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4.952</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2.459</w:t>
            </w:r>
          </w:p>
        </w:tc>
      </w:tr>
      <w:tr w:rsidR="00784E54" w:rsidRPr="008D7445" w:rsidTr="000A20C1">
        <w:trPr>
          <w:trHeight w:val="198"/>
          <w:jc w:val="center"/>
        </w:trPr>
        <w:tc>
          <w:tcPr>
            <w:tcW w:w="3203"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Requerimientos</w:t>
            </w:r>
          </w:p>
        </w:tc>
        <w:tc>
          <w:tcPr>
            <w:tcW w:w="162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3.531</w:t>
            </w:r>
          </w:p>
        </w:tc>
        <w:tc>
          <w:tcPr>
            <w:tcW w:w="1357"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4.116</w:t>
            </w:r>
          </w:p>
        </w:tc>
        <w:tc>
          <w:tcPr>
            <w:tcW w:w="1689"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4.584</w:t>
            </w:r>
          </w:p>
        </w:tc>
        <w:tc>
          <w:tcPr>
            <w:tcW w:w="994" w:type="dxa"/>
            <w:shd w:val="clear" w:color="auto" w:fill="auto"/>
            <w:noWrap/>
            <w:vAlign w:val="center"/>
            <w:hideMark/>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5.409</w:t>
            </w:r>
          </w:p>
        </w:tc>
      </w:tr>
      <w:tr w:rsidR="00784E54" w:rsidRPr="008D7445" w:rsidTr="000A20C1">
        <w:trPr>
          <w:trHeight w:val="198"/>
          <w:jc w:val="center"/>
        </w:trPr>
        <w:tc>
          <w:tcPr>
            <w:tcW w:w="3203"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8D7445">
              <w:rPr>
                <w:rFonts w:ascii="Arial Narrow" w:hAnsi="Arial Narrow"/>
                <w:spacing w:val="6"/>
              </w:rPr>
              <w:t>Ingresos inducidos gestión</w:t>
            </w:r>
          </w:p>
        </w:tc>
        <w:tc>
          <w:tcPr>
            <w:tcW w:w="1629"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15.193</w:t>
            </w:r>
          </w:p>
        </w:tc>
        <w:tc>
          <w:tcPr>
            <w:tcW w:w="1357"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12.844</w:t>
            </w:r>
          </w:p>
        </w:tc>
        <w:tc>
          <w:tcPr>
            <w:tcW w:w="1689"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13.677</w:t>
            </w:r>
          </w:p>
        </w:tc>
        <w:tc>
          <w:tcPr>
            <w:tcW w:w="994" w:type="dxa"/>
            <w:tcBorders>
              <w:bottom w:val="single" w:sz="2" w:space="0" w:color="auto"/>
            </w:tcBorders>
            <w:shd w:val="clear" w:color="auto" w:fill="auto"/>
            <w:noWrap/>
            <w:vAlign w:val="center"/>
          </w:tcPr>
          <w:p w:rsidR="00784E54" w:rsidRPr="008D7445"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D7445">
              <w:rPr>
                <w:rFonts w:ascii="Arial Narrow" w:hAnsi="Arial Narrow"/>
                <w:spacing w:val="6"/>
              </w:rPr>
              <w:t>19.251</w:t>
            </w:r>
          </w:p>
        </w:tc>
      </w:tr>
      <w:tr w:rsidR="00784E54" w:rsidRPr="00784E54" w:rsidTr="000A20C1">
        <w:trPr>
          <w:trHeight w:val="255"/>
          <w:jc w:val="center"/>
        </w:trPr>
        <w:tc>
          <w:tcPr>
            <w:tcW w:w="3203"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b/>
                <w:spacing w:val="6"/>
                <w:sz w:val="18"/>
                <w:szCs w:val="18"/>
              </w:rPr>
            </w:pPr>
            <w:r w:rsidRPr="00784E54">
              <w:rPr>
                <w:rFonts w:ascii="Arial Narrow" w:hAnsi="Arial Narrow"/>
                <w:b/>
                <w:spacing w:val="6"/>
                <w:sz w:val="18"/>
                <w:szCs w:val="18"/>
              </w:rPr>
              <w:t>Total Gestión Tributaria</w:t>
            </w:r>
          </w:p>
        </w:tc>
        <w:tc>
          <w:tcPr>
            <w:tcW w:w="1629"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50.532</w:t>
            </w:r>
          </w:p>
        </w:tc>
        <w:tc>
          <w:tcPr>
            <w:tcW w:w="1357"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50.991</w:t>
            </w:r>
          </w:p>
        </w:tc>
        <w:tc>
          <w:tcPr>
            <w:tcW w:w="1689"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58.417</w:t>
            </w:r>
          </w:p>
        </w:tc>
        <w:tc>
          <w:tcPr>
            <w:tcW w:w="994" w:type="dxa"/>
            <w:tcBorders>
              <w:bottom w:val="single" w:sz="4" w:space="0" w:color="auto"/>
            </w:tcBorders>
            <w:shd w:val="clear" w:color="auto" w:fill="FFFFFF" w:themeFill="background1"/>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b/>
                <w:spacing w:val="6"/>
                <w:sz w:val="18"/>
                <w:szCs w:val="18"/>
              </w:rPr>
            </w:pPr>
            <w:r w:rsidRPr="00784E54">
              <w:rPr>
                <w:rFonts w:ascii="Arial Narrow" w:hAnsi="Arial Narrow"/>
                <w:b/>
                <w:spacing w:val="6"/>
                <w:sz w:val="18"/>
                <w:szCs w:val="18"/>
              </w:rPr>
              <w:t>58.774</w:t>
            </w:r>
          </w:p>
        </w:tc>
      </w:tr>
    </w:tbl>
    <w:p w:rsidR="00784E54" w:rsidRPr="00784E54" w:rsidRDefault="00784E54" w:rsidP="005B0D3F">
      <w:pPr>
        <w:pStyle w:val="texto"/>
        <w:spacing w:before="240"/>
        <w:rPr>
          <w:lang w:val="es-ES"/>
        </w:rPr>
      </w:pPr>
      <w:r w:rsidRPr="00784E54">
        <w:rPr>
          <w:lang w:val="es-ES"/>
        </w:rPr>
        <w:t>En 2016, en el área de inspección se han realizado menos actuaciones (165) que en 2015, si bien los ingresos devengados han sido superiores en 0,53 m</w:t>
      </w:r>
      <w:r w:rsidRPr="00784E54">
        <w:rPr>
          <w:lang w:val="es-ES"/>
        </w:rPr>
        <w:t>i</w:t>
      </w:r>
      <w:r w:rsidRPr="00784E54">
        <w:rPr>
          <w:lang w:val="es-ES"/>
        </w:rPr>
        <w:t xml:space="preserve">llones de euros. En lo que respecta a la gestión tributaria, se han practicado 7.885 liquidaciones más que en 2015 que han supuesto en 2016 unos ingresos superiores a los del año anterior en 7,78 millones de euros. </w:t>
      </w:r>
    </w:p>
    <w:p w:rsidR="00784E54" w:rsidRPr="00784E54" w:rsidRDefault="00784E54" w:rsidP="005B0D3F">
      <w:pPr>
        <w:pStyle w:val="texto"/>
        <w:rPr>
          <w:lang w:val="es-ES"/>
        </w:rPr>
      </w:pPr>
      <w:r w:rsidRPr="00784E54">
        <w:rPr>
          <w:lang w:val="es-ES"/>
        </w:rPr>
        <w:t>El Gobierno de Navarra aprobó en su sesión de 26 de octubre de 2016 el te</w:t>
      </w:r>
      <w:r w:rsidRPr="00784E54">
        <w:rPr>
          <w:lang w:val="es-ES"/>
        </w:rPr>
        <w:t>x</w:t>
      </w:r>
      <w:r w:rsidRPr="00784E54">
        <w:rPr>
          <w:lang w:val="es-ES"/>
        </w:rPr>
        <w:t>to definitivo del Plan de Lucha Contra el Fraude Fiscal, tras incorporar al b</w:t>
      </w:r>
      <w:r w:rsidRPr="00784E54">
        <w:rPr>
          <w:lang w:val="es-ES"/>
        </w:rPr>
        <w:t>o</w:t>
      </w:r>
      <w:r w:rsidRPr="00784E54">
        <w:rPr>
          <w:lang w:val="es-ES"/>
        </w:rPr>
        <w:t>rrador las aportaciones de los miembros de la Comisión de Lucha Contra el Fraude Fiscal y la Economía Sumergida, y las</w:t>
      </w:r>
      <w:r w:rsidR="00B15C51">
        <w:rPr>
          <w:lang w:val="es-ES"/>
        </w:rPr>
        <w:t xml:space="preserve"> aportadas por la ciudadanía</w:t>
      </w:r>
      <w:r w:rsidRPr="00784E54">
        <w:rPr>
          <w:lang w:val="es-ES"/>
        </w:rPr>
        <w:t>.</w:t>
      </w:r>
    </w:p>
    <w:p w:rsidR="00784E54" w:rsidRPr="00784E54" w:rsidRDefault="00784E54" w:rsidP="005B0D3F">
      <w:pPr>
        <w:pStyle w:val="texto"/>
        <w:rPr>
          <w:lang w:val="es-ES"/>
        </w:rPr>
      </w:pPr>
      <w:r w:rsidRPr="00784E54">
        <w:rPr>
          <w:lang w:val="es-ES"/>
        </w:rPr>
        <w:t>El Plan tiene previsto intensificar las medidas previstas para recaudar 590 millones de euros hasta 2019 detallando 220 medidas de actuación; esta est</w:t>
      </w:r>
      <w:r w:rsidRPr="00784E54">
        <w:rPr>
          <w:lang w:val="es-ES"/>
        </w:rPr>
        <w:t>i</w:t>
      </w:r>
      <w:r w:rsidRPr="00784E54">
        <w:rPr>
          <w:lang w:val="es-ES"/>
        </w:rPr>
        <w:t>mación supone un impacto económico esperado superior al del plan anterior en un cinco por ciento.</w:t>
      </w:r>
    </w:p>
    <w:p w:rsidR="00784E54" w:rsidRPr="00784E54" w:rsidRDefault="00784E54" w:rsidP="005B0D3F">
      <w:pPr>
        <w:pStyle w:val="texto"/>
        <w:rPr>
          <w:lang w:val="es-ES"/>
        </w:rPr>
      </w:pPr>
      <w:r w:rsidRPr="00784E54">
        <w:rPr>
          <w:lang w:val="es-ES"/>
        </w:rPr>
        <w:t xml:space="preserve">Para poder alcanzar estos objetivos es necesaria una importante inversión en medios materiales y humanos, por lo que se ha incrementado en el presupuesto de 2017 la dotación para estos recursos en 1,5 millones de euros y se aprobó una oferta pública de empleo que contempla la convocatoria de 12 plazas de Gestor de Hacienda y diez de Técnico. </w:t>
      </w:r>
    </w:p>
    <w:p w:rsidR="00DF6A11" w:rsidRDefault="00DF6A11">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784E54" w:rsidRPr="005B0D3F" w:rsidRDefault="00784E54" w:rsidP="005B0D3F">
      <w:pPr>
        <w:spacing w:before="240" w:after="240"/>
        <w:ind w:firstLine="284"/>
        <w:rPr>
          <w:rFonts w:ascii="Arial" w:hAnsi="Arial"/>
          <w:i/>
          <w:iCs/>
          <w:color w:val="000000"/>
          <w:spacing w:val="10"/>
          <w:kern w:val="28"/>
          <w:sz w:val="25"/>
          <w:szCs w:val="26"/>
          <w:lang w:val="es-ES"/>
        </w:rPr>
      </w:pPr>
      <w:r w:rsidRPr="005B0D3F">
        <w:rPr>
          <w:rFonts w:ascii="Arial" w:hAnsi="Arial"/>
          <w:i/>
          <w:iCs/>
          <w:color w:val="000000"/>
          <w:spacing w:val="10"/>
          <w:kern w:val="28"/>
          <w:sz w:val="25"/>
          <w:szCs w:val="26"/>
          <w:lang w:val="es-ES"/>
        </w:rPr>
        <w:lastRenderedPageBreak/>
        <w:t>Tasas, precios públicos y otros ingresos</w:t>
      </w:r>
      <w:bookmarkEnd w:id="76"/>
    </w:p>
    <w:p w:rsidR="00784E54" w:rsidRPr="00784E54" w:rsidRDefault="00784E54" w:rsidP="005B0D3F">
      <w:pPr>
        <w:pStyle w:val="texto"/>
        <w:rPr>
          <w:lang w:val="es-ES"/>
        </w:rPr>
      </w:pPr>
      <w:r w:rsidRPr="00784E54">
        <w:rPr>
          <w:lang w:val="es-ES"/>
        </w:rPr>
        <w:t xml:space="preserve">Las tasas, precios públicos y otros ingresos reconocidos netos en el año 2016 ascendieron a 118,72 millones de euros y el porcentaje de recaudación ascendió al </w:t>
      </w:r>
      <w:r w:rsidR="000A20C1">
        <w:rPr>
          <w:lang w:val="es-ES"/>
        </w:rPr>
        <w:t>74</w:t>
      </w:r>
      <w:r w:rsidRPr="00784E54">
        <w:rPr>
          <w:lang w:val="es-ES"/>
        </w:rPr>
        <w:t xml:space="preserve"> por ciento. Representan el tres por ciento del total de derechos del ejerc</w:t>
      </w:r>
      <w:r w:rsidRPr="00784E54">
        <w:rPr>
          <w:lang w:val="es-ES"/>
        </w:rPr>
        <w:t>i</w:t>
      </w:r>
      <w:r w:rsidRPr="00784E54">
        <w:rPr>
          <w:lang w:val="es-ES"/>
        </w:rPr>
        <w:t>cio. Corresponden a los siguientes conceptos:</w:t>
      </w:r>
    </w:p>
    <w:p w:rsidR="00784E54" w:rsidRPr="00CF254F" w:rsidRDefault="00784E54" w:rsidP="00784E54">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CF254F">
        <w:rPr>
          <w:rFonts w:ascii="Arial" w:hAnsi="Arial"/>
          <w:spacing w:val="6"/>
          <w:sz w:val="17"/>
          <w:szCs w:val="17"/>
          <w:lang w:val="es-ES"/>
        </w:rPr>
        <w:t xml:space="preserve"> (en miles de euros)</w:t>
      </w:r>
    </w:p>
    <w:tbl>
      <w:tblPr>
        <w:tblW w:w="9089" w:type="dxa"/>
        <w:jc w:val="center"/>
        <w:tblCellMar>
          <w:left w:w="70" w:type="dxa"/>
          <w:right w:w="70" w:type="dxa"/>
        </w:tblCellMar>
        <w:tblLook w:val="04A0" w:firstRow="1" w:lastRow="0" w:firstColumn="1" w:lastColumn="0" w:noHBand="0" w:noVBand="1"/>
      </w:tblPr>
      <w:tblGrid>
        <w:gridCol w:w="3426"/>
        <w:gridCol w:w="1376"/>
        <w:gridCol w:w="1257"/>
        <w:gridCol w:w="1257"/>
        <w:gridCol w:w="146"/>
        <w:gridCol w:w="1627"/>
      </w:tblGrid>
      <w:tr w:rsidR="00784E54" w:rsidRPr="0065459C" w:rsidTr="0065459C">
        <w:trPr>
          <w:trHeight w:val="198"/>
          <w:jc w:val="center"/>
        </w:trPr>
        <w:tc>
          <w:tcPr>
            <w:tcW w:w="3426"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65459C">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65459C">
              <w:rPr>
                <w:rFonts w:ascii="Arial" w:hAnsi="Arial"/>
                <w:spacing w:val="6"/>
                <w:sz w:val="16"/>
                <w:szCs w:val="16"/>
              </w:rPr>
              <w:t>Tasas, precios públicos y otros ingresos</w:t>
            </w:r>
          </w:p>
        </w:tc>
        <w:tc>
          <w:tcPr>
            <w:tcW w:w="1376" w:type="dxa"/>
            <w:tcBorders>
              <w:top w:val="single" w:sz="4" w:space="0" w:color="auto"/>
              <w:left w:val="nil"/>
              <w:bottom w:val="single" w:sz="4" w:space="0" w:color="auto"/>
              <w:right w:val="nil"/>
            </w:tcBorders>
            <w:shd w:val="clear" w:color="auto" w:fill="8DB3E2" w:themeFill="text2" w:themeFillTint="66"/>
            <w:vAlign w:val="center"/>
            <w:hideMark/>
          </w:tcPr>
          <w:p w:rsid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Derechos</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 xml:space="preserve"> reconocidos</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netos 2016</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Recaudación neta</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C550A"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Porcentaje</w:t>
            </w:r>
            <w:r w:rsidR="00784E54" w:rsidRPr="0065459C">
              <w:rPr>
                <w:rFonts w:ascii="Arial" w:hAnsi="Arial"/>
                <w:spacing w:val="6"/>
                <w:sz w:val="16"/>
                <w:szCs w:val="16"/>
              </w:rPr>
              <w:t xml:space="preserve"> </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Recaudación</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 xml:space="preserve">% </w:t>
            </w:r>
            <w:r w:rsidR="00171CBB">
              <w:rPr>
                <w:rFonts w:ascii="Arial" w:hAnsi="Arial"/>
                <w:spacing w:val="6"/>
                <w:sz w:val="16"/>
                <w:szCs w:val="16"/>
              </w:rPr>
              <w:t>variación</w:t>
            </w:r>
            <w:r w:rsidRPr="0065459C">
              <w:rPr>
                <w:rFonts w:ascii="Arial" w:hAnsi="Arial"/>
                <w:spacing w:val="6"/>
                <w:sz w:val="16"/>
                <w:szCs w:val="16"/>
              </w:rPr>
              <w:t xml:space="preserve"> </w:t>
            </w:r>
          </w:p>
          <w:p w:rsidR="00784E54" w:rsidRPr="0065459C" w:rsidRDefault="00DB687D"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Der. </w:t>
            </w:r>
            <w:r w:rsidR="00784E54" w:rsidRPr="0065459C">
              <w:rPr>
                <w:rFonts w:ascii="Arial" w:hAnsi="Arial"/>
                <w:spacing w:val="6"/>
                <w:sz w:val="16"/>
                <w:szCs w:val="16"/>
              </w:rPr>
              <w:t>Recon</w:t>
            </w:r>
            <w:r>
              <w:rPr>
                <w:rFonts w:ascii="Arial" w:hAnsi="Arial"/>
                <w:spacing w:val="6"/>
                <w:sz w:val="16"/>
                <w:szCs w:val="16"/>
              </w:rPr>
              <w:t>.</w:t>
            </w:r>
            <w:r w:rsidR="00784E54" w:rsidRPr="0065459C">
              <w:rPr>
                <w:rFonts w:ascii="Arial" w:hAnsi="Arial"/>
                <w:spacing w:val="6"/>
                <w:sz w:val="16"/>
                <w:szCs w:val="16"/>
              </w:rPr>
              <w:t xml:space="preserve"> Netos </w:t>
            </w:r>
          </w:p>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2016/2015</w:t>
            </w:r>
          </w:p>
        </w:tc>
      </w:tr>
      <w:tr w:rsidR="00784E54" w:rsidRPr="00784E54" w:rsidTr="0065459C">
        <w:trPr>
          <w:trHeight w:val="198"/>
          <w:jc w:val="center"/>
        </w:trPr>
        <w:tc>
          <w:tcPr>
            <w:tcW w:w="3426" w:type="dxa"/>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84E54">
              <w:rPr>
                <w:rFonts w:ascii="Arial Narrow" w:hAnsi="Arial Narrow"/>
                <w:spacing w:val="6"/>
                <w:sz w:val="18"/>
                <w:szCs w:val="18"/>
              </w:rPr>
              <w:t xml:space="preserve">Tasas </w:t>
            </w:r>
          </w:p>
        </w:tc>
        <w:tc>
          <w:tcPr>
            <w:tcW w:w="1376"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12.304</w:t>
            </w:r>
          </w:p>
        </w:tc>
        <w:tc>
          <w:tcPr>
            <w:tcW w:w="1257" w:type="dxa"/>
            <w:tcBorders>
              <w:top w:val="single" w:sz="4" w:space="0" w:color="auto"/>
              <w:left w:val="nil"/>
              <w:bottom w:val="single" w:sz="2" w:space="0" w:color="auto"/>
              <w:right w:val="nil"/>
            </w:tcBorders>
            <w:vAlign w:val="center"/>
            <w:hideMark/>
          </w:tcPr>
          <w:p w:rsidR="00784E54" w:rsidRPr="00784E54" w:rsidRDefault="00784E54"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12.0</w:t>
            </w:r>
            <w:r w:rsidR="009343A9">
              <w:rPr>
                <w:rFonts w:ascii="Arial Narrow" w:hAnsi="Arial Narrow"/>
                <w:spacing w:val="6"/>
                <w:sz w:val="18"/>
                <w:szCs w:val="18"/>
              </w:rPr>
              <w:t>77</w:t>
            </w:r>
          </w:p>
        </w:tc>
        <w:tc>
          <w:tcPr>
            <w:tcW w:w="1257"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98</w:t>
            </w:r>
          </w:p>
        </w:tc>
        <w:tc>
          <w:tcPr>
            <w:tcW w:w="146" w:type="dxa"/>
            <w:tcBorders>
              <w:top w:val="single" w:sz="4"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8</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84E54">
              <w:rPr>
                <w:rFonts w:ascii="Arial Narrow" w:hAnsi="Arial Narrow"/>
                <w:spacing w:val="6"/>
                <w:sz w:val="18"/>
                <w:szCs w:val="18"/>
              </w:rPr>
              <w:t>Precios públicos</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52.59</w:t>
            </w:r>
            <w:r w:rsidR="000A20C1">
              <w:rPr>
                <w:rFonts w:ascii="Arial Narrow" w:hAnsi="Arial Narrow"/>
                <w:spacing w:val="6"/>
                <w:sz w:val="18"/>
                <w:szCs w:val="18"/>
              </w:rPr>
              <w:t>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43.682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83</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-2</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84E54">
              <w:rPr>
                <w:rFonts w:ascii="Arial Narrow" w:hAnsi="Arial Narrow"/>
                <w:spacing w:val="6"/>
                <w:sz w:val="18"/>
                <w:szCs w:val="18"/>
              </w:rPr>
              <w:t>Venta de bienes</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2.096</w:t>
            </w:r>
          </w:p>
        </w:tc>
        <w:tc>
          <w:tcPr>
            <w:tcW w:w="1257" w:type="dxa"/>
            <w:tcBorders>
              <w:top w:val="single" w:sz="2" w:space="0" w:color="auto"/>
              <w:left w:val="nil"/>
              <w:bottom w:val="single" w:sz="2" w:space="0" w:color="auto"/>
              <w:right w:val="nil"/>
            </w:tcBorders>
            <w:vAlign w:val="center"/>
            <w:hideMark/>
          </w:tcPr>
          <w:p w:rsidR="00784E54" w:rsidRPr="00784E54" w:rsidRDefault="00784E54"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1.98</w:t>
            </w:r>
            <w:r w:rsidR="009343A9">
              <w:rPr>
                <w:rFonts w:ascii="Arial Narrow" w:hAnsi="Arial Narrow"/>
                <w:spacing w:val="6"/>
                <w:sz w:val="18"/>
                <w:szCs w:val="18"/>
              </w:rPr>
              <w:t>2</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95</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31</w:t>
            </w:r>
          </w:p>
        </w:tc>
      </w:tr>
      <w:tr w:rsidR="00784E54" w:rsidRPr="00784E54" w:rsidTr="0065459C">
        <w:trPr>
          <w:trHeight w:val="198"/>
          <w:jc w:val="center"/>
        </w:trPr>
        <w:tc>
          <w:tcPr>
            <w:tcW w:w="3426" w:type="dxa"/>
            <w:tcBorders>
              <w:top w:val="single" w:sz="2"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84E54">
              <w:rPr>
                <w:rFonts w:ascii="Arial Narrow" w:hAnsi="Arial Narrow"/>
                <w:spacing w:val="6"/>
                <w:sz w:val="18"/>
                <w:szCs w:val="18"/>
              </w:rPr>
              <w:t>Reintegro de operaciones</w:t>
            </w:r>
          </w:p>
        </w:tc>
        <w:tc>
          <w:tcPr>
            <w:tcW w:w="1376"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9.040</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5.474</w:t>
            </w:r>
          </w:p>
        </w:tc>
        <w:tc>
          <w:tcPr>
            <w:tcW w:w="125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61</w:t>
            </w:r>
          </w:p>
        </w:tc>
        <w:tc>
          <w:tcPr>
            <w:tcW w:w="146" w:type="dxa"/>
            <w:tcBorders>
              <w:top w:val="single" w:sz="2" w:space="0" w:color="auto"/>
              <w:left w:val="nil"/>
              <w:bottom w:val="single" w:sz="2"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19</w:t>
            </w:r>
          </w:p>
        </w:tc>
      </w:tr>
      <w:tr w:rsidR="00784E54" w:rsidRPr="00784E54" w:rsidTr="0065459C">
        <w:trPr>
          <w:trHeight w:val="198"/>
          <w:jc w:val="center"/>
        </w:trPr>
        <w:tc>
          <w:tcPr>
            <w:tcW w:w="3426" w:type="dxa"/>
            <w:tcBorders>
              <w:top w:val="single" w:sz="2" w:space="0" w:color="auto"/>
              <w:left w:val="nil"/>
              <w:bottom w:val="single" w:sz="4"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84E54">
              <w:rPr>
                <w:rFonts w:ascii="Arial Narrow" w:hAnsi="Arial Narrow"/>
                <w:spacing w:val="6"/>
                <w:sz w:val="18"/>
                <w:szCs w:val="18"/>
              </w:rPr>
              <w:t>Otros ingresos</w:t>
            </w:r>
          </w:p>
        </w:tc>
        <w:tc>
          <w:tcPr>
            <w:tcW w:w="1376" w:type="dxa"/>
            <w:tcBorders>
              <w:top w:val="single" w:sz="2" w:space="0" w:color="auto"/>
              <w:left w:val="nil"/>
              <w:bottom w:val="single" w:sz="4"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42.692</w:t>
            </w:r>
          </w:p>
        </w:tc>
        <w:tc>
          <w:tcPr>
            <w:tcW w:w="1257" w:type="dxa"/>
            <w:tcBorders>
              <w:top w:val="single" w:sz="2" w:space="0" w:color="auto"/>
              <w:left w:val="nil"/>
              <w:bottom w:val="single" w:sz="4" w:space="0" w:color="auto"/>
              <w:right w:val="nil"/>
            </w:tcBorders>
            <w:vAlign w:val="center"/>
            <w:hideMark/>
          </w:tcPr>
          <w:p w:rsidR="00784E54" w:rsidRPr="00784E54" w:rsidRDefault="009343A9" w:rsidP="009343A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24.898</w:t>
            </w:r>
          </w:p>
        </w:tc>
        <w:tc>
          <w:tcPr>
            <w:tcW w:w="1257" w:type="dxa"/>
            <w:tcBorders>
              <w:top w:val="single" w:sz="2" w:space="0" w:color="auto"/>
              <w:left w:val="nil"/>
              <w:bottom w:val="single" w:sz="4" w:space="0" w:color="auto"/>
              <w:right w:val="nil"/>
            </w:tcBorders>
            <w:vAlign w:val="center"/>
            <w:hideMark/>
          </w:tcPr>
          <w:p w:rsidR="00784E54" w:rsidRPr="00784E54" w:rsidRDefault="009343A9"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58</w:t>
            </w:r>
          </w:p>
        </w:tc>
        <w:tc>
          <w:tcPr>
            <w:tcW w:w="146" w:type="dxa"/>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4"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-16</w:t>
            </w:r>
          </w:p>
        </w:tc>
      </w:tr>
      <w:tr w:rsidR="00784E54" w:rsidRPr="0065459C" w:rsidTr="0065459C">
        <w:trPr>
          <w:trHeight w:val="255"/>
          <w:jc w:val="center"/>
        </w:trPr>
        <w:tc>
          <w:tcPr>
            <w:tcW w:w="3426" w:type="dxa"/>
            <w:tcBorders>
              <w:top w:val="single" w:sz="4" w:space="0" w:color="auto"/>
              <w:left w:val="nil"/>
              <w:bottom w:val="single" w:sz="4" w:space="0" w:color="auto"/>
              <w:right w:val="nil"/>
            </w:tcBorders>
            <w:shd w:val="clear" w:color="auto" w:fill="8DB3E2" w:themeFill="text2" w:themeFillTint="66"/>
            <w:noWrap/>
            <w:vAlign w:val="center"/>
            <w:hideMark/>
          </w:tcPr>
          <w:p w:rsidR="00784E54" w:rsidRPr="0065459C" w:rsidRDefault="00784E54" w:rsidP="0065459C">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65459C">
              <w:rPr>
                <w:rFonts w:ascii="Arial" w:hAnsi="Arial"/>
                <w:spacing w:val="6"/>
                <w:sz w:val="16"/>
                <w:szCs w:val="16"/>
              </w:rPr>
              <w:t>Total tasas, prec</w:t>
            </w:r>
            <w:r w:rsidR="0065459C" w:rsidRPr="0065459C">
              <w:rPr>
                <w:rFonts w:ascii="Arial" w:hAnsi="Arial"/>
                <w:spacing w:val="6"/>
                <w:sz w:val="16"/>
                <w:szCs w:val="16"/>
              </w:rPr>
              <w:t>.</w:t>
            </w:r>
            <w:r w:rsidRPr="0065459C">
              <w:rPr>
                <w:rFonts w:ascii="Arial" w:hAnsi="Arial"/>
                <w:spacing w:val="6"/>
                <w:sz w:val="16"/>
                <w:szCs w:val="16"/>
              </w:rPr>
              <w:t xml:space="preserve"> </w:t>
            </w:r>
            <w:r w:rsidR="0065459C" w:rsidRPr="0065459C">
              <w:rPr>
                <w:rFonts w:ascii="Arial" w:hAnsi="Arial"/>
                <w:spacing w:val="6"/>
                <w:sz w:val="16"/>
                <w:szCs w:val="16"/>
              </w:rPr>
              <w:t>p</w:t>
            </w:r>
            <w:r w:rsidRPr="0065459C">
              <w:rPr>
                <w:rFonts w:ascii="Arial" w:hAnsi="Arial"/>
                <w:spacing w:val="6"/>
                <w:sz w:val="16"/>
                <w:szCs w:val="16"/>
              </w:rPr>
              <w:t>úblic</w:t>
            </w:r>
            <w:r w:rsidR="0065459C" w:rsidRPr="0065459C">
              <w:rPr>
                <w:rFonts w:ascii="Arial" w:hAnsi="Arial"/>
                <w:spacing w:val="6"/>
                <w:sz w:val="16"/>
                <w:szCs w:val="16"/>
              </w:rPr>
              <w:t>.</w:t>
            </w:r>
            <w:r w:rsidRPr="0065459C">
              <w:rPr>
                <w:rFonts w:ascii="Arial" w:hAnsi="Arial"/>
                <w:spacing w:val="6"/>
                <w:sz w:val="16"/>
                <w:szCs w:val="16"/>
              </w:rPr>
              <w:t xml:space="preserve"> y otros ingr</w:t>
            </w:r>
            <w:r w:rsidR="0065459C">
              <w:rPr>
                <w:rFonts w:ascii="Arial" w:hAnsi="Arial"/>
                <w:spacing w:val="6"/>
                <w:sz w:val="16"/>
                <w:szCs w:val="16"/>
              </w:rPr>
              <w:t>esos</w:t>
            </w:r>
          </w:p>
        </w:tc>
        <w:tc>
          <w:tcPr>
            <w:tcW w:w="1376"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0A20C1">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fldChar w:fldCharType="begin"/>
            </w:r>
            <w:r w:rsidRPr="0065459C">
              <w:rPr>
                <w:rFonts w:ascii="Arial" w:hAnsi="Arial"/>
                <w:spacing w:val="6"/>
                <w:sz w:val="16"/>
                <w:szCs w:val="16"/>
              </w:rPr>
              <w:instrText xml:space="preserve"> =SUM(ABOVE) </w:instrText>
            </w:r>
            <w:r w:rsidRPr="0065459C">
              <w:rPr>
                <w:rFonts w:ascii="Arial" w:hAnsi="Arial"/>
                <w:spacing w:val="6"/>
                <w:sz w:val="16"/>
                <w:szCs w:val="16"/>
              </w:rPr>
              <w:fldChar w:fldCharType="separate"/>
            </w:r>
            <w:r w:rsidRPr="0065459C">
              <w:rPr>
                <w:rFonts w:ascii="Arial" w:hAnsi="Arial"/>
                <w:spacing w:val="6"/>
                <w:sz w:val="16"/>
                <w:szCs w:val="16"/>
              </w:rPr>
              <w:t>118.72</w:t>
            </w:r>
            <w:r w:rsidRPr="0065459C">
              <w:rPr>
                <w:rFonts w:ascii="Arial" w:hAnsi="Arial"/>
                <w:spacing w:val="6"/>
                <w:sz w:val="16"/>
                <w:szCs w:val="16"/>
              </w:rPr>
              <w:fldChar w:fldCharType="end"/>
            </w:r>
            <w:r w:rsidR="000A20C1">
              <w:rPr>
                <w:rFonts w:ascii="Arial" w:hAnsi="Arial"/>
                <w:spacing w:val="6"/>
                <w:sz w:val="16"/>
                <w:szCs w:val="16"/>
              </w:rPr>
              <w:t>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fldChar w:fldCharType="begin"/>
            </w:r>
            <w:r w:rsidRPr="0065459C">
              <w:rPr>
                <w:rFonts w:ascii="Arial" w:hAnsi="Arial"/>
                <w:spacing w:val="6"/>
                <w:sz w:val="16"/>
                <w:szCs w:val="16"/>
              </w:rPr>
              <w:instrText xml:space="preserve"> =SUM(ABOVE) </w:instrText>
            </w:r>
            <w:r w:rsidRPr="0065459C">
              <w:rPr>
                <w:rFonts w:ascii="Arial" w:hAnsi="Arial"/>
                <w:spacing w:val="6"/>
                <w:sz w:val="16"/>
                <w:szCs w:val="16"/>
              </w:rPr>
              <w:fldChar w:fldCharType="end"/>
            </w:r>
            <w:r w:rsidR="00DB687D">
              <w:rPr>
                <w:rFonts w:ascii="Arial" w:hAnsi="Arial"/>
                <w:spacing w:val="6"/>
                <w:sz w:val="16"/>
                <w:szCs w:val="16"/>
              </w:rPr>
              <w:t>88.113</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9343A9"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74</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784E54" w:rsidRPr="0065459C"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65459C">
              <w:rPr>
                <w:rFonts w:ascii="Arial" w:hAnsi="Arial"/>
                <w:spacing w:val="6"/>
                <w:sz w:val="16"/>
                <w:szCs w:val="16"/>
              </w:rPr>
              <w:t>-5</w:t>
            </w:r>
          </w:p>
        </w:tc>
      </w:tr>
    </w:tbl>
    <w:p w:rsidR="00784E54" w:rsidRPr="00784E54" w:rsidRDefault="00784E54" w:rsidP="005B0D3F">
      <w:pPr>
        <w:pStyle w:val="texto"/>
        <w:spacing w:before="240"/>
        <w:rPr>
          <w:lang w:val="es-ES"/>
        </w:rPr>
      </w:pPr>
      <w:r w:rsidRPr="00784E54">
        <w:rPr>
          <w:lang w:val="es-ES"/>
        </w:rPr>
        <w:t xml:space="preserve">Los ingresos por tasas ascendieron a 12,30 millones de euros, de los cuales 8,69 millones corresponden a las tasas derivadas de la actividad del juego. Al cierre del ejercicio 2016 se habían recaudado en un 98 por ciento. </w:t>
      </w:r>
    </w:p>
    <w:p w:rsidR="00784E54" w:rsidRPr="00784E54" w:rsidRDefault="00784E54" w:rsidP="005B0D3F">
      <w:pPr>
        <w:pStyle w:val="texto"/>
        <w:rPr>
          <w:lang w:val="es-ES"/>
        </w:rPr>
      </w:pPr>
      <w:r w:rsidRPr="00784E54">
        <w:rPr>
          <w:lang w:val="es-ES"/>
        </w:rPr>
        <w:t>Los ingresos por precios públicos devengados en 2016 ascendieron a 52,59 millones de euros, entre los que destacan los ingresos por prestación de serv</w:t>
      </w:r>
      <w:r w:rsidRPr="00784E54">
        <w:rPr>
          <w:lang w:val="es-ES"/>
        </w:rPr>
        <w:t>i</w:t>
      </w:r>
      <w:r w:rsidRPr="00784E54">
        <w:rPr>
          <w:lang w:val="es-ES"/>
        </w:rPr>
        <w:t>cios sociales con 38,71 millones y los ingresos por conciertos con otras entid</w:t>
      </w:r>
      <w:r w:rsidRPr="00784E54">
        <w:rPr>
          <w:lang w:val="es-ES"/>
        </w:rPr>
        <w:t>a</w:t>
      </w:r>
      <w:r w:rsidRPr="00784E54">
        <w:rPr>
          <w:lang w:val="es-ES"/>
        </w:rPr>
        <w:t>des por asistencia médica con 9,39 millones. La recaudación de los precios p</w:t>
      </w:r>
      <w:r w:rsidRPr="00784E54">
        <w:rPr>
          <w:lang w:val="es-ES"/>
        </w:rPr>
        <w:t>ú</w:t>
      </w:r>
      <w:r w:rsidRPr="00784E54">
        <w:rPr>
          <w:lang w:val="es-ES"/>
        </w:rPr>
        <w:t>blicos al cierre de 2016 se situó en el 83 por ciento del total devengado por t</w:t>
      </w:r>
      <w:r w:rsidRPr="00784E54">
        <w:rPr>
          <w:lang w:val="es-ES"/>
        </w:rPr>
        <w:t>a</w:t>
      </w:r>
      <w:r w:rsidRPr="00784E54">
        <w:rPr>
          <w:lang w:val="es-ES"/>
        </w:rPr>
        <w:t>les ingresos.</w:t>
      </w:r>
    </w:p>
    <w:p w:rsidR="00784E54" w:rsidRPr="00784E54" w:rsidRDefault="00784E54" w:rsidP="005B0D3F">
      <w:pPr>
        <w:pStyle w:val="texto"/>
        <w:rPr>
          <w:rFonts w:cs="Arial"/>
        </w:rPr>
      </w:pPr>
      <w:r w:rsidRPr="00784E54">
        <w:rPr>
          <w:lang w:val="es-ES"/>
        </w:rPr>
        <w:t xml:space="preserve">Los principales conceptos incluidos en la denominación de otros ingresos son los siguientes: </w:t>
      </w:r>
      <w:r w:rsidRPr="00784E54">
        <w:rPr>
          <w:rFonts w:cs="Arial"/>
        </w:rPr>
        <w:t>multas y sanciones con 20,26 millones, recargos con 9,72 millones e intereses de demora con 2,68 millones.</w:t>
      </w:r>
    </w:p>
    <w:p w:rsidR="00784E54" w:rsidRPr="00784E54" w:rsidRDefault="00784E54" w:rsidP="005B0D3F">
      <w:pPr>
        <w:pStyle w:val="texto"/>
        <w:spacing w:after="240"/>
      </w:pPr>
      <w:r w:rsidRPr="00784E54">
        <w:t>Hemos revisado el procedimiento y una muestra de los precios públicos d</w:t>
      </w:r>
      <w:r w:rsidRPr="00784E54">
        <w:t>e</w:t>
      </w:r>
      <w:r w:rsidRPr="00784E54">
        <w:t xml:space="preserve">rivados de </w:t>
      </w:r>
      <w:r w:rsidR="00DB687D">
        <w:t>la prestación de servicios sanitarios</w:t>
      </w:r>
      <w:r w:rsidRPr="00784E54">
        <w:t xml:space="preserve"> cuya ejecución en 2016 fue:</w:t>
      </w:r>
    </w:p>
    <w:tbl>
      <w:tblPr>
        <w:tblW w:w="8864" w:type="dxa"/>
        <w:jc w:val="center"/>
        <w:tblBorders>
          <w:top w:val="single" w:sz="4" w:space="0" w:color="auto"/>
          <w:bottom w:val="single" w:sz="4" w:space="0" w:color="auto"/>
          <w:insideH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200"/>
        <w:gridCol w:w="1347"/>
        <w:gridCol w:w="1347"/>
        <w:gridCol w:w="1347"/>
        <w:gridCol w:w="1347"/>
        <w:gridCol w:w="1276"/>
      </w:tblGrid>
      <w:tr w:rsidR="0065459C" w:rsidRPr="00784E54" w:rsidTr="0065459C">
        <w:trPr>
          <w:trHeight w:val="198"/>
          <w:jc w:val="center"/>
        </w:trPr>
        <w:tc>
          <w:tcPr>
            <w:tcW w:w="2200"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p>
        </w:tc>
        <w:tc>
          <w:tcPr>
            <w:tcW w:w="1347" w:type="dxa"/>
            <w:shd w:val="clear" w:color="auto" w:fill="8DB3E2" w:themeFill="text2" w:themeFillTint="66"/>
            <w:vAlign w:val="center"/>
            <w:hideMark/>
          </w:tcPr>
          <w:p w:rsidR="0065459C"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Derechos </w:t>
            </w:r>
          </w:p>
          <w:p w:rsidR="0065459C"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Reconocidos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Netos 2016</w:t>
            </w:r>
          </w:p>
        </w:tc>
        <w:tc>
          <w:tcPr>
            <w:tcW w:w="1347"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Recaudación neta</w:t>
            </w:r>
          </w:p>
        </w:tc>
        <w:tc>
          <w:tcPr>
            <w:tcW w:w="1347" w:type="dxa"/>
            <w:shd w:val="clear" w:color="auto" w:fill="8DB3E2" w:themeFill="text2" w:themeFillTint="66"/>
            <w:vAlign w:val="center"/>
            <w:hideMark/>
          </w:tcPr>
          <w:p w:rsidR="0065459C" w:rsidRPr="00784E54" w:rsidRDefault="007C550A"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Porcentaje</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Recaudación</w:t>
            </w:r>
          </w:p>
        </w:tc>
        <w:tc>
          <w:tcPr>
            <w:tcW w:w="1347"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Derechos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Reconocidos Netos 2015</w:t>
            </w:r>
          </w:p>
        </w:tc>
        <w:tc>
          <w:tcPr>
            <w:tcW w:w="1276" w:type="dxa"/>
            <w:shd w:val="clear" w:color="auto" w:fill="8DB3E2" w:themeFill="text2" w:themeFillTint="66"/>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 xml:space="preserve">% </w:t>
            </w:r>
            <w:r w:rsidR="00171CBB">
              <w:rPr>
                <w:rFonts w:ascii="Arial" w:hAnsi="Arial"/>
                <w:spacing w:val="6"/>
                <w:sz w:val="16"/>
                <w:szCs w:val="16"/>
              </w:rPr>
              <w:t>v</w:t>
            </w:r>
            <w:r w:rsidRPr="00784E54">
              <w:rPr>
                <w:rFonts w:ascii="Arial" w:hAnsi="Arial"/>
                <w:spacing w:val="6"/>
                <w:sz w:val="16"/>
                <w:szCs w:val="16"/>
              </w:rPr>
              <w:t xml:space="preserve">ariación DRN </w:t>
            </w:r>
          </w:p>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84E54">
              <w:rPr>
                <w:rFonts w:ascii="Arial" w:hAnsi="Arial"/>
                <w:spacing w:val="6"/>
                <w:sz w:val="16"/>
                <w:szCs w:val="16"/>
              </w:rPr>
              <w:t>2016/2015</w:t>
            </w:r>
          </w:p>
        </w:tc>
      </w:tr>
      <w:tr w:rsidR="0065459C" w:rsidRPr="00784E54" w:rsidTr="0065459C">
        <w:trPr>
          <w:trHeight w:val="198"/>
          <w:jc w:val="center"/>
        </w:trPr>
        <w:tc>
          <w:tcPr>
            <w:tcW w:w="2200" w:type="dxa"/>
            <w:shd w:val="clear" w:color="auto" w:fill="FFFFFF" w:themeFill="background1"/>
            <w:noWrap/>
            <w:vAlign w:val="center"/>
            <w:hideMark/>
          </w:tcPr>
          <w:p w:rsidR="0065459C" w:rsidRPr="00784E54" w:rsidRDefault="00DB687D" w:rsidP="00784E54">
            <w:pPr>
              <w:keepLines/>
              <w:tabs>
                <w:tab w:val="right" w:pos="2835"/>
                <w:tab w:val="right" w:pos="3969"/>
                <w:tab w:val="right" w:pos="5103"/>
                <w:tab w:val="right" w:pos="6330"/>
                <w:tab w:val="right" w:pos="7371"/>
              </w:tabs>
              <w:spacing w:after="0"/>
              <w:ind w:firstLine="0"/>
              <w:jc w:val="left"/>
              <w:rPr>
                <w:rFonts w:ascii="Arial Narrow" w:hAnsi="Arial Narrow"/>
                <w:spacing w:val="6"/>
                <w:sz w:val="18"/>
                <w:szCs w:val="18"/>
              </w:rPr>
            </w:pPr>
            <w:r>
              <w:rPr>
                <w:rFonts w:ascii="Arial Narrow" w:hAnsi="Arial Narrow"/>
                <w:spacing w:val="6"/>
                <w:sz w:val="18"/>
                <w:szCs w:val="18"/>
              </w:rPr>
              <w:t>Ingresos por prestación de servicios sanitarios</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9.390.669</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8.851.598</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94</w:t>
            </w:r>
          </w:p>
        </w:tc>
        <w:tc>
          <w:tcPr>
            <w:tcW w:w="1347"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8.014.301</w:t>
            </w:r>
          </w:p>
        </w:tc>
        <w:tc>
          <w:tcPr>
            <w:tcW w:w="1276" w:type="dxa"/>
            <w:shd w:val="clear" w:color="auto" w:fill="FFFFFF" w:themeFill="background1"/>
            <w:vAlign w:val="center"/>
            <w:hideMark/>
          </w:tcPr>
          <w:p w:rsidR="0065459C" w:rsidRPr="00784E54" w:rsidRDefault="0065459C" w:rsidP="00784E54">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84E54">
              <w:rPr>
                <w:rFonts w:ascii="Arial Narrow" w:hAnsi="Arial Narrow"/>
                <w:spacing w:val="6"/>
                <w:sz w:val="18"/>
                <w:szCs w:val="18"/>
              </w:rPr>
              <w:t>-6</w:t>
            </w:r>
          </w:p>
        </w:tc>
      </w:tr>
    </w:tbl>
    <w:p w:rsidR="00784E54" w:rsidRPr="00784E54" w:rsidRDefault="00784E54" w:rsidP="005B0D3F">
      <w:pPr>
        <w:pStyle w:val="texto"/>
        <w:spacing w:before="240"/>
        <w:rPr>
          <w:lang w:val="es-ES"/>
        </w:rPr>
      </w:pPr>
      <w:r w:rsidRPr="00784E54">
        <w:rPr>
          <w:lang w:val="es-ES"/>
        </w:rPr>
        <w:t>Los derechos reconocidos en 2016 fueron 9,39 millones de euros, un seis por ciento menos que en 2015, cobrándose 8,85 millones al cierre del ejercicio.</w:t>
      </w:r>
    </w:p>
    <w:p w:rsidR="00784E54" w:rsidRPr="00784E54" w:rsidRDefault="00784E54" w:rsidP="005B0D3F">
      <w:pPr>
        <w:pStyle w:val="texto"/>
        <w:rPr>
          <w:lang w:val="es-ES"/>
        </w:rPr>
      </w:pPr>
      <w:r w:rsidRPr="00784E54">
        <w:rPr>
          <w:lang w:val="es-ES"/>
        </w:rPr>
        <w:t>En el análisis del procedimiento de gestión hemos verificado que el recon</w:t>
      </w:r>
      <w:r w:rsidRPr="00784E54">
        <w:rPr>
          <w:lang w:val="es-ES"/>
        </w:rPr>
        <w:t>o</w:t>
      </w:r>
      <w:r w:rsidRPr="00784E54">
        <w:rPr>
          <w:lang w:val="es-ES"/>
        </w:rPr>
        <w:t>cimiento del derecho en el presupuesto se hace de forma simultánea al cobro, o cuando se envía la gestión del cobro a la agencia ejecutiva por impago en pl</w:t>
      </w:r>
      <w:r w:rsidRPr="00784E54">
        <w:rPr>
          <w:lang w:val="es-ES"/>
        </w:rPr>
        <w:t>a</w:t>
      </w:r>
      <w:r w:rsidRPr="00784E54">
        <w:rPr>
          <w:lang w:val="es-ES"/>
        </w:rPr>
        <w:t>zo. Esto motiva que puedan existir derechos que no se hayan contabilizado en el presupuesto del ejercicio, y otros registrados que no pertenezcan al año en curso. Así, según la información que nos han proporcionado</w:t>
      </w:r>
      <w:r w:rsidR="00B15C51">
        <w:rPr>
          <w:lang w:val="es-ES"/>
        </w:rPr>
        <w:t>,</w:t>
      </w:r>
      <w:r w:rsidRPr="00784E54">
        <w:rPr>
          <w:lang w:val="es-ES"/>
        </w:rPr>
        <w:t xml:space="preserve"> en 2016 se emiti</w:t>
      </w:r>
      <w:r w:rsidRPr="00784E54">
        <w:rPr>
          <w:lang w:val="es-ES"/>
        </w:rPr>
        <w:t>e</w:t>
      </w:r>
      <w:r w:rsidRPr="00784E54">
        <w:rPr>
          <w:lang w:val="es-ES"/>
        </w:rPr>
        <w:lastRenderedPageBreak/>
        <w:t xml:space="preserve">ron 12.161 facturas por valor de 10,15 millones de los cuales </w:t>
      </w:r>
      <w:r w:rsidR="00B15C51">
        <w:rPr>
          <w:lang w:val="es-ES"/>
        </w:rPr>
        <w:t>a 31 de diciembre de 2016 se habían cobrado</w:t>
      </w:r>
      <w:r w:rsidRPr="00784E54">
        <w:rPr>
          <w:lang w:val="es-ES"/>
        </w:rPr>
        <w:t xml:space="preserve"> </w:t>
      </w:r>
      <w:r w:rsidR="00B15C51">
        <w:rPr>
          <w:lang w:val="es-ES"/>
        </w:rPr>
        <w:t>7,74</w:t>
      </w:r>
      <w:r w:rsidRPr="00784E54">
        <w:rPr>
          <w:lang w:val="es-ES"/>
        </w:rPr>
        <w:t xml:space="preserve"> millones.</w:t>
      </w:r>
    </w:p>
    <w:p w:rsidR="00784E54" w:rsidRPr="00784E54" w:rsidRDefault="00784E54" w:rsidP="005B0D3F">
      <w:pPr>
        <w:pStyle w:val="texto"/>
        <w:rPr>
          <w:lang w:val="es-ES"/>
        </w:rPr>
      </w:pPr>
      <w:r w:rsidRPr="00784E54">
        <w:rPr>
          <w:lang w:val="es-ES"/>
        </w:rPr>
        <w:t xml:space="preserve">Además, no consta publicada la actualización de las tarifas que se cobran por los servicios prestados. </w:t>
      </w:r>
    </w:p>
    <w:p w:rsidR="00784E54" w:rsidRPr="00784E54" w:rsidRDefault="00784E54" w:rsidP="005B0D3F">
      <w:pPr>
        <w:pStyle w:val="texto"/>
        <w:rPr>
          <w:lang w:val="es-ES"/>
        </w:rPr>
      </w:pPr>
      <w:r w:rsidRPr="00784E54">
        <w:rPr>
          <w:lang w:val="es-ES"/>
        </w:rPr>
        <w:t>En la revisión de una muestra de facturas hemos comprobado que se liquid</w:t>
      </w:r>
      <w:r w:rsidRPr="00784E54">
        <w:rPr>
          <w:lang w:val="es-ES"/>
        </w:rPr>
        <w:t>a</w:t>
      </w:r>
      <w:r w:rsidRPr="00784E54">
        <w:rPr>
          <w:lang w:val="es-ES"/>
        </w:rPr>
        <w:t>ron y recaudaron de conformidad con su normativa reguladora.</w:t>
      </w:r>
    </w:p>
    <w:p w:rsidR="00784E54" w:rsidRPr="00784E54" w:rsidRDefault="00784E54" w:rsidP="005B0D3F">
      <w:pPr>
        <w:pStyle w:val="texto"/>
        <w:rPr>
          <w:spacing w:val="-3"/>
        </w:rPr>
      </w:pPr>
      <w:r w:rsidRPr="00784E54">
        <w:rPr>
          <w:spacing w:val="-3"/>
        </w:rPr>
        <w:t>Recomendamos:</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5B0D3F">
        <w:rPr>
          <w:rFonts w:cs="Arial"/>
          <w:i/>
        </w:rPr>
        <w:t>Dotar una provisión por las devoluciones de impuestos que no hayan sido reconocidas al final del ejercicio.</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5B0D3F">
        <w:rPr>
          <w:rFonts w:cs="Arial"/>
          <w:i/>
        </w:rPr>
        <w:t xml:space="preserve">Incluir en la Memoria </w:t>
      </w:r>
      <w:r w:rsidR="001D647F">
        <w:rPr>
          <w:rFonts w:cs="Arial"/>
          <w:i/>
        </w:rPr>
        <w:t>de las Cuentas Generales</w:t>
      </w:r>
      <w:r w:rsidRPr="005B0D3F">
        <w:rPr>
          <w:rFonts w:cs="Arial"/>
          <w:i/>
        </w:rPr>
        <w:t xml:space="preserve"> un análisis más exhaust</w:t>
      </w:r>
      <w:r w:rsidRPr="005B0D3F">
        <w:rPr>
          <w:rFonts w:cs="Arial"/>
          <w:i/>
        </w:rPr>
        <w:t>i</w:t>
      </w:r>
      <w:r w:rsidRPr="005B0D3F">
        <w:rPr>
          <w:rFonts w:cs="Arial"/>
          <w:i/>
        </w:rPr>
        <w:t>vo sobre la aportación a los objetivos establecidos de los beneficios fiscales.</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5B0D3F">
        <w:rPr>
          <w:rFonts w:cs="Arial"/>
          <w:i/>
        </w:rPr>
        <w:t>Registrar en el presupuesto los derechos devengados en el ejercicio po</w:t>
      </w:r>
      <w:r w:rsidR="00EE15F1">
        <w:rPr>
          <w:rFonts w:cs="Arial"/>
          <w:i/>
        </w:rPr>
        <w:t>r la asistencia médica prestada en el momento en que se originan independient</w:t>
      </w:r>
      <w:r w:rsidR="00EE15F1">
        <w:rPr>
          <w:rFonts w:cs="Arial"/>
          <w:i/>
        </w:rPr>
        <w:t>e</w:t>
      </w:r>
      <w:r w:rsidR="00EE15F1">
        <w:rPr>
          <w:rFonts w:cs="Arial"/>
          <w:i/>
        </w:rPr>
        <w:t>mente de cuándo se cobren.</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5B0D3F">
        <w:rPr>
          <w:rFonts w:cs="Arial"/>
          <w:i/>
        </w:rPr>
        <w:t>Publicar la actualización de las tarifas correspondientes a los servicios prestados por la asistencia médica.</w:t>
      </w:r>
    </w:p>
    <w:p w:rsidR="00784E54" w:rsidRPr="005B0D3F" w:rsidRDefault="00D105D4" w:rsidP="005B0D3F">
      <w:pPr>
        <w:pStyle w:val="atitulo2"/>
        <w:spacing w:before="240"/>
        <w:rPr>
          <w:bCs w:val="0"/>
          <w:iCs w:val="0"/>
        </w:rPr>
      </w:pPr>
      <w:bookmarkStart w:id="77" w:name="_Toc494270391"/>
      <w:bookmarkStart w:id="78" w:name="_Toc498515800"/>
      <w:r>
        <w:rPr>
          <w:bCs w:val="0"/>
          <w:iCs w:val="0"/>
        </w:rPr>
        <w:t>I</w:t>
      </w:r>
      <w:r w:rsidR="00784E54" w:rsidRPr="005B0D3F">
        <w:rPr>
          <w:bCs w:val="0"/>
          <w:iCs w:val="0"/>
        </w:rPr>
        <w:t>V.</w:t>
      </w:r>
      <w:r>
        <w:rPr>
          <w:bCs w:val="0"/>
          <w:iCs w:val="0"/>
        </w:rPr>
        <w:t>1</w:t>
      </w:r>
      <w:r w:rsidR="005C0FDA">
        <w:rPr>
          <w:bCs w:val="0"/>
          <w:iCs w:val="0"/>
        </w:rPr>
        <w:t>1</w:t>
      </w:r>
      <w:r w:rsidR="00784E54" w:rsidRPr="005B0D3F">
        <w:rPr>
          <w:bCs w:val="0"/>
          <w:iCs w:val="0"/>
        </w:rPr>
        <w:t xml:space="preserve">. </w:t>
      </w:r>
      <w:bookmarkEnd w:id="77"/>
      <w:r w:rsidR="00BD3568">
        <w:rPr>
          <w:bCs w:val="0"/>
          <w:iCs w:val="0"/>
        </w:rPr>
        <w:t>Otros ingresos</w:t>
      </w:r>
      <w:bookmarkEnd w:id="78"/>
      <w:r w:rsidR="00784E54" w:rsidRPr="005B0D3F">
        <w:rPr>
          <w:bCs w:val="0"/>
          <w:iCs w:val="0"/>
        </w:rPr>
        <w:t xml:space="preserve"> </w:t>
      </w:r>
    </w:p>
    <w:p w:rsidR="00BD3568" w:rsidRPr="005B0D3F" w:rsidRDefault="00BD3568" w:rsidP="00BD3568">
      <w:pPr>
        <w:spacing w:before="240" w:after="24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Enajenación de inversiones reales</w:t>
      </w:r>
    </w:p>
    <w:p w:rsidR="00784E54" w:rsidRPr="00784E54" w:rsidRDefault="00784E54" w:rsidP="005B0D3F">
      <w:pPr>
        <w:pStyle w:val="texto"/>
        <w:rPr>
          <w:lang w:val="es-ES"/>
        </w:rPr>
      </w:pPr>
      <w:r w:rsidRPr="00784E54">
        <w:rPr>
          <w:lang w:val="es-ES"/>
        </w:rPr>
        <w:t>Los derechos reconocidos por enajenación de inversiones reales ascendieron a 1.217.768 euros, de los cuales el 79 por ciento corresponde a la venta de ed</w:t>
      </w:r>
      <w:r w:rsidRPr="00784E54">
        <w:rPr>
          <w:lang w:val="es-ES"/>
        </w:rPr>
        <w:t>i</w:t>
      </w:r>
      <w:r w:rsidRPr="00784E54">
        <w:rPr>
          <w:lang w:val="es-ES"/>
        </w:rPr>
        <w:t>ficios y un 19 por ciento a la de terrenos.</w:t>
      </w:r>
    </w:p>
    <w:p w:rsidR="00784E54" w:rsidRPr="00784E54" w:rsidRDefault="00784E54" w:rsidP="005B0D3F">
      <w:pPr>
        <w:pStyle w:val="texto"/>
        <w:rPr>
          <w:lang w:val="es-ES"/>
        </w:rPr>
      </w:pPr>
      <w:r w:rsidRPr="00784E54">
        <w:rPr>
          <w:lang w:val="es-ES"/>
        </w:rPr>
        <w:t xml:space="preserve">Hemos revisado la enajenación mediante subasta de varios bienes inmuebles propiedad de la Comunidad Foral de Navarra. En concreto se ofertaron 10 lotes por un total de 1,41 millones de euros. Se presentaron ofertas para seis de los diez lotes puestos a la venta que fueron finalmente adjudicados por un total de 1,13 millones de euros. </w:t>
      </w:r>
    </w:p>
    <w:p w:rsidR="00784E54" w:rsidRPr="00784E54" w:rsidRDefault="00784E54" w:rsidP="005B0D3F">
      <w:pPr>
        <w:pStyle w:val="texto"/>
        <w:rPr>
          <w:lang w:val="es-ES"/>
        </w:rPr>
      </w:pPr>
      <w:r w:rsidRPr="00784E54">
        <w:rPr>
          <w:lang w:val="es-ES"/>
        </w:rPr>
        <w:t>Se ha comprobado que en la tramitación del expediente de enajenación se han cumplido, en general, los requisitos establecidos en la Ley Foral 14/2007, de 4 de abril, de Patrimonio de Navarra, se ha cobrado el precio y se ha dado de baja el inmueble en el inventario de bienes, si bien señalamos lo siguiente:</w:t>
      </w:r>
    </w:p>
    <w:p w:rsidR="00784E54" w:rsidRPr="005B0D3F"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B0D3F">
        <w:rPr>
          <w:rFonts w:cs="Arial"/>
        </w:rPr>
        <w:t>El valor en el in</w:t>
      </w:r>
      <w:r w:rsidR="00DB687D">
        <w:rPr>
          <w:rFonts w:cs="Arial"/>
        </w:rPr>
        <w:t>ventari</w:t>
      </w:r>
      <w:r w:rsidRPr="005B0D3F">
        <w:rPr>
          <w:rFonts w:cs="Arial"/>
        </w:rPr>
        <w:t>o de tres de los seis lotes adjudicados era cero (el alta de uno de ellos se produjo en 1979 y no consta el dato, otro fue recibido mediante una transferencia del Estado y sobre el otro no constaban datos) cuando</w:t>
      </w:r>
      <w:r w:rsidR="00DB687D">
        <w:rPr>
          <w:rFonts w:cs="Arial"/>
        </w:rPr>
        <w:t xml:space="preserve"> contablemente</w:t>
      </w:r>
      <w:r w:rsidRPr="005B0D3F">
        <w:rPr>
          <w:rFonts w:cs="Arial"/>
        </w:rPr>
        <w:t xml:space="preserve"> deberían haber sido dados de alta por su valor de merc</w:t>
      </w:r>
      <w:r w:rsidRPr="005B0D3F">
        <w:rPr>
          <w:rFonts w:cs="Arial"/>
        </w:rPr>
        <w:t>a</w:t>
      </w:r>
      <w:r w:rsidRPr="005B0D3F">
        <w:rPr>
          <w:rFonts w:cs="Arial"/>
        </w:rPr>
        <w:t xml:space="preserve">do. Esto motivó que el importe total de la subasta repercutiera directamente en la cuenta del resultado económico patrimonial. </w:t>
      </w:r>
    </w:p>
    <w:p w:rsidR="00784E54" w:rsidRPr="00F135FD" w:rsidRDefault="004309A4" w:rsidP="00F135FD">
      <w:pPr>
        <w:pStyle w:val="texto"/>
      </w:pPr>
      <w:r w:rsidRPr="00F135FD">
        <w:lastRenderedPageBreak/>
        <w:tab/>
        <w:t>Como hecho posterior relevante tras el cierre del ejercicio destacamos que e</w:t>
      </w:r>
      <w:r w:rsidR="00784E54" w:rsidRPr="00F135FD">
        <w:t>n 2017 hubo incumplimientos</w:t>
      </w:r>
      <w:r w:rsidRPr="00F135FD">
        <w:t xml:space="preserve"> relacionados con la falta de abono y de design</w:t>
      </w:r>
      <w:r w:rsidRPr="00F135FD">
        <w:t>a</w:t>
      </w:r>
      <w:r w:rsidRPr="00F135FD">
        <w:t>ción de notario</w:t>
      </w:r>
      <w:r w:rsidR="00784E54" w:rsidRPr="00F135FD">
        <w:t xml:space="preserve"> en uno de los lotes enajenados por un importe de 376.000 euros</w:t>
      </w:r>
      <w:r w:rsidRPr="00F135FD">
        <w:t>,</w:t>
      </w:r>
      <w:r w:rsidR="00784E54" w:rsidRPr="00F135FD">
        <w:t xml:space="preserve"> que acabaron con la resolución de la adjudicación y la incautación de la fianza.</w:t>
      </w:r>
    </w:p>
    <w:p w:rsidR="00784E54" w:rsidRDefault="00784E54" w:rsidP="005B0D3F">
      <w:pPr>
        <w:pStyle w:val="texto"/>
        <w:rPr>
          <w:i/>
          <w:lang w:val="es-ES"/>
        </w:rPr>
      </w:pPr>
      <w:r w:rsidRPr="00A11120">
        <w:rPr>
          <w:i/>
          <w:lang w:val="es-ES"/>
        </w:rPr>
        <w:t>Recomendamos establecer unos criterios de contabilización de altas y bajas de inmovilizado de acuerdo a la normativa contable vigente y registrarlas de acuerdo a los mismos.</w:t>
      </w:r>
    </w:p>
    <w:p w:rsidR="00BD3568" w:rsidRPr="005B0D3F" w:rsidRDefault="00BD3568" w:rsidP="00BD3568">
      <w:pPr>
        <w:spacing w:before="240" w:after="24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Transferencias corrientes y de capital</w:t>
      </w:r>
    </w:p>
    <w:p w:rsidR="00F135FD" w:rsidRPr="00CB51BE" w:rsidRDefault="00F135FD" w:rsidP="00F135FD">
      <w:pPr>
        <w:pStyle w:val="texto"/>
        <w:rPr>
          <w:lang w:val="es-ES"/>
        </w:rPr>
      </w:pPr>
      <w:r w:rsidRPr="00CB51BE">
        <w:rPr>
          <w:lang w:val="es-ES"/>
        </w:rPr>
        <w:t>Los ingresos por transferencias corrientes y de capital ascendieron a 47,66 y 21,93 millones de euros respectivamente tal y como se muestra a continuación:</w:t>
      </w:r>
    </w:p>
    <w:tbl>
      <w:tblPr>
        <w:tblW w:w="8777"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266"/>
      </w:tblGrid>
      <w:tr w:rsidR="00F135FD" w:rsidRPr="00CB51BE" w:rsidTr="00BD3568">
        <w:trPr>
          <w:trHeight w:val="300"/>
          <w:jc w:val="center"/>
        </w:trPr>
        <w:tc>
          <w:tcPr>
            <w:tcW w:w="8777" w:type="dxa"/>
            <w:gridSpan w:val="5"/>
            <w:tcBorders>
              <w:left w:val="nil"/>
              <w:bottom w:val="nil"/>
              <w:right w:val="nil"/>
            </w:tcBorders>
            <w:shd w:val="clear" w:color="auto" w:fill="auto"/>
            <w:noWrap/>
            <w:vAlign w:val="bottom"/>
          </w:tcPr>
          <w:p w:rsidR="00F135FD" w:rsidRPr="00764BB2" w:rsidRDefault="00F135FD" w:rsidP="00BD3568">
            <w:pPr>
              <w:spacing w:after="0"/>
              <w:ind w:firstLine="0"/>
              <w:jc w:val="right"/>
              <w:rPr>
                <w:rFonts w:ascii="Arial" w:hAnsi="Arial" w:cs="Arial"/>
                <w:color w:val="000000"/>
                <w:sz w:val="17"/>
                <w:szCs w:val="17"/>
                <w:lang w:val="es-ES" w:eastAsia="es-ES"/>
              </w:rPr>
            </w:pPr>
            <w:r w:rsidRPr="00764BB2">
              <w:rPr>
                <w:rFonts w:ascii="Arial" w:hAnsi="Arial" w:cs="Arial"/>
                <w:color w:val="000000"/>
                <w:sz w:val="17"/>
                <w:szCs w:val="17"/>
                <w:lang w:val="es-ES" w:eastAsia="es-ES"/>
              </w:rPr>
              <w:t>(en miles de euros)</w:t>
            </w:r>
          </w:p>
        </w:tc>
      </w:tr>
      <w:tr w:rsidR="00F135FD" w:rsidRPr="00CB51BE" w:rsidTr="00BD3568">
        <w:trPr>
          <w:trHeight w:val="198"/>
          <w:jc w:val="center"/>
        </w:trPr>
        <w:tc>
          <w:tcPr>
            <w:tcW w:w="3844" w:type="dxa"/>
            <w:tcBorders>
              <w:top w:val="single" w:sz="4" w:space="0" w:color="auto"/>
              <w:left w:val="nil"/>
              <w:bottom w:val="nil"/>
              <w:right w:val="nil"/>
            </w:tcBorders>
            <w:shd w:val="clear" w:color="000000" w:fill="8DB4E2"/>
            <w:noWrap/>
            <w:vAlign w:val="bottom"/>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000000" w:fill="8DB4E2"/>
            <w:noWrap/>
            <w:vAlign w:val="bottom"/>
            <w:hideMark/>
          </w:tcPr>
          <w:p w:rsidR="00F135FD" w:rsidRPr="00CB51BE" w:rsidRDefault="00F135FD" w:rsidP="00BD3568">
            <w:pPr>
              <w:spacing w:after="0"/>
              <w:ind w:right="-86" w:firstLine="0"/>
              <w:jc w:val="center"/>
              <w:rPr>
                <w:rFonts w:ascii="Arial" w:hAnsi="Arial" w:cs="Arial"/>
                <w:color w:val="000000"/>
                <w:sz w:val="18"/>
                <w:szCs w:val="18"/>
                <w:lang w:val="es-ES" w:eastAsia="es-ES"/>
              </w:rPr>
            </w:pPr>
            <w:r w:rsidRPr="00CB51BE">
              <w:rPr>
                <w:rFonts w:ascii="Arial" w:hAnsi="Arial" w:cs="Arial"/>
                <w:color w:val="000000"/>
                <w:sz w:val="18"/>
                <w:szCs w:val="18"/>
                <w:lang w:val="es-ES" w:eastAsia="es-ES"/>
              </w:rPr>
              <w:t>Derechos Reconocidos Netos</w:t>
            </w:r>
          </w:p>
        </w:tc>
        <w:tc>
          <w:tcPr>
            <w:tcW w:w="1138" w:type="dxa"/>
            <w:vMerge w:val="restart"/>
            <w:tcBorders>
              <w:top w:val="single" w:sz="4" w:space="0" w:color="auto"/>
              <w:left w:val="nil"/>
              <w:bottom w:val="single" w:sz="4" w:space="0" w:color="000000"/>
              <w:right w:val="nil"/>
            </w:tcBorders>
            <w:shd w:val="clear" w:color="000000" w:fill="8DB4E2"/>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 variación 2016/2015</w:t>
            </w:r>
          </w:p>
        </w:tc>
        <w:tc>
          <w:tcPr>
            <w:tcW w:w="1266" w:type="dxa"/>
            <w:vMerge w:val="restart"/>
            <w:tcBorders>
              <w:top w:val="single" w:sz="4" w:space="0" w:color="auto"/>
              <w:left w:val="nil"/>
              <w:bottom w:val="single" w:sz="4" w:space="0" w:color="000000"/>
              <w:right w:val="nil"/>
            </w:tcBorders>
            <w:shd w:val="clear" w:color="000000" w:fill="8DB4E2"/>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Recaudación Neta 2016</w:t>
            </w:r>
          </w:p>
        </w:tc>
      </w:tr>
      <w:tr w:rsidR="00F135FD" w:rsidRPr="00CB51BE" w:rsidTr="00BD3568">
        <w:trPr>
          <w:trHeight w:val="198"/>
          <w:jc w:val="center"/>
        </w:trPr>
        <w:tc>
          <w:tcPr>
            <w:tcW w:w="3844"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1137"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right="171"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2015</w:t>
            </w:r>
          </w:p>
        </w:tc>
        <w:tc>
          <w:tcPr>
            <w:tcW w:w="1392" w:type="dxa"/>
            <w:tcBorders>
              <w:top w:val="nil"/>
              <w:left w:val="nil"/>
              <w:bottom w:val="single" w:sz="4" w:space="0" w:color="auto"/>
              <w:right w:val="nil"/>
            </w:tcBorders>
            <w:shd w:val="clear" w:color="000000" w:fill="8DB4E2"/>
            <w:noWrap/>
            <w:vAlign w:val="bottom"/>
            <w:hideMark/>
          </w:tcPr>
          <w:p w:rsidR="00F135FD" w:rsidRPr="00CB51BE" w:rsidRDefault="00F135FD" w:rsidP="00BD3568">
            <w:pPr>
              <w:spacing w:after="0"/>
              <w:ind w:right="122"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2016</w:t>
            </w:r>
          </w:p>
        </w:tc>
        <w:tc>
          <w:tcPr>
            <w:tcW w:w="1138" w:type="dxa"/>
            <w:vMerge/>
            <w:tcBorders>
              <w:top w:val="single" w:sz="4" w:space="0" w:color="auto"/>
              <w:left w:val="nil"/>
              <w:bottom w:val="single" w:sz="4" w:space="0" w:color="000000"/>
              <w:right w:val="nil"/>
            </w:tcBorders>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p>
        </w:tc>
        <w:tc>
          <w:tcPr>
            <w:tcW w:w="1266" w:type="dxa"/>
            <w:vMerge/>
            <w:tcBorders>
              <w:top w:val="single" w:sz="4" w:space="0" w:color="auto"/>
              <w:left w:val="nil"/>
              <w:bottom w:val="single" w:sz="4" w:space="0" w:color="000000"/>
              <w:right w:val="nil"/>
            </w:tcBorders>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p>
        </w:tc>
      </w:tr>
      <w:tr w:rsidR="00F135FD" w:rsidRPr="00CB51BE" w:rsidTr="00BD3568">
        <w:trPr>
          <w:trHeight w:val="198"/>
          <w:jc w:val="center"/>
        </w:trPr>
        <w:tc>
          <w:tcPr>
            <w:tcW w:w="3844"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 corrientes de la Administración del Estado</w:t>
            </w:r>
          </w:p>
        </w:tc>
        <w:tc>
          <w:tcPr>
            <w:tcW w:w="1137"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29.649</w:t>
            </w:r>
          </w:p>
        </w:tc>
        <w:tc>
          <w:tcPr>
            <w:tcW w:w="1392"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32.792</w:t>
            </w:r>
          </w:p>
        </w:tc>
        <w:tc>
          <w:tcPr>
            <w:tcW w:w="1138"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11</w:t>
            </w:r>
          </w:p>
        </w:tc>
        <w:tc>
          <w:tcPr>
            <w:tcW w:w="1266" w:type="dxa"/>
            <w:tcBorders>
              <w:top w:val="nil"/>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32.478</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corrientes de fundaciones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57</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1.147</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1.903</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1.147</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 ctes. de empre. públicas y otros entes públicos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95</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2.472</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2.512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2.472</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corrientes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371</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365</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365</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corrientes de empresas privadas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0</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4.532</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69</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 ctes. de familias e instit. sin fines de lucro</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50</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10</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-80</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10</w:t>
            </w:r>
          </w:p>
        </w:tc>
      </w:tr>
      <w:tr w:rsidR="00F135FD" w:rsidRPr="00CB51BE" w:rsidTr="00BD3568">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corrientes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6.710</w:t>
            </w:r>
          </w:p>
        </w:tc>
        <w:tc>
          <w:tcPr>
            <w:tcW w:w="1392"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6.346</w:t>
            </w:r>
          </w:p>
        </w:tc>
        <w:tc>
          <w:tcPr>
            <w:tcW w:w="1138"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-5</w:t>
            </w:r>
          </w:p>
        </w:tc>
        <w:tc>
          <w:tcPr>
            <w:tcW w:w="1266"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6.346</w:t>
            </w:r>
          </w:p>
        </w:tc>
      </w:tr>
      <w:tr w:rsidR="00F135FD" w:rsidRPr="00CB51BE" w:rsidTr="00BD3568">
        <w:trPr>
          <w:trHeight w:val="198"/>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r w:rsidRPr="00CB51BE">
              <w:rPr>
                <w:rFonts w:ascii="Arial" w:hAnsi="Arial" w:cs="Arial"/>
                <w:color w:val="000000"/>
                <w:sz w:val="18"/>
                <w:szCs w:val="18"/>
                <w:lang w:val="es-ES" w:eastAsia="es-ES"/>
              </w:rPr>
              <w:t>Total transferencias corrientes</w:t>
            </w:r>
          </w:p>
        </w:tc>
        <w:tc>
          <w:tcPr>
            <w:tcW w:w="1137"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71" w:firstLine="0"/>
              <w:jc w:val="right"/>
              <w:rPr>
                <w:rFonts w:ascii="Arial" w:hAnsi="Arial" w:cs="Arial"/>
                <w:bCs/>
                <w:color w:val="000000"/>
                <w:sz w:val="18"/>
                <w:szCs w:val="18"/>
                <w:lang w:val="es-ES" w:eastAsia="es-ES"/>
              </w:rPr>
            </w:pPr>
            <w:r w:rsidRPr="00CB51BE">
              <w:rPr>
                <w:rFonts w:ascii="Arial" w:hAnsi="Arial" w:cs="Arial"/>
                <w:bCs/>
                <w:color w:val="000000"/>
                <w:sz w:val="18"/>
                <w:szCs w:val="18"/>
                <w:lang w:val="es-ES" w:eastAsia="es-ES"/>
              </w:rPr>
              <w:t>36.931</w:t>
            </w:r>
          </w:p>
        </w:tc>
        <w:tc>
          <w:tcPr>
            <w:tcW w:w="1392"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22"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47.664</w:t>
            </w:r>
          </w:p>
        </w:tc>
        <w:tc>
          <w:tcPr>
            <w:tcW w:w="1138"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29</w:t>
            </w:r>
          </w:p>
        </w:tc>
        <w:tc>
          <w:tcPr>
            <w:tcW w:w="1266"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42.887</w:t>
            </w:r>
          </w:p>
        </w:tc>
      </w:tr>
      <w:tr w:rsidR="00F135FD" w:rsidRPr="00CB51BE" w:rsidTr="00BD3568">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 de capital de la Administración del Estado</w:t>
            </w:r>
          </w:p>
        </w:tc>
        <w:tc>
          <w:tcPr>
            <w:tcW w:w="1137"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370</w:t>
            </w:r>
          </w:p>
        </w:tc>
        <w:tc>
          <w:tcPr>
            <w:tcW w:w="1392"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387</w:t>
            </w:r>
          </w:p>
        </w:tc>
        <w:tc>
          <w:tcPr>
            <w:tcW w:w="1138"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5</w:t>
            </w:r>
          </w:p>
        </w:tc>
        <w:tc>
          <w:tcPr>
            <w:tcW w:w="1266" w:type="dxa"/>
            <w:tcBorders>
              <w:top w:val="single" w:sz="4"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389</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de capital de fundaciones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23</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0</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0</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 cap. de empres. públicas y otros entes públicos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30.582</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14.555</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-52</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0</w:t>
            </w:r>
          </w:p>
        </w:tc>
      </w:tr>
      <w:tr w:rsidR="00F135FD" w:rsidRPr="00CB51BE" w:rsidTr="00BD3568">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de capital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183</w:t>
            </w:r>
          </w:p>
        </w:tc>
        <w:tc>
          <w:tcPr>
            <w:tcW w:w="1392"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24</w:t>
            </w:r>
          </w:p>
        </w:tc>
        <w:tc>
          <w:tcPr>
            <w:tcW w:w="1138"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-87</w:t>
            </w:r>
          </w:p>
        </w:tc>
        <w:tc>
          <w:tcPr>
            <w:tcW w:w="1266" w:type="dxa"/>
            <w:tcBorders>
              <w:top w:val="single" w:sz="2" w:space="0" w:color="auto"/>
              <w:left w:val="nil"/>
              <w:bottom w:val="single" w:sz="2"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24</w:t>
            </w:r>
          </w:p>
        </w:tc>
      </w:tr>
      <w:tr w:rsidR="00F135FD" w:rsidRPr="00CB51BE" w:rsidTr="00BD3568">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left"/>
              <w:rPr>
                <w:rFonts w:ascii="Arial Narrow" w:hAnsi="Arial Narrow"/>
                <w:color w:val="000000"/>
                <w:lang w:val="es-ES" w:eastAsia="es-ES"/>
              </w:rPr>
            </w:pPr>
            <w:r w:rsidRPr="00CB51BE">
              <w:rPr>
                <w:rFonts w:ascii="Arial Narrow" w:hAnsi="Arial Narrow"/>
                <w:color w:val="000000"/>
                <w:lang w:val="es-ES" w:eastAsia="es-ES"/>
              </w:rPr>
              <w:t>Transferencias de capital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71" w:firstLine="0"/>
              <w:jc w:val="right"/>
              <w:rPr>
                <w:rFonts w:ascii="Arial Narrow" w:hAnsi="Arial Narrow"/>
                <w:color w:val="000000"/>
                <w:lang w:val="es-ES" w:eastAsia="es-ES"/>
              </w:rPr>
            </w:pPr>
            <w:r w:rsidRPr="00CB51BE">
              <w:rPr>
                <w:rFonts w:ascii="Arial Narrow" w:hAnsi="Arial Narrow"/>
                <w:color w:val="000000"/>
                <w:lang w:val="es-ES" w:eastAsia="es-ES"/>
              </w:rPr>
              <w:t>10.526</w:t>
            </w:r>
          </w:p>
        </w:tc>
        <w:tc>
          <w:tcPr>
            <w:tcW w:w="1392"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right="122" w:firstLine="0"/>
              <w:jc w:val="right"/>
              <w:rPr>
                <w:rFonts w:ascii="Arial Narrow" w:hAnsi="Arial Narrow"/>
                <w:color w:val="000000"/>
                <w:lang w:val="es-ES" w:eastAsia="es-ES"/>
              </w:rPr>
            </w:pPr>
            <w:r w:rsidRPr="00CB51BE">
              <w:rPr>
                <w:rFonts w:ascii="Arial Narrow" w:hAnsi="Arial Narrow"/>
                <w:color w:val="000000"/>
                <w:lang w:val="es-ES" w:eastAsia="es-ES"/>
              </w:rPr>
              <w:t>6.958</w:t>
            </w:r>
          </w:p>
        </w:tc>
        <w:tc>
          <w:tcPr>
            <w:tcW w:w="1138"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-34</w:t>
            </w:r>
          </w:p>
        </w:tc>
        <w:tc>
          <w:tcPr>
            <w:tcW w:w="1266" w:type="dxa"/>
            <w:tcBorders>
              <w:top w:val="single" w:sz="2" w:space="0" w:color="auto"/>
              <w:left w:val="nil"/>
              <w:bottom w:val="single" w:sz="4" w:space="0" w:color="auto"/>
              <w:right w:val="nil"/>
            </w:tcBorders>
            <w:shd w:val="clear" w:color="auto" w:fill="auto"/>
            <w:noWrap/>
            <w:vAlign w:val="center"/>
            <w:hideMark/>
          </w:tcPr>
          <w:p w:rsidR="00F135FD" w:rsidRPr="00CB51BE" w:rsidRDefault="00F135FD" w:rsidP="00BD3568">
            <w:pPr>
              <w:spacing w:after="0"/>
              <w:ind w:firstLine="0"/>
              <w:jc w:val="right"/>
              <w:rPr>
                <w:rFonts w:ascii="Arial Narrow" w:hAnsi="Arial Narrow"/>
                <w:color w:val="000000"/>
                <w:lang w:val="es-ES" w:eastAsia="es-ES"/>
              </w:rPr>
            </w:pPr>
            <w:r w:rsidRPr="00CB51BE">
              <w:rPr>
                <w:rFonts w:ascii="Arial Narrow" w:hAnsi="Arial Narrow"/>
                <w:color w:val="000000"/>
                <w:lang w:val="es-ES" w:eastAsia="es-ES"/>
              </w:rPr>
              <w:t>6.958</w:t>
            </w:r>
          </w:p>
        </w:tc>
      </w:tr>
      <w:tr w:rsidR="00F135FD" w:rsidRPr="00CB51BE" w:rsidTr="00BD3568">
        <w:trPr>
          <w:trHeight w:val="198"/>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left"/>
              <w:rPr>
                <w:rFonts w:ascii="Arial" w:hAnsi="Arial" w:cs="Arial"/>
                <w:color w:val="000000"/>
                <w:sz w:val="18"/>
                <w:szCs w:val="18"/>
                <w:lang w:val="es-ES" w:eastAsia="es-ES"/>
              </w:rPr>
            </w:pPr>
            <w:r w:rsidRPr="00CB51BE">
              <w:rPr>
                <w:rFonts w:ascii="Arial" w:hAnsi="Arial" w:cs="Arial"/>
                <w:color w:val="000000"/>
                <w:sz w:val="18"/>
                <w:szCs w:val="18"/>
                <w:lang w:val="es-ES" w:eastAsia="es-ES"/>
              </w:rPr>
              <w:t>Total transferencias de capital</w:t>
            </w:r>
          </w:p>
        </w:tc>
        <w:tc>
          <w:tcPr>
            <w:tcW w:w="1137"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71" w:firstLine="0"/>
              <w:jc w:val="right"/>
              <w:rPr>
                <w:rFonts w:ascii="Arial" w:hAnsi="Arial" w:cs="Arial"/>
                <w:bCs/>
                <w:color w:val="000000"/>
                <w:sz w:val="18"/>
                <w:szCs w:val="18"/>
                <w:lang w:val="es-ES" w:eastAsia="es-ES"/>
              </w:rPr>
            </w:pPr>
            <w:r w:rsidRPr="00CB51BE">
              <w:rPr>
                <w:rFonts w:ascii="Arial" w:hAnsi="Arial" w:cs="Arial"/>
                <w:bCs/>
                <w:color w:val="000000"/>
                <w:sz w:val="18"/>
                <w:szCs w:val="18"/>
                <w:lang w:val="es-ES" w:eastAsia="es-ES"/>
              </w:rPr>
              <w:t>41.684</w:t>
            </w:r>
          </w:p>
        </w:tc>
        <w:tc>
          <w:tcPr>
            <w:tcW w:w="1392"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right="136"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21.925</w:t>
            </w:r>
          </w:p>
        </w:tc>
        <w:tc>
          <w:tcPr>
            <w:tcW w:w="1138"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-47</w:t>
            </w:r>
          </w:p>
        </w:tc>
        <w:tc>
          <w:tcPr>
            <w:tcW w:w="1266" w:type="dxa"/>
            <w:tcBorders>
              <w:top w:val="single" w:sz="4" w:space="0" w:color="auto"/>
              <w:left w:val="nil"/>
              <w:bottom w:val="single" w:sz="4" w:space="0" w:color="auto"/>
              <w:right w:val="nil"/>
            </w:tcBorders>
            <w:shd w:val="clear" w:color="000000" w:fill="8DB4E2"/>
            <w:noWrap/>
            <w:vAlign w:val="center"/>
            <w:hideMark/>
          </w:tcPr>
          <w:p w:rsidR="00F135FD" w:rsidRPr="00CB51BE" w:rsidRDefault="00F135FD" w:rsidP="00BD3568">
            <w:pPr>
              <w:spacing w:after="0"/>
              <w:ind w:firstLine="0"/>
              <w:jc w:val="right"/>
              <w:rPr>
                <w:rFonts w:ascii="Arial" w:hAnsi="Arial" w:cs="Arial"/>
                <w:color w:val="000000"/>
                <w:sz w:val="18"/>
                <w:szCs w:val="18"/>
                <w:lang w:val="es-ES" w:eastAsia="es-ES"/>
              </w:rPr>
            </w:pPr>
            <w:r w:rsidRPr="00CB51BE">
              <w:rPr>
                <w:rFonts w:ascii="Arial" w:hAnsi="Arial" w:cs="Arial"/>
                <w:color w:val="000000"/>
                <w:sz w:val="18"/>
                <w:szCs w:val="18"/>
                <w:lang w:val="es-ES" w:eastAsia="es-ES"/>
              </w:rPr>
              <w:t>7.371</w:t>
            </w:r>
          </w:p>
        </w:tc>
      </w:tr>
    </w:tbl>
    <w:p w:rsidR="00F135FD" w:rsidRPr="00CB51BE" w:rsidRDefault="00F135FD" w:rsidP="00F135FD">
      <w:pPr>
        <w:pStyle w:val="texto"/>
        <w:spacing w:before="240"/>
        <w:rPr>
          <w:lang w:val="es-ES"/>
        </w:rPr>
      </w:pPr>
      <w:r w:rsidRPr="00CB51BE">
        <w:rPr>
          <w:lang w:val="es-ES"/>
        </w:rPr>
        <w:t>Las transferencias corrientes se incrementaron un 29 por ciento y las de cap</w:t>
      </w:r>
      <w:r w:rsidRPr="00CB51BE">
        <w:rPr>
          <w:lang w:val="es-ES"/>
        </w:rPr>
        <w:t>i</w:t>
      </w:r>
      <w:r w:rsidRPr="00CB51BE">
        <w:rPr>
          <w:lang w:val="es-ES"/>
        </w:rPr>
        <w:t>tal disminuyeron un 47 por ciento respecto a 2015.</w:t>
      </w:r>
    </w:p>
    <w:p w:rsidR="00F135FD" w:rsidRPr="00CB51BE" w:rsidRDefault="00F135FD" w:rsidP="00F135FD">
      <w:pPr>
        <w:pStyle w:val="texto"/>
        <w:spacing w:after="240"/>
        <w:rPr>
          <w:lang w:val="es-ES"/>
        </w:rPr>
      </w:pPr>
      <w:r w:rsidRPr="00CB51BE">
        <w:rPr>
          <w:lang w:val="es-ES"/>
        </w:rPr>
        <w:t>Hemos revisado la ejecución de los ingresos referidos a las transferencias c</w:t>
      </w:r>
      <w:r w:rsidRPr="00CB51BE">
        <w:rPr>
          <w:lang w:val="es-ES"/>
        </w:rPr>
        <w:t>o</w:t>
      </w:r>
      <w:r w:rsidRPr="00CB51BE">
        <w:rPr>
          <w:lang w:val="es-ES"/>
        </w:rPr>
        <w:t>rrientes de empresas privadas que se compone de los siguientes conceptos:</w:t>
      </w:r>
    </w:p>
    <w:tbl>
      <w:tblPr>
        <w:tblStyle w:val="Tablaconcuadrcula3"/>
        <w:tblW w:w="877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771"/>
        <w:gridCol w:w="2051"/>
      </w:tblGrid>
      <w:tr w:rsidR="00F135FD" w:rsidRPr="00CB51BE" w:rsidTr="00BD3568">
        <w:trPr>
          <w:trHeight w:val="255"/>
        </w:trPr>
        <w:tc>
          <w:tcPr>
            <w:tcW w:w="3955"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rPr>
                <w:rFonts w:ascii="Times New Roman" w:hAnsi="Times New Roman"/>
                <w:spacing w:val="6"/>
                <w:sz w:val="26"/>
                <w:szCs w:val="24"/>
                <w:lang w:val="es-ES"/>
              </w:rPr>
            </w:pPr>
          </w:p>
        </w:tc>
        <w:tc>
          <w:tcPr>
            <w:tcW w:w="277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CB51BE">
              <w:rPr>
                <w:rFonts w:ascii="Arial" w:hAnsi="Arial" w:cs="Arial"/>
                <w:spacing w:val="6"/>
                <w:sz w:val="18"/>
                <w:szCs w:val="18"/>
                <w:lang w:val="es-ES"/>
              </w:rPr>
              <w:t xml:space="preserve">Derechos Reconocidos Netos </w:t>
            </w:r>
          </w:p>
        </w:tc>
        <w:tc>
          <w:tcPr>
            <w:tcW w:w="205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CB51BE">
              <w:rPr>
                <w:rFonts w:ascii="Arial" w:hAnsi="Arial" w:cs="Arial"/>
                <w:spacing w:val="6"/>
                <w:sz w:val="18"/>
                <w:szCs w:val="18"/>
                <w:lang w:val="es-ES"/>
              </w:rPr>
              <w:t>Recaudación Neta</w:t>
            </w:r>
          </w:p>
        </w:tc>
      </w:tr>
      <w:tr w:rsidR="00F135FD" w:rsidRPr="00CB51BE" w:rsidTr="00BD3568">
        <w:trPr>
          <w:trHeight w:val="198"/>
        </w:trPr>
        <w:tc>
          <w:tcPr>
            <w:tcW w:w="3955"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Narrow" w:hAnsi="Arial Narrow"/>
                <w:spacing w:val="6"/>
                <w:sz w:val="20"/>
                <w:lang w:val="es-ES"/>
              </w:rPr>
            </w:pPr>
            <w:r w:rsidRPr="00CB51BE">
              <w:rPr>
                <w:rFonts w:ascii="Arial Narrow" w:hAnsi="Arial Narrow"/>
                <w:spacing w:val="6"/>
                <w:sz w:val="20"/>
                <w:lang w:val="es-ES"/>
              </w:rPr>
              <w:t>Reintegro ayuda estatal-Caso Astra</w:t>
            </w:r>
          </w:p>
        </w:tc>
        <w:tc>
          <w:tcPr>
            <w:tcW w:w="2771"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lang w:val="es-ES"/>
              </w:rPr>
            </w:pPr>
            <w:r w:rsidRPr="00CB51BE">
              <w:rPr>
                <w:rFonts w:ascii="Arial Narrow" w:hAnsi="Arial Narrow"/>
                <w:spacing w:val="6"/>
                <w:sz w:val="20"/>
                <w:lang w:val="es-ES"/>
              </w:rPr>
              <w:t>4.463.831</w:t>
            </w:r>
          </w:p>
        </w:tc>
        <w:tc>
          <w:tcPr>
            <w:tcW w:w="2051" w:type="dxa"/>
            <w:tcBorders>
              <w:top w:val="single" w:sz="4" w:space="0" w:color="auto"/>
              <w:bottom w:val="single" w:sz="2"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lang w:val="es-ES"/>
              </w:rPr>
            </w:pPr>
            <w:r w:rsidRPr="00CB51BE">
              <w:rPr>
                <w:rFonts w:ascii="Arial Narrow" w:hAnsi="Arial Narrow"/>
                <w:spacing w:val="6"/>
                <w:sz w:val="20"/>
                <w:lang w:val="es-ES"/>
              </w:rPr>
              <w:t>0</w:t>
            </w:r>
          </w:p>
        </w:tc>
      </w:tr>
      <w:tr w:rsidR="00F135FD" w:rsidRPr="00CB51BE" w:rsidTr="00BD3568">
        <w:trPr>
          <w:trHeight w:val="198"/>
        </w:trPr>
        <w:tc>
          <w:tcPr>
            <w:tcW w:w="3955"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Narrow" w:hAnsi="Arial Narrow"/>
                <w:spacing w:val="6"/>
                <w:sz w:val="20"/>
                <w:lang w:val="es-ES"/>
              </w:rPr>
            </w:pPr>
            <w:r w:rsidRPr="00CB51BE">
              <w:rPr>
                <w:rFonts w:ascii="Arial Narrow" w:hAnsi="Arial Narrow"/>
                <w:spacing w:val="6"/>
                <w:sz w:val="20"/>
                <w:lang w:val="es-ES"/>
              </w:rPr>
              <w:t>Ingresos al personal investigador SNS-O</w:t>
            </w:r>
          </w:p>
        </w:tc>
        <w:tc>
          <w:tcPr>
            <w:tcW w:w="2771"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lang w:val="es-ES"/>
              </w:rPr>
            </w:pPr>
            <w:r w:rsidRPr="00CB51BE">
              <w:rPr>
                <w:rFonts w:ascii="Arial Narrow" w:hAnsi="Arial Narrow"/>
                <w:spacing w:val="6"/>
                <w:sz w:val="20"/>
                <w:lang w:val="es-ES"/>
              </w:rPr>
              <w:t>68.577</w:t>
            </w:r>
          </w:p>
        </w:tc>
        <w:tc>
          <w:tcPr>
            <w:tcW w:w="2051" w:type="dxa"/>
            <w:tcBorders>
              <w:top w:val="single" w:sz="2" w:space="0" w:color="auto"/>
              <w:bottom w:val="single" w:sz="4" w:space="0" w:color="auto"/>
            </w:tcBorders>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Narrow" w:hAnsi="Arial Narrow"/>
                <w:spacing w:val="6"/>
                <w:sz w:val="20"/>
                <w:lang w:val="es-ES"/>
              </w:rPr>
            </w:pPr>
            <w:r w:rsidRPr="00CB51BE">
              <w:rPr>
                <w:rFonts w:ascii="Arial Narrow" w:hAnsi="Arial Narrow"/>
                <w:spacing w:val="6"/>
                <w:sz w:val="20"/>
                <w:lang w:val="es-ES"/>
              </w:rPr>
              <w:t>68.577</w:t>
            </w:r>
          </w:p>
        </w:tc>
      </w:tr>
      <w:tr w:rsidR="00F135FD" w:rsidRPr="00CB51BE" w:rsidTr="00BD3568">
        <w:trPr>
          <w:trHeight w:val="255"/>
        </w:trPr>
        <w:tc>
          <w:tcPr>
            <w:tcW w:w="3955"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sidRPr="00CB51BE">
              <w:rPr>
                <w:rFonts w:ascii="Arial" w:hAnsi="Arial" w:cs="Arial"/>
                <w:spacing w:val="6"/>
                <w:sz w:val="18"/>
                <w:szCs w:val="18"/>
                <w:lang w:val="es-ES"/>
              </w:rPr>
              <w:t>Total transf. corrientes emp</w:t>
            </w:r>
            <w:r>
              <w:rPr>
                <w:rFonts w:ascii="Arial" w:hAnsi="Arial" w:cs="Arial"/>
                <w:spacing w:val="6"/>
                <w:sz w:val="18"/>
                <w:szCs w:val="18"/>
                <w:lang w:val="es-ES"/>
              </w:rPr>
              <w:t>resas</w:t>
            </w:r>
            <w:r w:rsidRPr="00CB51BE">
              <w:rPr>
                <w:rFonts w:ascii="Arial" w:hAnsi="Arial" w:cs="Arial"/>
                <w:spacing w:val="6"/>
                <w:sz w:val="18"/>
                <w:szCs w:val="18"/>
                <w:lang w:val="es-ES"/>
              </w:rPr>
              <w:t xml:space="preserve"> privadas</w:t>
            </w:r>
          </w:p>
        </w:tc>
        <w:tc>
          <w:tcPr>
            <w:tcW w:w="277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CB51BE">
              <w:rPr>
                <w:rFonts w:ascii="Arial" w:hAnsi="Arial" w:cs="Arial"/>
                <w:spacing w:val="6"/>
                <w:sz w:val="18"/>
                <w:szCs w:val="18"/>
                <w:lang w:val="es-ES"/>
              </w:rPr>
              <w:t>4.532.409</w:t>
            </w:r>
          </w:p>
        </w:tc>
        <w:tc>
          <w:tcPr>
            <w:tcW w:w="2051" w:type="dxa"/>
            <w:tcBorders>
              <w:top w:val="single" w:sz="4" w:space="0" w:color="auto"/>
              <w:bottom w:val="single" w:sz="4" w:space="0" w:color="auto"/>
            </w:tcBorders>
            <w:shd w:val="clear" w:color="auto" w:fill="8DB3E2" w:themeFill="text2" w:themeFillTint="66"/>
            <w:vAlign w:val="center"/>
          </w:tcPr>
          <w:p w:rsidR="00F135FD" w:rsidRPr="00CB51BE" w:rsidRDefault="00F135FD" w:rsidP="00BD356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CB51BE">
              <w:rPr>
                <w:rFonts w:ascii="Arial" w:hAnsi="Arial" w:cs="Arial"/>
                <w:spacing w:val="6"/>
                <w:sz w:val="18"/>
                <w:szCs w:val="18"/>
                <w:lang w:val="es-ES"/>
              </w:rPr>
              <w:t>68.577</w:t>
            </w:r>
          </w:p>
        </w:tc>
      </w:tr>
    </w:tbl>
    <w:p w:rsidR="00F135FD" w:rsidRPr="00CB51BE" w:rsidRDefault="00F135FD" w:rsidP="00F135FD">
      <w:pPr>
        <w:pStyle w:val="texto"/>
        <w:spacing w:before="240"/>
        <w:rPr>
          <w:lang w:val="es-ES"/>
        </w:rPr>
      </w:pPr>
      <w:r w:rsidRPr="00CB51BE">
        <w:rPr>
          <w:lang w:val="es-ES"/>
        </w:rPr>
        <w:t>El 98,5 por ciento del total de este concepto (4,46 millones de euros) está r</w:t>
      </w:r>
      <w:r w:rsidRPr="00CB51BE">
        <w:rPr>
          <w:lang w:val="es-ES"/>
        </w:rPr>
        <w:t>e</w:t>
      </w:r>
      <w:r w:rsidRPr="00CB51BE">
        <w:rPr>
          <w:lang w:val="es-ES"/>
        </w:rPr>
        <w:t>lacionado con la ejecución de una decisión de la Comisión Europea relacionada con la denuncia de una operadora de plataforma digital por infracción del pri</w:t>
      </w:r>
      <w:r w:rsidRPr="00CB51BE">
        <w:rPr>
          <w:lang w:val="es-ES"/>
        </w:rPr>
        <w:t>n</w:t>
      </w:r>
      <w:r w:rsidRPr="00CB51BE">
        <w:rPr>
          <w:lang w:val="es-ES"/>
        </w:rPr>
        <w:t>cipio de neutralidad tecnológica</w:t>
      </w:r>
      <w:r w:rsidR="00453CCE">
        <w:rPr>
          <w:lang w:val="es-ES"/>
        </w:rPr>
        <w:t>,</w:t>
      </w:r>
      <w:r w:rsidRPr="00CB51BE">
        <w:rPr>
          <w:lang w:val="es-ES"/>
        </w:rPr>
        <w:t xml:space="preserve"> al contemplarse la transmisión terrestre como la única vía de digitalización de la televisión.</w:t>
      </w:r>
    </w:p>
    <w:p w:rsidR="00F135FD" w:rsidRPr="00CB51BE" w:rsidRDefault="00F135FD" w:rsidP="00F135FD">
      <w:pPr>
        <w:pStyle w:val="texto"/>
        <w:rPr>
          <w:lang w:val="es-ES"/>
        </w:rPr>
      </w:pPr>
      <w:r w:rsidRPr="00CB51BE">
        <w:rPr>
          <w:lang w:val="es-ES"/>
        </w:rPr>
        <w:t>Esta decisión obligaba a recuperar de los operadores las ayudas que financi</w:t>
      </w:r>
      <w:r w:rsidRPr="00CB51BE">
        <w:rPr>
          <w:lang w:val="es-ES"/>
        </w:rPr>
        <w:t>a</w:t>
      </w:r>
      <w:r w:rsidRPr="00CB51BE">
        <w:rPr>
          <w:lang w:val="es-ES"/>
        </w:rPr>
        <w:t>ron la extensión de la cobertura de televisión digital terrestre (TDT) y sus i</w:t>
      </w:r>
      <w:r w:rsidRPr="00CB51BE">
        <w:rPr>
          <w:lang w:val="es-ES"/>
        </w:rPr>
        <w:t>n</w:t>
      </w:r>
      <w:r w:rsidRPr="00CB51BE">
        <w:rPr>
          <w:lang w:val="es-ES"/>
        </w:rPr>
        <w:lastRenderedPageBreak/>
        <w:t>fraestructuras, así como las denominadas ayudas estatales en curso destinadas al mantenimiento y explotación de redes de TDT. Por este motivo, en abril de 2016 se inicia el procedimiento administrativo para recuperar la ayuda por 4,46 millones (3,88 millones de ayuda y 0,58 millones de intereses).</w:t>
      </w:r>
    </w:p>
    <w:p w:rsidR="00F135FD" w:rsidRPr="00CB51BE" w:rsidRDefault="00F135FD" w:rsidP="00F135FD">
      <w:pPr>
        <w:pStyle w:val="texto"/>
        <w:rPr>
          <w:lang w:val="es-ES"/>
        </w:rPr>
      </w:pPr>
      <w:r w:rsidRPr="00CB51BE">
        <w:rPr>
          <w:lang w:val="es-ES"/>
        </w:rPr>
        <w:t>Como hecho relevante posterior al cierre del ejercicio destacamos la dese</w:t>
      </w:r>
      <w:r w:rsidRPr="00CB51BE">
        <w:rPr>
          <w:lang w:val="es-ES"/>
        </w:rPr>
        <w:t>s</w:t>
      </w:r>
      <w:r w:rsidRPr="00CB51BE">
        <w:rPr>
          <w:lang w:val="es-ES"/>
        </w:rPr>
        <w:t>timación de las alegaciones presentas por la empresa en cuestión para no pr</w:t>
      </w:r>
      <w:r w:rsidRPr="00CB51BE">
        <w:rPr>
          <w:lang w:val="es-ES"/>
        </w:rPr>
        <w:t>o</w:t>
      </w:r>
      <w:r w:rsidRPr="00CB51BE">
        <w:rPr>
          <w:lang w:val="es-ES"/>
        </w:rPr>
        <w:t>ceder a este reintegro; la cantidad citada aún no ha sido cobrada, ni se ha pas</w:t>
      </w:r>
      <w:r w:rsidRPr="00CB51BE">
        <w:rPr>
          <w:lang w:val="es-ES"/>
        </w:rPr>
        <w:t>a</w:t>
      </w:r>
      <w:r w:rsidRPr="00CB51BE">
        <w:rPr>
          <w:lang w:val="es-ES"/>
        </w:rPr>
        <w:t>do a la agencia ejecutiva y existe una incertidumbre significativa sobre su c</w:t>
      </w:r>
      <w:r w:rsidRPr="00CB51BE">
        <w:rPr>
          <w:lang w:val="es-ES"/>
        </w:rPr>
        <w:t>o</w:t>
      </w:r>
      <w:r w:rsidRPr="00CB51BE">
        <w:rPr>
          <w:lang w:val="es-ES"/>
        </w:rPr>
        <w:t>brabilidad. Actualmente se está pendiente de la resolución de recursos inte</w:t>
      </w:r>
      <w:r w:rsidRPr="00CB51BE">
        <w:rPr>
          <w:lang w:val="es-ES"/>
        </w:rPr>
        <w:t>r</w:t>
      </w:r>
      <w:r w:rsidRPr="00CB51BE">
        <w:rPr>
          <w:lang w:val="es-ES"/>
        </w:rPr>
        <w:t>puestos ante el Tribunal Superior de Justicia de la Unión Europea y ante el Tr</w:t>
      </w:r>
      <w:r w:rsidRPr="00CB51BE">
        <w:rPr>
          <w:lang w:val="es-ES"/>
        </w:rPr>
        <w:t>i</w:t>
      </w:r>
      <w:r w:rsidRPr="00CB51BE">
        <w:rPr>
          <w:lang w:val="es-ES"/>
        </w:rPr>
        <w:t>bunal Superior de Justicia de Navarra, así como al pronunciamiento al respecto de la Comisión Nacional del Mercado de la Competencia.</w:t>
      </w:r>
    </w:p>
    <w:p w:rsidR="00F135FD" w:rsidRPr="00CB51BE" w:rsidRDefault="00F135FD" w:rsidP="00F135FD">
      <w:pPr>
        <w:pStyle w:val="texto"/>
        <w:rPr>
          <w:lang w:val="es-ES"/>
        </w:rPr>
      </w:pPr>
      <w:r w:rsidRPr="00CB51BE">
        <w:rPr>
          <w:lang w:val="es-ES"/>
        </w:rPr>
        <w:t>En cuanto al otro componente del gasto, se trata de compensaciones econ</w:t>
      </w:r>
      <w:r w:rsidRPr="00CB51BE">
        <w:rPr>
          <w:lang w:val="es-ES"/>
        </w:rPr>
        <w:t>ó</w:t>
      </w:r>
      <w:r w:rsidRPr="00CB51BE">
        <w:rPr>
          <w:lang w:val="es-ES"/>
        </w:rPr>
        <w:t>micas percibidas por el personal investigador del SNS-O gestionados a través de la Fundación Miguel Servet según la Orden Foral 125/2009; hemos verific</w:t>
      </w:r>
      <w:r w:rsidRPr="00CB51BE">
        <w:rPr>
          <w:lang w:val="es-ES"/>
        </w:rPr>
        <w:t>a</w:t>
      </w:r>
      <w:r w:rsidRPr="00CB51BE">
        <w:rPr>
          <w:lang w:val="es-ES"/>
        </w:rPr>
        <w:t>do su adecuación a la normativa citada y su adecuado abono en nómina al pe</w:t>
      </w:r>
      <w:r w:rsidRPr="00CB51BE">
        <w:rPr>
          <w:lang w:val="es-ES"/>
        </w:rPr>
        <w:t>r</w:t>
      </w:r>
      <w:r w:rsidRPr="00CB51BE">
        <w:rPr>
          <w:lang w:val="es-ES"/>
        </w:rPr>
        <w:t>sonal citado, si bien se han registrado 23.679 euros devengados en 2015 en el presupuesto de 2016.</w:t>
      </w:r>
    </w:p>
    <w:p w:rsidR="00F135FD" w:rsidRPr="00CB51BE" w:rsidRDefault="00F135FD" w:rsidP="00F135FD">
      <w:pPr>
        <w:pStyle w:val="texto"/>
        <w:rPr>
          <w:i/>
          <w:lang w:val="es-ES"/>
        </w:rPr>
      </w:pPr>
      <w:r w:rsidRPr="00CB51BE">
        <w:rPr>
          <w:i/>
          <w:lang w:val="es-ES"/>
        </w:rPr>
        <w:t>Recomendamos contabilizar en el presupuesto los ingresos devengados en cada ejercicio.</w:t>
      </w:r>
    </w:p>
    <w:p w:rsidR="00784E54" w:rsidRPr="005B0D3F" w:rsidRDefault="00784E54" w:rsidP="005B0D3F">
      <w:pPr>
        <w:pStyle w:val="atitulo2"/>
        <w:spacing w:before="240"/>
        <w:rPr>
          <w:bCs w:val="0"/>
          <w:iCs w:val="0"/>
        </w:rPr>
      </w:pPr>
      <w:bookmarkStart w:id="79" w:name="_Toc494270392"/>
      <w:bookmarkStart w:id="80" w:name="_Toc498515801"/>
      <w:r w:rsidRPr="005B0D3F">
        <w:rPr>
          <w:bCs w:val="0"/>
          <w:iCs w:val="0"/>
        </w:rPr>
        <w:t>I</w:t>
      </w:r>
      <w:r w:rsidR="00EE34CE">
        <w:rPr>
          <w:bCs w:val="0"/>
          <w:iCs w:val="0"/>
        </w:rPr>
        <w:t>V.1</w:t>
      </w:r>
      <w:r w:rsidR="005C0FDA">
        <w:rPr>
          <w:bCs w:val="0"/>
          <w:iCs w:val="0"/>
        </w:rPr>
        <w:t>2</w:t>
      </w:r>
      <w:r w:rsidRPr="005B0D3F">
        <w:rPr>
          <w:bCs w:val="0"/>
          <w:iCs w:val="0"/>
        </w:rPr>
        <w:t>. Deudores</w:t>
      </w:r>
      <w:bookmarkEnd w:id="79"/>
      <w:bookmarkEnd w:id="80"/>
      <w:r w:rsidRPr="005B0D3F">
        <w:rPr>
          <w:bCs w:val="0"/>
          <w:iCs w:val="0"/>
        </w:rPr>
        <w:t xml:space="preserve"> </w:t>
      </w:r>
    </w:p>
    <w:p w:rsidR="00784E54" w:rsidRPr="00784E54" w:rsidRDefault="00784E54" w:rsidP="005B0D3F">
      <w:pPr>
        <w:pStyle w:val="texto"/>
        <w:spacing w:after="240"/>
        <w:rPr>
          <w:lang w:val="es-ES"/>
        </w:rPr>
      </w:pPr>
      <w:r w:rsidRPr="00784E54">
        <w:rPr>
          <w:lang w:val="es-ES"/>
        </w:rPr>
        <w:t>El saldo de deudores a 31 de diciembre de 2016 asciende a 337,53 millones de euros y corresponde a:</w:t>
      </w:r>
    </w:p>
    <w:tbl>
      <w:tblPr>
        <w:tblW w:w="884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834"/>
      </w:tblGrid>
      <w:tr w:rsidR="00DB687D" w:rsidRPr="00DB687D" w:rsidTr="00DB687D">
        <w:trPr>
          <w:trHeight w:val="255"/>
          <w:jc w:val="center"/>
        </w:trPr>
        <w:tc>
          <w:tcPr>
            <w:tcW w:w="8840" w:type="dxa"/>
            <w:gridSpan w:val="4"/>
            <w:tcBorders>
              <w:top w:val="nil"/>
              <w:bottom w:val="single" w:sz="4" w:space="0" w:color="auto"/>
            </w:tcBorders>
            <w:shd w:val="clear" w:color="auto" w:fill="auto"/>
            <w:noWrap/>
            <w:vAlign w:val="center"/>
          </w:tcPr>
          <w:p w:rsidR="00DB687D" w:rsidRPr="00DB687D" w:rsidRDefault="00DB687D"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784E54" w:rsidRPr="00784E54" w:rsidTr="0065459C">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81" w:name="_Toc305415966"/>
            <w:bookmarkStart w:id="82" w:name="_Toc305480484"/>
            <w:r w:rsidRPr="00784E54">
              <w:rPr>
                <w:rFonts w:ascii="Arial" w:hAnsi="Arial"/>
                <w:spacing w:val="6"/>
                <w:sz w:val="18"/>
                <w:szCs w:val="24"/>
              </w:rPr>
              <w:t>Deudores</w:t>
            </w:r>
          </w:p>
        </w:tc>
        <w:tc>
          <w:tcPr>
            <w:tcW w:w="147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31/12/2015</w:t>
            </w:r>
          </w:p>
        </w:tc>
        <w:tc>
          <w:tcPr>
            <w:tcW w:w="1519"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31/12/2016</w:t>
            </w:r>
          </w:p>
        </w:tc>
        <w:tc>
          <w:tcPr>
            <w:tcW w:w="1834"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171C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 xml:space="preserve">% </w:t>
            </w:r>
            <w:r w:rsidR="00171CBB">
              <w:rPr>
                <w:rFonts w:ascii="Arial" w:hAnsi="Arial"/>
                <w:spacing w:val="6"/>
                <w:sz w:val="18"/>
                <w:szCs w:val="24"/>
              </w:rPr>
              <w:t>v</w:t>
            </w:r>
            <w:r w:rsidRPr="00784E54">
              <w:rPr>
                <w:rFonts w:ascii="Arial" w:hAnsi="Arial"/>
                <w:spacing w:val="6"/>
                <w:sz w:val="18"/>
                <w:szCs w:val="24"/>
              </w:rPr>
              <w:t>ariación 2016/2015</w:t>
            </w:r>
          </w:p>
        </w:tc>
      </w:tr>
      <w:tr w:rsidR="00784E54" w:rsidRPr="00784E54" w:rsidTr="0065459C">
        <w:trPr>
          <w:trHeight w:val="198"/>
          <w:jc w:val="center"/>
        </w:trPr>
        <w:tc>
          <w:tcPr>
            <w:tcW w:w="4010" w:type="dxa"/>
            <w:tcBorders>
              <w:top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presupuestarios</w:t>
            </w:r>
          </w:p>
        </w:tc>
        <w:tc>
          <w:tcPr>
            <w:tcW w:w="1477" w:type="dxa"/>
            <w:tcBorders>
              <w:top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837.496</w:t>
            </w:r>
          </w:p>
        </w:tc>
        <w:tc>
          <w:tcPr>
            <w:tcW w:w="1519" w:type="dxa"/>
            <w:tcBorders>
              <w:top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818.679</w:t>
            </w:r>
          </w:p>
        </w:tc>
        <w:tc>
          <w:tcPr>
            <w:tcW w:w="1834" w:type="dxa"/>
            <w:tcBorders>
              <w:top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w:t>
            </w:r>
          </w:p>
        </w:tc>
      </w:tr>
      <w:tr w:rsidR="00784E54" w:rsidRPr="00784E54" w:rsidTr="0065459C">
        <w:trPr>
          <w:trHeight w:val="198"/>
          <w:jc w:val="center"/>
        </w:trPr>
        <w:tc>
          <w:tcPr>
            <w:tcW w:w="4010"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no presupuestarios</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5.983</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144</w:t>
            </w:r>
          </w:p>
        </w:tc>
        <w:tc>
          <w:tcPr>
            <w:tcW w:w="1834"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-98</w:t>
            </w:r>
          </w:p>
        </w:tc>
      </w:tr>
      <w:tr w:rsidR="00784E54" w:rsidRPr="00784E54" w:rsidTr="0065459C">
        <w:trPr>
          <w:trHeight w:val="198"/>
          <w:jc w:val="center"/>
        </w:trPr>
        <w:tc>
          <w:tcPr>
            <w:tcW w:w="4010"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por recursos de otros entes públicos</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311</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396</w:t>
            </w:r>
          </w:p>
        </w:tc>
        <w:tc>
          <w:tcPr>
            <w:tcW w:w="1834"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27</w:t>
            </w:r>
          </w:p>
        </w:tc>
      </w:tr>
      <w:tr w:rsidR="00784E54" w:rsidRPr="00784E54" w:rsidTr="0065459C">
        <w:trPr>
          <w:trHeight w:val="198"/>
          <w:jc w:val="center"/>
        </w:trPr>
        <w:tc>
          <w:tcPr>
            <w:tcW w:w="4010"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Otros deudores</w:t>
            </w:r>
          </w:p>
        </w:tc>
        <w:tc>
          <w:tcPr>
            <w:tcW w:w="1477" w:type="dxa"/>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4.001</w:t>
            </w:r>
          </w:p>
        </w:tc>
        <w:tc>
          <w:tcPr>
            <w:tcW w:w="1519" w:type="dxa"/>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3.787</w:t>
            </w:r>
          </w:p>
        </w:tc>
        <w:tc>
          <w:tcPr>
            <w:tcW w:w="1834" w:type="dxa"/>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w:t>
            </w:r>
          </w:p>
        </w:tc>
      </w:tr>
      <w:tr w:rsidR="00784E54" w:rsidRPr="00784E54" w:rsidTr="0065459C">
        <w:trPr>
          <w:trHeight w:val="198"/>
          <w:jc w:val="center"/>
        </w:trPr>
        <w:tc>
          <w:tcPr>
            <w:tcW w:w="4010" w:type="dxa"/>
            <w:tcBorders>
              <w:bottom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Provisión para insolvencias</w:t>
            </w:r>
          </w:p>
        </w:tc>
        <w:tc>
          <w:tcPr>
            <w:tcW w:w="1477" w:type="dxa"/>
            <w:tcBorders>
              <w:bottom w:val="single" w:sz="4" w:space="0" w:color="auto"/>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(498.169)</w:t>
            </w:r>
          </w:p>
        </w:tc>
        <w:tc>
          <w:tcPr>
            <w:tcW w:w="1519" w:type="dxa"/>
            <w:tcBorders>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(485.473)</w:t>
            </w:r>
          </w:p>
        </w:tc>
        <w:tc>
          <w:tcPr>
            <w:tcW w:w="1834" w:type="dxa"/>
            <w:tcBorders>
              <w:bottom w:val="single" w:sz="4" w:space="0" w:color="auto"/>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w:t>
            </w:r>
          </w:p>
        </w:tc>
      </w:tr>
      <w:tr w:rsidR="00784E54" w:rsidRPr="00784E54" w:rsidTr="0065459C">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784E54">
              <w:rPr>
                <w:rFonts w:ascii="Arial" w:hAnsi="Arial" w:cs="Arial"/>
                <w:spacing w:val="6"/>
                <w:sz w:val="18"/>
                <w:szCs w:val="18"/>
              </w:rPr>
              <w:t>Total deudores</w:t>
            </w:r>
          </w:p>
        </w:tc>
        <w:tc>
          <w:tcPr>
            <w:tcW w:w="1477"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349.622</w:t>
            </w:r>
          </w:p>
        </w:tc>
        <w:tc>
          <w:tcPr>
            <w:tcW w:w="151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337.533</w:t>
            </w:r>
          </w:p>
        </w:tc>
        <w:tc>
          <w:tcPr>
            <w:tcW w:w="1834" w:type="dxa"/>
            <w:tcBorders>
              <w:top w:val="single" w:sz="4" w:space="0" w:color="auto"/>
              <w:bottom w:val="single" w:sz="4" w:space="0" w:color="auto"/>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-3</w:t>
            </w:r>
          </w:p>
        </w:tc>
      </w:tr>
    </w:tbl>
    <w:p w:rsidR="00784E54" w:rsidRPr="00784E54" w:rsidRDefault="00784E54" w:rsidP="005B0D3F">
      <w:pPr>
        <w:pStyle w:val="texto"/>
        <w:spacing w:before="240"/>
      </w:pPr>
      <w:r w:rsidRPr="00784E54">
        <w:t>Destaca la reducción de los deudores no presupuestarios en un 98 por ciento</w:t>
      </w:r>
      <w:r w:rsidR="00DB687D">
        <w:t>,</w:t>
      </w:r>
      <w:r w:rsidRPr="00784E54">
        <w:t xml:space="preserve"> debido a que no se han realizado inversiones en el T</w:t>
      </w:r>
      <w:r w:rsidR="00DB687D">
        <w:t>ren de Alta Velocidad</w:t>
      </w:r>
      <w:r w:rsidRPr="00784E54">
        <w:t>.</w:t>
      </w:r>
    </w:p>
    <w:p w:rsidR="00784E54" w:rsidRPr="00784E54" w:rsidRDefault="00784E54" w:rsidP="005B0D3F">
      <w:pPr>
        <w:pStyle w:val="texto"/>
        <w:rPr>
          <w:lang w:val="es-ES"/>
        </w:rPr>
      </w:pPr>
      <w:r w:rsidRPr="00784E54">
        <w:rPr>
          <w:lang w:val="es-ES"/>
        </w:rPr>
        <w:t>Los deudores presupuestarios corresponden fundamentalmente a deudores tributarios en situación de gestión ordinaria, en vía de apremio o con aplaz</w:t>
      </w:r>
      <w:r w:rsidRPr="00784E54">
        <w:rPr>
          <w:lang w:val="es-ES"/>
        </w:rPr>
        <w:t>a</w:t>
      </w:r>
      <w:r w:rsidRPr="00784E54">
        <w:rPr>
          <w:lang w:val="es-ES"/>
        </w:rPr>
        <w:t xml:space="preserve">miento de su deuda tributaria. </w:t>
      </w:r>
    </w:p>
    <w:p w:rsidR="008121DB" w:rsidRDefault="008121DB">
      <w:pPr>
        <w:spacing w:after="0"/>
        <w:ind w:firstLine="0"/>
        <w:jc w:val="left"/>
        <w:rPr>
          <w:spacing w:val="6"/>
          <w:sz w:val="26"/>
          <w:szCs w:val="24"/>
          <w:lang w:val="es-ES"/>
        </w:rPr>
      </w:pPr>
      <w:r>
        <w:rPr>
          <w:lang w:val="es-ES"/>
        </w:rPr>
        <w:br w:type="page"/>
      </w:r>
    </w:p>
    <w:p w:rsidR="00784E54" w:rsidRPr="00784E54" w:rsidRDefault="00784E54" w:rsidP="001A35E1">
      <w:pPr>
        <w:pStyle w:val="texto"/>
        <w:spacing w:after="120"/>
        <w:rPr>
          <w:lang w:val="es-ES"/>
        </w:rPr>
      </w:pPr>
      <w:r w:rsidRPr="00784E54">
        <w:rPr>
          <w:lang w:val="es-ES"/>
        </w:rPr>
        <w:lastRenderedPageBreak/>
        <w:t>A 31 de diciembre de 2016 su saldo era de 818,68 millones de euros y el 5</w:t>
      </w:r>
      <w:r w:rsidR="000D6770">
        <w:rPr>
          <w:lang w:val="es-ES"/>
        </w:rPr>
        <w:t>8,9</w:t>
      </w:r>
      <w:r w:rsidRPr="00784E54">
        <w:rPr>
          <w:lang w:val="es-ES"/>
        </w:rPr>
        <w:t xml:space="preserve"> por ciento del mismo estaba provisionado por insolvencias (</w:t>
      </w:r>
      <w:r w:rsidR="00F77904">
        <w:rPr>
          <w:lang w:val="es-ES"/>
        </w:rPr>
        <w:t>482,07</w:t>
      </w:r>
      <w:r w:rsidRPr="00784E54">
        <w:rPr>
          <w:lang w:val="es-ES"/>
        </w:rPr>
        <w:t xml:space="preserve"> mill</w:t>
      </w:r>
      <w:r w:rsidRPr="00784E54">
        <w:rPr>
          <w:lang w:val="es-ES"/>
        </w:rPr>
        <w:t>o</w:t>
      </w:r>
      <w:r w:rsidRPr="00784E54">
        <w:rPr>
          <w:lang w:val="es-ES"/>
        </w:rPr>
        <w:t>nes). Su composición</w:t>
      </w:r>
      <w:r w:rsidR="00781BE6">
        <w:rPr>
          <w:lang w:val="es-ES"/>
        </w:rPr>
        <w:t xml:space="preserve"> </w:t>
      </w:r>
      <w:r w:rsidRPr="00784E54">
        <w:rPr>
          <w:lang w:val="es-ES"/>
        </w:rPr>
        <w:t>es la siguiente:</w:t>
      </w:r>
    </w:p>
    <w:tbl>
      <w:tblPr>
        <w:tblW w:w="8827" w:type="dxa"/>
        <w:jc w:val="center"/>
        <w:tblInd w:w="-297" w:type="dxa"/>
        <w:tblLayout w:type="fixed"/>
        <w:tblCellMar>
          <w:left w:w="70" w:type="dxa"/>
          <w:right w:w="70" w:type="dxa"/>
        </w:tblCellMar>
        <w:tblLook w:val="0000" w:firstRow="0" w:lastRow="0" w:firstColumn="0" w:lastColumn="0" w:noHBand="0" w:noVBand="0"/>
      </w:tblPr>
      <w:tblGrid>
        <w:gridCol w:w="4179"/>
        <w:gridCol w:w="1549"/>
        <w:gridCol w:w="1549"/>
        <w:gridCol w:w="1550"/>
      </w:tblGrid>
      <w:tr w:rsidR="00781BE6" w:rsidRPr="00781BE6" w:rsidTr="00781BE6">
        <w:trPr>
          <w:trHeight w:val="284"/>
          <w:jc w:val="center"/>
        </w:trPr>
        <w:tc>
          <w:tcPr>
            <w:tcW w:w="8827" w:type="dxa"/>
            <w:gridSpan w:val="4"/>
            <w:tcBorders>
              <w:bottom w:val="single" w:sz="4" w:space="0" w:color="auto"/>
            </w:tcBorders>
            <w:shd w:val="clear" w:color="auto" w:fill="auto"/>
            <w:noWrap/>
            <w:vAlign w:val="center"/>
          </w:tcPr>
          <w:p w:rsidR="00781BE6" w:rsidRPr="00781BE6" w:rsidRDefault="00781BE6"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784E54" w:rsidRPr="00784E54" w:rsidTr="00E85086">
        <w:trPr>
          <w:trHeight w:val="284"/>
          <w:jc w:val="center"/>
        </w:trPr>
        <w:tc>
          <w:tcPr>
            <w:tcW w:w="417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Deudores presupuestarios</w:t>
            </w:r>
          </w:p>
        </w:tc>
        <w:tc>
          <w:tcPr>
            <w:tcW w:w="1549"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31/12/2015</w:t>
            </w:r>
          </w:p>
        </w:tc>
        <w:tc>
          <w:tcPr>
            <w:tcW w:w="1549" w:type="dxa"/>
            <w:tcBorders>
              <w:top w:val="single" w:sz="4"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31/12/2016</w:t>
            </w:r>
          </w:p>
        </w:tc>
        <w:tc>
          <w:tcPr>
            <w:tcW w:w="1550" w:type="dxa"/>
            <w:tcBorders>
              <w:top w:val="single" w:sz="4" w:space="0" w:color="auto"/>
              <w:bottom w:val="single" w:sz="4" w:space="0" w:color="auto"/>
            </w:tcBorders>
            <w:shd w:val="clear" w:color="auto" w:fill="8DB3E2" w:themeFill="text2" w:themeFillTint="66"/>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 xml:space="preserve">% </w:t>
            </w:r>
            <w:r w:rsidR="00171CBB">
              <w:rPr>
                <w:rFonts w:ascii="Arial" w:hAnsi="Arial"/>
                <w:spacing w:val="6"/>
                <w:sz w:val="18"/>
                <w:szCs w:val="24"/>
              </w:rPr>
              <w:t>v</w:t>
            </w:r>
            <w:r w:rsidRPr="00784E54">
              <w:rPr>
                <w:rFonts w:ascii="Arial" w:hAnsi="Arial"/>
                <w:spacing w:val="6"/>
                <w:sz w:val="18"/>
                <w:szCs w:val="24"/>
              </w:rPr>
              <w:t xml:space="preserve">ariación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2016/2015</w:t>
            </w:r>
          </w:p>
        </w:tc>
      </w:tr>
      <w:tr w:rsidR="00784E54" w:rsidRPr="00784E54" w:rsidTr="00E85086">
        <w:trPr>
          <w:trHeight w:val="198"/>
          <w:jc w:val="center"/>
        </w:trPr>
        <w:tc>
          <w:tcPr>
            <w:tcW w:w="417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en departamentos</w:t>
            </w:r>
          </w:p>
        </w:tc>
        <w:tc>
          <w:tcPr>
            <w:tcW w:w="154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41.469</w:t>
            </w:r>
          </w:p>
        </w:tc>
        <w:tc>
          <w:tcPr>
            <w:tcW w:w="1549"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55.692</w:t>
            </w:r>
          </w:p>
        </w:tc>
        <w:tc>
          <w:tcPr>
            <w:tcW w:w="1550" w:type="dxa"/>
            <w:tcBorders>
              <w:top w:val="single" w:sz="4"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34</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gestión ordinaria</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135.930</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125.454</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-8</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con aplazamiento</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163.760</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146.403</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w:t>
            </w:r>
          </w:p>
        </w:tc>
      </w:tr>
      <w:tr w:rsidR="00784E54" w:rsidRPr="00784E54" w:rsidTr="00E85086">
        <w:trPr>
          <w:trHeight w:val="198"/>
          <w:jc w:val="center"/>
        </w:trPr>
        <w:tc>
          <w:tcPr>
            <w:tcW w:w="417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en vía de apremio</w:t>
            </w:r>
          </w:p>
        </w:tc>
        <w:tc>
          <w:tcPr>
            <w:tcW w:w="154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496.780</w:t>
            </w:r>
          </w:p>
        </w:tc>
        <w:tc>
          <w:tcPr>
            <w:tcW w:w="1549"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487.826</w:t>
            </w:r>
          </w:p>
        </w:tc>
        <w:tc>
          <w:tcPr>
            <w:tcW w:w="1550" w:type="dxa"/>
            <w:tcBorders>
              <w:top w:val="single" w:sz="2" w:space="0" w:color="auto"/>
              <w:bottom w:val="single" w:sz="2" w:space="0" w:color="auto"/>
            </w:tcBorders>
            <w:shd w:val="clear" w:color="auto" w:fill="auto"/>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Deudores situaciones especiales</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24.018</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24.041</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0</w:t>
            </w:r>
          </w:p>
        </w:tc>
      </w:tr>
      <w:tr w:rsidR="00784E54" w:rsidRPr="00E85086" w:rsidTr="00E85086">
        <w:trPr>
          <w:trHeight w:val="198"/>
          <w:jc w:val="center"/>
        </w:trPr>
        <w:tc>
          <w:tcPr>
            <w:tcW w:w="417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sidRPr="00E85086">
              <w:rPr>
                <w:rFonts w:ascii="Arial" w:hAnsi="Arial" w:cs="Arial"/>
                <w:i/>
                <w:spacing w:val="6"/>
                <w:sz w:val="18"/>
                <w:szCs w:val="18"/>
              </w:rPr>
              <w:t>Deudores</w:t>
            </w:r>
          </w:p>
        </w:tc>
        <w:tc>
          <w:tcPr>
            <w:tcW w:w="154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E85086">
              <w:rPr>
                <w:rFonts w:ascii="Arial" w:hAnsi="Arial" w:cs="Arial"/>
                <w:i/>
                <w:spacing w:val="6"/>
                <w:sz w:val="18"/>
                <w:szCs w:val="18"/>
              </w:rPr>
              <w:t>861.956</w:t>
            </w:r>
          </w:p>
        </w:tc>
        <w:tc>
          <w:tcPr>
            <w:tcW w:w="1549"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E85086">
              <w:rPr>
                <w:rFonts w:ascii="Arial" w:hAnsi="Arial" w:cs="Arial"/>
                <w:i/>
                <w:spacing w:val="6"/>
                <w:sz w:val="18"/>
                <w:szCs w:val="18"/>
              </w:rPr>
              <w:t>839.416</w:t>
            </w:r>
          </w:p>
        </w:tc>
        <w:tc>
          <w:tcPr>
            <w:tcW w:w="1550" w:type="dxa"/>
            <w:tcBorders>
              <w:top w:val="single" w:sz="2" w:space="0" w:color="auto"/>
              <w:bottom w:val="single" w:sz="2" w:space="0" w:color="auto"/>
            </w:tcBorders>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85086">
              <w:rPr>
                <w:rFonts w:ascii="Arial" w:hAnsi="Arial" w:cs="Arial"/>
                <w:spacing w:val="6"/>
                <w:sz w:val="18"/>
                <w:szCs w:val="18"/>
              </w:rPr>
              <w:t>-3</w:t>
            </w:r>
          </w:p>
        </w:tc>
      </w:tr>
      <w:tr w:rsidR="00784E54" w:rsidRPr="00784E54" w:rsidTr="00E85086">
        <w:trPr>
          <w:trHeight w:val="198"/>
          <w:jc w:val="center"/>
        </w:trPr>
        <w:tc>
          <w:tcPr>
            <w:tcW w:w="417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Intereses y recargos no devengados</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(23.257)</w:t>
            </w:r>
          </w:p>
        </w:tc>
        <w:tc>
          <w:tcPr>
            <w:tcW w:w="1549"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(17.180)</w:t>
            </w:r>
          </w:p>
        </w:tc>
        <w:tc>
          <w:tcPr>
            <w:tcW w:w="1550" w:type="dxa"/>
            <w:tcBorders>
              <w:top w:val="single" w:sz="2" w:space="0" w:color="auto"/>
              <w:bottom w:val="single" w:sz="2"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-26</w:t>
            </w:r>
          </w:p>
        </w:tc>
      </w:tr>
      <w:tr w:rsidR="00784E54" w:rsidRPr="00784E54" w:rsidTr="00E85086">
        <w:trPr>
          <w:trHeight w:val="198"/>
          <w:jc w:val="center"/>
        </w:trPr>
        <w:tc>
          <w:tcPr>
            <w:tcW w:w="417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Cobros y remesas pendientes aplicación</w:t>
            </w:r>
          </w:p>
        </w:tc>
        <w:tc>
          <w:tcPr>
            <w:tcW w:w="154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(1.203)</w:t>
            </w:r>
          </w:p>
        </w:tc>
        <w:tc>
          <w:tcPr>
            <w:tcW w:w="1549"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(3.557)</w:t>
            </w:r>
          </w:p>
        </w:tc>
        <w:tc>
          <w:tcPr>
            <w:tcW w:w="1550" w:type="dxa"/>
            <w:tcBorders>
              <w:top w:val="single" w:sz="2" w:space="0" w:color="auto"/>
              <w:bottom w:val="single" w:sz="4" w:space="0" w:color="auto"/>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196</w:t>
            </w:r>
          </w:p>
        </w:tc>
      </w:tr>
      <w:tr w:rsidR="00784E54" w:rsidRPr="00784E54" w:rsidTr="00E85086">
        <w:trPr>
          <w:trHeight w:val="284"/>
          <w:jc w:val="center"/>
        </w:trPr>
        <w:tc>
          <w:tcPr>
            <w:tcW w:w="417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784E54">
              <w:rPr>
                <w:rFonts w:ascii="Arial" w:hAnsi="Arial" w:cs="Arial"/>
                <w:spacing w:val="6"/>
                <w:sz w:val="18"/>
                <w:szCs w:val="18"/>
              </w:rPr>
              <w:t>Total deudores presupuestarios</w:t>
            </w:r>
          </w:p>
        </w:tc>
        <w:tc>
          <w:tcPr>
            <w:tcW w:w="154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837.496</w:t>
            </w:r>
          </w:p>
        </w:tc>
        <w:tc>
          <w:tcPr>
            <w:tcW w:w="1549"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818.679</w:t>
            </w:r>
          </w:p>
        </w:tc>
        <w:tc>
          <w:tcPr>
            <w:tcW w:w="1550" w:type="dxa"/>
            <w:tcBorders>
              <w:top w:val="single" w:sz="4"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84E54">
              <w:rPr>
                <w:rFonts w:ascii="Arial" w:hAnsi="Arial" w:cs="Arial"/>
                <w:spacing w:val="6"/>
                <w:sz w:val="18"/>
                <w:szCs w:val="18"/>
              </w:rPr>
              <w:t>-2</w:t>
            </w:r>
          </w:p>
        </w:tc>
      </w:tr>
    </w:tbl>
    <w:p w:rsidR="00784E54" w:rsidRPr="00784E54" w:rsidRDefault="00784E54" w:rsidP="005B0D3F">
      <w:pPr>
        <w:pStyle w:val="texto"/>
        <w:spacing w:before="240"/>
        <w:rPr>
          <w:lang w:val="es-ES"/>
        </w:rPr>
      </w:pPr>
      <w:r w:rsidRPr="00784E54">
        <w:rPr>
          <w:lang w:val="es-ES"/>
        </w:rPr>
        <w:t>El saldo global de los deudores presupuestarios ha disminuido un dos por ciento (18,82 millones); destaca la reducción tanto de los deudores en gestión ordinaria, como en aplazamiento como en vía de apremio por un total de 36,</w:t>
      </w:r>
      <w:r w:rsidR="00781BE6">
        <w:rPr>
          <w:lang w:val="es-ES"/>
        </w:rPr>
        <w:t xml:space="preserve">79 </w:t>
      </w:r>
      <w:r w:rsidRPr="00784E54">
        <w:rPr>
          <w:lang w:val="es-ES"/>
        </w:rPr>
        <w:t>millones.</w:t>
      </w:r>
    </w:p>
    <w:p w:rsidR="00784E54" w:rsidRPr="00784E54" w:rsidRDefault="00784E54" w:rsidP="005B0D3F">
      <w:pPr>
        <w:pStyle w:val="texto"/>
        <w:rPr>
          <w:lang w:val="es-ES"/>
        </w:rPr>
      </w:pPr>
      <w:r w:rsidRPr="00784E54">
        <w:rPr>
          <w:lang w:val="es-ES"/>
        </w:rPr>
        <w:t>La gestión de la liquidación, recaudación y devolución de los tributos y de algunos otros ingresos de derecho público, tales como intereses y recargos, se realiza a través de la aplicación informática CAT</w:t>
      </w:r>
      <w:r w:rsidR="00781BE6">
        <w:rPr>
          <w:lang w:val="es-ES"/>
        </w:rPr>
        <w:t>-GT</w:t>
      </w:r>
      <w:r w:rsidRPr="00784E54">
        <w:rPr>
          <w:lang w:val="es-ES"/>
        </w:rPr>
        <w:t xml:space="preserve">, cuya información se traspasa a </w:t>
      </w:r>
      <w:r w:rsidR="00781BE6">
        <w:rPr>
          <w:lang w:val="es-ES"/>
        </w:rPr>
        <w:t>SAP</w:t>
      </w:r>
      <w:r w:rsidRPr="00784E54">
        <w:rPr>
          <w:lang w:val="es-ES"/>
        </w:rPr>
        <w:t>G</w:t>
      </w:r>
      <w:r w:rsidR="00781BE6">
        <w:rPr>
          <w:lang w:val="es-ES"/>
        </w:rPr>
        <w:t>E</w:t>
      </w:r>
      <w:r w:rsidRPr="00784E54">
        <w:rPr>
          <w:lang w:val="es-ES"/>
        </w:rPr>
        <w:t xml:space="preserve">21. </w:t>
      </w:r>
    </w:p>
    <w:p w:rsidR="00784E54" w:rsidRPr="00784E54" w:rsidRDefault="00784E54" w:rsidP="005B0D3F">
      <w:pPr>
        <w:pStyle w:val="texto"/>
        <w:rPr>
          <w:lang w:val="es-ES"/>
        </w:rPr>
      </w:pPr>
      <w:r w:rsidRPr="00784E54">
        <w:rPr>
          <w:lang w:val="es-ES"/>
        </w:rPr>
        <w:t>Como viene insistiendo esta Cámara en informes anteriores, la liquidación presupuestaria y el balance de situación no recogen correctamente toda la i</w:t>
      </w:r>
      <w:r w:rsidRPr="00784E54">
        <w:rPr>
          <w:lang w:val="es-ES"/>
        </w:rPr>
        <w:t>n</w:t>
      </w:r>
      <w:r w:rsidRPr="00784E54">
        <w:rPr>
          <w:lang w:val="es-ES"/>
        </w:rPr>
        <w:t>formación tributaria de CAT</w:t>
      </w:r>
      <w:r w:rsidR="00781BE6">
        <w:rPr>
          <w:lang w:val="es-ES"/>
        </w:rPr>
        <w:t>-GT</w:t>
      </w:r>
      <w:r w:rsidRPr="00784E54">
        <w:rPr>
          <w:lang w:val="es-ES"/>
        </w:rPr>
        <w:t>. Así, no se distingue entre deudores de ejerc</w:t>
      </w:r>
      <w:r w:rsidRPr="00784E54">
        <w:rPr>
          <w:lang w:val="es-ES"/>
        </w:rPr>
        <w:t>i</w:t>
      </w:r>
      <w:r w:rsidRPr="00784E54">
        <w:rPr>
          <w:lang w:val="es-ES"/>
        </w:rPr>
        <w:t>cios corrientes y cerrados, ni tampoco se anulan los derechos reconocidos c</w:t>
      </w:r>
      <w:r w:rsidRPr="00784E54">
        <w:rPr>
          <w:lang w:val="es-ES"/>
        </w:rPr>
        <w:t>o</w:t>
      </w:r>
      <w:r w:rsidRPr="00784E54">
        <w:rPr>
          <w:lang w:val="es-ES"/>
        </w:rPr>
        <w:t>rrespondientes a los deudores a los que se concede aplazamiento de la deuda, contrariamente a los criterios establecidos en el Plan General de Contabilidad Pública vigente.</w:t>
      </w:r>
    </w:p>
    <w:p w:rsidR="00784E54" w:rsidRPr="00784E54" w:rsidRDefault="00784E54" w:rsidP="005B0D3F">
      <w:pPr>
        <w:pStyle w:val="texto"/>
        <w:rPr>
          <w:lang w:val="es-ES"/>
        </w:rPr>
      </w:pPr>
      <w:r w:rsidRPr="00784E54">
        <w:rPr>
          <w:lang w:val="es-ES"/>
        </w:rPr>
        <w:t>Los deudores no se recogen en el balance conforme a la clasificación est</w:t>
      </w:r>
      <w:r w:rsidRPr="00784E54">
        <w:rPr>
          <w:lang w:val="es-ES"/>
        </w:rPr>
        <w:t>a</w:t>
      </w:r>
      <w:r w:rsidRPr="00784E54">
        <w:rPr>
          <w:lang w:val="es-ES"/>
        </w:rPr>
        <w:t>blecida en el Plan General de Contabilidad Pública, ni tampoco los intereses y recargos no liquidados y los cobros pendientes de aplicación que se descuentan del saldo de deudores y debieran registrarse en el pasivo del balance como i</w:t>
      </w:r>
      <w:r w:rsidRPr="00784E54">
        <w:rPr>
          <w:lang w:val="es-ES"/>
        </w:rPr>
        <w:t>n</w:t>
      </w:r>
      <w:r w:rsidRPr="00784E54">
        <w:rPr>
          <w:lang w:val="es-ES"/>
        </w:rPr>
        <w:t>gresos anticipados y acreedores, respectivamente.</w:t>
      </w:r>
    </w:p>
    <w:p w:rsidR="00784E54" w:rsidRPr="00784E54" w:rsidRDefault="00784E54" w:rsidP="005B0D3F">
      <w:pPr>
        <w:pStyle w:val="texto"/>
        <w:rPr>
          <w:lang w:val="es-ES"/>
        </w:rPr>
      </w:pPr>
      <w:r w:rsidRPr="00784E54">
        <w:rPr>
          <w:lang w:val="es-ES"/>
        </w:rPr>
        <w:t>En el pasivo del balance y dentro de los acreedores presupuestarios por d</w:t>
      </w:r>
      <w:r w:rsidRPr="00784E54">
        <w:rPr>
          <w:lang w:val="es-ES"/>
        </w:rPr>
        <w:t>e</w:t>
      </w:r>
      <w:r w:rsidRPr="00784E54">
        <w:rPr>
          <w:lang w:val="es-ES"/>
        </w:rPr>
        <w:t>volución de impuestos y en otros acreedores, se registran los saldos acreedores de los deudores tributarios mediante un ajuste de la información del CAT</w:t>
      </w:r>
      <w:r w:rsidR="00781BE6">
        <w:rPr>
          <w:lang w:val="es-ES"/>
        </w:rPr>
        <w:t>-GT</w:t>
      </w:r>
      <w:r w:rsidRPr="00784E54">
        <w:rPr>
          <w:lang w:val="es-ES"/>
        </w:rPr>
        <w:t>. En 2016, el ajuste global ascendió a 308,54 millones de euros.</w:t>
      </w:r>
    </w:p>
    <w:p w:rsidR="00784E54" w:rsidRPr="00784E54" w:rsidRDefault="00784E54" w:rsidP="005B0D3F">
      <w:pPr>
        <w:pStyle w:val="texto"/>
        <w:rPr>
          <w:lang w:val="es-ES"/>
        </w:rPr>
      </w:pPr>
      <w:r w:rsidRPr="00784E54">
        <w:rPr>
          <w:lang w:val="es-ES"/>
        </w:rPr>
        <w:t>El balance de situación de la</w:t>
      </w:r>
      <w:r w:rsidR="00B15C51">
        <w:rPr>
          <w:lang w:val="es-ES"/>
        </w:rPr>
        <w:t>s C</w:t>
      </w:r>
      <w:r w:rsidRPr="00784E54">
        <w:rPr>
          <w:lang w:val="es-ES"/>
        </w:rPr>
        <w:t>uenta</w:t>
      </w:r>
      <w:r w:rsidR="00B15C51">
        <w:rPr>
          <w:lang w:val="es-ES"/>
        </w:rPr>
        <w:t>s G</w:t>
      </w:r>
      <w:r w:rsidRPr="00784E54">
        <w:rPr>
          <w:lang w:val="es-ES"/>
        </w:rPr>
        <w:t>eneral</w:t>
      </w:r>
      <w:r w:rsidR="00B15C51">
        <w:rPr>
          <w:lang w:val="es-ES"/>
        </w:rPr>
        <w:t>es</w:t>
      </w:r>
      <w:r w:rsidRPr="00784E54">
        <w:rPr>
          <w:lang w:val="es-ES"/>
        </w:rPr>
        <w:t xml:space="preserve"> se obtiene a partir del b</w:t>
      </w:r>
      <w:r w:rsidRPr="00784E54">
        <w:rPr>
          <w:lang w:val="es-ES"/>
        </w:rPr>
        <w:t>a</w:t>
      </w:r>
      <w:r w:rsidRPr="00784E54">
        <w:rPr>
          <w:lang w:val="es-ES"/>
        </w:rPr>
        <w:t xml:space="preserve">lance de situación de la aplicación informática de contabilidad, practicando un </w:t>
      </w:r>
      <w:r w:rsidRPr="00784E54">
        <w:rPr>
          <w:lang w:val="es-ES"/>
        </w:rPr>
        <w:lastRenderedPageBreak/>
        <w:t>ajuste extracontable con la información tributaria de CAT</w:t>
      </w:r>
      <w:r w:rsidR="00781BE6">
        <w:rPr>
          <w:lang w:val="es-ES"/>
        </w:rPr>
        <w:t>-GT</w:t>
      </w:r>
      <w:r w:rsidRPr="00784E54">
        <w:rPr>
          <w:lang w:val="es-ES"/>
        </w:rPr>
        <w:t xml:space="preserve"> sobre deudores y acreedores.</w:t>
      </w:r>
    </w:p>
    <w:p w:rsidR="00784E54" w:rsidRPr="00784E54" w:rsidRDefault="00784E54" w:rsidP="005B0D3F">
      <w:pPr>
        <w:pStyle w:val="texto"/>
        <w:rPr>
          <w:lang w:val="es-ES"/>
        </w:rPr>
      </w:pPr>
      <w:r w:rsidRPr="00784E54">
        <w:rPr>
          <w:lang w:val="es-ES"/>
        </w:rPr>
        <w:t>Está previsto que en 2018 se aplique el nuevo enlace entre CAT</w:t>
      </w:r>
      <w:r w:rsidR="00781BE6">
        <w:rPr>
          <w:lang w:val="es-ES"/>
        </w:rPr>
        <w:t>-GT</w:t>
      </w:r>
      <w:r w:rsidRPr="00784E54">
        <w:rPr>
          <w:lang w:val="es-ES"/>
        </w:rPr>
        <w:t xml:space="preserve"> y SAPGE21 para mejorar el traspaso de información entre ambas aplicaciones.</w:t>
      </w:r>
    </w:p>
    <w:p w:rsidR="00784E54" w:rsidRPr="00784E54" w:rsidRDefault="00784E54" w:rsidP="005B0D3F">
      <w:pPr>
        <w:pStyle w:val="texto"/>
        <w:rPr>
          <w:lang w:val="es-ES"/>
        </w:rPr>
      </w:pPr>
      <w:r w:rsidRPr="00784E54">
        <w:rPr>
          <w:lang w:val="es-ES"/>
        </w:rPr>
        <w:t>En cuanto al desglose de “otros deudores”, destaca la cuenta de operaciones a formalizar del CAT</w:t>
      </w:r>
      <w:r w:rsidR="00781BE6">
        <w:rPr>
          <w:lang w:val="es-ES"/>
        </w:rPr>
        <w:t>-GT</w:t>
      </w:r>
      <w:r w:rsidRPr="00784E54">
        <w:rPr>
          <w:lang w:val="es-ES"/>
        </w:rPr>
        <w:t xml:space="preserve"> (cuenta de enlace entre CAT</w:t>
      </w:r>
      <w:r w:rsidR="00781BE6">
        <w:rPr>
          <w:lang w:val="es-ES"/>
        </w:rPr>
        <w:t>-GT</w:t>
      </w:r>
      <w:r w:rsidRPr="00784E54">
        <w:rPr>
          <w:lang w:val="es-ES"/>
        </w:rPr>
        <w:t xml:space="preserve"> y contabilidad), con un saldo de 3,25 millones de euros. Tal y como ha advertido esta Cámara en anteriores informes, este importe no está debidamente soportado y no se con</w:t>
      </w:r>
      <w:r w:rsidRPr="00784E54">
        <w:rPr>
          <w:lang w:val="es-ES"/>
        </w:rPr>
        <w:t>o</w:t>
      </w:r>
      <w:r w:rsidRPr="00784E54">
        <w:rPr>
          <w:lang w:val="es-ES"/>
        </w:rPr>
        <w:t>cen los motivos que han originado su reducción en 0,12 millones respecto al año anterior. El saldo de esta cuenta está totalmente provisionado.</w:t>
      </w:r>
    </w:p>
    <w:p w:rsidR="00784E54" w:rsidRPr="00784E54" w:rsidRDefault="00781BE6" w:rsidP="005B0D3F">
      <w:pPr>
        <w:pStyle w:val="texto"/>
        <w:rPr>
          <w:rFonts w:cs="Arial"/>
          <w:i/>
        </w:rPr>
      </w:pPr>
      <w:r>
        <w:rPr>
          <w:i/>
          <w:lang w:val="es-ES"/>
        </w:rPr>
        <w:t xml:space="preserve">Recomendamos </w:t>
      </w:r>
      <w:r w:rsidRPr="00784E54">
        <w:rPr>
          <w:rFonts w:cs="Arial"/>
          <w:i/>
        </w:rPr>
        <w:t>revisar</w:t>
      </w:r>
      <w:r w:rsidR="00784E54" w:rsidRPr="00784E54">
        <w:rPr>
          <w:rFonts w:cs="Arial"/>
          <w:i/>
        </w:rPr>
        <w:t xml:space="preserve"> los saldos de deudores tributarios no justificados y proceder, en su caso, a su regularización.</w:t>
      </w:r>
    </w:p>
    <w:p w:rsidR="00784E54" w:rsidRPr="00FE6FC5" w:rsidRDefault="00EE34CE" w:rsidP="00FE6FC5">
      <w:pPr>
        <w:pStyle w:val="atitulo2"/>
        <w:spacing w:before="240"/>
        <w:rPr>
          <w:bCs w:val="0"/>
          <w:iCs w:val="0"/>
        </w:rPr>
      </w:pPr>
      <w:bookmarkStart w:id="83" w:name="_Toc494270393"/>
      <w:bookmarkStart w:id="84" w:name="_Toc498515802"/>
      <w:r>
        <w:rPr>
          <w:bCs w:val="0"/>
          <w:iCs w:val="0"/>
        </w:rPr>
        <w:t>I</w:t>
      </w:r>
      <w:r w:rsidR="00784E54" w:rsidRPr="00FE6FC5">
        <w:rPr>
          <w:bCs w:val="0"/>
          <w:iCs w:val="0"/>
        </w:rPr>
        <w:t>V</w:t>
      </w:r>
      <w:r>
        <w:rPr>
          <w:bCs w:val="0"/>
          <w:iCs w:val="0"/>
        </w:rPr>
        <w:t>.1</w:t>
      </w:r>
      <w:r w:rsidR="005C0FDA">
        <w:rPr>
          <w:bCs w:val="0"/>
          <w:iCs w:val="0"/>
        </w:rPr>
        <w:t>3</w:t>
      </w:r>
      <w:r w:rsidR="00784E54" w:rsidRPr="00FE6FC5">
        <w:rPr>
          <w:bCs w:val="0"/>
          <w:iCs w:val="0"/>
        </w:rPr>
        <w:t>. Tesorería</w:t>
      </w:r>
      <w:bookmarkEnd w:id="81"/>
      <w:bookmarkEnd w:id="82"/>
      <w:bookmarkEnd w:id="83"/>
      <w:bookmarkEnd w:id="84"/>
    </w:p>
    <w:p w:rsidR="00784E54" w:rsidRPr="00784E54" w:rsidRDefault="00784E54" w:rsidP="001A35E1">
      <w:pPr>
        <w:tabs>
          <w:tab w:val="center" w:pos="2835"/>
          <w:tab w:val="center" w:pos="3969"/>
          <w:tab w:val="center" w:pos="5103"/>
          <w:tab w:val="center" w:pos="6237"/>
          <w:tab w:val="center" w:pos="7371"/>
        </w:tabs>
        <w:spacing w:after="120"/>
        <w:ind w:firstLine="284"/>
        <w:rPr>
          <w:spacing w:val="6"/>
          <w:sz w:val="26"/>
          <w:szCs w:val="24"/>
          <w:lang w:val="es-ES"/>
        </w:rPr>
      </w:pPr>
      <w:r w:rsidRPr="00784E54">
        <w:rPr>
          <w:spacing w:val="6"/>
          <w:sz w:val="26"/>
          <w:szCs w:val="24"/>
          <w:lang w:val="es-ES"/>
        </w:rPr>
        <w:t>La tesorería existente a 31 de diciembre de 2016 ascendía a 140,96 millones de euros y se encontraba en los siguientes tipos de cuentas:</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413"/>
        <w:gridCol w:w="1674"/>
        <w:gridCol w:w="1777"/>
        <w:gridCol w:w="1954"/>
      </w:tblGrid>
      <w:tr w:rsidR="001A35E1" w:rsidRPr="00784E54" w:rsidTr="001A35E1">
        <w:trPr>
          <w:trHeight w:val="255"/>
          <w:jc w:val="center"/>
        </w:trPr>
        <w:tc>
          <w:tcPr>
            <w:tcW w:w="5000" w:type="pct"/>
            <w:gridSpan w:val="4"/>
            <w:tcBorders>
              <w:top w:val="nil"/>
              <w:left w:val="nil"/>
              <w:bottom w:val="single" w:sz="4" w:space="0" w:color="auto"/>
              <w:right w:val="nil"/>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pacing w:val="6"/>
                <w:sz w:val="17"/>
                <w:szCs w:val="17"/>
              </w:rPr>
              <w:t>(en miles de euros)</w:t>
            </w:r>
          </w:p>
        </w:tc>
      </w:tr>
      <w:tr w:rsidR="00784E54" w:rsidRPr="00784E54" w:rsidTr="00E85086">
        <w:trPr>
          <w:trHeight w:val="255"/>
          <w:jc w:val="center"/>
        </w:trPr>
        <w:tc>
          <w:tcPr>
            <w:tcW w:w="1889"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Concepto</w:t>
            </w:r>
          </w:p>
        </w:tc>
        <w:tc>
          <w:tcPr>
            <w:tcW w:w="965"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Saldo a 31/12/2015</w:t>
            </w:r>
          </w:p>
        </w:tc>
        <w:tc>
          <w:tcPr>
            <w:tcW w:w="1023"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D57A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Saldo a 31/12/201</w:t>
            </w:r>
            <w:r w:rsidR="007D57A9">
              <w:rPr>
                <w:rFonts w:ascii="Arial" w:hAnsi="Arial"/>
                <w:spacing w:val="6"/>
                <w:sz w:val="18"/>
                <w:szCs w:val="18"/>
              </w:rPr>
              <w:t>6</w:t>
            </w:r>
          </w:p>
        </w:tc>
        <w:tc>
          <w:tcPr>
            <w:tcW w:w="1123" w:type="pct"/>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EE60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 xml:space="preserve">% </w:t>
            </w:r>
            <w:r w:rsidR="00EE60AF">
              <w:rPr>
                <w:rFonts w:ascii="Arial" w:hAnsi="Arial"/>
                <w:spacing w:val="6"/>
                <w:sz w:val="18"/>
                <w:szCs w:val="18"/>
              </w:rPr>
              <w:t>v</w:t>
            </w:r>
            <w:r w:rsidRPr="00784E54">
              <w:rPr>
                <w:rFonts w:ascii="Arial" w:hAnsi="Arial"/>
                <w:spacing w:val="6"/>
                <w:sz w:val="18"/>
                <w:szCs w:val="18"/>
              </w:rPr>
              <w:t>ariación 2016/2015</w:t>
            </w:r>
          </w:p>
        </w:tc>
      </w:tr>
      <w:tr w:rsidR="00784E54" w:rsidRPr="00784E54" w:rsidTr="00E85086">
        <w:trPr>
          <w:trHeight w:val="198"/>
          <w:jc w:val="center"/>
        </w:trPr>
        <w:tc>
          <w:tcPr>
            <w:tcW w:w="1889" w:type="pct"/>
            <w:tcBorders>
              <w:top w:val="single" w:sz="4" w:space="0" w:color="auto"/>
              <w:left w:val="nil"/>
              <w:bottom w:val="single" w:sz="2" w:space="0" w:color="auto"/>
              <w:right w:val="nil"/>
            </w:tcBorders>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Cuentas corrientes operativas</w:t>
            </w:r>
          </w:p>
        </w:tc>
        <w:tc>
          <w:tcPr>
            <w:tcW w:w="965"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123</w:t>
            </w:r>
          </w:p>
        </w:tc>
        <w:tc>
          <w:tcPr>
            <w:tcW w:w="1023"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1.010</w:t>
            </w:r>
          </w:p>
        </w:tc>
        <w:tc>
          <w:tcPr>
            <w:tcW w:w="1123" w:type="pct"/>
            <w:tcBorders>
              <w:top w:val="single" w:sz="4"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721</w:t>
            </w:r>
          </w:p>
        </w:tc>
      </w:tr>
      <w:tr w:rsidR="00784E54" w:rsidRPr="00784E54" w:rsidTr="00E85086">
        <w:trPr>
          <w:trHeight w:val="198"/>
          <w:jc w:val="center"/>
        </w:trPr>
        <w:tc>
          <w:tcPr>
            <w:tcW w:w="1889" w:type="pct"/>
            <w:tcBorders>
              <w:top w:val="single" w:sz="2" w:space="0" w:color="auto"/>
              <w:left w:val="nil"/>
              <w:bottom w:val="single" w:sz="2" w:space="0" w:color="auto"/>
              <w:right w:val="nil"/>
            </w:tcBorders>
            <w:noWrap/>
            <w:vAlign w:val="center"/>
            <w:hideMark/>
          </w:tcPr>
          <w:p w:rsidR="00784E54" w:rsidRPr="00923441"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23441">
              <w:rPr>
                <w:rFonts w:ascii="Arial Narrow" w:hAnsi="Arial Narrow"/>
                <w:spacing w:val="6"/>
              </w:rPr>
              <w:t>Cuentas financieras de inversión</w:t>
            </w:r>
            <w:r w:rsidR="00923441">
              <w:rPr>
                <w:rFonts w:ascii="Arial Narrow" w:hAnsi="Arial Narrow"/>
                <w:spacing w:val="6"/>
              </w:rPr>
              <w:t xml:space="preserve"> (fondos)</w:t>
            </w:r>
          </w:p>
        </w:tc>
        <w:tc>
          <w:tcPr>
            <w:tcW w:w="965"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51.576</w:t>
            </w:r>
          </w:p>
        </w:tc>
        <w:tc>
          <w:tcPr>
            <w:tcW w:w="1023"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130.076</w:t>
            </w:r>
          </w:p>
        </w:tc>
        <w:tc>
          <w:tcPr>
            <w:tcW w:w="1123" w:type="pct"/>
            <w:tcBorders>
              <w:top w:val="single" w:sz="2" w:space="0" w:color="auto"/>
              <w:left w:val="nil"/>
              <w:bottom w:val="single" w:sz="2" w:space="0" w:color="auto"/>
              <w:right w:val="nil"/>
            </w:tcBorders>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152</w:t>
            </w:r>
          </w:p>
        </w:tc>
      </w:tr>
      <w:tr w:rsidR="00784E54" w:rsidRPr="00784E54" w:rsidTr="00E85086">
        <w:trPr>
          <w:trHeight w:val="198"/>
          <w:jc w:val="center"/>
        </w:trPr>
        <w:tc>
          <w:tcPr>
            <w:tcW w:w="1889" w:type="pct"/>
            <w:tcBorders>
              <w:top w:val="single" w:sz="2" w:space="0" w:color="auto"/>
              <w:left w:val="nil"/>
              <w:bottom w:val="single" w:sz="4" w:space="0" w:color="auto"/>
              <w:right w:val="nil"/>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Cuentas especiales de ingresos</w:t>
            </w:r>
          </w:p>
        </w:tc>
        <w:tc>
          <w:tcPr>
            <w:tcW w:w="965"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10.272</w:t>
            </w:r>
          </w:p>
        </w:tc>
        <w:tc>
          <w:tcPr>
            <w:tcW w:w="1023"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9.877</w:t>
            </w:r>
          </w:p>
        </w:tc>
        <w:tc>
          <w:tcPr>
            <w:tcW w:w="1123" w:type="pct"/>
            <w:tcBorders>
              <w:top w:val="single" w:sz="2" w:space="0" w:color="auto"/>
              <w:left w:val="nil"/>
              <w:bottom w:val="single" w:sz="4" w:space="0" w:color="auto"/>
              <w:right w:val="nil"/>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w:t>
            </w:r>
          </w:p>
        </w:tc>
      </w:tr>
      <w:tr w:rsidR="00784E54" w:rsidRPr="00784E54" w:rsidTr="00E85086">
        <w:trPr>
          <w:trHeight w:val="255"/>
          <w:jc w:val="center"/>
        </w:trPr>
        <w:tc>
          <w:tcPr>
            <w:tcW w:w="1889" w:type="pct"/>
            <w:tcBorders>
              <w:top w:val="single" w:sz="4" w:space="0" w:color="auto"/>
              <w:left w:val="nil"/>
              <w:bottom w:val="single" w:sz="4" w:space="0" w:color="auto"/>
              <w:right w:val="nil"/>
            </w:tcBorders>
            <w:shd w:val="clear" w:color="auto" w:fill="8DB3E2" w:themeFill="text2" w:themeFillTint="66"/>
            <w:noWrap/>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784E54">
              <w:rPr>
                <w:rFonts w:ascii="Arial" w:hAnsi="Arial"/>
                <w:spacing w:val="6"/>
                <w:sz w:val="18"/>
                <w:szCs w:val="18"/>
              </w:rPr>
              <w:t>Total</w:t>
            </w:r>
          </w:p>
        </w:tc>
        <w:tc>
          <w:tcPr>
            <w:tcW w:w="965"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61.971</w:t>
            </w:r>
          </w:p>
        </w:tc>
        <w:tc>
          <w:tcPr>
            <w:tcW w:w="1023"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fldChar w:fldCharType="begin"/>
            </w:r>
            <w:r w:rsidRPr="00784E54">
              <w:rPr>
                <w:rFonts w:ascii="Arial" w:hAnsi="Arial"/>
                <w:spacing w:val="6"/>
                <w:sz w:val="18"/>
                <w:szCs w:val="18"/>
              </w:rPr>
              <w:instrText xml:space="preserve"> =SUM(ABOVE) </w:instrText>
            </w:r>
            <w:r w:rsidRPr="00784E54">
              <w:rPr>
                <w:rFonts w:ascii="Arial" w:hAnsi="Arial"/>
                <w:spacing w:val="6"/>
                <w:sz w:val="18"/>
                <w:szCs w:val="18"/>
              </w:rPr>
              <w:fldChar w:fldCharType="separate"/>
            </w:r>
            <w:r w:rsidRPr="00784E54">
              <w:rPr>
                <w:rFonts w:ascii="Arial" w:hAnsi="Arial"/>
                <w:spacing w:val="6"/>
                <w:sz w:val="18"/>
                <w:szCs w:val="18"/>
              </w:rPr>
              <w:t>140.963</w:t>
            </w:r>
            <w:r w:rsidRPr="00784E54">
              <w:rPr>
                <w:rFonts w:ascii="Arial" w:hAnsi="Arial"/>
                <w:spacing w:val="6"/>
                <w:sz w:val="18"/>
                <w:szCs w:val="18"/>
              </w:rPr>
              <w:fldChar w:fldCharType="end"/>
            </w:r>
          </w:p>
        </w:tc>
        <w:tc>
          <w:tcPr>
            <w:tcW w:w="1123" w:type="pct"/>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784E54">
              <w:rPr>
                <w:rFonts w:ascii="Arial" w:hAnsi="Arial"/>
                <w:spacing w:val="6"/>
                <w:sz w:val="18"/>
                <w:szCs w:val="18"/>
              </w:rPr>
              <w:t>127</w:t>
            </w:r>
          </w:p>
        </w:tc>
      </w:tr>
    </w:tbl>
    <w:p w:rsidR="00784E54" w:rsidRPr="00784E54" w:rsidRDefault="00784E54" w:rsidP="00784E54">
      <w:pPr>
        <w:tabs>
          <w:tab w:val="center" w:pos="2835"/>
          <w:tab w:val="center" w:pos="3969"/>
          <w:tab w:val="center" w:pos="5103"/>
          <w:tab w:val="center" w:pos="6237"/>
          <w:tab w:val="center" w:pos="7371"/>
        </w:tabs>
        <w:spacing w:before="240"/>
        <w:ind w:firstLine="284"/>
        <w:rPr>
          <w:spacing w:val="6"/>
          <w:sz w:val="26"/>
          <w:szCs w:val="24"/>
          <w:lang w:val="es-ES"/>
        </w:rPr>
      </w:pPr>
      <w:r w:rsidRPr="00784E54">
        <w:rPr>
          <w:spacing w:val="6"/>
          <w:sz w:val="26"/>
          <w:szCs w:val="24"/>
          <w:lang w:val="es-ES"/>
        </w:rPr>
        <w:t>Los saldos de tesorería han aumentado un 127 por ciento lo que supone prá</w:t>
      </w:r>
      <w:r w:rsidRPr="00784E54">
        <w:rPr>
          <w:spacing w:val="6"/>
          <w:sz w:val="26"/>
          <w:szCs w:val="24"/>
          <w:lang w:val="es-ES"/>
        </w:rPr>
        <w:t>c</w:t>
      </w:r>
      <w:r w:rsidRPr="00784E54">
        <w:rPr>
          <w:spacing w:val="6"/>
          <w:sz w:val="26"/>
          <w:szCs w:val="24"/>
          <w:lang w:val="es-ES"/>
        </w:rPr>
        <w:t>ticamente 79 millones de euros más debido al incremento de las cuentas fina</w:t>
      </w:r>
      <w:r w:rsidRPr="00784E54">
        <w:rPr>
          <w:spacing w:val="6"/>
          <w:sz w:val="26"/>
          <w:szCs w:val="24"/>
          <w:lang w:val="es-ES"/>
        </w:rPr>
        <w:t>n</w:t>
      </w:r>
      <w:r w:rsidRPr="00784E54">
        <w:rPr>
          <w:spacing w:val="6"/>
          <w:sz w:val="26"/>
          <w:szCs w:val="24"/>
          <w:lang w:val="es-ES"/>
        </w:rPr>
        <w:t xml:space="preserve">cieras de inversión en un 152 por ciento. </w:t>
      </w:r>
    </w:p>
    <w:p w:rsidR="00784E54" w:rsidRPr="00784E54" w:rsidRDefault="00784E54" w:rsidP="00784E54">
      <w:pPr>
        <w:tabs>
          <w:tab w:val="center" w:pos="2835"/>
          <w:tab w:val="center" w:pos="3969"/>
          <w:tab w:val="center" w:pos="5103"/>
          <w:tab w:val="center" w:pos="6237"/>
          <w:tab w:val="center" w:pos="7371"/>
        </w:tabs>
        <w:ind w:firstLine="284"/>
        <w:rPr>
          <w:spacing w:val="6"/>
          <w:sz w:val="26"/>
          <w:szCs w:val="24"/>
          <w:lang w:val="es-ES"/>
        </w:rPr>
      </w:pPr>
      <w:r w:rsidRPr="00784E54">
        <w:rPr>
          <w:spacing w:val="6"/>
          <w:sz w:val="26"/>
          <w:szCs w:val="24"/>
          <w:lang w:val="es-ES"/>
        </w:rPr>
        <w:t>Los anteriores fondos han generado unos intereses de 15.823 euros, frente a los 0,14 millones de 2015 y los 1,3 millones generados en 2014.</w:t>
      </w:r>
    </w:p>
    <w:p w:rsidR="00784E54" w:rsidRDefault="00781BE6" w:rsidP="00781BE6">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E</w:t>
      </w:r>
      <w:r w:rsidR="00784E54" w:rsidRPr="00784E54">
        <w:rPr>
          <w:spacing w:val="6"/>
          <w:sz w:val="26"/>
          <w:szCs w:val="24"/>
          <w:lang w:val="es-ES"/>
        </w:rPr>
        <w:t xml:space="preserve">n 2016 se concertaron un total de 550 millones en créditos para hacer frente a necesidades de tesorería a corto plazo, siendo el importe máximo dispuesto 512 millones en julio. El coste financiero de estas operaciones ascendió a 81.782 euros, cifra significativamente baja debido a los valores que alcanzó el Euribor que llegaron a ser negativos. </w:t>
      </w:r>
    </w:p>
    <w:p w:rsidR="00784E54" w:rsidRPr="00784E54" w:rsidRDefault="00784E54" w:rsidP="00784E54">
      <w:pPr>
        <w:tabs>
          <w:tab w:val="center" w:pos="2835"/>
          <w:tab w:val="center" w:pos="3969"/>
          <w:tab w:val="center" w:pos="5103"/>
          <w:tab w:val="center" w:pos="6237"/>
          <w:tab w:val="center" w:pos="7371"/>
        </w:tabs>
        <w:spacing w:after="120"/>
        <w:ind w:firstLine="284"/>
        <w:rPr>
          <w:spacing w:val="6"/>
          <w:sz w:val="26"/>
          <w:szCs w:val="24"/>
          <w:lang w:val="es-ES"/>
        </w:rPr>
      </w:pPr>
      <w:r w:rsidRPr="00784E54">
        <w:rPr>
          <w:spacing w:val="6"/>
          <w:sz w:val="26"/>
          <w:szCs w:val="24"/>
          <w:lang w:val="es-ES"/>
        </w:rPr>
        <w:t>En la</w:t>
      </w:r>
      <w:r w:rsidR="00781BE6">
        <w:rPr>
          <w:spacing w:val="6"/>
          <w:sz w:val="26"/>
          <w:szCs w:val="24"/>
          <w:lang w:val="es-ES"/>
        </w:rPr>
        <w:t xml:space="preserve"> información obtenida con la</w:t>
      </w:r>
      <w:r w:rsidRPr="00784E54">
        <w:rPr>
          <w:spacing w:val="6"/>
          <w:sz w:val="26"/>
          <w:szCs w:val="24"/>
          <w:lang w:val="es-ES"/>
        </w:rPr>
        <w:t xml:space="preserve"> circularización bancaria</w:t>
      </w:r>
      <w:r w:rsidR="00923441">
        <w:rPr>
          <w:spacing w:val="6"/>
          <w:sz w:val="26"/>
          <w:szCs w:val="24"/>
          <w:lang w:val="es-ES"/>
        </w:rPr>
        <w:t>,</w:t>
      </w:r>
      <w:r w:rsidRPr="00784E54">
        <w:rPr>
          <w:spacing w:val="6"/>
          <w:sz w:val="26"/>
          <w:szCs w:val="24"/>
          <w:lang w:val="es-ES"/>
        </w:rPr>
        <w:t xml:space="preserve"> hemos detectado una cuenta con un saldo de 56.597 euros </w:t>
      </w:r>
      <w:r w:rsidR="00781BE6">
        <w:rPr>
          <w:spacing w:val="6"/>
          <w:sz w:val="26"/>
          <w:szCs w:val="24"/>
          <w:lang w:val="es-ES"/>
        </w:rPr>
        <w:t xml:space="preserve">(que no presenta movimientos </w:t>
      </w:r>
      <w:r w:rsidRPr="00784E54">
        <w:rPr>
          <w:spacing w:val="6"/>
          <w:sz w:val="26"/>
          <w:szCs w:val="24"/>
          <w:lang w:val="es-ES"/>
        </w:rPr>
        <w:t>desde mayo de 2015</w:t>
      </w:r>
      <w:r w:rsidR="00781BE6">
        <w:rPr>
          <w:spacing w:val="6"/>
          <w:sz w:val="26"/>
          <w:szCs w:val="24"/>
          <w:lang w:val="es-ES"/>
        </w:rPr>
        <w:t>)</w:t>
      </w:r>
      <w:r w:rsidRPr="00784E54">
        <w:rPr>
          <w:spacing w:val="6"/>
          <w:sz w:val="26"/>
          <w:szCs w:val="24"/>
          <w:lang w:val="es-ES"/>
        </w:rPr>
        <w:t xml:space="preserve"> que no consta en la base de datos de tesorería del Gobierno de Navarra. Se trata de una cuenta restringida de recaudación donde se hacían abonos de impuestos y posteriormente se traspasaban a una cuenta ordinaria. Esta cuenta pertenecía a un banco que posteriormente se fusionó con otra ent</w:t>
      </w:r>
      <w:r w:rsidRPr="00784E54">
        <w:rPr>
          <w:spacing w:val="6"/>
          <w:sz w:val="26"/>
          <w:szCs w:val="24"/>
          <w:lang w:val="es-ES"/>
        </w:rPr>
        <w:t>i</w:t>
      </w:r>
      <w:r w:rsidRPr="00784E54">
        <w:rPr>
          <w:spacing w:val="6"/>
          <w:sz w:val="26"/>
          <w:szCs w:val="24"/>
          <w:lang w:val="es-ES"/>
        </w:rPr>
        <w:t>dad en 2015 y la razón de no traspaso podría deberse a algún error en este pr</w:t>
      </w:r>
      <w:r w:rsidRPr="00784E54">
        <w:rPr>
          <w:spacing w:val="6"/>
          <w:sz w:val="26"/>
          <w:szCs w:val="24"/>
          <w:lang w:val="es-ES"/>
        </w:rPr>
        <w:t>o</w:t>
      </w:r>
      <w:r w:rsidRPr="00784E54">
        <w:rPr>
          <w:spacing w:val="6"/>
          <w:sz w:val="26"/>
          <w:szCs w:val="24"/>
          <w:lang w:val="es-ES"/>
        </w:rPr>
        <w:lastRenderedPageBreak/>
        <w:t>ceso de agrupación de entidades. El Departamento de Hacienda y Política F</w:t>
      </w:r>
      <w:r w:rsidRPr="00784E54">
        <w:rPr>
          <w:spacing w:val="6"/>
          <w:sz w:val="26"/>
          <w:szCs w:val="24"/>
          <w:lang w:val="es-ES"/>
        </w:rPr>
        <w:t>i</w:t>
      </w:r>
      <w:r w:rsidRPr="00784E54">
        <w:rPr>
          <w:spacing w:val="6"/>
          <w:sz w:val="26"/>
          <w:szCs w:val="24"/>
          <w:lang w:val="es-ES"/>
        </w:rPr>
        <w:t>nanciera ya ha iniciado los trámites oportunos para resolver esta situación.</w:t>
      </w:r>
    </w:p>
    <w:p w:rsidR="00784E54" w:rsidRPr="00784E54" w:rsidRDefault="00784E54" w:rsidP="00784E54">
      <w:pPr>
        <w:tabs>
          <w:tab w:val="center" w:pos="2835"/>
          <w:tab w:val="center" w:pos="3969"/>
          <w:tab w:val="center" w:pos="5103"/>
          <w:tab w:val="center" w:pos="6237"/>
          <w:tab w:val="center" w:pos="7371"/>
        </w:tabs>
        <w:ind w:firstLine="284"/>
        <w:rPr>
          <w:spacing w:val="6"/>
          <w:sz w:val="26"/>
          <w:szCs w:val="24"/>
        </w:rPr>
      </w:pPr>
      <w:bookmarkStart w:id="85" w:name="_Toc418853798"/>
      <w:r w:rsidRPr="00784E54">
        <w:rPr>
          <w:i/>
          <w:spacing w:val="6"/>
          <w:sz w:val="26"/>
          <w:szCs w:val="24"/>
          <w:lang w:val="es-ES"/>
        </w:rPr>
        <w:t>Recomendamos</w:t>
      </w:r>
      <w:r w:rsidRPr="00784E54">
        <w:rPr>
          <w:spacing w:val="6"/>
          <w:sz w:val="26"/>
          <w:szCs w:val="24"/>
          <w:lang w:val="es-ES"/>
        </w:rPr>
        <w:t xml:space="preserve"> </w:t>
      </w:r>
      <w:r w:rsidR="00532865">
        <w:rPr>
          <w:rFonts w:cs="Arial"/>
          <w:i/>
          <w:spacing w:val="6"/>
          <w:sz w:val="26"/>
          <w:szCs w:val="24"/>
          <w:lang w:val="es-ES"/>
        </w:rPr>
        <w:t xml:space="preserve">verificar que </w:t>
      </w:r>
      <w:r w:rsidRPr="00784E54">
        <w:rPr>
          <w:rFonts w:cs="Arial"/>
          <w:i/>
          <w:spacing w:val="6"/>
          <w:sz w:val="26"/>
          <w:szCs w:val="24"/>
          <w:lang w:val="es-ES"/>
        </w:rPr>
        <w:t>las cuentas existentes</w:t>
      </w:r>
      <w:r w:rsidR="001C40C4">
        <w:rPr>
          <w:rFonts w:cs="Arial"/>
          <w:i/>
          <w:spacing w:val="6"/>
          <w:sz w:val="26"/>
          <w:szCs w:val="24"/>
          <w:lang w:val="es-ES"/>
        </w:rPr>
        <w:t xml:space="preserve"> en las entidades fina</w:t>
      </w:r>
      <w:r w:rsidR="001C40C4">
        <w:rPr>
          <w:rFonts w:cs="Arial"/>
          <w:i/>
          <w:spacing w:val="6"/>
          <w:sz w:val="26"/>
          <w:szCs w:val="24"/>
          <w:lang w:val="es-ES"/>
        </w:rPr>
        <w:t>n</w:t>
      </w:r>
      <w:r w:rsidR="001C40C4">
        <w:rPr>
          <w:rFonts w:cs="Arial"/>
          <w:i/>
          <w:spacing w:val="6"/>
          <w:sz w:val="26"/>
          <w:szCs w:val="24"/>
          <w:lang w:val="es-ES"/>
        </w:rPr>
        <w:t>cieras</w:t>
      </w:r>
      <w:r w:rsidRPr="00784E54">
        <w:rPr>
          <w:rFonts w:cs="Arial"/>
          <w:i/>
          <w:spacing w:val="6"/>
          <w:sz w:val="26"/>
          <w:szCs w:val="24"/>
          <w:lang w:val="es-ES"/>
        </w:rPr>
        <w:t xml:space="preserve"> constan en la base de datos de tesorería</w:t>
      </w:r>
      <w:r w:rsidRPr="00784E54">
        <w:rPr>
          <w:spacing w:val="6"/>
          <w:sz w:val="26"/>
          <w:szCs w:val="24"/>
        </w:rPr>
        <w:t>.</w:t>
      </w:r>
    </w:p>
    <w:p w:rsidR="00784E54" w:rsidRPr="00EE34CE" w:rsidRDefault="00EE34CE" w:rsidP="00A11120">
      <w:pPr>
        <w:pStyle w:val="atitulo2"/>
        <w:spacing w:before="240"/>
        <w:rPr>
          <w:bCs w:val="0"/>
          <w:iCs w:val="0"/>
          <w:lang w:val="es-ES"/>
        </w:rPr>
      </w:pPr>
      <w:bookmarkStart w:id="86" w:name="_Toc494270394"/>
      <w:bookmarkStart w:id="87" w:name="_Toc498515803"/>
      <w:bookmarkEnd w:id="85"/>
      <w:r>
        <w:rPr>
          <w:bCs w:val="0"/>
          <w:iCs w:val="0"/>
          <w:lang w:val="es-ES"/>
        </w:rPr>
        <w:t>I</w:t>
      </w:r>
      <w:r w:rsidR="00784E54" w:rsidRPr="00EE34CE">
        <w:rPr>
          <w:bCs w:val="0"/>
          <w:iCs w:val="0"/>
          <w:lang w:val="es-ES"/>
        </w:rPr>
        <w:t>V.1</w:t>
      </w:r>
      <w:r w:rsidR="005C0FDA">
        <w:rPr>
          <w:bCs w:val="0"/>
          <w:iCs w:val="0"/>
          <w:lang w:val="es-ES"/>
        </w:rPr>
        <w:t>4</w:t>
      </w:r>
      <w:r w:rsidR="00784E54" w:rsidRPr="00EE34CE">
        <w:rPr>
          <w:bCs w:val="0"/>
          <w:iCs w:val="0"/>
          <w:lang w:val="es-ES"/>
        </w:rPr>
        <w:t xml:space="preserve">. </w:t>
      </w:r>
      <w:r w:rsidR="007D57A9">
        <w:rPr>
          <w:bCs w:val="0"/>
          <w:iCs w:val="0"/>
          <w:lang w:val="es-ES"/>
        </w:rPr>
        <w:t>Endeudamiento y otras o</w:t>
      </w:r>
      <w:r w:rsidR="00784E54" w:rsidRPr="00EE34CE">
        <w:rPr>
          <w:bCs w:val="0"/>
          <w:iCs w:val="0"/>
          <w:lang w:val="es-ES"/>
        </w:rPr>
        <w:t>peraciones financieras</w:t>
      </w:r>
      <w:bookmarkEnd w:id="86"/>
      <w:bookmarkEnd w:id="87"/>
    </w:p>
    <w:p w:rsidR="00784E54" w:rsidRPr="00A11120" w:rsidRDefault="00784E54" w:rsidP="00A11120">
      <w:pPr>
        <w:spacing w:before="240" w:after="240"/>
        <w:ind w:firstLine="284"/>
        <w:rPr>
          <w:rFonts w:ascii="Arial" w:hAnsi="Arial"/>
          <w:i/>
          <w:iCs/>
          <w:color w:val="000000"/>
          <w:spacing w:val="10"/>
          <w:kern w:val="28"/>
          <w:sz w:val="25"/>
          <w:szCs w:val="26"/>
          <w:lang w:val="es-ES"/>
        </w:rPr>
      </w:pPr>
      <w:r w:rsidRPr="00A11120">
        <w:rPr>
          <w:rFonts w:ascii="Arial" w:hAnsi="Arial"/>
          <w:i/>
          <w:iCs/>
          <w:color w:val="000000"/>
          <w:spacing w:val="10"/>
          <w:kern w:val="28"/>
          <w:sz w:val="25"/>
          <w:szCs w:val="26"/>
          <w:lang w:val="es-ES"/>
        </w:rPr>
        <w:t>Endeudamiento</w:t>
      </w:r>
    </w:p>
    <w:p w:rsidR="001F3380" w:rsidRPr="00784E54" w:rsidRDefault="00784E54" w:rsidP="00B15C51">
      <w:pPr>
        <w:pStyle w:val="texto"/>
        <w:spacing w:after="120"/>
        <w:rPr>
          <w:lang w:val="es-ES"/>
        </w:rPr>
      </w:pPr>
      <w:r w:rsidRPr="00784E54">
        <w:rPr>
          <w:lang w:val="es-ES"/>
        </w:rPr>
        <w:t>El endeudamiento de la Administración Foral y sus organismos autónomos a 31 de diciembre de 2016 a coste amortizado ascendía 3.057,56 millones de e</w:t>
      </w:r>
      <w:r w:rsidRPr="00784E54">
        <w:rPr>
          <w:lang w:val="es-ES"/>
        </w:rPr>
        <w:t>u</w:t>
      </w:r>
      <w:r w:rsidRPr="00784E54">
        <w:rPr>
          <w:lang w:val="es-ES"/>
        </w:rPr>
        <w:t>ros y correspondía a las siguientes modalidades:</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1A35E1" w:rsidRPr="00784E54" w:rsidTr="001A35E1">
        <w:trPr>
          <w:trHeight w:val="255"/>
          <w:jc w:val="center"/>
        </w:trPr>
        <w:tc>
          <w:tcPr>
            <w:tcW w:w="8855" w:type="dxa"/>
            <w:gridSpan w:val="4"/>
            <w:tcBorders>
              <w:bottom w:val="single" w:sz="4" w:space="0" w:color="auto"/>
            </w:tcBorders>
            <w:shd w:val="clear" w:color="auto" w:fill="auto"/>
            <w:vAlign w:val="center"/>
          </w:tcPr>
          <w:p w:rsidR="001A35E1" w:rsidRPr="001A35E1" w:rsidRDefault="001A35E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cs="Arial"/>
                <w:spacing w:val="6"/>
                <w:sz w:val="17"/>
                <w:szCs w:val="17"/>
              </w:rPr>
              <w:t>(en miles de euros)</w:t>
            </w:r>
          </w:p>
        </w:tc>
      </w:tr>
      <w:tr w:rsidR="00784E54" w:rsidRPr="00784E54" w:rsidTr="00E85086">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784E54">
              <w:rPr>
                <w:rFonts w:ascii="Arial" w:hAnsi="Arial" w:cs="Arial"/>
                <w:spacing w:val="6"/>
                <w:sz w:val="18"/>
                <w:szCs w:val="24"/>
              </w:rPr>
              <w:t>Deuda Gobierno de Navarra</w:t>
            </w:r>
          </w:p>
        </w:tc>
        <w:tc>
          <w:tcPr>
            <w:tcW w:w="1488" w:type="dxa"/>
            <w:tcBorders>
              <w:top w:val="single" w:sz="2"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31/12/2015</w:t>
            </w:r>
          </w:p>
        </w:tc>
        <w:tc>
          <w:tcPr>
            <w:tcW w:w="148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31/12/2016</w:t>
            </w:r>
          </w:p>
        </w:tc>
        <w:tc>
          <w:tcPr>
            <w:tcW w:w="1170" w:type="dxa"/>
            <w:tcBorders>
              <w:top w:val="single" w:sz="2" w:space="0" w:color="auto"/>
              <w:bottom w:val="single" w:sz="4" w:space="0" w:color="auto"/>
            </w:tcBorders>
            <w:shd w:val="clear" w:color="auto" w:fill="8DB3E2" w:themeFill="text2" w:themeFillTint="66"/>
            <w:vAlign w:val="center"/>
          </w:tcPr>
          <w:p w:rsidR="00784E54" w:rsidRPr="00784E54" w:rsidRDefault="00784E54" w:rsidP="00EE60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 xml:space="preserve">% </w:t>
            </w:r>
            <w:r w:rsidR="00EE60AF">
              <w:rPr>
                <w:rFonts w:ascii="Arial" w:hAnsi="Arial" w:cs="Arial"/>
                <w:spacing w:val="6"/>
                <w:sz w:val="18"/>
                <w:szCs w:val="24"/>
              </w:rPr>
              <w:t>v</w:t>
            </w:r>
            <w:r w:rsidRPr="00784E54">
              <w:rPr>
                <w:rFonts w:ascii="Arial" w:hAnsi="Arial" w:cs="Arial"/>
                <w:spacing w:val="6"/>
                <w:sz w:val="18"/>
                <w:szCs w:val="24"/>
              </w:rPr>
              <w:t>ariación 2016/2015</w:t>
            </w:r>
          </w:p>
        </w:tc>
      </w:tr>
      <w:tr w:rsidR="00784E54" w:rsidRPr="00784E54" w:rsidTr="00E85086">
        <w:trPr>
          <w:trHeight w:val="198"/>
          <w:jc w:val="center"/>
        </w:trPr>
        <w:tc>
          <w:tcPr>
            <w:tcW w:w="4717" w:type="dxa"/>
            <w:tcBorders>
              <w:top w:val="single" w:sz="4"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Deuda Pública de Navarra</w:t>
            </w:r>
          </w:p>
        </w:tc>
        <w:tc>
          <w:tcPr>
            <w:tcW w:w="1488" w:type="dxa"/>
            <w:tcBorders>
              <w:top w:val="single" w:sz="4"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1.471.492</w:t>
            </w:r>
          </w:p>
        </w:tc>
        <w:tc>
          <w:tcPr>
            <w:tcW w:w="148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1.440.848</w:t>
            </w:r>
          </w:p>
        </w:tc>
        <w:tc>
          <w:tcPr>
            <w:tcW w:w="1170" w:type="dxa"/>
            <w:tcBorders>
              <w:top w:val="single" w:sz="4"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Préstamos largo plazo entidades financieras</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1.055.200</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1.248.000</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18</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Préstamos largo plazo sector público</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22.339</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21.444</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-4</w:t>
            </w:r>
          </w:p>
        </w:tc>
      </w:tr>
      <w:tr w:rsidR="00784E54" w:rsidRPr="00E85086" w:rsidTr="00E85086">
        <w:trPr>
          <w:trHeight w:val="255"/>
          <w:jc w:val="center"/>
        </w:trPr>
        <w:tc>
          <w:tcPr>
            <w:tcW w:w="4717" w:type="dxa"/>
            <w:tcBorders>
              <w:top w:val="single" w:sz="2" w:space="0" w:color="auto"/>
              <w:bottom w:val="single" w:sz="2" w:space="0" w:color="auto"/>
            </w:tcBorders>
            <w:shd w:val="clear" w:color="auto" w:fill="auto"/>
            <w:vAlign w:val="center"/>
          </w:tcPr>
          <w:p w:rsidR="00784E54" w:rsidRPr="00E85086" w:rsidRDefault="00784E54" w:rsidP="00784E54">
            <w:pPr>
              <w:spacing w:after="0"/>
              <w:ind w:firstLine="0"/>
              <w:jc w:val="left"/>
              <w:rPr>
                <w:rFonts w:ascii="Arial" w:hAnsi="Arial" w:cs="Arial"/>
                <w:i/>
                <w:sz w:val="18"/>
                <w:szCs w:val="18"/>
                <w:lang w:eastAsia="es-ES"/>
              </w:rPr>
            </w:pPr>
            <w:r w:rsidRPr="00E85086">
              <w:rPr>
                <w:rFonts w:ascii="Arial" w:hAnsi="Arial" w:cs="Arial"/>
                <w:i/>
                <w:sz w:val="18"/>
                <w:szCs w:val="18"/>
                <w:lang w:eastAsia="es-ES"/>
              </w:rPr>
              <w:t>Endeudamiento a largo plazo (A)</w:t>
            </w:r>
          </w:p>
        </w:tc>
        <w:tc>
          <w:tcPr>
            <w:tcW w:w="1488" w:type="dxa"/>
            <w:tcBorders>
              <w:top w:val="single" w:sz="2" w:space="0" w:color="auto"/>
              <w:bottom w:val="single" w:sz="2" w:space="0" w:color="auto"/>
            </w:tcBorders>
            <w:shd w:val="clear" w:color="auto" w:fill="auto"/>
            <w:noWrap/>
            <w:vAlign w:val="center"/>
          </w:tcPr>
          <w:p w:rsidR="00784E54" w:rsidRPr="00E85086" w:rsidRDefault="00784E54" w:rsidP="00784E54">
            <w:pPr>
              <w:spacing w:after="0"/>
              <w:ind w:firstLine="0"/>
              <w:jc w:val="right"/>
              <w:rPr>
                <w:rFonts w:ascii="Arial" w:hAnsi="Arial" w:cs="Arial"/>
                <w:i/>
                <w:sz w:val="18"/>
                <w:szCs w:val="18"/>
                <w:lang w:val="es-ES" w:eastAsia="es-ES"/>
              </w:rPr>
            </w:pPr>
            <w:r w:rsidRPr="00E85086">
              <w:rPr>
                <w:rFonts w:ascii="Arial" w:hAnsi="Arial" w:cs="Arial"/>
                <w:i/>
                <w:sz w:val="18"/>
                <w:szCs w:val="18"/>
                <w:lang w:val="es-ES" w:eastAsia="es-ES"/>
              </w:rPr>
              <w:t>2.549.031</w:t>
            </w:r>
          </w:p>
        </w:tc>
        <w:tc>
          <w:tcPr>
            <w:tcW w:w="148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i/>
                <w:sz w:val="18"/>
                <w:szCs w:val="18"/>
                <w:lang w:val="es-ES" w:eastAsia="es-ES"/>
              </w:rPr>
            </w:pPr>
            <w:r w:rsidRPr="00E85086">
              <w:rPr>
                <w:rFonts w:ascii="Arial" w:hAnsi="Arial" w:cs="Arial"/>
                <w:i/>
                <w:sz w:val="18"/>
                <w:szCs w:val="18"/>
                <w:lang w:val="es-ES" w:eastAsia="es-ES"/>
              </w:rPr>
              <w:t>2.710.292</w:t>
            </w:r>
          </w:p>
        </w:tc>
        <w:tc>
          <w:tcPr>
            <w:tcW w:w="117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sz w:val="18"/>
                <w:szCs w:val="18"/>
                <w:lang w:val="es-ES" w:eastAsia="es-ES"/>
              </w:rPr>
            </w:pPr>
            <w:r w:rsidRPr="00E85086">
              <w:rPr>
                <w:rFonts w:ascii="Arial" w:hAnsi="Arial" w:cs="Arial"/>
                <w:sz w:val="18"/>
                <w:szCs w:val="18"/>
                <w:lang w:val="es-ES" w:eastAsia="es-ES"/>
              </w:rPr>
              <w:t>6</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Deuda Pública de Navarra a corto plazo</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289.067</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292.928</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Intereses a corto plazo deuda pública</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48.661</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39.808</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-18</w:t>
            </w:r>
          </w:p>
        </w:tc>
      </w:tr>
      <w:tr w:rsidR="00784E54" w:rsidRPr="00784E54" w:rsidTr="00E85086">
        <w:trPr>
          <w:trHeight w:val="198"/>
          <w:jc w:val="center"/>
        </w:trPr>
        <w:tc>
          <w:tcPr>
            <w:tcW w:w="4717" w:type="dxa"/>
            <w:tcBorders>
              <w:top w:val="single" w:sz="2" w:space="0" w:color="auto"/>
              <w:bottom w:val="single" w:sz="2" w:space="0" w:color="auto"/>
            </w:tcBorders>
            <w:shd w:val="clear" w:color="auto" w:fill="auto"/>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Intereses a corto plazo préstamos</w:t>
            </w:r>
          </w:p>
        </w:tc>
        <w:tc>
          <w:tcPr>
            <w:tcW w:w="1488" w:type="dxa"/>
            <w:tcBorders>
              <w:top w:val="single" w:sz="2" w:space="0" w:color="auto"/>
              <w:bottom w:val="single" w:sz="2" w:space="0" w:color="auto"/>
            </w:tcBorders>
            <w:shd w:val="clear" w:color="auto" w:fill="auto"/>
            <w:noWrap/>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12.102</w:t>
            </w:r>
          </w:p>
        </w:tc>
        <w:tc>
          <w:tcPr>
            <w:tcW w:w="148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14.531</w:t>
            </w:r>
          </w:p>
        </w:tc>
        <w:tc>
          <w:tcPr>
            <w:tcW w:w="1170" w:type="dxa"/>
            <w:tcBorders>
              <w:top w:val="single" w:sz="2" w:space="0" w:color="auto"/>
              <w:bottom w:val="single" w:sz="2" w:space="0" w:color="auto"/>
            </w:tcBorders>
            <w:vAlign w:val="center"/>
          </w:tcPr>
          <w:p w:rsidR="00784E54" w:rsidRPr="00784E54" w:rsidRDefault="00784E54"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20</w:t>
            </w:r>
          </w:p>
        </w:tc>
      </w:tr>
      <w:tr w:rsidR="00784E54" w:rsidRPr="00E85086" w:rsidTr="00E85086">
        <w:trPr>
          <w:trHeight w:val="255"/>
          <w:jc w:val="center"/>
        </w:trPr>
        <w:tc>
          <w:tcPr>
            <w:tcW w:w="4717" w:type="dxa"/>
            <w:tcBorders>
              <w:top w:val="single" w:sz="2" w:space="0" w:color="auto"/>
              <w:bottom w:val="single" w:sz="2" w:space="0" w:color="auto"/>
            </w:tcBorders>
            <w:shd w:val="clear" w:color="auto" w:fill="auto"/>
            <w:vAlign w:val="center"/>
          </w:tcPr>
          <w:p w:rsidR="00784E54" w:rsidRPr="00E85086" w:rsidRDefault="00784E54" w:rsidP="00784E54">
            <w:pPr>
              <w:spacing w:after="0"/>
              <w:ind w:firstLine="0"/>
              <w:jc w:val="left"/>
              <w:rPr>
                <w:rFonts w:ascii="Arial" w:hAnsi="Arial" w:cs="Arial"/>
                <w:i/>
                <w:sz w:val="18"/>
                <w:szCs w:val="18"/>
                <w:lang w:eastAsia="es-ES"/>
              </w:rPr>
            </w:pPr>
            <w:r w:rsidRPr="00E85086">
              <w:rPr>
                <w:rFonts w:ascii="Arial" w:hAnsi="Arial" w:cs="Arial"/>
                <w:i/>
                <w:sz w:val="18"/>
                <w:szCs w:val="18"/>
                <w:lang w:eastAsia="es-ES"/>
              </w:rPr>
              <w:t>Endeudamiento a corto plazo (B)</w:t>
            </w:r>
          </w:p>
        </w:tc>
        <w:tc>
          <w:tcPr>
            <w:tcW w:w="1488" w:type="dxa"/>
            <w:tcBorders>
              <w:top w:val="single" w:sz="2" w:space="0" w:color="auto"/>
              <w:bottom w:val="single" w:sz="2" w:space="0" w:color="auto"/>
            </w:tcBorders>
            <w:shd w:val="clear" w:color="auto" w:fill="auto"/>
            <w:noWrap/>
            <w:vAlign w:val="center"/>
          </w:tcPr>
          <w:p w:rsidR="00784E54" w:rsidRPr="00E85086" w:rsidRDefault="00784E54" w:rsidP="00784E54">
            <w:pPr>
              <w:spacing w:after="0"/>
              <w:ind w:firstLine="0"/>
              <w:jc w:val="right"/>
              <w:rPr>
                <w:rFonts w:ascii="Arial" w:hAnsi="Arial" w:cs="Arial"/>
                <w:i/>
                <w:sz w:val="18"/>
                <w:szCs w:val="18"/>
                <w:lang w:val="es-ES" w:eastAsia="es-ES"/>
              </w:rPr>
            </w:pPr>
            <w:r w:rsidRPr="00E85086">
              <w:rPr>
                <w:rFonts w:ascii="Arial" w:hAnsi="Arial" w:cs="Arial"/>
                <w:i/>
                <w:sz w:val="18"/>
                <w:szCs w:val="18"/>
                <w:lang w:val="es-ES" w:eastAsia="es-ES"/>
              </w:rPr>
              <w:t>349.830</w:t>
            </w:r>
          </w:p>
        </w:tc>
        <w:tc>
          <w:tcPr>
            <w:tcW w:w="148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i/>
                <w:sz w:val="18"/>
                <w:szCs w:val="18"/>
                <w:lang w:val="es-ES" w:eastAsia="es-ES"/>
              </w:rPr>
            </w:pPr>
            <w:r w:rsidRPr="00E85086">
              <w:rPr>
                <w:rFonts w:ascii="Arial" w:hAnsi="Arial" w:cs="Arial"/>
                <w:i/>
                <w:sz w:val="18"/>
                <w:szCs w:val="18"/>
                <w:lang w:val="es-ES" w:eastAsia="es-ES"/>
              </w:rPr>
              <w:t>347.267</w:t>
            </w:r>
          </w:p>
        </w:tc>
        <w:tc>
          <w:tcPr>
            <w:tcW w:w="1170" w:type="dxa"/>
            <w:tcBorders>
              <w:top w:val="single" w:sz="2" w:space="0" w:color="auto"/>
              <w:bottom w:val="single" w:sz="2" w:space="0" w:color="auto"/>
            </w:tcBorders>
            <w:vAlign w:val="center"/>
          </w:tcPr>
          <w:p w:rsidR="00784E54" w:rsidRPr="00E85086" w:rsidRDefault="00784E54" w:rsidP="00784E54">
            <w:pPr>
              <w:spacing w:after="0"/>
              <w:ind w:firstLine="0"/>
              <w:jc w:val="right"/>
              <w:rPr>
                <w:rFonts w:ascii="Arial" w:hAnsi="Arial" w:cs="Arial"/>
                <w:sz w:val="18"/>
                <w:szCs w:val="18"/>
                <w:lang w:val="es-ES" w:eastAsia="es-ES"/>
              </w:rPr>
            </w:pPr>
            <w:r w:rsidRPr="00E85086">
              <w:rPr>
                <w:rFonts w:ascii="Arial" w:hAnsi="Arial" w:cs="Arial"/>
                <w:sz w:val="18"/>
                <w:szCs w:val="18"/>
                <w:lang w:val="es-ES" w:eastAsia="es-ES"/>
              </w:rPr>
              <w:t>-1</w:t>
            </w:r>
          </w:p>
        </w:tc>
      </w:tr>
      <w:tr w:rsidR="00784E54" w:rsidRPr="00784E54" w:rsidTr="00E85086">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784E54">
              <w:rPr>
                <w:rFonts w:ascii="Arial" w:hAnsi="Arial"/>
                <w:spacing w:val="6"/>
                <w:sz w:val="18"/>
                <w:szCs w:val="24"/>
                <w:lang w:val="es-ES" w:eastAsia="es-ES"/>
              </w:rPr>
              <w:t>Total Endeudamiento (A+B)</w:t>
            </w:r>
          </w:p>
        </w:tc>
        <w:tc>
          <w:tcPr>
            <w:tcW w:w="1488" w:type="dxa"/>
            <w:tcBorders>
              <w:top w:val="single" w:sz="2" w:space="0" w:color="auto"/>
              <w:bottom w:val="single" w:sz="4" w:space="0" w:color="auto"/>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784E54">
              <w:rPr>
                <w:rFonts w:ascii="Arial" w:hAnsi="Arial"/>
                <w:spacing w:val="6"/>
                <w:sz w:val="18"/>
                <w:szCs w:val="24"/>
                <w:lang w:val="es-ES" w:eastAsia="es-ES"/>
              </w:rPr>
              <w:t>2.898.861</w:t>
            </w:r>
          </w:p>
        </w:tc>
        <w:tc>
          <w:tcPr>
            <w:tcW w:w="148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784E54">
              <w:rPr>
                <w:rFonts w:ascii="Arial" w:hAnsi="Arial"/>
                <w:spacing w:val="6"/>
                <w:sz w:val="18"/>
                <w:szCs w:val="24"/>
                <w:lang w:val="es-ES" w:eastAsia="es-ES"/>
              </w:rPr>
              <w:t>3.057.559</w:t>
            </w:r>
          </w:p>
        </w:tc>
        <w:tc>
          <w:tcPr>
            <w:tcW w:w="1170" w:type="dxa"/>
            <w:tcBorders>
              <w:top w:val="single" w:sz="2" w:space="0" w:color="auto"/>
              <w:bottom w:val="single" w:sz="4" w:space="0" w:color="auto"/>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784E54">
              <w:rPr>
                <w:rFonts w:ascii="Arial" w:hAnsi="Arial"/>
                <w:spacing w:val="6"/>
                <w:sz w:val="18"/>
                <w:szCs w:val="24"/>
                <w:lang w:val="es-ES" w:eastAsia="es-ES"/>
              </w:rPr>
              <w:t>5</w:t>
            </w:r>
          </w:p>
        </w:tc>
      </w:tr>
    </w:tbl>
    <w:p w:rsidR="00784E54" w:rsidRPr="00784E54" w:rsidRDefault="00784E54" w:rsidP="00A11120">
      <w:pPr>
        <w:pStyle w:val="texto"/>
        <w:spacing w:before="240"/>
        <w:rPr>
          <w:lang w:val="es-ES"/>
        </w:rPr>
      </w:pPr>
      <w:r w:rsidRPr="00784E54">
        <w:rPr>
          <w:lang w:val="es-ES"/>
        </w:rPr>
        <w:t xml:space="preserve">Como ya apuntamos en el informe de las Cuentas Generales de 2015, hay que aclarar que </w:t>
      </w:r>
      <w:r w:rsidR="008E66FD">
        <w:rPr>
          <w:lang w:val="es-ES"/>
        </w:rPr>
        <w:t>estos</w:t>
      </w:r>
      <w:r w:rsidRPr="00784E54">
        <w:rPr>
          <w:lang w:val="es-ES"/>
        </w:rPr>
        <w:t xml:space="preserve"> datos presentan diferencias con lo recogido en el balance del Gobierno de Navarra derivada</w:t>
      </w:r>
      <w:r w:rsidR="008E66FD">
        <w:rPr>
          <w:lang w:val="es-ES"/>
        </w:rPr>
        <w:t>s</w:t>
      </w:r>
      <w:r w:rsidRPr="00784E54">
        <w:rPr>
          <w:lang w:val="es-ES"/>
        </w:rPr>
        <w:t xml:space="preserve"> de:</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11120">
        <w:rPr>
          <w:rFonts w:cs="Arial"/>
        </w:rPr>
        <w:t>En los balances de situación de 2015 y 2016, se incluyen dentro de acre</w:t>
      </w:r>
      <w:r w:rsidRPr="00A11120">
        <w:rPr>
          <w:rFonts w:cs="Arial"/>
        </w:rPr>
        <w:t>e</w:t>
      </w:r>
      <w:r w:rsidRPr="00A11120">
        <w:rPr>
          <w:rFonts w:cs="Arial"/>
        </w:rPr>
        <w:t>dores a largo plazo, las fianzas recibidas por importe de 0,45 millones.</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11120">
        <w:rPr>
          <w:rFonts w:cs="Arial"/>
        </w:rPr>
        <w:t>El balance de 2015 y 2016 contiene una “</w:t>
      </w:r>
      <w:r w:rsidR="00F77904">
        <w:rPr>
          <w:rFonts w:cs="Arial"/>
        </w:rPr>
        <w:t>Proveedor de</w:t>
      </w:r>
      <w:r w:rsidRPr="00A11120">
        <w:rPr>
          <w:rFonts w:cs="Arial"/>
        </w:rPr>
        <w:t xml:space="preserve"> Inmovilizado a la</w:t>
      </w:r>
      <w:r w:rsidRPr="00A11120">
        <w:rPr>
          <w:rFonts w:cs="Arial"/>
        </w:rPr>
        <w:t>r</w:t>
      </w:r>
      <w:r w:rsidRPr="00A11120">
        <w:rPr>
          <w:rFonts w:cs="Arial"/>
        </w:rPr>
        <w:t>go plazo de los bienes del Club Atlético Osasuna” por importe de 10,87 mill</w:t>
      </w:r>
      <w:r w:rsidRPr="00A11120">
        <w:rPr>
          <w:rFonts w:cs="Arial"/>
        </w:rPr>
        <w:t>o</w:t>
      </w:r>
      <w:r w:rsidRPr="00A11120">
        <w:rPr>
          <w:rFonts w:cs="Arial"/>
        </w:rPr>
        <w:t xml:space="preserve">nes. Esta </w:t>
      </w:r>
      <w:r w:rsidR="00F77904">
        <w:rPr>
          <w:rFonts w:cs="Arial"/>
        </w:rPr>
        <w:t>cuenta</w:t>
      </w:r>
      <w:r w:rsidRPr="00A11120">
        <w:rPr>
          <w:rFonts w:cs="Arial"/>
        </w:rPr>
        <w:t xml:space="preserve"> deriva de la Ley Foral 26/2014, de reestructuración de la de</w:t>
      </w:r>
      <w:r w:rsidRPr="00A11120">
        <w:rPr>
          <w:rFonts w:cs="Arial"/>
        </w:rPr>
        <w:t>u</w:t>
      </w:r>
      <w:r w:rsidRPr="00A11120">
        <w:rPr>
          <w:rFonts w:cs="Arial"/>
        </w:rPr>
        <w:t xml:space="preserve">da tributaria del citado Club con la Hacienda Foral y corresponde al valor de las obligaciones contraídas por el Club a favor de terceros garantizadas con esos inmuebles. Esta </w:t>
      </w:r>
      <w:r w:rsidR="00F77904">
        <w:rPr>
          <w:rFonts w:cs="Arial"/>
        </w:rPr>
        <w:t>cuenta</w:t>
      </w:r>
      <w:r w:rsidRPr="00A11120">
        <w:rPr>
          <w:rFonts w:cs="Arial"/>
        </w:rPr>
        <w:t xml:space="preserve"> se ha creado para hacer frente, en su caso, a pos</w:t>
      </w:r>
      <w:r w:rsidRPr="00A11120">
        <w:rPr>
          <w:rFonts w:cs="Arial"/>
        </w:rPr>
        <w:t>i</w:t>
      </w:r>
      <w:r w:rsidRPr="00A11120">
        <w:rPr>
          <w:rFonts w:cs="Arial"/>
        </w:rPr>
        <w:t xml:space="preserve">bles impagos del citado Club y su importe se irá ajustando conforme el mismo abone tales cargas hipotecarias. Durante 2016 no se realizó ningún ajuste a esta cuenta. </w:t>
      </w:r>
    </w:p>
    <w:p w:rsidR="00784E54" w:rsidRDefault="00784E54" w:rsidP="00A11120">
      <w:pPr>
        <w:pStyle w:val="texto"/>
        <w:rPr>
          <w:lang w:val="es-ES"/>
        </w:rPr>
      </w:pPr>
      <w:r w:rsidRPr="00784E54">
        <w:rPr>
          <w:lang w:val="es-ES"/>
        </w:rPr>
        <w:t>Consideramos que ambas cuentas no son estrictamente endeudamiento a los efectos de este informe.</w:t>
      </w:r>
    </w:p>
    <w:p w:rsidR="008121DB" w:rsidRDefault="008121DB">
      <w:pPr>
        <w:spacing w:after="0"/>
        <w:ind w:firstLine="0"/>
        <w:jc w:val="left"/>
        <w:rPr>
          <w:spacing w:val="6"/>
          <w:sz w:val="26"/>
          <w:szCs w:val="24"/>
          <w:lang w:val="es-ES"/>
        </w:rPr>
      </w:pPr>
      <w:r>
        <w:rPr>
          <w:lang w:val="es-ES"/>
        </w:rPr>
        <w:br w:type="page"/>
      </w:r>
    </w:p>
    <w:p w:rsidR="00784E54" w:rsidRPr="00784E54" w:rsidRDefault="00784E54" w:rsidP="00A11120">
      <w:pPr>
        <w:pStyle w:val="texto"/>
        <w:rPr>
          <w:lang w:val="es-ES"/>
        </w:rPr>
      </w:pPr>
      <w:r w:rsidRPr="00784E54">
        <w:rPr>
          <w:lang w:val="es-ES"/>
        </w:rPr>
        <w:lastRenderedPageBreak/>
        <w:t>De la revisión efectuada destacamos los siguientes puntos:</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11120">
        <w:rPr>
          <w:rFonts w:cs="Arial"/>
        </w:rPr>
        <w:t>El endeudamiento total se ha incrementado un cinco por ciento (158,70 m</w:t>
      </w:r>
      <w:r w:rsidRPr="00A11120">
        <w:rPr>
          <w:rFonts w:cs="Arial"/>
        </w:rPr>
        <w:t>i</w:t>
      </w:r>
      <w:r w:rsidRPr="00A11120">
        <w:rPr>
          <w:rFonts w:cs="Arial"/>
        </w:rPr>
        <w:t>llones de euros). En 2016 el porcentaje de deuda pública sobre el total es del 5</w:t>
      </w:r>
      <w:r w:rsidR="001C40C4">
        <w:rPr>
          <w:rFonts w:cs="Arial"/>
        </w:rPr>
        <w:t>7</w:t>
      </w:r>
      <w:r w:rsidRPr="00A11120">
        <w:rPr>
          <w:rFonts w:cs="Arial"/>
        </w:rPr>
        <w:t xml:space="preserve"> por ciento frente al 62 por ciento que suponía en 2015 otorgando mayor peso relativo a los préstamos. </w:t>
      </w:r>
    </w:p>
    <w:p w:rsidR="00784E54" w:rsidRPr="00784E54" w:rsidRDefault="00784E54" w:rsidP="00A11120">
      <w:pPr>
        <w:pStyle w:val="texto"/>
        <w:rPr>
          <w:lang w:val="es-ES"/>
        </w:rPr>
      </w:pPr>
      <w:r w:rsidRPr="00784E54">
        <w:rPr>
          <w:lang w:val="es-ES"/>
        </w:rPr>
        <w:t>En la Ley Foral 1/2016 de 29 de enero de Presupuestos Generales de Navarra para 2016, se estableció la posibilidad de formalizar operaciones de endeud</w:t>
      </w:r>
      <w:r w:rsidRPr="00784E54">
        <w:rPr>
          <w:lang w:val="es-ES"/>
        </w:rPr>
        <w:t>a</w:t>
      </w:r>
      <w:r w:rsidRPr="00784E54">
        <w:rPr>
          <w:lang w:val="es-ES"/>
        </w:rPr>
        <w:t>miento con la limitación de que el saldo vivo a 31 de diciembre de 2016 no s</w:t>
      </w:r>
      <w:r w:rsidRPr="00784E54">
        <w:rPr>
          <w:lang w:val="es-ES"/>
        </w:rPr>
        <w:t>u</w:t>
      </w:r>
      <w:r w:rsidRPr="00784E54">
        <w:rPr>
          <w:lang w:val="es-ES"/>
        </w:rPr>
        <w:t>perara en más de 79,48 millones de euros el saldo vivo a 1 de enero de 2016 (posteriormente esta cantidad fue modificada</w:t>
      </w:r>
      <w:r w:rsidR="00923441">
        <w:rPr>
          <w:lang w:val="es-ES"/>
        </w:rPr>
        <w:t xml:space="preserve"> y pasó </w:t>
      </w:r>
      <w:r w:rsidRPr="00784E54">
        <w:rPr>
          <w:lang w:val="es-ES"/>
        </w:rPr>
        <w:t>a ser 82,88 millones). Sin embargo, el artículo 17.2. establecía que esta cantidad podía superarse para re</w:t>
      </w:r>
      <w:r w:rsidRPr="00784E54">
        <w:rPr>
          <w:lang w:val="es-ES"/>
        </w:rPr>
        <w:t>a</w:t>
      </w:r>
      <w:r w:rsidRPr="00784E54">
        <w:rPr>
          <w:lang w:val="es-ES"/>
        </w:rPr>
        <w:t xml:space="preserve">lizar aquellas otras operaciones de endeudamiento que se convinieran entre el Gobierno de Navarra y el Ministerio de Hacienda y Administraciones Públicas, en el seno de lo dispuesto en el Convenio Económico y dentro de los límites que establece la regulación de la estabilidad presupuestaria. </w:t>
      </w:r>
    </w:p>
    <w:p w:rsidR="00784E54" w:rsidRPr="00784E54" w:rsidRDefault="00784E54" w:rsidP="00A11120">
      <w:pPr>
        <w:pStyle w:val="texto"/>
        <w:rPr>
          <w:lang w:val="es-ES"/>
        </w:rPr>
      </w:pPr>
      <w:r w:rsidRPr="00784E54">
        <w:rPr>
          <w:lang w:val="es-ES"/>
        </w:rPr>
        <w:t>Las operaciones de endeudamiento realizadas por el Gobierno de Navarra que implicaron superar la cantidad citada fueron autorizadas por el Consejo de Ministros del Estado</w:t>
      </w:r>
      <w:r w:rsidR="00453CCE">
        <w:rPr>
          <w:lang w:val="es-ES"/>
        </w:rPr>
        <w:t>,</w:t>
      </w:r>
      <w:r w:rsidRPr="00784E54">
        <w:rPr>
          <w:lang w:val="es-ES"/>
        </w:rPr>
        <w:t xml:space="preserve"> cumpliendo por lo tanto con la normativa aplicable.</w:t>
      </w:r>
    </w:p>
    <w:p w:rsidR="00784E54" w:rsidRPr="00A11120"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11120">
        <w:rPr>
          <w:rFonts w:cs="Arial"/>
        </w:rPr>
        <w:t>E</w:t>
      </w:r>
      <w:r w:rsidRPr="00784E54">
        <w:rPr>
          <w:rFonts w:cs="Arial"/>
        </w:rPr>
        <w:t>l tipo de interés medio por tipo de endeudamiento concertado</w:t>
      </w:r>
      <w:r w:rsidRPr="00A11120">
        <w:rPr>
          <w:rFonts w:cs="Arial"/>
        </w:rPr>
        <w:t xml:space="preserve"> en 2016 y del endeudamiento total, es el siguiente:</w:t>
      </w:r>
    </w:p>
    <w:p w:rsidR="00784E54" w:rsidRPr="00CF254F" w:rsidRDefault="00784E54" w:rsidP="00CF254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CF254F">
        <w:rPr>
          <w:rFonts w:ascii="Arial" w:hAnsi="Arial"/>
          <w:spacing w:val="6"/>
          <w:sz w:val="17"/>
          <w:szCs w:val="17"/>
          <w:lang w:val="es-ES"/>
        </w:rPr>
        <w:t>(miles de euros)</w:t>
      </w:r>
    </w:p>
    <w:tbl>
      <w:tblPr>
        <w:tblW w:w="8737" w:type="dxa"/>
        <w:jc w:val="center"/>
        <w:tblLayout w:type="fixed"/>
        <w:tblLook w:val="01E0" w:firstRow="1" w:lastRow="1" w:firstColumn="1" w:lastColumn="1" w:noHBand="0" w:noVBand="0"/>
      </w:tblPr>
      <w:tblGrid>
        <w:gridCol w:w="3277"/>
        <w:gridCol w:w="1541"/>
        <w:gridCol w:w="1250"/>
        <w:gridCol w:w="1589"/>
        <w:gridCol w:w="1080"/>
      </w:tblGrid>
      <w:tr w:rsidR="00784E54" w:rsidRPr="00784E54" w:rsidTr="00E85086">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784E54">
              <w:rPr>
                <w:rFonts w:ascii="Arial" w:hAnsi="Arial" w:cs="Arial"/>
                <w:spacing w:val="6"/>
                <w:sz w:val="18"/>
                <w:szCs w:val="24"/>
              </w:rPr>
              <w:t>Modalidad de endeudamiento</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Endeudamiento concertado 2016</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33"/>
              <w:jc w:val="right"/>
              <w:rPr>
                <w:rFonts w:ascii="Arial" w:hAnsi="Arial" w:cs="Arial"/>
                <w:spacing w:val="6"/>
                <w:sz w:val="18"/>
                <w:szCs w:val="24"/>
              </w:rPr>
            </w:pPr>
            <w:r w:rsidRPr="00784E54">
              <w:rPr>
                <w:rFonts w:ascii="Arial" w:hAnsi="Arial" w:cs="Arial"/>
                <w:spacing w:val="6"/>
                <w:sz w:val="18"/>
                <w:szCs w:val="24"/>
              </w:rPr>
              <w:t>Tipo interés medio 2016</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 xml:space="preserve">Total </w:t>
            </w: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Endeudamiento 31/12/2016</w:t>
            </w:r>
          </w:p>
        </w:tc>
        <w:tc>
          <w:tcPr>
            <w:tcW w:w="108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 xml:space="preserve">Tipo </w:t>
            </w: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interés</w:t>
            </w:r>
          </w:p>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784E54">
              <w:rPr>
                <w:rFonts w:ascii="Arial" w:hAnsi="Arial" w:cs="Arial"/>
                <w:spacing w:val="6"/>
                <w:sz w:val="18"/>
                <w:szCs w:val="24"/>
              </w:rPr>
              <w:t xml:space="preserve"> medio</w:t>
            </w:r>
          </w:p>
        </w:tc>
      </w:tr>
      <w:tr w:rsidR="00784E54" w:rsidRPr="00784E54" w:rsidTr="00E85086">
        <w:trPr>
          <w:trHeight w:val="198"/>
          <w:jc w:val="center"/>
        </w:trPr>
        <w:tc>
          <w:tcPr>
            <w:tcW w:w="3277"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Deuda Pública de Navarra</w:t>
            </w:r>
          </w:p>
        </w:tc>
        <w:tc>
          <w:tcPr>
            <w:tcW w:w="1541"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260.620</w:t>
            </w:r>
          </w:p>
        </w:tc>
        <w:tc>
          <w:tcPr>
            <w:tcW w:w="1250"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1,95</w:t>
            </w:r>
          </w:p>
        </w:tc>
        <w:tc>
          <w:tcPr>
            <w:tcW w:w="1589"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1.733.778</w:t>
            </w:r>
          </w:p>
        </w:tc>
        <w:tc>
          <w:tcPr>
            <w:tcW w:w="1080" w:type="dxa"/>
            <w:tcBorders>
              <w:top w:val="single" w:sz="4"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3,78</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Préstamos entidades financieras</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319.000</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1,31</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948.000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1,90</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Préstamos Banco Europeo Inversiones</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300.000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1,42</w:t>
            </w:r>
          </w:p>
        </w:tc>
      </w:tr>
      <w:tr w:rsidR="00784E54" w:rsidRPr="00784E54" w:rsidTr="00E85086">
        <w:trPr>
          <w:trHeight w:val="198"/>
          <w:jc w:val="center"/>
        </w:trPr>
        <w:tc>
          <w:tcPr>
            <w:tcW w:w="3277"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 Seguridad Social</w:t>
            </w:r>
          </w:p>
        </w:tc>
        <w:tc>
          <w:tcPr>
            <w:tcW w:w="1541"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25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589"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9.670</w:t>
            </w:r>
          </w:p>
        </w:tc>
        <w:tc>
          <w:tcPr>
            <w:tcW w:w="1080" w:type="dxa"/>
            <w:tcBorders>
              <w:top w:val="single" w:sz="2" w:space="0" w:color="auto"/>
              <w:left w:val="nil"/>
              <w:bottom w:val="single" w:sz="2"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0</w:t>
            </w:r>
          </w:p>
        </w:tc>
      </w:tr>
      <w:tr w:rsidR="00784E54" w:rsidRPr="00784E54" w:rsidTr="00E85086">
        <w:trPr>
          <w:trHeight w:val="198"/>
          <w:jc w:val="center"/>
        </w:trPr>
        <w:tc>
          <w:tcPr>
            <w:tcW w:w="3277"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left"/>
              <w:rPr>
                <w:rFonts w:ascii="Arial Narrow" w:hAnsi="Arial Narrow" w:cs="Arial"/>
                <w:lang w:eastAsia="es-ES"/>
              </w:rPr>
            </w:pPr>
            <w:r w:rsidRPr="00784E54">
              <w:rPr>
                <w:rFonts w:ascii="Arial Narrow" w:hAnsi="Arial Narrow" w:cs="Arial"/>
                <w:lang w:eastAsia="es-ES"/>
              </w:rPr>
              <w:t>Préstamos otro Sector Público</w:t>
            </w:r>
          </w:p>
        </w:tc>
        <w:tc>
          <w:tcPr>
            <w:tcW w:w="1541"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250"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w:t>
            </w:r>
          </w:p>
        </w:tc>
        <w:tc>
          <w:tcPr>
            <w:tcW w:w="1589"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11.774</w:t>
            </w:r>
          </w:p>
        </w:tc>
        <w:tc>
          <w:tcPr>
            <w:tcW w:w="1080" w:type="dxa"/>
            <w:tcBorders>
              <w:top w:val="single" w:sz="2" w:space="0" w:color="auto"/>
              <w:left w:val="nil"/>
              <w:bottom w:val="single" w:sz="4" w:space="0" w:color="auto"/>
              <w:right w:val="nil"/>
            </w:tcBorders>
            <w:vAlign w:val="center"/>
          </w:tcPr>
          <w:p w:rsidR="00784E54" w:rsidRPr="00784E54" w:rsidRDefault="00784E54" w:rsidP="00784E54">
            <w:pPr>
              <w:spacing w:after="0"/>
              <w:ind w:hanging="127"/>
              <w:jc w:val="right"/>
              <w:rPr>
                <w:rFonts w:ascii="Arial Narrow" w:hAnsi="Arial Narrow" w:cs="Arial"/>
                <w:lang w:val="es-ES" w:eastAsia="es-ES"/>
              </w:rPr>
            </w:pPr>
            <w:r w:rsidRPr="00784E54">
              <w:rPr>
                <w:rFonts w:ascii="Arial Narrow" w:hAnsi="Arial Narrow" w:cs="Arial"/>
                <w:lang w:val="es-ES" w:eastAsia="es-ES"/>
              </w:rPr>
              <w:t>0,08</w:t>
            </w:r>
          </w:p>
        </w:tc>
      </w:tr>
      <w:tr w:rsidR="00784E54" w:rsidRPr="00784E54" w:rsidTr="00E85086">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3969"/>
                <w:tab w:val="right" w:pos="5103"/>
                <w:tab w:val="right" w:pos="6237"/>
                <w:tab w:val="right" w:pos="7371"/>
              </w:tabs>
              <w:spacing w:after="0"/>
              <w:ind w:firstLine="0"/>
              <w:jc w:val="left"/>
              <w:rPr>
                <w:rFonts w:ascii="Arial" w:hAnsi="Arial"/>
                <w:spacing w:val="6"/>
                <w:sz w:val="16"/>
                <w:szCs w:val="16"/>
              </w:rPr>
            </w:pPr>
            <w:r w:rsidRPr="00784E54">
              <w:rPr>
                <w:rFonts w:ascii="Arial" w:hAnsi="Arial" w:cs="Arial"/>
                <w:spacing w:val="6"/>
                <w:sz w:val="18"/>
                <w:szCs w:val="24"/>
              </w:rPr>
              <w:t>Total endeudamiento</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784E54">
              <w:rPr>
                <w:rFonts w:ascii="Arial" w:hAnsi="Arial"/>
                <w:spacing w:val="6"/>
                <w:sz w:val="18"/>
                <w:szCs w:val="24"/>
                <w:lang w:val="es-ES" w:eastAsia="es-ES"/>
              </w:rPr>
              <w:t>579.620</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784E54">
              <w:rPr>
                <w:rFonts w:ascii="Arial" w:hAnsi="Arial"/>
                <w:spacing w:val="6"/>
                <w:sz w:val="18"/>
                <w:szCs w:val="24"/>
                <w:lang w:val="es-ES" w:eastAsia="es-ES"/>
              </w:rPr>
              <w:t>1,60</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784E54">
              <w:rPr>
                <w:rFonts w:ascii="Arial" w:hAnsi="Arial"/>
                <w:spacing w:val="6"/>
                <w:sz w:val="18"/>
                <w:szCs w:val="24"/>
                <w:lang w:val="es-ES" w:eastAsia="es-ES"/>
              </w:rPr>
              <w:t>3.003.222</w:t>
            </w:r>
          </w:p>
        </w:tc>
        <w:tc>
          <w:tcPr>
            <w:tcW w:w="108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hanging="127"/>
              <w:jc w:val="right"/>
              <w:rPr>
                <w:rFonts w:ascii="Arial" w:hAnsi="Arial"/>
                <w:spacing w:val="6"/>
                <w:sz w:val="18"/>
                <w:szCs w:val="24"/>
                <w:lang w:val="es-ES" w:eastAsia="es-ES"/>
              </w:rPr>
            </w:pPr>
            <w:r w:rsidRPr="00784E54">
              <w:rPr>
                <w:rFonts w:ascii="Arial" w:hAnsi="Arial"/>
                <w:spacing w:val="6"/>
                <w:sz w:val="18"/>
                <w:szCs w:val="24"/>
                <w:lang w:val="es-ES" w:eastAsia="es-ES"/>
              </w:rPr>
              <w:t>2,92</w:t>
            </w:r>
          </w:p>
        </w:tc>
      </w:tr>
    </w:tbl>
    <w:p w:rsidR="00784E54" w:rsidRPr="00784E54" w:rsidRDefault="00784E54" w:rsidP="00E54E8B">
      <w:pPr>
        <w:pStyle w:val="texto"/>
        <w:spacing w:before="240"/>
      </w:pPr>
      <w:r w:rsidRPr="00784E54">
        <w:t>Como se observa, el tipo de interés medio de la deuda instrumentalizada en préstamos es notablemente inferior al de deuda pública.</w:t>
      </w:r>
    </w:p>
    <w:p w:rsidR="00784E54" w:rsidRPr="00784E54" w:rsidRDefault="00784E54" w:rsidP="00E54E8B">
      <w:pPr>
        <w:pStyle w:val="texto"/>
      </w:pPr>
      <w:r w:rsidRPr="00784E54">
        <w:t>El tipo de interés medio global de la deuda en 2016 se ha reducido respecto al ejercicio de 2015, del 3,62 al 2,92 por ciento.</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54E8B">
        <w:rPr>
          <w:rFonts w:cs="Arial"/>
        </w:rPr>
        <w:t>La evolución de la carga financiera (capítulo 3 y 9 de presupuesto) deriv</w:t>
      </w:r>
      <w:r w:rsidRPr="00E54E8B">
        <w:rPr>
          <w:rFonts w:cs="Arial"/>
        </w:rPr>
        <w:t>a</w:t>
      </w:r>
      <w:r w:rsidRPr="00E54E8B">
        <w:rPr>
          <w:rFonts w:cs="Arial"/>
        </w:rPr>
        <w:t>da del conjunto de la deuda del Gobierno de Navarra se muestra en el cuadro siguiente junto al porcentaje que representa sobre los ingresos corrientes:</w:t>
      </w:r>
    </w:p>
    <w:tbl>
      <w:tblPr>
        <w:tblW w:w="8826" w:type="dxa"/>
        <w:jc w:val="center"/>
        <w:tblInd w:w="-103"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78"/>
        <w:gridCol w:w="1042"/>
        <w:gridCol w:w="1042"/>
        <w:gridCol w:w="1042"/>
        <w:gridCol w:w="1042"/>
        <w:gridCol w:w="1080"/>
      </w:tblGrid>
      <w:tr w:rsidR="00784E54" w:rsidRPr="00E85086" w:rsidTr="00E85086">
        <w:trPr>
          <w:trHeight w:val="255"/>
          <w:jc w:val="center"/>
        </w:trPr>
        <w:tc>
          <w:tcPr>
            <w:tcW w:w="3578"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2012</w:t>
            </w: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2013</w:t>
            </w:r>
          </w:p>
        </w:tc>
        <w:tc>
          <w:tcPr>
            <w:tcW w:w="1042" w:type="dxa"/>
            <w:tcBorders>
              <w:top w:val="single" w:sz="4" w:space="0" w:color="auto"/>
              <w:left w:val="nil"/>
              <w:bottom w:val="single" w:sz="4" w:space="0" w:color="auto"/>
              <w:right w:val="nil"/>
            </w:tcBorders>
            <w:shd w:val="clear" w:color="auto" w:fill="8DB3E2" w:themeFill="text2" w:themeFillTint="66"/>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2014</w:t>
            </w:r>
          </w:p>
        </w:tc>
        <w:tc>
          <w:tcPr>
            <w:tcW w:w="1042"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2015</w:t>
            </w:r>
          </w:p>
        </w:tc>
        <w:tc>
          <w:tcPr>
            <w:tcW w:w="1080" w:type="dxa"/>
            <w:tcBorders>
              <w:top w:val="single" w:sz="4" w:space="0" w:color="auto"/>
              <w:left w:val="nil"/>
              <w:bottom w:val="single" w:sz="4" w:space="0" w:color="auto"/>
              <w:right w:val="nil"/>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2016</w:t>
            </w:r>
          </w:p>
        </w:tc>
      </w:tr>
      <w:tr w:rsidR="00784E54" w:rsidRPr="00784E54" w:rsidTr="00E85086">
        <w:trPr>
          <w:trHeight w:val="198"/>
          <w:jc w:val="center"/>
        </w:trPr>
        <w:tc>
          <w:tcPr>
            <w:tcW w:w="3578" w:type="dxa"/>
            <w:tcBorders>
              <w:top w:val="single" w:sz="4" w:space="0" w:color="auto"/>
              <w:left w:val="nil"/>
              <w:bottom w:val="single" w:sz="2" w:space="0" w:color="auto"/>
              <w:right w:val="nil"/>
            </w:tcBorders>
            <w:noWrap/>
            <w:vAlign w:val="center"/>
          </w:tcPr>
          <w:p w:rsidR="00784E54" w:rsidRPr="00784E54" w:rsidRDefault="00784E54" w:rsidP="00E85086">
            <w:pPr>
              <w:spacing w:after="0"/>
              <w:ind w:firstLine="0"/>
              <w:jc w:val="left"/>
              <w:rPr>
                <w:rFonts w:ascii="Arial Narrow" w:hAnsi="Arial Narrow" w:cs="Arial"/>
                <w:lang w:val="es-ES" w:eastAsia="es-ES"/>
              </w:rPr>
            </w:pPr>
            <w:r w:rsidRPr="00784E54">
              <w:rPr>
                <w:rFonts w:ascii="Arial Narrow" w:hAnsi="Arial Narrow" w:cs="Arial"/>
                <w:lang w:val="es-ES" w:eastAsia="es-ES"/>
              </w:rPr>
              <w:t>Carga financiera (en millones)</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200,30</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300,54</w:t>
            </w:r>
          </w:p>
        </w:tc>
        <w:tc>
          <w:tcPr>
            <w:tcW w:w="1042" w:type="dxa"/>
            <w:tcBorders>
              <w:top w:val="single" w:sz="4" w:space="0" w:color="auto"/>
              <w:left w:val="nil"/>
              <w:bottom w:val="single" w:sz="2"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401,48</w:t>
            </w:r>
          </w:p>
        </w:tc>
        <w:tc>
          <w:tcPr>
            <w:tcW w:w="1042" w:type="dxa"/>
            <w:tcBorders>
              <w:top w:val="single" w:sz="4" w:space="0" w:color="auto"/>
              <w:left w:val="nil"/>
              <w:bottom w:val="single" w:sz="2" w:space="0" w:color="auto"/>
              <w:right w:val="nil"/>
            </w:tcBorders>
            <w:noWrap/>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415,74</w:t>
            </w:r>
          </w:p>
        </w:tc>
        <w:tc>
          <w:tcPr>
            <w:tcW w:w="1080" w:type="dxa"/>
            <w:tcBorders>
              <w:top w:val="single" w:sz="4" w:space="0" w:color="auto"/>
              <w:left w:val="nil"/>
              <w:bottom w:val="single" w:sz="2" w:space="0" w:color="auto"/>
              <w:right w:val="nil"/>
            </w:tcBorders>
            <w:noWrap/>
            <w:vAlign w:val="center"/>
          </w:tcPr>
          <w:p w:rsidR="00784E54" w:rsidRPr="00784E54" w:rsidRDefault="00784E54" w:rsidP="00E85086">
            <w:pPr>
              <w:spacing w:after="0" w:line="276" w:lineRule="auto"/>
              <w:ind w:firstLine="0"/>
              <w:jc w:val="right"/>
              <w:rPr>
                <w:rFonts w:ascii="Arial Narrow" w:hAnsi="Arial Narrow" w:cs="Arial"/>
                <w:lang w:val="es-ES" w:eastAsia="es-ES"/>
              </w:rPr>
            </w:pPr>
            <w:r w:rsidRPr="00784E54">
              <w:rPr>
                <w:rFonts w:ascii="Arial Narrow" w:hAnsi="Arial Narrow" w:cs="Arial"/>
                <w:lang w:val="es-ES" w:eastAsia="es-ES"/>
              </w:rPr>
              <w:t>519,98</w:t>
            </w:r>
          </w:p>
        </w:tc>
      </w:tr>
      <w:tr w:rsidR="00784E54" w:rsidRPr="00784E54" w:rsidTr="00E85086">
        <w:trPr>
          <w:trHeight w:val="198"/>
          <w:jc w:val="center"/>
        </w:trPr>
        <w:tc>
          <w:tcPr>
            <w:tcW w:w="3578" w:type="dxa"/>
            <w:tcBorders>
              <w:top w:val="single" w:sz="2" w:space="0" w:color="auto"/>
              <w:left w:val="nil"/>
              <w:bottom w:val="single" w:sz="2" w:space="0" w:color="auto"/>
              <w:right w:val="nil"/>
            </w:tcBorders>
            <w:noWrap/>
            <w:vAlign w:val="center"/>
          </w:tcPr>
          <w:p w:rsidR="00784E54" w:rsidRPr="00784E54" w:rsidRDefault="00784E54" w:rsidP="00E85086">
            <w:pPr>
              <w:spacing w:after="0"/>
              <w:ind w:firstLine="0"/>
              <w:jc w:val="left"/>
              <w:rPr>
                <w:rFonts w:ascii="Arial Narrow" w:hAnsi="Arial Narrow" w:cs="Arial"/>
                <w:lang w:val="es-ES" w:eastAsia="es-ES"/>
              </w:rPr>
            </w:pPr>
            <w:r w:rsidRPr="00784E54">
              <w:rPr>
                <w:rFonts w:ascii="Arial Narrow" w:hAnsi="Arial Narrow" w:cs="Arial"/>
                <w:lang w:val="es-ES" w:eastAsia="es-ES"/>
              </w:rPr>
              <w:t>Índice</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sidRPr="00784E54">
              <w:rPr>
                <w:rFonts w:ascii="Arial Narrow" w:hAnsi="Arial Narrow"/>
                <w:color w:val="000000"/>
              </w:rPr>
              <w:t>100</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sidRPr="00784E54">
              <w:rPr>
                <w:rFonts w:ascii="Arial Narrow" w:hAnsi="Arial Narrow"/>
                <w:color w:val="000000"/>
              </w:rPr>
              <w:t>150</w:t>
            </w:r>
          </w:p>
        </w:tc>
        <w:tc>
          <w:tcPr>
            <w:tcW w:w="1042" w:type="dxa"/>
            <w:tcBorders>
              <w:top w:val="single" w:sz="2" w:space="0" w:color="auto"/>
              <w:left w:val="nil"/>
              <w:bottom w:val="single" w:sz="2" w:space="0" w:color="auto"/>
              <w:right w:val="nil"/>
            </w:tcBorders>
            <w:vAlign w:val="center"/>
          </w:tcPr>
          <w:p w:rsidR="00784E54" w:rsidRPr="00784E54" w:rsidRDefault="00784E54" w:rsidP="00E85086">
            <w:pPr>
              <w:spacing w:after="0"/>
              <w:jc w:val="right"/>
              <w:rPr>
                <w:rFonts w:ascii="Arial Narrow" w:hAnsi="Arial Narrow"/>
                <w:color w:val="000000"/>
              </w:rPr>
            </w:pPr>
            <w:r w:rsidRPr="00784E54">
              <w:rPr>
                <w:rFonts w:ascii="Arial Narrow" w:hAnsi="Arial Narrow"/>
                <w:color w:val="000000"/>
              </w:rPr>
              <w:t>200</w:t>
            </w:r>
          </w:p>
        </w:tc>
        <w:tc>
          <w:tcPr>
            <w:tcW w:w="1042" w:type="dxa"/>
            <w:tcBorders>
              <w:top w:val="single" w:sz="2" w:space="0" w:color="auto"/>
              <w:left w:val="nil"/>
              <w:bottom w:val="single" w:sz="2" w:space="0" w:color="auto"/>
              <w:right w:val="nil"/>
            </w:tcBorders>
            <w:noWrap/>
            <w:vAlign w:val="center"/>
          </w:tcPr>
          <w:p w:rsidR="00784E54" w:rsidRPr="00784E54" w:rsidRDefault="00784E54" w:rsidP="00E85086">
            <w:pPr>
              <w:spacing w:after="0"/>
              <w:jc w:val="right"/>
              <w:rPr>
                <w:rFonts w:ascii="Arial Narrow" w:hAnsi="Arial Narrow"/>
                <w:color w:val="000000"/>
              </w:rPr>
            </w:pPr>
            <w:r w:rsidRPr="00784E54">
              <w:rPr>
                <w:rFonts w:ascii="Arial Narrow" w:hAnsi="Arial Narrow"/>
                <w:color w:val="000000"/>
              </w:rPr>
              <w:t>208</w:t>
            </w:r>
          </w:p>
        </w:tc>
        <w:tc>
          <w:tcPr>
            <w:tcW w:w="1080" w:type="dxa"/>
            <w:tcBorders>
              <w:top w:val="single" w:sz="2" w:space="0" w:color="auto"/>
              <w:left w:val="nil"/>
              <w:bottom w:val="single" w:sz="2" w:space="0" w:color="auto"/>
              <w:right w:val="nil"/>
            </w:tcBorders>
            <w:noWrap/>
            <w:vAlign w:val="center"/>
          </w:tcPr>
          <w:p w:rsidR="00784E54" w:rsidRPr="00784E54" w:rsidRDefault="00784E54" w:rsidP="00E85086">
            <w:pPr>
              <w:spacing w:after="0"/>
              <w:jc w:val="right"/>
              <w:rPr>
                <w:rFonts w:ascii="Arial Narrow" w:hAnsi="Arial Narrow"/>
                <w:color w:val="000000"/>
              </w:rPr>
            </w:pPr>
            <w:r w:rsidRPr="00784E54">
              <w:rPr>
                <w:rFonts w:ascii="Arial Narrow" w:hAnsi="Arial Narrow"/>
                <w:color w:val="000000"/>
              </w:rPr>
              <w:t>260</w:t>
            </w:r>
          </w:p>
        </w:tc>
      </w:tr>
      <w:tr w:rsidR="00784E54" w:rsidRPr="00784E54" w:rsidTr="00E85086">
        <w:trPr>
          <w:trHeight w:val="198"/>
          <w:jc w:val="center"/>
        </w:trPr>
        <w:tc>
          <w:tcPr>
            <w:tcW w:w="3578" w:type="dxa"/>
            <w:tcBorders>
              <w:top w:val="single" w:sz="2" w:space="0" w:color="auto"/>
              <w:left w:val="nil"/>
              <w:bottom w:val="single" w:sz="4" w:space="0" w:color="auto"/>
              <w:right w:val="nil"/>
            </w:tcBorders>
            <w:noWrap/>
            <w:vAlign w:val="center"/>
          </w:tcPr>
          <w:p w:rsidR="00784E54" w:rsidRPr="00784E54" w:rsidRDefault="00784E54" w:rsidP="00E85086">
            <w:pPr>
              <w:spacing w:after="0"/>
              <w:ind w:firstLine="0"/>
              <w:jc w:val="left"/>
              <w:rPr>
                <w:rFonts w:ascii="Arial Narrow" w:hAnsi="Arial Narrow" w:cs="Arial"/>
                <w:lang w:val="es-ES" w:eastAsia="es-ES"/>
              </w:rPr>
            </w:pPr>
            <w:r w:rsidRPr="00784E54">
              <w:rPr>
                <w:rFonts w:ascii="Arial Narrow" w:hAnsi="Arial Narrow" w:cs="Arial"/>
                <w:lang w:val="es-ES" w:eastAsia="es-ES"/>
              </w:rPr>
              <w:t>Porcentaje sobre ingresos corrientes</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6</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9</w:t>
            </w:r>
          </w:p>
        </w:tc>
        <w:tc>
          <w:tcPr>
            <w:tcW w:w="1042" w:type="dxa"/>
            <w:tcBorders>
              <w:top w:val="single" w:sz="2" w:space="0" w:color="auto"/>
              <w:left w:val="nil"/>
              <w:bottom w:val="single" w:sz="4" w:space="0" w:color="auto"/>
              <w:right w:val="nil"/>
            </w:tcBorders>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12</w:t>
            </w:r>
          </w:p>
        </w:tc>
        <w:tc>
          <w:tcPr>
            <w:tcW w:w="1042" w:type="dxa"/>
            <w:tcBorders>
              <w:top w:val="single" w:sz="2" w:space="0" w:color="auto"/>
              <w:left w:val="nil"/>
              <w:bottom w:val="single" w:sz="4" w:space="0" w:color="auto"/>
              <w:right w:val="nil"/>
            </w:tcBorders>
            <w:noWrap/>
            <w:vAlign w:val="center"/>
          </w:tcPr>
          <w:p w:rsidR="00784E54" w:rsidRPr="00784E54" w:rsidRDefault="00784E54" w:rsidP="00E85086">
            <w:pPr>
              <w:spacing w:after="0"/>
              <w:ind w:firstLine="0"/>
              <w:jc w:val="right"/>
              <w:rPr>
                <w:rFonts w:ascii="Arial Narrow" w:hAnsi="Arial Narrow" w:cs="Arial"/>
                <w:lang w:val="es-ES" w:eastAsia="es-ES"/>
              </w:rPr>
            </w:pPr>
            <w:r w:rsidRPr="00784E54">
              <w:rPr>
                <w:rFonts w:ascii="Arial Narrow" w:hAnsi="Arial Narrow" w:cs="Arial"/>
                <w:lang w:val="es-ES" w:eastAsia="es-ES"/>
              </w:rPr>
              <w:t>13</w:t>
            </w:r>
          </w:p>
        </w:tc>
        <w:tc>
          <w:tcPr>
            <w:tcW w:w="1080" w:type="dxa"/>
            <w:tcBorders>
              <w:top w:val="single" w:sz="2" w:space="0" w:color="auto"/>
              <w:left w:val="nil"/>
              <w:bottom w:val="single" w:sz="4" w:space="0" w:color="auto"/>
              <w:right w:val="nil"/>
            </w:tcBorders>
            <w:noWrap/>
            <w:vAlign w:val="center"/>
          </w:tcPr>
          <w:p w:rsidR="00784E54" w:rsidRPr="00784E54" w:rsidRDefault="00784E54" w:rsidP="00E85086">
            <w:pPr>
              <w:spacing w:after="0" w:line="276" w:lineRule="auto"/>
              <w:ind w:firstLine="0"/>
              <w:jc w:val="right"/>
              <w:rPr>
                <w:rFonts w:ascii="Arial Narrow" w:hAnsi="Arial Narrow" w:cs="Arial"/>
                <w:lang w:val="es-ES" w:eastAsia="es-ES"/>
              </w:rPr>
            </w:pPr>
            <w:r w:rsidRPr="00784E54">
              <w:rPr>
                <w:rFonts w:ascii="Arial Narrow" w:hAnsi="Arial Narrow" w:cs="Arial"/>
                <w:lang w:val="es-ES" w:eastAsia="es-ES"/>
              </w:rPr>
              <w:t>15</w:t>
            </w:r>
          </w:p>
        </w:tc>
      </w:tr>
    </w:tbl>
    <w:p w:rsidR="00784E54" w:rsidRPr="00E54E8B" w:rsidRDefault="00784E54" w:rsidP="00E54E8B">
      <w:pPr>
        <w:pStyle w:val="texto"/>
        <w:spacing w:before="240"/>
      </w:pPr>
      <w:r w:rsidRPr="00E54E8B">
        <w:lastRenderedPageBreak/>
        <w:t>Es decir, la carga financiera se ha incrementado en el periodo analizado en un 260 por ciento, con un repunte en 2016 tras alcanzar una cierta estabiliz</w:t>
      </w:r>
      <w:r w:rsidRPr="00E54E8B">
        <w:t>a</w:t>
      </w:r>
      <w:r w:rsidRPr="00E54E8B">
        <w:t>ción en 2014 y 2015. Además, su peso relativo sobre los ingresos corrientes es creciente y alcanza en 2016 el 15 por ciento de los mismos.</w:t>
      </w:r>
    </w:p>
    <w:p w:rsidR="00784E54" w:rsidRDefault="00784E54" w:rsidP="0092344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54E8B">
        <w:rPr>
          <w:rFonts w:cs="Arial"/>
        </w:rPr>
        <w:t>En el cuadro siguiente se indican las previsiones de amortización del co</w:t>
      </w:r>
      <w:r w:rsidRPr="00E54E8B">
        <w:rPr>
          <w:rFonts w:cs="Arial"/>
        </w:rPr>
        <w:t>n</w:t>
      </w:r>
      <w:r w:rsidRPr="00E54E8B">
        <w:rPr>
          <w:rFonts w:cs="Arial"/>
        </w:rPr>
        <w:t>junto de la deuda del Gobierno en los próximos ejercicios:</w:t>
      </w:r>
    </w:p>
    <w:tbl>
      <w:tblPr>
        <w:tblW w:w="8821" w:type="dxa"/>
        <w:jc w:val="center"/>
        <w:tblInd w:w="89"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EE15F1" w:rsidRPr="00EE15F1" w:rsidTr="00EE15F1">
        <w:trPr>
          <w:trHeight w:val="255"/>
          <w:jc w:val="center"/>
        </w:trPr>
        <w:tc>
          <w:tcPr>
            <w:tcW w:w="8821" w:type="dxa"/>
            <w:gridSpan w:val="4"/>
            <w:tcBorders>
              <w:top w:val="nil"/>
              <w:bottom w:val="single" w:sz="4" w:space="0" w:color="auto"/>
            </w:tcBorders>
            <w:shd w:val="clear" w:color="auto" w:fill="auto"/>
            <w:noWrap/>
            <w:vAlign w:val="center"/>
          </w:tcPr>
          <w:p w:rsidR="00EE15F1" w:rsidRPr="00EE15F1" w:rsidRDefault="00D816D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E15F1">
              <w:rPr>
                <w:rFonts w:ascii="Arial" w:hAnsi="Arial" w:cs="Arial"/>
                <w:spacing w:val="6"/>
                <w:sz w:val="17"/>
                <w:szCs w:val="17"/>
              </w:rPr>
              <w:t xml:space="preserve"> </w:t>
            </w:r>
            <w:r w:rsidR="00EE15F1" w:rsidRPr="00EE15F1">
              <w:rPr>
                <w:rFonts w:ascii="Arial" w:hAnsi="Arial" w:cs="Arial"/>
                <w:spacing w:val="6"/>
                <w:sz w:val="17"/>
                <w:szCs w:val="17"/>
              </w:rPr>
              <w:t>(en miles de euros)</w:t>
            </w:r>
          </w:p>
        </w:tc>
      </w:tr>
      <w:tr w:rsidR="00784E54" w:rsidRPr="00E85086" w:rsidTr="00E85086">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E85086">
              <w:rPr>
                <w:rFonts w:ascii="Arial" w:hAnsi="Arial" w:cs="Arial"/>
                <w:spacing w:val="6"/>
                <w:sz w:val="18"/>
                <w:szCs w:val="24"/>
              </w:rPr>
              <w:t>Ejercicio</w:t>
            </w:r>
          </w:p>
        </w:tc>
        <w:tc>
          <w:tcPr>
            <w:tcW w:w="3771" w:type="dxa"/>
            <w:tcBorders>
              <w:top w:val="single" w:sz="4" w:space="0" w:color="auto"/>
              <w:bottom w:val="single" w:sz="4" w:space="0" w:color="auto"/>
            </w:tcBorders>
            <w:shd w:val="clear" w:color="auto" w:fill="8DB3E2" w:themeFill="text2" w:themeFillTint="66"/>
            <w:noWrap/>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 xml:space="preserve">Importe total </w:t>
            </w:r>
          </w:p>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a amortizar</w:t>
            </w:r>
          </w:p>
        </w:tc>
        <w:tc>
          <w:tcPr>
            <w:tcW w:w="1710"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Porcentaje</w:t>
            </w:r>
          </w:p>
        </w:tc>
        <w:tc>
          <w:tcPr>
            <w:tcW w:w="1859" w:type="dxa"/>
            <w:tcBorders>
              <w:top w:val="single" w:sz="4" w:space="0" w:color="auto"/>
              <w:bottom w:val="single" w:sz="4" w:space="0" w:color="auto"/>
            </w:tcBorders>
            <w:shd w:val="clear" w:color="auto" w:fill="8DB3E2" w:themeFill="text2" w:themeFillTint="66"/>
            <w:noWrap/>
            <w:vAlign w:val="center"/>
          </w:tcPr>
          <w:p w:rsid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 xml:space="preserve">Porcentaje </w:t>
            </w:r>
          </w:p>
          <w:p w:rsidR="00784E54" w:rsidRPr="00E85086"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E85086">
              <w:rPr>
                <w:rFonts w:ascii="Arial" w:hAnsi="Arial" w:cs="Arial"/>
                <w:spacing w:val="6"/>
                <w:sz w:val="18"/>
                <w:szCs w:val="24"/>
              </w:rPr>
              <w:t>acumulado</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2017</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292.928</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9,75</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9,75</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2018</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240.359</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8,00</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17,76</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2019</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255.805</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8,52</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26,27</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2020</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218.743</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7,28</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33,56</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2021</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201.967</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6,73</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40,28</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2022</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121.188</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4,04</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44,32</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2023</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270.042</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8,99</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53,31</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2024</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484.718</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16,14</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69,45</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2025</w:t>
            </w:r>
          </w:p>
        </w:tc>
        <w:tc>
          <w:tcPr>
            <w:tcW w:w="3771" w:type="dxa"/>
            <w:noWrap/>
            <w:vAlign w:val="center"/>
          </w:tcPr>
          <w:p w:rsidR="00784E54" w:rsidRPr="00784E54" w:rsidRDefault="00784E54" w:rsidP="00E85086">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100.679</w:t>
            </w:r>
          </w:p>
        </w:tc>
        <w:tc>
          <w:tcPr>
            <w:tcW w:w="1710"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3,35</w:t>
            </w:r>
          </w:p>
        </w:tc>
        <w:tc>
          <w:tcPr>
            <w:tcW w:w="1859" w:type="dxa"/>
            <w:noWrap/>
            <w:vAlign w:val="center"/>
          </w:tcPr>
          <w:p w:rsidR="00784E54" w:rsidRPr="00784E54" w:rsidRDefault="00784E54" w:rsidP="00E85086">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72,80</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2026</w:t>
            </w:r>
          </w:p>
        </w:tc>
        <w:tc>
          <w:tcPr>
            <w:tcW w:w="3771" w:type="dxa"/>
            <w:noWrap/>
            <w:vAlign w:val="center"/>
          </w:tcPr>
          <w:p w:rsidR="008E66FD" w:rsidRPr="00784E54" w:rsidRDefault="008E66FD" w:rsidP="00DB4CF5">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170.000</w:t>
            </w:r>
          </w:p>
        </w:tc>
        <w:tc>
          <w:tcPr>
            <w:tcW w:w="1710" w:type="dxa"/>
            <w:noWrap/>
            <w:vAlign w:val="center"/>
          </w:tcPr>
          <w:p w:rsidR="008E66FD" w:rsidRPr="00784E54" w:rsidRDefault="008E66FD" w:rsidP="00DB4CF5">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5,66</w:t>
            </w:r>
          </w:p>
        </w:tc>
        <w:tc>
          <w:tcPr>
            <w:tcW w:w="1859" w:type="dxa"/>
            <w:noWrap/>
            <w:vAlign w:val="center"/>
          </w:tcPr>
          <w:p w:rsidR="008E66FD" w:rsidRPr="00784E54" w:rsidRDefault="008E66FD" w:rsidP="00DB4CF5">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78,46</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2027</w:t>
            </w:r>
          </w:p>
        </w:tc>
        <w:tc>
          <w:tcPr>
            <w:tcW w:w="3771" w:type="dxa"/>
            <w:noWrap/>
            <w:vAlign w:val="center"/>
          </w:tcPr>
          <w:p w:rsidR="008E66FD" w:rsidRPr="00784E54" w:rsidRDefault="008E66FD" w:rsidP="00DB4CF5">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300.000</w:t>
            </w:r>
          </w:p>
        </w:tc>
        <w:tc>
          <w:tcPr>
            <w:tcW w:w="1710" w:type="dxa"/>
            <w:noWrap/>
            <w:vAlign w:val="center"/>
          </w:tcPr>
          <w:p w:rsidR="008E66FD" w:rsidRPr="00784E54" w:rsidRDefault="008E66FD" w:rsidP="00DB4CF5">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9,99</w:t>
            </w:r>
          </w:p>
        </w:tc>
        <w:tc>
          <w:tcPr>
            <w:tcW w:w="1859" w:type="dxa"/>
            <w:noWrap/>
            <w:vAlign w:val="center"/>
          </w:tcPr>
          <w:p w:rsidR="008E66FD" w:rsidRPr="00784E54" w:rsidRDefault="008E66FD" w:rsidP="00DB4CF5">
            <w:pPr>
              <w:spacing w:after="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88,45</w:t>
            </w:r>
          </w:p>
        </w:tc>
      </w:tr>
      <w:tr w:rsidR="008E66FD" w:rsidRPr="00784E54" w:rsidTr="00E85086">
        <w:trPr>
          <w:trHeight w:val="198"/>
          <w:jc w:val="center"/>
        </w:trPr>
        <w:tc>
          <w:tcPr>
            <w:tcW w:w="1481" w:type="dxa"/>
            <w:noWrap/>
            <w:vAlign w:val="center"/>
          </w:tcPr>
          <w:p w:rsidR="008E66FD" w:rsidRPr="00784E54" w:rsidRDefault="008E66FD" w:rsidP="00E85086">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2028</w:t>
            </w:r>
          </w:p>
        </w:tc>
        <w:tc>
          <w:tcPr>
            <w:tcW w:w="3771" w:type="dxa"/>
            <w:noWrap/>
            <w:vAlign w:val="center"/>
          </w:tcPr>
          <w:p w:rsidR="008E66FD" w:rsidRPr="00784E54" w:rsidRDefault="008E66FD" w:rsidP="00E85086">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260.620</w:t>
            </w:r>
          </w:p>
        </w:tc>
        <w:tc>
          <w:tcPr>
            <w:tcW w:w="1710" w:type="dxa"/>
            <w:noWrap/>
            <w:vAlign w:val="center"/>
          </w:tcPr>
          <w:p w:rsidR="008E66FD"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8,68</w:t>
            </w:r>
          </w:p>
        </w:tc>
        <w:tc>
          <w:tcPr>
            <w:tcW w:w="1859" w:type="dxa"/>
            <w:noWrap/>
            <w:vAlign w:val="center"/>
          </w:tcPr>
          <w:p w:rsidR="008E66FD"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97,13</w:t>
            </w:r>
          </w:p>
        </w:tc>
      </w:tr>
      <w:tr w:rsidR="00784E54" w:rsidRPr="00784E54" w:rsidTr="00E85086">
        <w:trPr>
          <w:trHeight w:val="198"/>
          <w:jc w:val="center"/>
        </w:trPr>
        <w:tc>
          <w:tcPr>
            <w:tcW w:w="1481" w:type="dxa"/>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2030</w:t>
            </w:r>
          </w:p>
        </w:tc>
        <w:tc>
          <w:tcPr>
            <w:tcW w:w="3771" w:type="dxa"/>
            <w:noWrap/>
            <w:vAlign w:val="center"/>
          </w:tcPr>
          <w:p w:rsidR="00784E54" w:rsidRPr="00784E54" w:rsidRDefault="008E66FD" w:rsidP="00E85086">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85.000</w:t>
            </w:r>
          </w:p>
        </w:tc>
        <w:tc>
          <w:tcPr>
            <w:tcW w:w="1710" w:type="dxa"/>
            <w:noWrap/>
            <w:vAlign w:val="center"/>
          </w:tcPr>
          <w:p w:rsidR="00784E54"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2,83</w:t>
            </w:r>
          </w:p>
        </w:tc>
        <w:tc>
          <w:tcPr>
            <w:tcW w:w="1859" w:type="dxa"/>
            <w:noWrap/>
            <w:vAlign w:val="center"/>
          </w:tcPr>
          <w:p w:rsidR="00784E54"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99,96</w:t>
            </w:r>
          </w:p>
        </w:tc>
      </w:tr>
      <w:tr w:rsidR="008E66FD" w:rsidRPr="004309A4" w:rsidTr="00E85086">
        <w:trPr>
          <w:trHeight w:val="198"/>
          <w:jc w:val="center"/>
        </w:trPr>
        <w:tc>
          <w:tcPr>
            <w:tcW w:w="1481" w:type="dxa"/>
            <w:tcBorders>
              <w:bottom w:val="single" w:sz="4" w:space="0" w:color="auto"/>
            </w:tcBorders>
            <w:noWrap/>
            <w:vAlign w:val="center"/>
          </w:tcPr>
          <w:p w:rsidR="008E66FD" w:rsidRPr="004309A4" w:rsidRDefault="008E66FD" w:rsidP="00E85086">
            <w:pPr>
              <w:spacing w:after="0"/>
              <w:ind w:firstLine="0"/>
              <w:jc w:val="left"/>
              <w:rPr>
                <w:rFonts w:ascii="Arial Narrow" w:hAnsi="Arial Narrow" w:cs="Arial"/>
                <w:i/>
                <w:sz w:val="18"/>
                <w:szCs w:val="18"/>
                <w:lang w:val="es-ES" w:eastAsia="es-ES"/>
              </w:rPr>
            </w:pPr>
            <w:r w:rsidRPr="004309A4">
              <w:rPr>
                <w:rFonts w:ascii="Arial Narrow" w:hAnsi="Arial Narrow" w:cs="Arial"/>
                <w:i/>
                <w:sz w:val="18"/>
                <w:szCs w:val="18"/>
                <w:lang w:val="es-ES" w:eastAsia="es-ES"/>
              </w:rPr>
              <w:t>Subtotal</w:t>
            </w:r>
          </w:p>
        </w:tc>
        <w:tc>
          <w:tcPr>
            <w:tcW w:w="3771" w:type="dxa"/>
            <w:tcBorders>
              <w:bottom w:val="single" w:sz="4" w:space="0" w:color="auto"/>
            </w:tcBorders>
            <w:noWrap/>
            <w:vAlign w:val="center"/>
          </w:tcPr>
          <w:p w:rsidR="008E66FD" w:rsidRPr="004309A4" w:rsidRDefault="008E66FD" w:rsidP="00E85086">
            <w:pPr>
              <w:spacing w:after="0"/>
              <w:ind w:firstLine="0"/>
              <w:jc w:val="right"/>
              <w:rPr>
                <w:rFonts w:ascii="Arial Narrow" w:hAnsi="Arial Narrow" w:cs="Arial"/>
                <w:i/>
                <w:sz w:val="18"/>
                <w:szCs w:val="18"/>
                <w:lang w:val="es-ES" w:eastAsia="es-ES"/>
              </w:rPr>
            </w:pPr>
            <w:r w:rsidRPr="004309A4">
              <w:rPr>
                <w:rFonts w:ascii="Arial Narrow" w:hAnsi="Arial Narrow" w:cs="Arial"/>
                <w:i/>
                <w:sz w:val="18"/>
                <w:szCs w:val="18"/>
                <w:lang w:val="es-ES" w:eastAsia="es-ES"/>
              </w:rPr>
              <w:t>3.002.048</w:t>
            </w:r>
          </w:p>
        </w:tc>
        <w:tc>
          <w:tcPr>
            <w:tcW w:w="1710" w:type="dxa"/>
            <w:tcBorders>
              <w:bottom w:val="single" w:sz="4" w:space="0" w:color="auto"/>
            </w:tcBorders>
            <w:noWrap/>
            <w:vAlign w:val="center"/>
          </w:tcPr>
          <w:p w:rsidR="008E66FD" w:rsidRPr="004309A4" w:rsidRDefault="008E66FD" w:rsidP="00E85086">
            <w:pPr>
              <w:spacing w:after="0"/>
              <w:jc w:val="right"/>
              <w:rPr>
                <w:rFonts w:ascii="Arial Narrow" w:hAnsi="Arial Narrow" w:cs="Arial"/>
                <w:i/>
                <w:sz w:val="18"/>
                <w:szCs w:val="18"/>
                <w:lang w:val="es-ES" w:eastAsia="es-ES"/>
              </w:rPr>
            </w:pPr>
          </w:p>
        </w:tc>
        <w:tc>
          <w:tcPr>
            <w:tcW w:w="1859" w:type="dxa"/>
            <w:tcBorders>
              <w:bottom w:val="single" w:sz="4" w:space="0" w:color="auto"/>
            </w:tcBorders>
            <w:noWrap/>
            <w:vAlign w:val="center"/>
          </w:tcPr>
          <w:p w:rsidR="008E66FD" w:rsidRPr="004309A4" w:rsidRDefault="008E66FD" w:rsidP="00E85086">
            <w:pPr>
              <w:spacing w:after="0"/>
              <w:jc w:val="right"/>
              <w:rPr>
                <w:rFonts w:ascii="Arial Narrow" w:hAnsi="Arial Narrow" w:cs="Arial"/>
                <w:i/>
                <w:sz w:val="18"/>
                <w:szCs w:val="18"/>
                <w:lang w:val="es-ES" w:eastAsia="es-ES"/>
              </w:rPr>
            </w:pPr>
          </w:p>
        </w:tc>
      </w:tr>
      <w:tr w:rsidR="00784E54" w:rsidRPr="00784E54" w:rsidTr="00E85086">
        <w:trPr>
          <w:trHeight w:val="198"/>
          <w:jc w:val="center"/>
        </w:trPr>
        <w:tc>
          <w:tcPr>
            <w:tcW w:w="1481" w:type="dxa"/>
            <w:tcBorders>
              <w:bottom w:val="single" w:sz="4" w:space="0" w:color="auto"/>
            </w:tcBorders>
            <w:noWrap/>
            <w:vAlign w:val="center"/>
          </w:tcPr>
          <w:p w:rsidR="00784E54" w:rsidRPr="00784E54" w:rsidRDefault="00784E54" w:rsidP="00E85086">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No clasificable</w:t>
            </w:r>
          </w:p>
        </w:tc>
        <w:tc>
          <w:tcPr>
            <w:tcW w:w="3771" w:type="dxa"/>
            <w:tcBorders>
              <w:bottom w:val="single" w:sz="4" w:space="0" w:color="auto"/>
            </w:tcBorders>
            <w:noWrap/>
            <w:vAlign w:val="center"/>
          </w:tcPr>
          <w:p w:rsidR="00784E54" w:rsidRPr="00784E54" w:rsidRDefault="008E66FD" w:rsidP="00E85086">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1.172</w:t>
            </w:r>
          </w:p>
        </w:tc>
        <w:tc>
          <w:tcPr>
            <w:tcW w:w="1710" w:type="dxa"/>
            <w:tcBorders>
              <w:bottom w:val="single" w:sz="4" w:space="0" w:color="auto"/>
            </w:tcBorders>
            <w:noWrap/>
            <w:vAlign w:val="center"/>
          </w:tcPr>
          <w:p w:rsidR="00784E54"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0.04</w:t>
            </w:r>
          </w:p>
        </w:tc>
        <w:tc>
          <w:tcPr>
            <w:tcW w:w="1859" w:type="dxa"/>
            <w:tcBorders>
              <w:bottom w:val="single" w:sz="4" w:space="0" w:color="auto"/>
            </w:tcBorders>
            <w:noWrap/>
            <w:vAlign w:val="center"/>
          </w:tcPr>
          <w:p w:rsidR="00784E54" w:rsidRPr="00784E54" w:rsidRDefault="008E66FD" w:rsidP="00E85086">
            <w:pPr>
              <w:spacing w:after="0"/>
              <w:jc w:val="right"/>
              <w:rPr>
                <w:rFonts w:ascii="Arial Narrow" w:hAnsi="Arial Narrow" w:cs="Arial"/>
                <w:sz w:val="18"/>
                <w:szCs w:val="18"/>
                <w:lang w:val="es-ES" w:eastAsia="es-ES"/>
              </w:rPr>
            </w:pPr>
            <w:r>
              <w:rPr>
                <w:rFonts w:ascii="Arial Narrow" w:hAnsi="Arial Narrow" w:cs="Arial"/>
                <w:sz w:val="18"/>
                <w:szCs w:val="18"/>
                <w:lang w:val="es-ES" w:eastAsia="es-ES"/>
              </w:rPr>
              <w:t>100</w:t>
            </w:r>
          </w:p>
        </w:tc>
      </w:tr>
      <w:tr w:rsidR="00784E54" w:rsidRPr="00E85086" w:rsidTr="00E85086">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85086">
              <w:rPr>
                <w:rFonts w:ascii="Arial" w:hAnsi="Arial" w:cs="Arial"/>
                <w:spacing w:val="6"/>
                <w:sz w:val="18"/>
                <w:szCs w:val="18"/>
              </w:rPr>
              <w:t>Total</w:t>
            </w:r>
          </w:p>
        </w:tc>
        <w:tc>
          <w:tcPr>
            <w:tcW w:w="3771"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8E66FD">
            <w:pPr>
              <w:spacing w:after="0"/>
              <w:ind w:firstLine="0"/>
              <w:jc w:val="right"/>
              <w:rPr>
                <w:rFonts w:ascii="Arial" w:hAnsi="Arial" w:cs="Arial"/>
                <w:sz w:val="18"/>
                <w:szCs w:val="18"/>
                <w:lang w:val="es-ES" w:eastAsia="es-ES"/>
              </w:rPr>
            </w:pPr>
            <w:r w:rsidRPr="00E85086">
              <w:rPr>
                <w:rFonts w:ascii="Arial" w:hAnsi="Arial" w:cs="Arial"/>
                <w:sz w:val="18"/>
                <w:szCs w:val="18"/>
                <w:lang w:val="es-ES" w:eastAsia="es-ES"/>
              </w:rPr>
              <w:t>3.</w:t>
            </w:r>
            <w:r w:rsidR="008E66FD">
              <w:rPr>
                <w:rFonts w:ascii="Arial" w:hAnsi="Arial" w:cs="Arial"/>
                <w:sz w:val="18"/>
                <w:szCs w:val="18"/>
                <w:lang w:val="es-ES" w:eastAsia="es-ES"/>
              </w:rPr>
              <w:t>003.220</w:t>
            </w:r>
          </w:p>
        </w:tc>
        <w:tc>
          <w:tcPr>
            <w:tcW w:w="1710"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spacing w:after="0"/>
              <w:jc w:val="right"/>
              <w:rPr>
                <w:rFonts w:ascii="Arial" w:hAnsi="Arial" w:cs="Arial"/>
                <w:sz w:val="18"/>
                <w:szCs w:val="18"/>
                <w:lang w:val="es-ES" w:eastAsia="es-ES"/>
              </w:rPr>
            </w:pPr>
          </w:p>
        </w:tc>
        <w:tc>
          <w:tcPr>
            <w:tcW w:w="1859" w:type="dxa"/>
            <w:tcBorders>
              <w:top w:val="single" w:sz="4" w:space="0" w:color="auto"/>
              <w:bottom w:val="single" w:sz="4" w:space="0" w:color="auto"/>
            </w:tcBorders>
            <w:shd w:val="clear" w:color="auto" w:fill="8DB3E2" w:themeFill="text2" w:themeFillTint="66"/>
            <w:noWrap/>
            <w:vAlign w:val="center"/>
          </w:tcPr>
          <w:p w:rsidR="00784E54" w:rsidRPr="00E85086" w:rsidRDefault="00784E54" w:rsidP="00784E54">
            <w:pPr>
              <w:spacing w:after="0"/>
              <w:ind w:firstLine="0"/>
              <w:jc w:val="right"/>
              <w:rPr>
                <w:rFonts w:ascii="Arial" w:hAnsi="Arial" w:cs="Arial"/>
                <w:sz w:val="18"/>
                <w:szCs w:val="18"/>
                <w:lang w:val="es-ES" w:eastAsia="es-ES"/>
              </w:rPr>
            </w:pPr>
          </w:p>
        </w:tc>
      </w:tr>
    </w:tbl>
    <w:p w:rsidR="00784E54" w:rsidRPr="00784E54" w:rsidRDefault="00784E54" w:rsidP="00E54E8B">
      <w:pPr>
        <w:pStyle w:val="texto"/>
        <w:spacing w:before="240"/>
        <w:rPr>
          <w:lang w:val="es-ES"/>
        </w:rPr>
      </w:pPr>
      <w:r w:rsidRPr="00784E54">
        <w:rPr>
          <w:lang w:val="es-ES"/>
        </w:rPr>
        <w:t xml:space="preserve">Como se observa, el 44 por ciento de esta deuda se debe amortizar antes de 2022. Así mismo destaca el ejercicio de 2024 con una amortización del 16 por ciento de la deuda. </w:t>
      </w:r>
    </w:p>
    <w:p w:rsidR="00784E54" w:rsidRPr="00784E54" w:rsidRDefault="00784E54" w:rsidP="00E54E8B">
      <w:pPr>
        <w:pStyle w:val="texto"/>
        <w:rPr>
          <w:lang w:val="es-ES"/>
        </w:rPr>
      </w:pPr>
      <w:r w:rsidRPr="00784E54">
        <w:rPr>
          <w:lang w:val="es-ES"/>
        </w:rPr>
        <w:t>La “no clasificable” se refiere a anticipos del Gobierno Central para los nu</w:t>
      </w:r>
      <w:r w:rsidRPr="00784E54">
        <w:rPr>
          <w:lang w:val="es-ES"/>
        </w:rPr>
        <w:t>e</w:t>
      </w:r>
      <w:r w:rsidRPr="00784E54">
        <w:rPr>
          <w:lang w:val="es-ES"/>
        </w:rPr>
        <w:t>vos ciclos de Formación Profesional e itinerarios de la ESO que no indican pl</w:t>
      </w:r>
      <w:r w:rsidRPr="00784E54">
        <w:rPr>
          <w:lang w:val="es-ES"/>
        </w:rPr>
        <w:t>a</w:t>
      </w:r>
      <w:r w:rsidRPr="00784E54">
        <w:rPr>
          <w:lang w:val="es-ES"/>
        </w:rPr>
        <w:t>zo de amortización.</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54E8B">
        <w:rPr>
          <w:rFonts w:cs="Arial"/>
        </w:rPr>
        <w:t>En mayo de 2016, la agencia de rating Standard&amp;Poor´s asignó a la deuda a largo plazo de Navarra la calificación de “A con perspectiva estable”, nota de solvencia dos escalones superior a la del Reino de España (BBB+). En abril de 2017, la citada agencia calificó la deuda de Navarra en “A con perspectiva p</w:t>
      </w:r>
      <w:r w:rsidRPr="00E54E8B">
        <w:rPr>
          <w:rFonts w:cs="Arial"/>
        </w:rPr>
        <w:t>o</w:t>
      </w:r>
      <w:r w:rsidRPr="00E54E8B">
        <w:rPr>
          <w:rFonts w:cs="Arial"/>
        </w:rPr>
        <w:t>sitiva”, por lo que la Comunidad Foral ha mejorado su posición.</w:t>
      </w:r>
    </w:p>
    <w:p w:rsidR="00784E54" w:rsidRPr="00E54E8B" w:rsidRDefault="00784E54" w:rsidP="00E54E8B">
      <w:pPr>
        <w:spacing w:before="240" w:after="240"/>
        <w:ind w:firstLine="284"/>
        <w:rPr>
          <w:rFonts w:ascii="Arial" w:hAnsi="Arial"/>
          <w:i/>
          <w:iCs/>
          <w:color w:val="000000"/>
          <w:spacing w:val="10"/>
          <w:kern w:val="28"/>
          <w:sz w:val="25"/>
          <w:szCs w:val="26"/>
          <w:lang w:val="es-ES"/>
        </w:rPr>
      </w:pPr>
      <w:r w:rsidRPr="00E54E8B">
        <w:rPr>
          <w:rFonts w:ascii="Arial" w:hAnsi="Arial"/>
          <w:i/>
          <w:iCs/>
          <w:color w:val="000000"/>
          <w:spacing w:val="10"/>
          <w:kern w:val="28"/>
          <w:sz w:val="25"/>
          <w:szCs w:val="26"/>
          <w:lang w:val="es-ES"/>
        </w:rPr>
        <w:t>Avales y cartas de compromiso concedidas</w:t>
      </w:r>
    </w:p>
    <w:p w:rsidR="007C550A"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54E8B">
        <w:rPr>
          <w:rFonts w:cs="Arial"/>
        </w:rPr>
        <w:t xml:space="preserve">El artículo 74 de la Ley Foral de Hacienda Pública fue modificado por la Ley Foral 1/2016 de Presupuestos Generales de Navarra; en concreto se añadió el siguiente párrafo: </w:t>
      </w:r>
    </w:p>
    <w:p w:rsidR="00784E54" w:rsidRPr="00E54E8B" w:rsidRDefault="00784E54" w:rsidP="0002702D">
      <w:pPr>
        <w:pStyle w:val="texto"/>
        <w:tabs>
          <w:tab w:val="clear" w:pos="2835"/>
          <w:tab w:val="clear" w:pos="3969"/>
          <w:tab w:val="clear" w:pos="5103"/>
          <w:tab w:val="clear" w:pos="6237"/>
          <w:tab w:val="clear" w:pos="7371"/>
          <w:tab w:val="left" w:pos="480"/>
          <w:tab w:val="num" w:pos="600"/>
          <w:tab w:val="num" w:pos="720"/>
          <w:tab w:val="num" w:pos="1320"/>
          <w:tab w:val="num" w:pos="1948"/>
        </w:tabs>
        <w:ind w:firstLine="289"/>
        <w:rPr>
          <w:rFonts w:cs="Arial"/>
        </w:rPr>
      </w:pPr>
      <w:r w:rsidRPr="00E54E8B">
        <w:rPr>
          <w:rFonts w:cs="Arial"/>
          <w:i/>
          <w:sz w:val="20"/>
          <w:szCs w:val="20"/>
        </w:rPr>
        <w:t>“… A los efectos de los capítulos I y II de este Título se entenderá por avales las operaciones de aval, reaval o cualquier otra garantía, incluidas las cartas de compromiso que impliquen asunción de riesgos para la Administración de la Comunidad Foral de Navarra…”.</w:t>
      </w:r>
    </w:p>
    <w:p w:rsidR="001F3380" w:rsidRDefault="00784E54" w:rsidP="001F3380">
      <w:pPr>
        <w:pStyle w:val="texto"/>
        <w:spacing w:after="120"/>
        <w:rPr>
          <w:lang w:val="es-ES"/>
        </w:rPr>
      </w:pPr>
      <w:r w:rsidRPr="00784E54">
        <w:rPr>
          <w:lang w:val="es-ES"/>
        </w:rPr>
        <w:lastRenderedPageBreak/>
        <w:t>Teniendo en cuenta lo anterior, el saldo a 31 de diciembre de los avales co</w:t>
      </w:r>
      <w:r w:rsidRPr="00784E54">
        <w:rPr>
          <w:lang w:val="es-ES"/>
        </w:rPr>
        <w:t>n</w:t>
      </w:r>
      <w:r w:rsidRPr="00784E54">
        <w:rPr>
          <w:lang w:val="es-ES"/>
        </w:rPr>
        <w:t>cedidos por la Comunidad Foral ascendía a 163,52 millones de euros y corre</w:t>
      </w:r>
      <w:r w:rsidRPr="00784E54">
        <w:rPr>
          <w:lang w:val="es-ES"/>
        </w:rPr>
        <w:t>s</w:t>
      </w:r>
      <w:r w:rsidRPr="00784E54">
        <w:rPr>
          <w:lang w:val="es-ES"/>
        </w:rPr>
        <w:t>ponden a:</w:t>
      </w:r>
    </w:p>
    <w:tbl>
      <w:tblPr>
        <w:tblW w:w="8882" w:type="dxa"/>
        <w:jc w:val="center"/>
        <w:tblInd w:w="145"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4869"/>
        <w:gridCol w:w="1333"/>
        <w:gridCol w:w="28"/>
        <w:gridCol w:w="1305"/>
        <w:gridCol w:w="56"/>
        <w:gridCol w:w="1277"/>
        <w:gridCol w:w="14"/>
      </w:tblGrid>
      <w:tr w:rsidR="001C40C4" w:rsidRPr="00EE15F1" w:rsidTr="00275E02">
        <w:trPr>
          <w:gridAfter w:val="1"/>
          <w:wAfter w:w="14" w:type="dxa"/>
          <w:trHeight w:val="255"/>
          <w:jc w:val="center"/>
        </w:trPr>
        <w:tc>
          <w:tcPr>
            <w:tcW w:w="8868" w:type="dxa"/>
            <w:gridSpan w:val="6"/>
            <w:tcBorders>
              <w:top w:val="nil"/>
              <w:bottom w:val="single" w:sz="4" w:space="0" w:color="000000"/>
            </w:tcBorders>
            <w:shd w:val="clear" w:color="auto" w:fill="auto"/>
            <w:noWrap/>
            <w:vAlign w:val="center"/>
          </w:tcPr>
          <w:p w:rsidR="001C40C4" w:rsidRPr="00EE15F1" w:rsidRDefault="001C40C4" w:rsidP="00784E54">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EE15F1">
              <w:rPr>
                <w:rFonts w:ascii="Arial" w:hAnsi="Arial"/>
                <w:spacing w:val="6"/>
                <w:sz w:val="17"/>
                <w:szCs w:val="17"/>
              </w:rPr>
              <w:t>(en miles de euros)</w:t>
            </w:r>
          </w:p>
        </w:tc>
      </w:tr>
      <w:tr w:rsidR="00784E54" w:rsidRPr="00784E54" w:rsidTr="00275E02">
        <w:trPr>
          <w:gridAfter w:val="1"/>
          <w:wAfter w:w="14" w:type="dxa"/>
          <w:trHeight w:val="255"/>
          <w:jc w:val="center"/>
        </w:trPr>
        <w:tc>
          <w:tcPr>
            <w:tcW w:w="4869" w:type="dxa"/>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Avales concedidos </w:t>
            </w:r>
          </w:p>
        </w:tc>
        <w:tc>
          <w:tcPr>
            <w:tcW w:w="1333" w:type="dxa"/>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Saldo 31/12/2015</w:t>
            </w:r>
          </w:p>
        </w:tc>
        <w:tc>
          <w:tcPr>
            <w:tcW w:w="1333"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Saldo 31/12/2016</w:t>
            </w:r>
          </w:p>
        </w:tc>
        <w:tc>
          <w:tcPr>
            <w:tcW w:w="1333" w:type="dxa"/>
            <w:gridSpan w:val="2"/>
            <w:tcBorders>
              <w:top w:val="single" w:sz="4" w:space="0" w:color="000000"/>
              <w:bottom w:val="single" w:sz="4" w:space="0" w:color="000000"/>
            </w:tcBorders>
            <w:shd w:val="clear" w:color="auto" w:fill="8DB3E2" w:themeFill="text2" w:themeFillTint="66"/>
            <w:noWrap/>
            <w:vAlign w:val="center"/>
          </w:tcPr>
          <w:p w:rsidR="00784E54" w:rsidRPr="00784E54" w:rsidRDefault="00171CBB" w:rsidP="00171C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v</w:t>
            </w:r>
            <w:r w:rsidR="00784E54" w:rsidRPr="00784E54">
              <w:rPr>
                <w:rFonts w:ascii="Arial" w:hAnsi="Arial"/>
                <w:spacing w:val="6"/>
                <w:sz w:val="18"/>
                <w:szCs w:val="24"/>
              </w:rPr>
              <w:t>ariación 2016/2015</w:t>
            </w:r>
          </w:p>
        </w:tc>
      </w:tr>
      <w:tr w:rsidR="00784E54" w:rsidRPr="00784E54" w:rsidTr="00275E02">
        <w:trPr>
          <w:gridAfter w:val="1"/>
          <w:wAfter w:w="14" w:type="dxa"/>
          <w:trHeight w:val="198"/>
          <w:jc w:val="center"/>
        </w:trPr>
        <w:tc>
          <w:tcPr>
            <w:tcW w:w="4869" w:type="dxa"/>
            <w:tcBorders>
              <w:top w:val="single" w:sz="4"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I+D</w:t>
            </w:r>
          </w:p>
        </w:tc>
        <w:tc>
          <w:tcPr>
            <w:tcW w:w="1333" w:type="dxa"/>
            <w:tcBorders>
              <w:top w:val="single" w:sz="4"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209</w:t>
            </w:r>
          </w:p>
        </w:tc>
        <w:tc>
          <w:tcPr>
            <w:tcW w:w="1333" w:type="dxa"/>
            <w:gridSpan w:val="2"/>
            <w:tcBorders>
              <w:top w:val="single" w:sz="4"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164</w:t>
            </w:r>
          </w:p>
        </w:tc>
        <w:tc>
          <w:tcPr>
            <w:tcW w:w="1333" w:type="dxa"/>
            <w:gridSpan w:val="2"/>
            <w:tcBorders>
              <w:top w:val="single" w:sz="4"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-22</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Empresas en dificultad y ayudas a la inversión</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6.804</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4.958</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-27</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Programa “Aval Navarra”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3.679</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2.940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-20</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C.A. Osasuna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11.212</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11.212</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 xml:space="preserve">NDO. Circuito de los Arcos </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22.885</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20.192</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-12</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UPNA-Programa Iberus</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786</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-100</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Sodena-Banco Europeo de Inversiones</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102.953</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102.957</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w:t>
            </w:r>
          </w:p>
        </w:tc>
      </w:tr>
      <w:tr w:rsidR="00784E54" w:rsidRPr="00784E54" w:rsidTr="00275E02">
        <w:trPr>
          <w:gridAfter w:val="1"/>
          <w:wAfter w:w="14" w:type="dxa"/>
          <w:trHeight w:val="198"/>
          <w:jc w:val="center"/>
        </w:trPr>
        <w:tc>
          <w:tcPr>
            <w:tcW w:w="4869" w:type="dxa"/>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CRANA</w:t>
            </w:r>
          </w:p>
        </w:tc>
        <w:tc>
          <w:tcPr>
            <w:tcW w:w="1333" w:type="dxa"/>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500</w:t>
            </w:r>
          </w:p>
        </w:tc>
        <w:tc>
          <w:tcPr>
            <w:tcW w:w="1333" w:type="dxa"/>
            <w:gridSpan w:val="2"/>
            <w:tcBorders>
              <w:top w:val="single" w:sz="2" w:space="0" w:color="000000"/>
              <w:bottom w:val="single" w:sz="2"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0</w:t>
            </w:r>
          </w:p>
        </w:tc>
        <w:tc>
          <w:tcPr>
            <w:tcW w:w="1333" w:type="dxa"/>
            <w:gridSpan w:val="2"/>
            <w:tcBorders>
              <w:top w:val="single" w:sz="2" w:space="0" w:color="000000"/>
              <w:bottom w:val="single" w:sz="2"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-100</w:t>
            </w:r>
          </w:p>
        </w:tc>
      </w:tr>
      <w:tr w:rsidR="00784E54" w:rsidRPr="00784E54" w:rsidTr="00275E02">
        <w:trPr>
          <w:gridAfter w:val="1"/>
          <w:wAfter w:w="14" w:type="dxa"/>
          <w:trHeight w:val="198"/>
          <w:jc w:val="center"/>
        </w:trPr>
        <w:tc>
          <w:tcPr>
            <w:tcW w:w="4869" w:type="dxa"/>
            <w:tcBorders>
              <w:top w:val="single" w:sz="2" w:space="0" w:color="000000"/>
              <w:bottom w:val="single" w:sz="4" w:space="0" w:color="000000"/>
            </w:tcBorders>
            <w:noWrap/>
            <w:vAlign w:val="center"/>
          </w:tcPr>
          <w:p w:rsidR="00784E54" w:rsidRPr="00784E54" w:rsidRDefault="00784E54" w:rsidP="00961CC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784E54">
              <w:rPr>
                <w:rFonts w:ascii="Arial Narrow" w:hAnsi="Arial Narrow"/>
                <w:spacing w:val="6"/>
              </w:rPr>
              <w:t>Confort letters C</w:t>
            </w:r>
            <w:r w:rsidR="00961CC6">
              <w:rPr>
                <w:rFonts w:ascii="Arial Narrow" w:hAnsi="Arial Narrow"/>
                <w:spacing w:val="6"/>
              </w:rPr>
              <w:t>iudad Agroalimentaria de Tudela</w:t>
            </w:r>
            <w:r w:rsidR="00330738">
              <w:rPr>
                <w:rFonts w:ascii="Arial Narrow" w:hAnsi="Arial Narrow"/>
                <w:spacing w:val="6"/>
              </w:rPr>
              <w:t xml:space="preserve"> (CAT)</w:t>
            </w:r>
          </w:p>
        </w:tc>
        <w:tc>
          <w:tcPr>
            <w:tcW w:w="1333" w:type="dxa"/>
            <w:tcBorders>
              <w:top w:val="single" w:sz="2" w:space="0" w:color="000000"/>
              <w:bottom w:val="single" w:sz="4"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30.600</w:t>
            </w:r>
          </w:p>
        </w:tc>
        <w:tc>
          <w:tcPr>
            <w:tcW w:w="1333" w:type="dxa"/>
            <w:gridSpan w:val="2"/>
            <w:tcBorders>
              <w:top w:val="single" w:sz="2" w:space="0" w:color="000000"/>
              <w:bottom w:val="single" w:sz="4" w:space="0" w:color="000000"/>
            </w:tcBorders>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21.100</w:t>
            </w:r>
          </w:p>
        </w:tc>
        <w:tc>
          <w:tcPr>
            <w:tcW w:w="1333" w:type="dxa"/>
            <w:gridSpan w:val="2"/>
            <w:tcBorders>
              <w:top w:val="single" w:sz="2" w:space="0" w:color="000000"/>
              <w:bottom w:val="single" w:sz="4" w:space="0" w:color="000000"/>
            </w:tcBorders>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84E54">
              <w:rPr>
                <w:rFonts w:ascii="Arial Narrow" w:hAnsi="Arial Narrow"/>
                <w:spacing w:val="6"/>
              </w:rPr>
              <w:t>-31</w:t>
            </w:r>
          </w:p>
        </w:tc>
      </w:tr>
      <w:tr w:rsidR="00784E54" w:rsidRPr="00784E54" w:rsidTr="00275E02">
        <w:trPr>
          <w:trHeight w:val="255"/>
          <w:jc w:val="center"/>
        </w:trPr>
        <w:tc>
          <w:tcPr>
            <w:tcW w:w="4869" w:type="dxa"/>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84E54">
              <w:rPr>
                <w:rFonts w:ascii="Arial" w:hAnsi="Arial"/>
                <w:spacing w:val="6"/>
                <w:sz w:val="18"/>
                <w:szCs w:val="24"/>
              </w:rPr>
              <w:t>Total</w:t>
            </w:r>
          </w:p>
        </w:tc>
        <w:tc>
          <w:tcPr>
            <w:tcW w:w="1361"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179.628</w:t>
            </w:r>
          </w:p>
        </w:tc>
        <w:tc>
          <w:tcPr>
            <w:tcW w:w="1361" w:type="dxa"/>
            <w:gridSpan w:val="2"/>
            <w:tcBorders>
              <w:top w:val="single" w:sz="4" w:space="0" w:color="000000"/>
              <w:bottom w:val="single" w:sz="4" w:space="0" w:color="000000"/>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163.523</w:t>
            </w:r>
          </w:p>
        </w:tc>
        <w:tc>
          <w:tcPr>
            <w:tcW w:w="1291" w:type="dxa"/>
            <w:gridSpan w:val="2"/>
            <w:tcBorders>
              <w:top w:val="single" w:sz="4" w:space="0" w:color="000000"/>
              <w:bottom w:val="single" w:sz="4" w:space="0" w:color="000000"/>
            </w:tcBorders>
            <w:shd w:val="clear" w:color="auto" w:fill="8DB3E2" w:themeFill="text2" w:themeFillTint="66"/>
            <w:noWrap/>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84E54">
              <w:rPr>
                <w:rFonts w:ascii="Arial" w:hAnsi="Arial"/>
                <w:spacing w:val="6"/>
                <w:sz w:val="18"/>
                <w:szCs w:val="24"/>
              </w:rPr>
              <w:t>-9</w:t>
            </w:r>
          </w:p>
        </w:tc>
      </w:tr>
    </w:tbl>
    <w:p w:rsidR="00784E54" w:rsidRPr="00784E54" w:rsidRDefault="00784E54" w:rsidP="00E54E8B">
      <w:pPr>
        <w:pStyle w:val="texto"/>
        <w:spacing w:before="240"/>
        <w:rPr>
          <w:lang w:val="es-ES"/>
        </w:rPr>
      </w:pPr>
      <w:r w:rsidRPr="00784E54">
        <w:rPr>
          <w:lang w:val="es-ES"/>
        </w:rPr>
        <w:t>El saldo vivo total ha disminuido un nueve por ciento (16,1 millones de e</w:t>
      </w:r>
      <w:r w:rsidRPr="00784E54">
        <w:rPr>
          <w:lang w:val="es-ES"/>
        </w:rPr>
        <w:t>u</w:t>
      </w:r>
      <w:r w:rsidRPr="00784E54">
        <w:rPr>
          <w:lang w:val="es-ES"/>
        </w:rPr>
        <w:t xml:space="preserve">ros) </w:t>
      </w:r>
      <w:r w:rsidR="009D2FB3">
        <w:rPr>
          <w:lang w:val="es-ES"/>
        </w:rPr>
        <w:t xml:space="preserve">destacando los descensos de las confort letters de CAT (9,5 millones de euros), de los relacionados con el Circuito de Los Arcos (2,7 millones), de las empresas en dificultad (1,8 millones) o la cancelación de </w:t>
      </w:r>
      <w:r w:rsidRPr="00784E54">
        <w:rPr>
          <w:lang w:val="es-ES"/>
        </w:rPr>
        <w:t>las operaciones del CRANA y de la UPNA.</w:t>
      </w:r>
    </w:p>
    <w:p w:rsidR="00784E54" w:rsidRPr="00784E54" w:rsidRDefault="00784E54" w:rsidP="00E54E8B">
      <w:pPr>
        <w:pStyle w:val="texto"/>
        <w:rPr>
          <w:lang w:val="es-ES"/>
        </w:rPr>
      </w:pPr>
      <w:r w:rsidRPr="00784E54">
        <w:rPr>
          <w:lang w:val="es-ES"/>
        </w:rPr>
        <w:t>Durante 2016 no se ha avalado ninguna operación nueva ni se ha formaliz</w:t>
      </w:r>
      <w:r w:rsidRPr="00784E54">
        <w:rPr>
          <w:lang w:val="es-ES"/>
        </w:rPr>
        <w:t>a</w:t>
      </w:r>
      <w:r w:rsidRPr="00784E54">
        <w:rPr>
          <w:lang w:val="es-ES"/>
        </w:rPr>
        <w:t>do ninguna carta de compromiso adicional.</w:t>
      </w:r>
    </w:p>
    <w:p w:rsidR="00784E54" w:rsidRPr="00784E54" w:rsidRDefault="00784E54" w:rsidP="00E54E8B">
      <w:pPr>
        <w:pStyle w:val="texto"/>
      </w:pPr>
      <w:r w:rsidRPr="00784E54">
        <w:t>En 2016, el Gobierno de Navarra ha reconocido un gasto por incumplimiento de obligaciones afianzadas de 0,63 millones de euros originados por los incu</w:t>
      </w:r>
      <w:r w:rsidRPr="00784E54">
        <w:t>m</w:t>
      </w:r>
      <w:r w:rsidRPr="00784E54">
        <w:t>plimientos en tres operaciones de dos empresas avaladas.</w:t>
      </w:r>
    </w:p>
    <w:p w:rsidR="00784E54" w:rsidRPr="00784E54" w:rsidRDefault="00784E54" w:rsidP="00E54E8B">
      <w:pPr>
        <w:pStyle w:val="texto"/>
      </w:pPr>
      <w:r w:rsidRPr="00784E54">
        <w:t>El aval a Sodena se constit</w:t>
      </w:r>
      <w:r w:rsidR="009D2FB3">
        <w:t>uyó</w:t>
      </w:r>
      <w:r w:rsidRPr="00784E54">
        <w:t xml:space="preserve"> para garantizar un préstamo de esta sociedad recibido del Banco Europeo de Inversiones y destinado a financiar proyectos de inversión de las pequeñas y medianas empresas en el marco del Plan Moderna. Es un aval sobre el principal (100 millones de euros) así como cualquier suma que Sodena pudiera adeudar al Banco Europeo de Inversiones por cualquier concepto del contrato de financiación (intereses, comisiones, cargas, etc.) en el momento de ser ejecutado el aval. En el resto de avales, la Administración de la Comunidad Foral responde exclusivamente del principal del préstamo.</w:t>
      </w:r>
    </w:p>
    <w:p w:rsidR="00784E54" w:rsidRPr="00784E54" w:rsidRDefault="00784E54" w:rsidP="00E54E8B">
      <w:pPr>
        <w:pStyle w:val="texto"/>
        <w:rPr>
          <w:lang w:val="es-ES"/>
        </w:rPr>
      </w:pPr>
      <w:r w:rsidRPr="00784E54">
        <w:rPr>
          <w:lang w:val="es-ES"/>
        </w:rPr>
        <w:t>La memoria de las Cuentas Generales ha incorporado en este ejercicio 2016 información sobre el estado de avales concedidos.</w:t>
      </w:r>
    </w:p>
    <w:p w:rsidR="00784E54" w:rsidRDefault="00784E54" w:rsidP="00E54E8B">
      <w:pPr>
        <w:pStyle w:val="texto"/>
        <w:rPr>
          <w:lang w:val="es-ES"/>
        </w:rPr>
      </w:pPr>
      <w:r w:rsidRPr="00784E54">
        <w:rPr>
          <w:lang w:val="es-ES"/>
        </w:rPr>
        <w:t xml:space="preserve">No están provisionados todos los riesgos derivados del incumplimiento de las obligaciones avaladas. </w:t>
      </w:r>
    </w:p>
    <w:p w:rsidR="00784E54" w:rsidRPr="00E54E8B" w:rsidRDefault="00784E54" w:rsidP="00880F43">
      <w:pPr>
        <w:spacing w:before="240" w:after="120"/>
        <w:ind w:firstLine="284"/>
        <w:rPr>
          <w:rFonts w:ascii="Arial" w:hAnsi="Arial"/>
          <w:i/>
          <w:iCs/>
          <w:color w:val="000000"/>
          <w:spacing w:val="10"/>
          <w:kern w:val="28"/>
          <w:sz w:val="25"/>
          <w:szCs w:val="26"/>
          <w:lang w:val="es-ES"/>
        </w:rPr>
      </w:pPr>
      <w:r w:rsidRPr="00E54E8B">
        <w:rPr>
          <w:rFonts w:ascii="Arial" w:hAnsi="Arial"/>
          <w:i/>
          <w:iCs/>
          <w:color w:val="000000"/>
          <w:spacing w:val="10"/>
          <w:kern w:val="28"/>
          <w:sz w:val="25"/>
          <w:szCs w:val="26"/>
          <w:lang w:val="es-ES"/>
        </w:rPr>
        <w:t>Revisión de una muestra de gastos en activos financieros</w:t>
      </w:r>
    </w:p>
    <w:p w:rsidR="00784E54" w:rsidRPr="00784E54" w:rsidRDefault="00784E54" w:rsidP="00E54E8B">
      <w:pPr>
        <w:pStyle w:val="texto"/>
      </w:pPr>
      <w:r w:rsidRPr="00784E54">
        <w:t xml:space="preserve">Hemos revisado la ampliación de capital que realizó el Gobierno de Navarra por importe de 9,5 millones de euros en la sociedad pública CPEN motivada </w:t>
      </w:r>
      <w:r w:rsidRPr="00784E54">
        <w:lastRenderedPageBreak/>
        <w:t>por un acuerdo adoptado en 2014 para llevar a cabo el Plan de Refinanciación de las deudas financieras que tenían SODENA y CAT que implicaba un gasto presupuestario en 201</w:t>
      </w:r>
      <w:r w:rsidR="00880F43">
        <w:t>5</w:t>
      </w:r>
      <w:r w:rsidRPr="00784E54">
        <w:t xml:space="preserve"> de 11,4 millones, 9,5 en 201</w:t>
      </w:r>
      <w:r w:rsidR="00880F43">
        <w:t>6</w:t>
      </w:r>
      <w:r w:rsidRPr="00784E54">
        <w:t xml:space="preserve"> y 5,7 en 2017.</w:t>
      </w:r>
    </w:p>
    <w:p w:rsidR="00784E54" w:rsidRPr="00784E54" w:rsidRDefault="00784E54" w:rsidP="00E54E8B">
      <w:pPr>
        <w:pStyle w:val="texto"/>
      </w:pPr>
      <w:r w:rsidRPr="00784E54">
        <w:t>Además, hemos fiscalizado la ejecución del aval que supuso mayor gasto p</w:t>
      </w:r>
      <w:r w:rsidRPr="00784E54">
        <w:t>a</w:t>
      </w:r>
      <w:r w:rsidRPr="00784E54">
        <w:t xml:space="preserve">ra la Administración de la Comunidad Foral de Navarra que ascendió a 296.774 euros (47 por ciento del total). </w:t>
      </w:r>
    </w:p>
    <w:p w:rsidR="00784E54" w:rsidRPr="00784E54" w:rsidRDefault="00784E54" w:rsidP="00E54E8B">
      <w:pPr>
        <w:pStyle w:val="texto"/>
      </w:pPr>
      <w:r w:rsidRPr="00784E54">
        <w:t>De la revisión de estas operaciones podemos concluir que su tramitación y contabilización fueron adecuadas.</w:t>
      </w:r>
    </w:p>
    <w:p w:rsidR="00784E54" w:rsidRPr="00784E54" w:rsidRDefault="00784E54" w:rsidP="00E54E8B">
      <w:pPr>
        <w:pStyle w:val="texto"/>
        <w:rPr>
          <w:i/>
          <w:lang w:val="es-ES"/>
        </w:rPr>
      </w:pPr>
      <w:r w:rsidRPr="00784E54">
        <w:rPr>
          <w:i/>
          <w:lang w:val="es-ES"/>
        </w:rPr>
        <w:t>Recomendamos p</w:t>
      </w:r>
      <w:r w:rsidRPr="00784E54">
        <w:rPr>
          <w:rFonts w:cs="Arial"/>
          <w:i/>
        </w:rPr>
        <w:t>rovisionar todos los riesgos asociados al incumplimiento de las obligaciones avaladas.</w:t>
      </w:r>
    </w:p>
    <w:p w:rsidR="00784E54" w:rsidRPr="00EE34CE" w:rsidRDefault="00EE34CE" w:rsidP="00E54E8B">
      <w:pPr>
        <w:pStyle w:val="atitulo2"/>
        <w:spacing w:before="240"/>
        <w:rPr>
          <w:bCs w:val="0"/>
          <w:iCs w:val="0"/>
          <w:lang w:val="es-ES"/>
        </w:rPr>
      </w:pPr>
      <w:bookmarkStart w:id="88" w:name="_Toc494270395"/>
      <w:bookmarkStart w:id="89" w:name="_Toc498515804"/>
      <w:r>
        <w:rPr>
          <w:bCs w:val="0"/>
          <w:iCs w:val="0"/>
          <w:lang w:val="es-ES"/>
        </w:rPr>
        <w:t>IV</w:t>
      </w:r>
      <w:r w:rsidR="00784E54" w:rsidRPr="00EE34CE">
        <w:rPr>
          <w:bCs w:val="0"/>
          <w:iCs w:val="0"/>
          <w:lang w:val="es-ES"/>
        </w:rPr>
        <w:t>.1</w:t>
      </w:r>
      <w:r w:rsidR="005C0FDA">
        <w:rPr>
          <w:bCs w:val="0"/>
          <w:iCs w:val="0"/>
          <w:lang w:val="es-ES"/>
        </w:rPr>
        <w:t>5</w:t>
      </w:r>
      <w:r w:rsidR="00784E54" w:rsidRPr="00EE34CE">
        <w:rPr>
          <w:bCs w:val="0"/>
          <w:iCs w:val="0"/>
          <w:lang w:val="es-ES"/>
        </w:rPr>
        <w:t>. Sociedades Públicas y Fundaciones Públicas</w:t>
      </w:r>
      <w:bookmarkEnd w:id="88"/>
      <w:bookmarkEnd w:id="89"/>
    </w:p>
    <w:p w:rsidR="00784E54" w:rsidRPr="00E54E8B" w:rsidRDefault="00784E54" w:rsidP="00E54E8B">
      <w:pPr>
        <w:spacing w:before="240" w:after="240"/>
        <w:ind w:firstLine="284"/>
        <w:rPr>
          <w:rFonts w:ascii="Arial" w:hAnsi="Arial"/>
          <w:i/>
          <w:iCs/>
          <w:color w:val="000000"/>
          <w:spacing w:val="10"/>
          <w:kern w:val="28"/>
          <w:sz w:val="25"/>
          <w:szCs w:val="26"/>
          <w:lang w:val="es-ES"/>
        </w:rPr>
      </w:pPr>
      <w:r w:rsidRPr="00E54E8B">
        <w:rPr>
          <w:rFonts w:ascii="Arial" w:hAnsi="Arial"/>
          <w:i/>
          <w:iCs/>
          <w:color w:val="000000"/>
          <w:spacing w:val="10"/>
          <w:kern w:val="28"/>
          <w:sz w:val="25"/>
          <w:szCs w:val="26"/>
          <w:lang w:val="es-ES"/>
        </w:rPr>
        <w:t>Sociedades Públicas</w:t>
      </w:r>
    </w:p>
    <w:p w:rsidR="00784E54" w:rsidRPr="00784E54" w:rsidRDefault="00784E54" w:rsidP="00E54E8B">
      <w:pPr>
        <w:pStyle w:val="texto"/>
        <w:rPr>
          <w:lang w:val="es-ES"/>
        </w:rPr>
      </w:pPr>
      <w:r w:rsidRPr="00784E54">
        <w:rPr>
          <w:lang w:val="es-ES"/>
        </w:rPr>
        <w:t>A continuación se presentan datos sobre las sociedades públicas de la Com</w:t>
      </w:r>
      <w:r w:rsidRPr="00784E54">
        <w:rPr>
          <w:lang w:val="es-ES"/>
        </w:rPr>
        <w:t>u</w:t>
      </w:r>
      <w:r w:rsidRPr="00784E54">
        <w:rPr>
          <w:lang w:val="es-ES"/>
        </w:rPr>
        <w:t>nidad Foral, según información</w:t>
      </w:r>
      <w:r w:rsidR="00880F43">
        <w:rPr>
          <w:lang w:val="es-ES"/>
        </w:rPr>
        <w:t xml:space="preserve"> contenida en</w:t>
      </w:r>
      <w:r w:rsidRPr="00784E54">
        <w:rPr>
          <w:lang w:val="es-ES"/>
        </w:rPr>
        <w:t xml:space="preserve"> la memoria de la</w:t>
      </w:r>
      <w:r w:rsidR="00880F43">
        <w:rPr>
          <w:lang w:val="es-ES"/>
        </w:rPr>
        <w:t>s C</w:t>
      </w:r>
      <w:r w:rsidRPr="00784E54">
        <w:rPr>
          <w:lang w:val="es-ES"/>
        </w:rPr>
        <w:t>uenta</w:t>
      </w:r>
      <w:r w:rsidR="00880F43">
        <w:rPr>
          <w:lang w:val="es-ES"/>
        </w:rPr>
        <w:t>s G</w:t>
      </w:r>
      <w:r w:rsidRPr="00784E54">
        <w:rPr>
          <w:lang w:val="es-ES"/>
        </w:rPr>
        <w:t>en</w:t>
      </w:r>
      <w:r w:rsidRPr="00784E54">
        <w:rPr>
          <w:lang w:val="es-ES"/>
        </w:rPr>
        <w:t>e</w:t>
      </w:r>
      <w:r w:rsidRPr="00784E54">
        <w:rPr>
          <w:lang w:val="es-ES"/>
        </w:rPr>
        <w:t>ral</w:t>
      </w:r>
      <w:r w:rsidR="00880F43">
        <w:rPr>
          <w:lang w:val="es-ES"/>
        </w:rPr>
        <w:t>es</w:t>
      </w:r>
      <w:r w:rsidRPr="00784E54">
        <w:rPr>
          <w:lang w:val="es-ES"/>
        </w:rPr>
        <w:t>:</w:t>
      </w:r>
    </w:p>
    <w:p w:rsidR="00784E54" w:rsidRPr="00CF254F" w:rsidRDefault="00784E54" w:rsidP="00CF254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784E54">
        <w:rPr>
          <w:rFonts w:cs="Arial"/>
          <w:spacing w:val="6"/>
          <w:sz w:val="26"/>
          <w:szCs w:val="24"/>
        </w:rPr>
        <w:tab/>
      </w:r>
      <w:r w:rsidRPr="00CF254F">
        <w:rPr>
          <w:rFonts w:ascii="Arial" w:hAnsi="Arial"/>
          <w:spacing w:val="6"/>
          <w:sz w:val="17"/>
          <w:szCs w:val="17"/>
          <w:lang w:val="es-ES"/>
        </w:rPr>
        <w:t>(en miles de euros)</w:t>
      </w:r>
    </w:p>
    <w:tbl>
      <w:tblPr>
        <w:tblW w:w="8855" w:type="dxa"/>
        <w:jc w:val="center"/>
        <w:tblInd w:w="-68" w:type="dxa"/>
        <w:tblLayout w:type="fixed"/>
        <w:tblCellMar>
          <w:left w:w="80" w:type="dxa"/>
          <w:right w:w="80" w:type="dxa"/>
        </w:tblCellMar>
        <w:tblLook w:val="04A0" w:firstRow="1" w:lastRow="0" w:firstColumn="1" w:lastColumn="0" w:noHBand="0" w:noVBand="1"/>
      </w:tblPr>
      <w:tblGrid>
        <w:gridCol w:w="2382"/>
        <w:gridCol w:w="1134"/>
        <w:gridCol w:w="1396"/>
        <w:gridCol w:w="1519"/>
        <w:gridCol w:w="1214"/>
        <w:gridCol w:w="1210"/>
      </w:tblGrid>
      <w:tr w:rsidR="00784E54" w:rsidRPr="00784E54" w:rsidTr="009C04F5">
        <w:trPr>
          <w:trHeight w:val="198"/>
          <w:jc w:val="center"/>
        </w:trPr>
        <w:tc>
          <w:tcPr>
            <w:tcW w:w="2382"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84E54">
              <w:rPr>
                <w:rFonts w:ascii="Arial" w:hAnsi="Arial" w:cs="Arial"/>
                <w:spacing w:val="6"/>
                <w:sz w:val="16"/>
                <w:szCs w:val="16"/>
              </w:rPr>
              <w:t>Sociedad</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 xml:space="preserve">Subvenciones </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Admón.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Endeudamiento largo plazo (2)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Patrimonio</w:t>
            </w:r>
          </w:p>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 xml:space="preserve"> neto</w:t>
            </w:r>
          </w:p>
        </w:tc>
        <w:tc>
          <w:tcPr>
            <w:tcW w:w="1210"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Nº medio de empleados</w:t>
            </w:r>
          </w:p>
        </w:tc>
      </w:tr>
      <w:tr w:rsidR="00784E54" w:rsidRPr="00784E54" w:rsidTr="009C04F5">
        <w:trPr>
          <w:trHeight w:val="198"/>
          <w:jc w:val="center"/>
        </w:trPr>
        <w:tc>
          <w:tcPr>
            <w:tcW w:w="2382"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CEIN</w:t>
            </w:r>
          </w:p>
        </w:tc>
        <w:tc>
          <w:tcPr>
            <w:tcW w:w="1134"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-80,98</w:t>
            </w:r>
          </w:p>
        </w:tc>
        <w:tc>
          <w:tcPr>
            <w:tcW w:w="1396"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952,65</w:t>
            </w:r>
          </w:p>
        </w:tc>
        <w:tc>
          <w:tcPr>
            <w:tcW w:w="1519"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18,70</w:t>
            </w:r>
          </w:p>
        </w:tc>
        <w:tc>
          <w:tcPr>
            <w:tcW w:w="1214"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699,09</w:t>
            </w:r>
          </w:p>
        </w:tc>
        <w:tc>
          <w:tcPr>
            <w:tcW w:w="1210" w:type="dxa"/>
            <w:tcBorders>
              <w:top w:val="single" w:sz="4"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CNAI</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-150,42</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43,76</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26</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CAT</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-1.260,24</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71,40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31.865,49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GAN</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-1.897,30</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1.030,06</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19,35</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3.250,19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98</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INTIA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-885,24</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5.054,53</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14,13</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643,80</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193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Nasertic</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422,16</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7.628,50</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91</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02702D"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Nasuvinsa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253.61</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13.768,17</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25.305,60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203.674,78</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lang w:val="en-US" w:eastAsia="es-ES"/>
              </w:rPr>
            </w:pPr>
            <w:r w:rsidRPr="00784E54">
              <w:rPr>
                <w:rFonts w:ascii="Arial Narrow" w:hAnsi="Arial Narrow" w:cs="Arial"/>
                <w:sz w:val="18"/>
                <w:szCs w:val="18"/>
                <w:lang w:val="en-US" w:eastAsia="es-ES"/>
              </w:rPr>
              <w:t>Natural Climate Systems,S.A.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-19,24</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558,90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60,92</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NICDO</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-4.403,63</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54,35</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18.041,15</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62.908,06</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32</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NILSA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44,31</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901,93</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36</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Potasas de Subiza, S.A.U.</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590,87</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1.948,34</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Salinas de Navarra, S.A.</w:t>
            </w:r>
          </w:p>
        </w:tc>
        <w:tc>
          <w:tcPr>
            <w:tcW w:w="113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2.112,60</w:t>
            </w:r>
          </w:p>
        </w:tc>
        <w:tc>
          <w:tcPr>
            <w:tcW w:w="1396"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25.211,11</w:t>
            </w:r>
          </w:p>
        </w:tc>
        <w:tc>
          <w:tcPr>
            <w:tcW w:w="1210" w:type="dxa"/>
            <w:tcBorders>
              <w:top w:val="single" w:sz="2" w:space="0" w:color="auto"/>
              <w:left w:val="nil"/>
              <w:bottom w:val="single" w:sz="2" w:space="0" w:color="auto"/>
              <w:right w:val="nil"/>
            </w:tcBorders>
            <w:shd w:val="clear" w:color="auto" w:fill="auto"/>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57</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Sodena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-4.395,87</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629,17</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87.507,24</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53.826,73</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23</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n-US" w:eastAsia="es-ES"/>
              </w:rPr>
            </w:pPr>
            <w:r w:rsidRPr="00784E54">
              <w:rPr>
                <w:rFonts w:ascii="Arial Narrow" w:hAnsi="Arial Narrow" w:cs="Arial"/>
                <w:sz w:val="18"/>
                <w:szCs w:val="18"/>
                <w:lang w:val="en-US" w:eastAsia="es-ES"/>
              </w:rPr>
              <w:t>Start Up Capital Navarra, S.A.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n-US" w:eastAsia="es-ES"/>
              </w:rPr>
            </w:pPr>
            <w:r w:rsidRPr="00784E54">
              <w:rPr>
                <w:rFonts w:ascii="Arial Narrow" w:hAnsi="Arial Narrow" w:cs="Arial"/>
                <w:sz w:val="18"/>
                <w:szCs w:val="18"/>
                <w:lang w:val="en-US" w:eastAsia="es-ES"/>
              </w:rPr>
              <w:t>102,17</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1.316,07</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Tracasa</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89,51</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816,98</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9.124,36</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167</w:t>
            </w:r>
          </w:p>
        </w:tc>
      </w:tr>
      <w:tr w:rsidR="00784E54" w:rsidRPr="00784E54" w:rsidTr="009C04F5">
        <w:trPr>
          <w:trHeight w:val="198"/>
          <w:jc w:val="center"/>
        </w:trPr>
        <w:tc>
          <w:tcPr>
            <w:tcW w:w="2382" w:type="dxa"/>
            <w:tcBorders>
              <w:top w:val="single" w:sz="2" w:space="0" w:color="auto"/>
              <w:left w:val="nil"/>
              <w:bottom w:val="single" w:sz="2" w:space="0" w:color="auto"/>
              <w:right w:val="nil"/>
            </w:tcBorders>
            <w:vAlign w:val="center"/>
          </w:tcPr>
          <w:p w:rsidR="00784E54" w:rsidRPr="00784E54" w:rsidRDefault="0002702D"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Tracasa</w:t>
            </w:r>
            <w:r w:rsidR="00784E54" w:rsidRPr="00784E54">
              <w:rPr>
                <w:rFonts w:ascii="Arial Narrow" w:hAnsi="Arial Narrow" w:cs="Arial"/>
                <w:sz w:val="18"/>
                <w:szCs w:val="18"/>
                <w:lang w:val="es-ES" w:eastAsia="es-ES"/>
              </w:rPr>
              <w:t xml:space="preserve"> Instrumental</w:t>
            </w:r>
          </w:p>
        </w:tc>
        <w:tc>
          <w:tcPr>
            <w:tcW w:w="113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383,99</w:t>
            </w:r>
          </w:p>
        </w:tc>
        <w:tc>
          <w:tcPr>
            <w:tcW w:w="1396"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31.405,79</w:t>
            </w:r>
          </w:p>
        </w:tc>
        <w:tc>
          <w:tcPr>
            <w:tcW w:w="1210" w:type="dxa"/>
            <w:tcBorders>
              <w:top w:val="single" w:sz="2" w:space="0" w:color="auto"/>
              <w:left w:val="nil"/>
              <w:bottom w:val="single" w:sz="2"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265</w:t>
            </w:r>
          </w:p>
        </w:tc>
      </w:tr>
      <w:tr w:rsidR="00784E54" w:rsidRPr="00784E54" w:rsidTr="009C04F5">
        <w:trPr>
          <w:trHeight w:val="198"/>
          <w:jc w:val="center"/>
        </w:trPr>
        <w:tc>
          <w:tcPr>
            <w:tcW w:w="2382"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left"/>
              <w:rPr>
                <w:rFonts w:ascii="Arial Narrow" w:hAnsi="Arial Narrow" w:cs="Arial"/>
                <w:sz w:val="18"/>
                <w:szCs w:val="18"/>
                <w:lang w:val="es-ES" w:eastAsia="es-ES"/>
              </w:rPr>
            </w:pPr>
            <w:r w:rsidRPr="00784E54">
              <w:rPr>
                <w:rFonts w:ascii="Arial Narrow" w:hAnsi="Arial Narrow" w:cs="Arial"/>
                <w:sz w:val="18"/>
                <w:szCs w:val="18"/>
                <w:lang w:val="es-ES" w:eastAsia="es-ES"/>
              </w:rPr>
              <w:t>CPEN</w:t>
            </w:r>
          </w:p>
        </w:tc>
        <w:tc>
          <w:tcPr>
            <w:tcW w:w="1134"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-11.803,46</w:t>
            </w:r>
          </w:p>
        </w:tc>
        <w:tc>
          <w:tcPr>
            <w:tcW w:w="1396"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519"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0</w:t>
            </w:r>
          </w:p>
        </w:tc>
        <w:tc>
          <w:tcPr>
            <w:tcW w:w="1214"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453.048,13</w:t>
            </w:r>
          </w:p>
        </w:tc>
        <w:tc>
          <w:tcPr>
            <w:tcW w:w="1210" w:type="dxa"/>
            <w:tcBorders>
              <w:top w:val="single" w:sz="2" w:space="0" w:color="auto"/>
              <w:left w:val="nil"/>
              <w:bottom w:val="single" w:sz="4" w:space="0" w:color="auto"/>
              <w:right w:val="nil"/>
            </w:tcBorders>
            <w:vAlign w:val="center"/>
          </w:tcPr>
          <w:p w:rsidR="00784E54" w:rsidRPr="00784E54" w:rsidRDefault="00784E54" w:rsidP="00784E54">
            <w:pPr>
              <w:spacing w:after="0"/>
              <w:ind w:firstLine="0"/>
              <w:jc w:val="right"/>
              <w:rPr>
                <w:rFonts w:ascii="Arial Narrow" w:hAnsi="Arial Narrow" w:cs="Arial"/>
                <w:sz w:val="18"/>
                <w:szCs w:val="18"/>
                <w:lang w:val="es-ES" w:eastAsia="es-ES"/>
              </w:rPr>
            </w:pPr>
            <w:r w:rsidRPr="00784E54">
              <w:rPr>
                <w:rFonts w:ascii="Arial Narrow" w:hAnsi="Arial Narrow" w:cs="Arial"/>
                <w:sz w:val="18"/>
                <w:szCs w:val="18"/>
                <w:lang w:val="es-ES" w:eastAsia="es-ES"/>
              </w:rPr>
              <w:t>10</w:t>
            </w:r>
          </w:p>
        </w:tc>
      </w:tr>
      <w:tr w:rsidR="00784E54" w:rsidRPr="00784E54" w:rsidTr="009C04F5">
        <w:trPr>
          <w:trHeight w:val="255"/>
          <w:jc w:val="center"/>
        </w:trPr>
        <w:tc>
          <w:tcPr>
            <w:tcW w:w="2382"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84E54">
              <w:rPr>
                <w:rFonts w:ascii="Arial" w:hAnsi="Arial" w:cs="Arial"/>
                <w:spacing w:val="6"/>
                <w:sz w:val="16"/>
                <w:szCs w:val="16"/>
              </w:rPr>
              <w:t>Total (1)</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-20.941,47</w:t>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21.448,93</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132.397,76</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887.557,05</w:t>
            </w:r>
          </w:p>
        </w:tc>
        <w:tc>
          <w:tcPr>
            <w:tcW w:w="1210" w:type="dxa"/>
            <w:tcBorders>
              <w:top w:val="single" w:sz="4" w:space="0" w:color="auto"/>
              <w:left w:val="nil"/>
              <w:bottom w:val="single" w:sz="4" w:space="0" w:color="auto"/>
              <w:right w:val="nil"/>
            </w:tcBorders>
            <w:shd w:val="clear" w:color="auto" w:fill="8DB3E2" w:themeFill="text2" w:themeFillTint="66"/>
            <w:vAlign w:val="center"/>
          </w:tcPr>
          <w:p w:rsidR="00784E54" w:rsidRPr="00784E54" w:rsidRDefault="00784E54"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84E54">
              <w:rPr>
                <w:rFonts w:ascii="Arial" w:hAnsi="Arial" w:cs="Arial"/>
                <w:spacing w:val="6"/>
                <w:sz w:val="16"/>
                <w:szCs w:val="16"/>
              </w:rPr>
              <w:t>1.115</w:t>
            </w:r>
            <w:r w:rsidRPr="00784E54">
              <w:rPr>
                <w:rFonts w:ascii="Arial" w:hAnsi="Arial" w:cs="Arial"/>
                <w:spacing w:val="6"/>
                <w:sz w:val="16"/>
                <w:szCs w:val="16"/>
              </w:rPr>
              <w:fldChar w:fldCharType="begin"/>
            </w:r>
            <w:r w:rsidRPr="00784E54">
              <w:rPr>
                <w:rFonts w:ascii="Arial" w:hAnsi="Arial" w:cs="Arial"/>
                <w:spacing w:val="6"/>
                <w:sz w:val="16"/>
                <w:szCs w:val="16"/>
              </w:rPr>
              <w:instrText xml:space="preserve"> =SUM(ABOVE) </w:instrText>
            </w:r>
            <w:r w:rsidRPr="00784E54">
              <w:rPr>
                <w:rFonts w:ascii="Arial" w:hAnsi="Arial" w:cs="Arial"/>
                <w:spacing w:val="6"/>
                <w:sz w:val="16"/>
                <w:szCs w:val="16"/>
              </w:rPr>
              <w:fldChar w:fldCharType="end"/>
            </w:r>
          </w:p>
        </w:tc>
      </w:tr>
    </w:tbl>
    <w:p w:rsidR="00784E54" w:rsidRPr="009C04F5" w:rsidRDefault="00784E54" w:rsidP="00664032">
      <w:pPr>
        <w:numPr>
          <w:ilvl w:val="0"/>
          <w:numId w:val="4"/>
        </w:numPr>
        <w:tabs>
          <w:tab w:val="left" w:pos="-426"/>
          <w:tab w:val="center" w:pos="280"/>
          <w:tab w:val="center" w:pos="5103"/>
          <w:tab w:val="center" w:pos="6237"/>
          <w:tab w:val="center" w:pos="7371"/>
        </w:tabs>
        <w:spacing w:before="60" w:after="0"/>
        <w:ind w:left="-28" w:right="28" w:firstLine="28"/>
        <w:rPr>
          <w:rFonts w:ascii="Arial" w:hAnsi="Arial" w:cs="Arial"/>
          <w:spacing w:val="6"/>
          <w:sz w:val="16"/>
          <w:szCs w:val="16"/>
        </w:rPr>
      </w:pPr>
      <w:r w:rsidRPr="009C04F5">
        <w:rPr>
          <w:rFonts w:ascii="Arial" w:hAnsi="Arial" w:cs="Arial"/>
          <w:spacing w:val="6"/>
          <w:sz w:val="16"/>
          <w:szCs w:val="16"/>
        </w:rPr>
        <w:t>Datos sin consolidar</w:t>
      </w:r>
      <w:r w:rsidR="009C04F5">
        <w:rPr>
          <w:rFonts w:ascii="Arial" w:hAnsi="Arial" w:cs="Arial"/>
          <w:spacing w:val="6"/>
          <w:sz w:val="16"/>
          <w:szCs w:val="16"/>
        </w:rPr>
        <w:t>.</w:t>
      </w:r>
    </w:p>
    <w:p w:rsidR="00784E54" w:rsidRPr="009C04F5" w:rsidRDefault="00784E54" w:rsidP="00664032">
      <w:pPr>
        <w:numPr>
          <w:ilvl w:val="0"/>
          <w:numId w:val="4"/>
        </w:numPr>
        <w:tabs>
          <w:tab w:val="left" w:pos="-426"/>
          <w:tab w:val="center" w:pos="280"/>
          <w:tab w:val="center" w:pos="5103"/>
          <w:tab w:val="center" w:pos="6237"/>
          <w:tab w:val="center" w:pos="7371"/>
        </w:tabs>
        <w:spacing w:after="240"/>
        <w:ind w:left="-28" w:right="28" w:firstLine="28"/>
        <w:rPr>
          <w:rFonts w:ascii="Arial" w:hAnsi="Arial" w:cs="Arial"/>
          <w:spacing w:val="6"/>
          <w:sz w:val="16"/>
          <w:szCs w:val="16"/>
        </w:rPr>
      </w:pPr>
      <w:r w:rsidRPr="009C04F5">
        <w:rPr>
          <w:rFonts w:ascii="Arial" w:hAnsi="Arial" w:cs="Arial"/>
          <w:spacing w:val="6"/>
          <w:sz w:val="16"/>
          <w:szCs w:val="16"/>
        </w:rPr>
        <w:t>En el endeudamiento no se incluyen las deudas con empresas del grupo y asociadas</w:t>
      </w:r>
      <w:r w:rsidR="009C04F5">
        <w:rPr>
          <w:rFonts w:ascii="Arial" w:hAnsi="Arial" w:cs="Arial"/>
          <w:spacing w:val="6"/>
          <w:sz w:val="16"/>
          <w:szCs w:val="16"/>
        </w:rPr>
        <w:t>.</w:t>
      </w:r>
    </w:p>
    <w:p w:rsidR="00784E54" w:rsidRPr="009C04F5" w:rsidRDefault="00784E54" w:rsidP="00CF254F">
      <w:pPr>
        <w:pStyle w:val="texto"/>
        <w:spacing w:after="240"/>
      </w:pPr>
      <w:r w:rsidRPr="009C04F5">
        <w:t>La composición del grupo empresarial de la CPEN a efectos de consolid</w:t>
      </w:r>
      <w:r w:rsidRPr="009C04F5">
        <w:t>a</w:t>
      </w:r>
      <w:r w:rsidRPr="009C04F5">
        <w:t>ción contable es la siguiente:</w:t>
      </w:r>
    </w:p>
    <w:tbl>
      <w:tblPr>
        <w:tblW w:w="8821" w:type="dxa"/>
        <w:jc w:val="center"/>
        <w:tblBorders>
          <w:top w:val="single" w:sz="4" w:space="0" w:color="auto"/>
          <w:bottom w:val="single" w:sz="4" w:space="0" w:color="auto"/>
        </w:tblBorders>
        <w:tblLook w:val="01E0" w:firstRow="1" w:lastRow="1" w:firstColumn="1" w:lastColumn="1" w:noHBand="0" w:noVBand="0"/>
      </w:tblPr>
      <w:tblGrid>
        <w:gridCol w:w="6043"/>
        <w:gridCol w:w="986"/>
        <w:gridCol w:w="1792"/>
      </w:tblGrid>
      <w:tr w:rsidR="00784E54" w:rsidRPr="00784E54" w:rsidTr="009C04F5">
        <w:trPr>
          <w:trHeight w:val="255"/>
          <w:jc w:val="center"/>
        </w:trPr>
        <w:tc>
          <w:tcPr>
            <w:tcW w:w="0" w:type="auto"/>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784E54">
              <w:rPr>
                <w:rFonts w:ascii="Arial" w:hAnsi="Arial" w:cs="Arial"/>
                <w:spacing w:val="6"/>
                <w:sz w:val="18"/>
                <w:szCs w:val="24"/>
              </w:rPr>
              <w:t>Composición Grupo CPEN</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2015</w:t>
            </w:r>
          </w:p>
        </w:tc>
        <w:tc>
          <w:tcPr>
            <w:tcW w:w="1792" w:type="dxa"/>
            <w:tcBorders>
              <w:top w:val="single" w:sz="4" w:space="0" w:color="auto"/>
              <w:left w:val="nil"/>
              <w:bottom w:val="single" w:sz="4" w:space="0" w:color="auto"/>
              <w:right w:val="nil"/>
            </w:tcBorders>
            <w:shd w:val="clear" w:color="auto" w:fill="8DB3E2" w:themeFill="text2" w:themeFillTint="66"/>
            <w:vAlign w:val="center"/>
            <w:hideMark/>
          </w:tcPr>
          <w:p w:rsidR="00784E54" w:rsidRPr="00784E54" w:rsidRDefault="00784E54" w:rsidP="009C0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2016</w:t>
            </w:r>
          </w:p>
        </w:tc>
      </w:tr>
      <w:tr w:rsidR="00784E54" w:rsidRPr="00784E54" w:rsidTr="009C04F5">
        <w:trPr>
          <w:trHeight w:val="198"/>
          <w:jc w:val="center"/>
        </w:trPr>
        <w:tc>
          <w:tcPr>
            <w:tcW w:w="0" w:type="auto"/>
            <w:tcBorders>
              <w:top w:val="single" w:sz="4" w:space="0" w:color="auto"/>
              <w:left w:val="nil"/>
              <w:bottom w:val="single" w:sz="2" w:space="0" w:color="auto"/>
              <w:right w:val="nil"/>
            </w:tcBorders>
            <w:vAlign w:val="center"/>
            <w:hideMark/>
          </w:tcPr>
          <w:p w:rsidR="00784E54" w:rsidRPr="00784E54" w:rsidRDefault="00784E54" w:rsidP="009C04F5">
            <w:pPr>
              <w:spacing w:after="0"/>
              <w:ind w:firstLine="0"/>
              <w:rPr>
                <w:rFonts w:ascii="Arial Narrow" w:hAnsi="Arial Narrow" w:cs="Arial"/>
              </w:rPr>
            </w:pPr>
            <w:r w:rsidRPr="00784E54">
              <w:rPr>
                <w:rFonts w:ascii="Arial Narrow" w:hAnsi="Arial Narrow" w:cs="Arial"/>
              </w:rPr>
              <w:t>Dependientes-Sociedades públicas</w:t>
            </w:r>
          </w:p>
        </w:tc>
        <w:tc>
          <w:tcPr>
            <w:tcW w:w="986" w:type="dxa"/>
            <w:tcBorders>
              <w:top w:val="single" w:sz="4"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16</w:t>
            </w:r>
          </w:p>
        </w:tc>
        <w:tc>
          <w:tcPr>
            <w:tcW w:w="1792" w:type="dxa"/>
            <w:tcBorders>
              <w:top w:val="single" w:sz="4"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17</w:t>
            </w:r>
          </w:p>
        </w:tc>
      </w:tr>
      <w:tr w:rsidR="00784E54" w:rsidRPr="00784E54" w:rsidTr="009C04F5">
        <w:trPr>
          <w:trHeight w:val="198"/>
          <w:jc w:val="center"/>
        </w:trPr>
        <w:tc>
          <w:tcPr>
            <w:tcW w:w="0" w:type="auto"/>
            <w:tcBorders>
              <w:top w:val="single" w:sz="2" w:space="0" w:color="auto"/>
              <w:left w:val="nil"/>
              <w:bottom w:val="single" w:sz="2" w:space="0" w:color="auto"/>
              <w:right w:val="nil"/>
            </w:tcBorders>
            <w:vAlign w:val="center"/>
            <w:hideMark/>
          </w:tcPr>
          <w:p w:rsidR="00784E54" w:rsidRPr="00784E54" w:rsidRDefault="00784E54" w:rsidP="009C04F5">
            <w:pPr>
              <w:spacing w:after="0"/>
              <w:ind w:firstLine="0"/>
              <w:rPr>
                <w:rFonts w:ascii="Arial Narrow" w:hAnsi="Arial Narrow" w:cs="Arial"/>
              </w:rPr>
            </w:pPr>
            <w:r w:rsidRPr="00784E54">
              <w:rPr>
                <w:rFonts w:ascii="Arial Narrow" w:hAnsi="Arial Narrow" w:cs="Arial"/>
              </w:rPr>
              <w:t>Asociadas y Multigrupo</w:t>
            </w:r>
          </w:p>
        </w:tc>
        <w:tc>
          <w:tcPr>
            <w:tcW w:w="986" w:type="dxa"/>
            <w:tcBorders>
              <w:top w:val="single" w:sz="2"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17</w:t>
            </w:r>
          </w:p>
        </w:tc>
        <w:tc>
          <w:tcPr>
            <w:tcW w:w="1792" w:type="dxa"/>
            <w:tcBorders>
              <w:top w:val="single" w:sz="2" w:space="0" w:color="auto"/>
              <w:left w:val="nil"/>
              <w:bottom w:val="single" w:sz="2"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11</w:t>
            </w:r>
          </w:p>
        </w:tc>
      </w:tr>
      <w:tr w:rsidR="00784E54" w:rsidRPr="00784E54" w:rsidTr="009C04F5">
        <w:trPr>
          <w:trHeight w:val="198"/>
          <w:jc w:val="center"/>
        </w:trPr>
        <w:tc>
          <w:tcPr>
            <w:tcW w:w="0" w:type="auto"/>
            <w:tcBorders>
              <w:top w:val="single" w:sz="2" w:space="0" w:color="auto"/>
              <w:left w:val="nil"/>
              <w:bottom w:val="single" w:sz="4" w:space="0" w:color="auto"/>
              <w:right w:val="nil"/>
            </w:tcBorders>
            <w:vAlign w:val="center"/>
            <w:hideMark/>
          </w:tcPr>
          <w:p w:rsidR="00784E54" w:rsidRPr="00784E54" w:rsidRDefault="00784E54" w:rsidP="009C04F5">
            <w:pPr>
              <w:spacing w:after="0"/>
              <w:ind w:firstLine="0"/>
              <w:rPr>
                <w:rFonts w:ascii="Arial Narrow" w:hAnsi="Arial Narrow" w:cs="Arial"/>
              </w:rPr>
            </w:pPr>
            <w:r w:rsidRPr="00784E54">
              <w:rPr>
                <w:rFonts w:ascii="Arial Narrow" w:hAnsi="Arial Narrow" w:cs="Arial"/>
              </w:rPr>
              <w:t>Otras participadas</w:t>
            </w:r>
          </w:p>
        </w:tc>
        <w:tc>
          <w:tcPr>
            <w:tcW w:w="986" w:type="dxa"/>
            <w:tcBorders>
              <w:top w:val="single" w:sz="2" w:space="0" w:color="auto"/>
              <w:left w:val="nil"/>
              <w:bottom w:val="single" w:sz="4"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44</w:t>
            </w:r>
          </w:p>
        </w:tc>
        <w:tc>
          <w:tcPr>
            <w:tcW w:w="1792" w:type="dxa"/>
            <w:tcBorders>
              <w:top w:val="single" w:sz="2" w:space="0" w:color="auto"/>
              <w:left w:val="nil"/>
              <w:bottom w:val="single" w:sz="4" w:space="0" w:color="auto"/>
              <w:right w:val="nil"/>
            </w:tcBorders>
            <w:vAlign w:val="center"/>
            <w:hideMark/>
          </w:tcPr>
          <w:p w:rsidR="00784E54" w:rsidRPr="00784E54" w:rsidRDefault="00784E54" w:rsidP="009C04F5">
            <w:pPr>
              <w:spacing w:after="0"/>
              <w:jc w:val="right"/>
              <w:rPr>
                <w:rFonts w:ascii="Arial Narrow" w:hAnsi="Arial Narrow" w:cs="Arial"/>
              </w:rPr>
            </w:pPr>
            <w:r w:rsidRPr="00784E54">
              <w:rPr>
                <w:rFonts w:ascii="Arial Narrow" w:hAnsi="Arial Narrow" w:cs="Arial"/>
              </w:rPr>
              <w:t>51</w:t>
            </w:r>
          </w:p>
        </w:tc>
      </w:tr>
    </w:tbl>
    <w:p w:rsidR="00784E54" w:rsidRPr="00784E54" w:rsidRDefault="00784E54" w:rsidP="00E54E8B">
      <w:pPr>
        <w:pStyle w:val="texto"/>
        <w:spacing w:before="240"/>
        <w:rPr>
          <w:szCs w:val="26"/>
          <w:lang w:val="es-ES" w:eastAsia="es-ES_tradnl"/>
        </w:rPr>
      </w:pPr>
      <w:r w:rsidRPr="00784E54">
        <w:rPr>
          <w:lang w:val="es-ES"/>
        </w:rPr>
        <w:lastRenderedPageBreak/>
        <w:t>Tal y como viene indicando en anteriores informes esta Cámara, consider</w:t>
      </w:r>
      <w:r w:rsidRPr="00784E54">
        <w:rPr>
          <w:lang w:val="es-ES"/>
        </w:rPr>
        <w:t>a</w:t>
      </w:r>
      <w:r w:rsidRPr="00784E54">
        <w:rPr>
          <w:lang w:val="es-ES"/>
        </w:rPr>
        <w:t>mos que la empresa Parque de la Naturaleza de Navarra</w:t>
      </w:r>
      <w:r w:rsidR="003779FA">
        <w:rPr>
          <w:lang w:val="es-ES"/>
        </w:rPr>
        <w:t xml:space="preserve"> S.A.</w:t>
      </w:r>
      <w:r w:rsidRPr="00784E54">
        <w:rPr>
          <w:lang w:val="es-ES"/>
        </w:rPr>
        <w:t xml:space="preserve"> reúne los requis</w:t>
      </w:r>
      <w:r w:rsidRPr="00784E54">
        <w:rPr>
          <w:lang w:val="es-ES"/>
        </w:rPr>
        <w:t>i</w:t>
      </w:r>
      <w:r w:rsidRPr="00784E54">
        <w:rPr>
          <w:lang w:val="es-ES"/>
        </w:rPr>
        <w:t xml:space="preserve">tos que señala la Ley Foral de Patrimonio de Navarra para ser pública dado que si bien la participación de la CPEN a través de </w:t>
      </w:r>
      <w:r w:rsidR="0002702D" w:rsidRPr="00784E54">
        <w:rPr>
          <w:lang w:val="es-ES"/>
        </w:rPr>
        <w:t>S</w:t>
      </w:r>
      <w:r w:rsidR="0002702D">
        <w:rPr>
          <w:lang w:val="es-ES"/>
        </w:rPr>
        <w:t>odena</w:t>
      </w:r>
      <w:r w:rsidR="0002702D" w:rsidRPr="00784E54">
        <w:rPr>
          <w:lang w:val="es-ES"/>
        </w:rPr>
        <w:t xml:space="preserve"> </w:t>
      </w:r>
      <w:r w:rsidRPr="00784E54">
        <w:rPr>
          <w:lang w:val="es-ES"/>
        </w:rPr>
        <w:t xml:space="preserve">actualmente es del 45 por ciento de su capital, existe un control del grupo por los pactos firmados con el resto de socios y además la empresa </w:t>
      </w:r>
      <w:r w:rsidR="0002702D">
        <w:rPr>
          <w:lang w:val="es-ES"/>
        </w:rPr>
        <w:t>Sodena</w:t>
      </w:r>
      <w:r w:rsidR="003779FA">
        <w:rPr>
          <w:lang w:val="es-ES"/>
        </w:rPr>
        <w:t xml:space="preserve"> </w:t>
      </w:r>
      <w:r w:rsidRPr="00784E54">
        <w:rPr>
          <w:lang w:val="es-ES"/>
        </w:rPr>
        <w:t>es el administrador único de la misma. Es decir, las anteriores circunstancias indican la existencia de una i</w:t>
      </w:r>
      <w:r w:rsidRPr="00784E54">
        <w:rPr>
          <w:lang w:val="es-ES"/>
        </w:rPr>
        <w:t>n</w:t>
      </w:r>
      <w:r w:rsidRPr="00784E54">
        <w:rPr>
          <w:lang w:val="es-ES"/>
        </w:rPr>
        <w:t xml:space="preserve">fluencia dominante e incluso dependencia </w:t>
      </w:r>
      <w:r w:rsidRPr="00784E54">
        <w:rPr>
          <w:szCs w:val="26"/>
          <w:lang w:val="es-ES" w:eastAsia="es-ES_tradnl"/>
        </w:rPr>
        <w:t>y dirección única sobre esa empresa por el grupo empresarial de la CPEN.</w:t>
      </w:r>
    </w:p>
    <w:p w:rsidR="00784E54" w:rsidRPr="00784E54" w:rsidRDefault="00784E54" w:rsidP="00E54E8B">
      <w:pPr>
        <w:pStyle w:val="texto"/>
        <w:rPr>
          <w:szCs w:val="26"/>
          <w:lang w:eastAsia="es-ES_tradnl"/>
        </w:rPr>
      </w:pPr>
      <w:r w:rsidRPr="00784E54">
        <w:rPr>
          <w:lang w:val="es-ES"/>
        </w:rPr>
        <w:t xml:space="preserve">Avala igualmente esta opinión el hecho de que, para la normativa contable, la CPEN consolida la citada sociedad por el método de integración global </w:t>
      </w:r>
      <w:r w:rsidR="00EE60AF">
        <w:rPr>
          <w:lang w:val="es-ES"/>
        </w:rPr>
        <w:t>-</w:t>
      </w:r>
      <w:r w:rsidRPr="00784E54">
        <w:rPr>
          <w:lang w:val="es-ES"/>
        </w:rPr>
        <w:t xml:space="preserve">al igual que el resto de sociedades públicas-, es decir, que incorpora a sus estados contables todos los activos, pasivos, ingresos, gastos, cobros, pagos y demás partidas de la citada sociedad dependiente con sus correspondientes ajustes y eliminaciones. </w:t>
      </w:r>
    </w:p>
    <w:p w:rsidR="00784E54" w:rsidRPr="00784E54" w:rsidRDefault="00784E54" w:rsidP="00E54E8B">
      <w:pPr>
        <w:pStyle w:val="texto"/>
        <w:spacing w:after="240"/>
        <w:rPr>
          <w:rFonts w:ascii="Times New (W1)" w:hAnsi="Times New (W1)"/>
        </w:rPr>
      </w:pPr>
      <w:r w:rsidRPr="00784E54">
        <w:rPr>
          <w:rFonts w:ascii="Times New (W1)" w:hAnsi="Times New (W1)"/>
        </w:rPr>
        <w:t>Los principales indicadores de 2016 del sector público empresarial de Nav</w:t>
      </w:r>
      <w:r w:rsidRPr="00784E54">
        <w:rPr>
          <w:rFonts w:ascii="Times New (W1)" w:hAnsi="Times New (W1)"/>
        </w:rPr>
        <w:t>a</w:t>
      </w:r>
      <w:r w:rsidRPr="00784E54">
        <w:rPr>
          <w:rFonts w:ascii="Times New (W1)" w:hAnsi="Times New (W1)"/>
        </w:rPr>
        <w:t>rra consolidado y su comparación con el ejercicio anterior son los siguientes:</w:t>
      </w:r>
    </w:p>
    <w:tbl>
      <w:tblPr>
        <w:tblW w:w="8874" w:type="dxa"/>
        <w:jc w:val="center"/>
        <w:tblInd w:w="259" w:type="dxa"/>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052271" w:rsidRPr="00EE15F1" w:rsidTr="005847EC">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052271" w:rsidRPr="00EE15F1" w:rsidRDefault="00052271"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E15F1">
              <w:rPr>
                <w:rFonts w:ascii="Arial" w:hAnsi="Arial" w:cs="Arial"/>
                <w:spacing w:val="6"/>
                <w:sz w:val="17"/>
                <w:szCs w:val="17"/>
              </w:rPr>
              <w:t>(en miles de euros)</w:t>
            </w:r>
          </w:p>
        </w:tc>
      </w:tr>
      <w:tr w:rsidR="00052271" w:rsidRPr="00784E54" w:rsidTr="005847EC">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5847EC">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sidRPr="00784E54">
              <w:rPr>
                <w:rFonts w:ascii="Arial" w:hAnsi="Arial" w:cs="Arial"/>
                <w:spacing w:val="6"/>
                <w:sz w:val="18"/>
                <w:szCs w:val="24"/>
              </w:rPr>
              <w:t>Indicadores Grupo CPEN consolidado</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EE60AF">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784E54">
              <w:rPr>
                <w:rFonts w:ascii="Arial" w:hAnsi="Arial" w:cs="Arial"/>
                <w:spacing w:val="6"/>
                <w:sz w:val="18"/>
                <w:szCs w:val="24"/>
              </w:rPr>
              <w:t>2015</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052271" w:rsidRPr="00784E54" w:rsidRDefault="00052271" w:rsidP="00EE60AF">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784E54">
              <w:rPr>
                <w:rFonts w:ascii="Arial" w:hAnsi="Arial" w:cs="Arial"/>
                <w:spacing w:val="6"/>
                <w:sz w:val="18"/>
                <w:szCs w:val="24"/>
              </w:rPr>
              <w:t>2016</w:t>
            </w:r>
          </w:p>
        </w:tc>
        <w:tc>
          <w:tcPr>
            <w:tcW w:w="1290" w:type="dxa"/>
            <w:tcBorders>
              <w:top w:val="single" w:sz="4" w:space="0" w:color="auto"/>
              <w:left w:val="nil"/>
              <w:bottom w:val="single" w:sz="4" w:space="0" w:color="auto"/>
              <w:right w:val="nil"/>
            </w:tcBorders>
            <w:shd w:val="clear" w:color="auto" w:fill="8DB3E2" w:themeFill="text2" w:themeFillTint="66"/>
          </w:tcPr>
          <w:p w:rsidR="00052271" w:rsidRPr="00784E54" w:rsidRDefault="005847EC"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w:t>
            </w:r>
            <w:r w:rsidR="00052271">
              <w:rPr>
                <w:rFonts w:ascii="Arial" w:hAnsi="Arial" w:cs="Arial"/>
                <w:spacing w:val="6"/>
                <w:sz w:val="18"/>
                <w:szCs w:val="24"/>
              </w:rPr>
              <w:t xml:space="preserve"> 2016/2015</w:t>
            </w:r>
          </w:p>
        </w:tc>
      </w:tr>
      <w:tr w:rsidR="00052271" w:rsidRPr="00784E54" w:rsidTr="005847EC">
        <w:trPr>
          <w:trHeight w:val="198"/>
          <w:jc w:val="center"/>
        </w:trPr>
        <w:tc>
          <w:tcPr>
            <w:tcW w:w="5005" w:type="dxa"/>
            <w:gridSpan w:val="2"/>
            <w:tcBorders>
              <w:top w:val="single" w:sz="4"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 xml:space="preserve">Patrimonio neto </w:t>
            </w:r>
          </w:p>
        </w:tc>
        <w:tc>
          <w:tcPr>
            <w:tcW w:w="1289" w:type="dxa"/>
            <w:tcBorders>
              <w:top w:val="single" w:sz="4"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615.806</w:t>
            </w:r>
          </w:p>
        </w:tc>
        <w:tc>
          <w:tcPr>
            <w:tcW w:w="1290" w:type="dxa"/>
            <w:tcBorders>
              <w:top w:val="single" w:sz="4"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634.429</w:t>
            </w:r>
          </w:p>
        </w:tc>
        <w:tc>
          <w:tcPr>
            <w:tcW w:w="1290" w:type="dxa"/>
            <w:tcBorders>
              <w:top w:val="single" w:sz="4"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3</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Deudas a Largo Plazo</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177.574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132.512</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-25</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Pasivo Corriente</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157.584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182.975</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16</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Fondo de maniobra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265.679</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290.620</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9</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Efectivo y otros activos líquidos</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42.654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84.426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98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Importe neto de la cifra de negocios</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138.215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136.081</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-2</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Porcentaje cifra de negocios realizado con</w:t>
            </w:r>
            <w:r>
              <w:rPr>
                <w:rFonts w:ascii="Arial Narrow" w:hAnsi="Arial Narrow" w:cs="Arial"/>
              </w:rPr>
              <w:t xml:space="preserve"> </w:t>
            </w:r>
            <w:r w:rsidRPr="00784E54">
              <w:rPr>
                <w:rFonts w:ascii="Arial Narrow" w:hAnsi="Arial Narrow" w:cs="Arial"/>
              </w:rPr>
              <w:t xml:space="preserve"> Gob</w:t>
            </w:r>
            <w:r>
              <w:rPr>
                <w:rFonts w:ascii="Arial Narrow" w:hAnsi="Arial Narrow" w:cs="Arial"/>
              </w:rPr>
              <w:t>.</w:t>
            </w:r>
            <w:r w:rsidRPr="00784E54">
              <w:rPr>
                <w:rFonts w:ascii="Arial Narrow" w:hAnsi="Arial Narrow" w:cs="Arial"/>
              </w:rPr>
              <w:t xml:space="preserve"> de Navarra</w:t>
            </w:r>
          </w:p>
        </w:tc>
        <w:tc>
          <w:tcPr>
            <w:tcW w:w="1289" w:type="dxa"/>
            <w:tcBorders>
              <w:top w:val="single" w:sz="2" w:space="0" w:color="auto"/>
              <w:left w:val="nil"/>
              <w:bottom w:val="single" w:sz="2" w:space="0" w:color="auto"/>
              <w:right w:val="nil"/>
            </w:tcBorders>
            <w:shd w:val="clear" w:color="auto" w:fill="auto"/>
            <w:vAlign w:val="center"/>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25</w:t>
            </w:r>
          </w:p>
        </w:tc>
        <w:tc>
          <w:tcPr>
            <w:tcW w:w="1290" w:type="dxa"/>
            <w:tcBorders>
              <w:top w:val="single" w:sz="2" w:space="0" w:color="auto"/>
              <w:left w:val="nil"/>
              <w:bottom w:val="single" w:sz="2" w:space="0" w:color="auto"/>
              <w:right w:val="nil"/>
            </w:tcBorders>
            <w:shd w:val="clear" w:color="auto" w:fill="auto"/>
            <w:vAlign w:val="center"/>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27</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Subvenciones capital recibidas del Gobierno de Navarra (1)</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373</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12.523</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3</w:t>
            </w:r>
            <w:r w:rsidR="00EE60AF">
              <w:rPr>
                <w:rFonts w:ascii="Arial Narrow" w:hAnsi="Arial Narrow" w:cs="Arial"/>
              </w:rPr>
              <w:t>.</w:t>
            </w:r>
            <w:r w:rsidRPr="00052271">
              <w:rPr>
                <w:rFonts w:ascii="Arial Narrow" w:hAnsi="Arial Narrow" w:cs="Arial"/>
              </w:rPr>
              <w:t>257</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Subvenciones explotación recibidas del G. Navarra</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8.294</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8.076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-3</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Gastos de personal</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52.328</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49.636</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-5</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 xml:space="preserve">Resultado de explotación </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-41.451</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3.231</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108</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Resultado consolidado del ejercicio</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-43.869</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-4.520</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90</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Resultado atribuido a la sociedad dominante</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-44.175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-5.069</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89</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Avales y garantías concedidos a terceros (2)</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113.532</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97.783</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-14</w:t>
            </w:r>
          </w:p>
        </w:tc>
      </w:tr>
      <w:tr w:rsidR="00052271" w:rsidRPr="00784E54" w:rsidTr="005847EC">
        <w:trPr>
          <w:trHeight w:val="198"/>
          <w:jc w:val="center"/>
        </w:trPr>
        <w:tc>
          <w:tcPr>
            <w:tcW w:w="5005" w:type="dxa"/>
            <w:gridSpan w:val="2"/>
            <w:tcBorders>
              <w:top w:val="single" w:sz="2" w:space="0" w:color="auto"/>
              <w:left w:val="nil"/>
              <w:bottom w:val="single" w:sz="2"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Número medio de altos directivos (2)</w:t>
            </w:r>
          </w:p>
        </w:tc>
        <w:tc>
          <w:tcPr>
            <w:tcW w:w="1289"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15</w:t>
            </w:r>
          </w:p>
        </w:tc>
        <w:tc>
          <w:tcPr>
            <w:tcW w:w="1290" w:type="dxa"/>
            <w:tcBorders>
              <w:top w:val="single" w:sz="2" w:space="0" w:color="auto"/>
              <w:left w:val="nil"/>
              <w:bottom w:val="single" w:sz="2"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15</w:t>
            </w:r>
          </w:p>
        </w:tc>
        <w:tc>
          <w:tcPr>
            <w:tcW w:w="1290" w:type="dxa"/>
            <w:tcBorders>
              <w:top w:val="single" w:sz="2" w:space="0" w:color="auto"/>
              <w:left w:val="nil"/>
              <w:bottom w:val="single" w:sz="2"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0</w:t>
            </w:r>
          </w:p>
        </w:tc>
      </w:tr>
      <w:tr w:rsidR="00052271" w:rsidRPr="00784E54" w:rsidTr="005847EC">
        <w:trPr>
          <w:trHeight w:val="198"/>
          <w:jc w:val="center"/>
        </w:trPr>
        <w:tc>
          <w:tcPr>
            <w:tcW w:w="5005" w:type="dxa"/>
            <w:gridSpan w:val="2"/>
            <w:tcBorders>
              <w:top w:val="single" w:sz="2" w:space="0" w:color="auto"/>
              <w:left w:val="nil"/>
              <w:bottom w:val="single" w:sz="4" w:space="0" w:color="auto"/>
              <w:right w:val="nil"/>
            </w:tcBorders>
            <w:vAlign w:val="center"/>
            <w:hideMark/>
          </w:tcPr>
          <w:p w:rsidR="00052271" w:rsidRPr="00784E54" w:rsidRDefault="00052271" w:rsidP="005847EC">
            <w:pPr>
              <w:spacing w:after="0"/>
              <w:ind w:left="-37" w:firstLine="0"/>
              <w:jc w:val="left"/>
              <w:rPr>
                <w:rFonts w:ascii="Arial Narrow" w:hAnsi="Arial Narrow" w:cs="Arial"/>
              </w:rPr>
            </w:pPr>
            <w:r w:rsidRPr="00784E54">
              <w:rPr>
                <w:rFonts w:ascii="Arial Narrow" w:hAnsi="Arial Narrow" w:cs="Arial"/>
              </w:rPr>
              <w:t xml:space="preserve">Número medio de resto de empleados (2) </w:t>
            </w:r>
          </w:p>
        </w:tc>
        <w:tc>
          <w:tcPr>
            <w:tcW w:w="1289" w:type="dxa"/>
            <w:tcBorders>
              <w:top w:val="single" w:sz="2" w:space="0" w:color="auto"/>
              <w:left w:val="nil"/>
              <w:bottom w:val="single" w:sz="4"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1.089</w:t>
            </w:r>
          </w:p>
        </w:tc>
        <w:tc>
          <w:tcPr>
            <w:tcW w:w="1290" w:type="dxa"/>
            <w:tcBorders>
              <w:top w:val="single" w:sz="2" w:space="0" w:color="auto"/>
              <w:left w:val="nil"/>
              <w:bottom w:val="single" w:sz="4" w:space="0" w:color="auto"/>
              <w:right w:val="nil"/>
            </w:tcBorders>
            <w:shd w:val="clear" w:color="auto" w:fill="auto"/>
            <w:vAlign w:val="center"/>
            <w:hideMark/>
          </w:tcPr>
          <w:p w:rsidR="00052271" w:rsidRPr="00784E54" w:rsidRDefault="00052271" w:rsidP="00EE60AF">
            <w:pPr>
              <w:spacing w:after="0"/>
              <w:ind w:left="-108"/>
              <w:jc w:val="right"/>
              <w:rPr>
                <w:rFonts w:ascii="Arial Narrow" w:hAnsi="Arial Narrow" w:cs="Arial"/>
              </w:rPr>
            </w:pPr>
            <w:r w:rsidRPr="00784E54">
              <w:rPr>
                <w:rFonts w:ascii="Arial Narrow" w:hAnsi="Arial Narrow" w:cs="Arial"/>
              </w:rPr>
              <w:t>1.096</w:t>
            </w:r>
          </w:p>
        </w:tc>
        <w:tc>
          <w:tcPr>
            <w:tcW w:w="1290" w:type="dxa"/>
            <w:tcBorders>
              <w:top w:val="single" w:sz="2" w:space="0" w:color="auto"/>
              <w:left w:val="nil"/>
              <w:bottom w:val="single" w:sz="4" w:space="0" w:color="auto"/>
              <w:right w:val="nil"/>
            </w:tcBorders>
            <w:vAlign w:val="center"/>
          </w:tcPr>
          <w:p w:rsidR="00052271" w:rsidRPr="00052271" w:rsidRDefault="00052271" w:rsidP="00052271">
            <w:pPr>
              <w:spacing w:after="0"/>
              <w:jc w:val="right"/>
              <w:rPr>
                <w:rFonts w:ascii="Arial Narrow" w:hAnsi="Arial Narrow" w:cs="Arial"/>
              </w:rPr>
            </w:pPr>
            <w:r w:rsidRPr="00052271">
              <w:rPr>
                <w:rFonts w:ascii="Arial Narrow" w:hAnsi="Arial Narrow" w:cs="Arial"/>
              </w:rPr>
              <w:t>1</w:t>
            </w:r>
          </w:p>
        </w:tc>
      </w:tr>
    </w:tbl>
    <w:p w:rsidR="00784E54" w:rsidRPr="009C04F5" w:rsidRDefault="00784E54" w:rsidP="009C04F5">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9C04F5">
        <w:rPr>
          <w:rFonts w:ascii="Arial" w:hAnsi="Arial" w:cs="Arial"/>
          <w:bCs/>
          <w:spacing w:val="-3"/>
          <w:sz w:val="16"/>
          <w:szCs w:val="16"/>
          <w:lang w:val="es-ES"/>
        </w:rPr>
        <w:t xml:space="preserve">(1) Importe </w:t>
      </w:r>
      <w:r w:rsidR="00533BFB">
        <w:rPr>
          <w:rFonts w:ascii="Arial" w:hAnsi="Arial" w:cs="Arial"/>
          <w:bCs/>
          <w:spacing w:val="-3"/>
          <w:sz w:val="16"/>
          <w:szCs w:val="16"/>
          <w:lang w:val="es-ES"/>
        </w:rPr>
        <w:t>antes</w:t>
      </w:r>
      <w:r w:rsidRPr="009C04F5">
        <w:rPr>
          <w:rFonts w:ascii="Arial" w:hAnsi="Arial" w:cs="Arial"/>
          <w:bCs/>
          <w:spacing w:val="-3"/>
          <w:sz w:val="16"/>
          <w:szCs w:val="16"/>
          <w:lang w:val="es-ES"/>
        </w:rPr>
        <w:t xml:space="preserve"> del efecto impositivo</w:t>
      </w:r>
      <w:r w:rsidR="009C04F5">
        <w:rPr>
          <w:rFonts w:ascii="Arial" w:hAnsi="Arial" w:cs="Arial"/>
          <w:bCs/>
          <w:spacing w:val="-3"/>
          <w:sz w:val="16"/>
          <w:szCs w:val="16"/>
          <w:lang w:val="es-ES"/>
        </w:rPr>
        <w:t>.</w:t>
      </w:r>
    </w:p>
    <w:p w:rsidR="00784E54" w:rsidRPr="009C04F5" w:rsidRDefault="00784E54" w:rsidP="009C04F5">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9C04F5">
        <w:rPr>
          <w:rFonts w:ascii="Arial" w:hAnsi="Arial" w:cs="Arial"/>
          <w:bCs/>
          <w:spacing w:val="-3"/>
          <w:sz w:val="16"/>
          <w:szCs w:val="16"/>
          <w:lang w:val="es-ES"/>
        </w:rPr>
        <w:t>(2) Solo referido a empresas dependientes incluidas por integración global en la consolidación</w:t>
      </w:r>
      <w:r w:rsidR="009C04F5">
        <w:rPr>
          <w:rFonts w:ascii="Arial" w:hAnsi="Arial" w:cs="Arial"/>
          <w:bCs/>
          <w:spacing w:val="-3"/>
          <w:sz w:val="16"/>
          <w:szCs w:val="16"/>
          <w:lang w:val="es-ES"/>
        </w:rPr>
        <w:t>.</w:t>
      </w:r>
      <w:r w:rsidRPr="009C04F5">
        <w:rPr>
          <w:rFonts w:ascii="Arial" w:hAnsi="Arial" w:cs="Arial"/>
          <w:bCs/>
          <w:spacing w:val="-3"/>
          <w:sz w:val="16"/>
          <w:szCs w:val="16"/>
          <w:lang w:val="es-ES"/>
        </w:rPr>
        <w:t xml:space="preserve"> </w:t>
      </w:r>
    </w:p>
    <w:p w:rsidR="00052271" w:rsidRDefault="00052271" w:rsidP="00E54E8B">
      <w:pPr>
        <w:pStyle w:val="texto"/>
        <w:spacing w:before="240"/>
        <w:rPr>
          <w:lang w:val="es-ES"/>
        </w:rPr>
      </w:pPr>
      <w:r>
        <w:rPr>
          <w:lang w:val="es-ES"/>
        </w:rPr>
        <w:t xml:space="preserve">Del análisis de los </w:t>
      </w:r>
      <w:r w:rsidR="00923441">
        <w:rPr>
          <w:lang w:val="es-ES"/>
        </w:rPr>
        <w:t>estos datos</w:t>
      </w:r>
      <w:r>
        <w:rPr>
          <w:lang w:val="es-ES"/>
        </w:rPr>
        <w:t xml:space="preserve"> destacamos los siguientes aspectos:</w:t>
      </w:r>
    </w:p>
    <w:p w:rsidR="00052271" w:rsidRDefault="00052271"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Las deudas a largo plazo en 2016 se han reducido en un 25 por ciento re</w:t>
      </w:r>
      <w:r>
        <w:rPr>
          <w:rFonts w:cs="Arial"/>
        </w:rPr>
        <w:t>s</w:t>
      </w:r>
      <w:r>
        <w:rPr>
          <w:rFonts w:cs="Arial"/>
        </w:rPr>
        <w:t>pecto a 2015 y alcanzan los 132,51 millones de euros.</w:t>
      </w:r>
    </w:p>
    <w:p w:rsidR="00052271" w:rsidRDefault="00900D86"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efectivo y otros activos líquidos han aumentado un 98 por ciento en 2016 sobre los existentes en el ejercicio anterior.</w:t>
      </w:r>
    </w:p>
    <w:p w:rsidR="00900D86" w:rsidRDefault="00900D86" w:rsidP="00052271">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lastRenderedPageBreak/>
        <w:t>El resultado de explotación, el consolidado del ejercicio y el atribuido a la sociedad dominante ha mejorado significativamente en 2016 frente a los ind</w:t>
      </w:r>
      <w:r>
        <w:rPr>
          <w:rFonts w:cs="Arial"/>
        </w:rPr>
        <w:t>i</w:t>
      </w:r>
      <w:r>
        <w:rPr>
          <w:rFonts w:cs="Arial"/>
        </w:rPr>
        <w:t>cadores de 2015.</w:t>
      </w:r>
    </w:p>
    <w:p w:rsidR="00784E54" w:rsidRPr="00784E54" w:rsidRDefault="00900D86" w:rsidP="00E54E8B">
      <w:pPr>
        <w:pStyle w:val="texto"/>
        <w:spacing w:before="240"/>
        <w:rPr>
          <w:lang w:val="es-ES"/>
        </w:rPr>
      </w:pPr>
      <w:r>
        <w:rPr>
          <w:lang w:val="es-ES"/>
        </w:rPr>
        <w:t>Por otro lado, l</w:t>
      </w:r>
      <w:r w:rsidR="00784E54" w:rsidRPr="00784E54">
        <w:rPr>
          <w:lang w:val="es-ES"/>
        </w:rPr>
        <w:t>as sociedades públicas presentan auditoría de cuentas anuales. De la revisión de estas auditorías destacamos los siguientes aspectos:</w:t>
      </w:r>
    </w:p>
    <w:p w:rsidR="00784E54" w:rsidRP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 xml:space="preserve">De las 17 sociedades, 15 presentan opinión </w:t>
      </w:r>
      <w:r w:rsidR="003779FA">
        <w:rPr>
          <w:rFonts w:cs="Arial"/>
        </w:rPr>
        <w:t>no modificada</w:t>
      </w:r>
      <w:r w:rsidRPr="00784E54">
        <w:rPr>
          <w:rFonts w:cs="Arial"/>
        </w:rPr>
        <w:t>, incluyendo dos de estas un párrafo de énfasis en su opinión referido a:</w:t>
      </w:r>
    </w:p>
    <w:p w:rsidR="00784E54" w:rsidRPr="00784E54" w:rsidRDefault="00784E54" w:rsidP="00664032">
      <w:pPr>
        <w:numPr>
          <w:ilvl w:val="0"/>
          <w:numId w:val="5"/>
        </w:numPr>
        <w:tabs>
          <w:tab w:val="left" w:pos="644"/>
        </w:tabs>
        <w:ind w:left="0" w:firstLine="308"/>
        <w:rPr>
          <w:rFonts w:cs="Arial"/>
          <w:spacing w:val="6"/>
          <w:sz w:val="26"/>
          <w:szCs w:val="24"/>
        </w:rPr>
      </w:pPr>
      <w:r w:rsidRPr="00784E54">
        <w:rPr>
          <w:rFonts w:cs="Arial"/>
          <w:spacing w:val="6"/>
          <w:sz w:val="26"/>
          <w:szCs w:val="24"/>
        </w:rPr>
        <w:t>CNAI: se llama la atención sobre los resultados negativos de los últimos ejercicios que suponen que el patrimonio neto sea inferior al capital social. Los administradores están llevando a cabo medidas para equilibrar los resultados, y consideran que en todo caso seguirán contando con el apoyo financiero del s</w:t>
      </w:r>
      <w:r w:rsidRPr="00784E54">
        <w:rPr>
          <w:rFonts w:cs="Arial"/>
          <w:spacing w:val="6"/>
          <w:sz w:val="26"/>
          <w:szCs w:val="24"/>
        </w:rPr>
        <w:t>o</w:t>
      </w:r>
      <w:r w:rsidRPr="00784E54">
        <w:rPr>
          <w:rFonts w:cs="Arial"/>
          <w:spacing w:val="6"/>
          <w:sz w:val="26"/>
          <w:szCs w:val="24"/>
        </w:rPr>
        <w:t xml:space="preserve">cio único. </w:t>
      </w:r>
    </w:p>
    <w:p w:rsidR="00784E54" w:rsidRPr="00784E54" w:rsidRDefault="00784E54" w:rsidP="00664032">
      <w:pPr>
        <w:numPr>
          <w:ilvl w:val="0"/>
          <w:numId w:val="5"/>
        </w:numPr>
        <w:tabs>
          <w:tab w:val="left" w:pos="644"/>
        </w:tabs>
        <w:ind w:left="0" w:firstLine="308"/>
        <w:rPr>
          <w:rFonts w:cs="Arial"/>
          <w:spacing w:val="6"/>
          <w:sz w:val="26"/>
          <w:szCs w:val="24"/>
        </w:rPr>
      </w:pPr>
      <w:r w:rsidRPr="00784E54">
        <w:rPr>
          <w:rFonts w:cs="Arial"/>
          <w:spacing w:val="6"/>
          <w:sz w:val="26"/>
          <w:szCs w:val="24"/>
          <w:lang w:val="es-ES"/>
        </w:rPr>
        <w:t xml:space="preserve">Natural Climate Systems, S.A.: se menciona que la sociedad se encuentra al cierre del ejercicio en uno de los supuestos de disolución de la legislación mercantil; los administradores están llevando a cabo medidas para equilibrar los resultados, y consideran que en todo caso seguirán contando con el apoyo financiero del socio único.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 xml:space="preserve">Las dos sociedades restantes presentan opinión </w:t>
      </w:r>
      <w:r w:rsidR="003779FA">
        <w:rPr>
          <w:rFonts w:cs="Arial"/>
        </w:rPr>
        <w:t>modificada</w:t>
      </w:r>
      <w:r w:rsidRPr="00784E54">
        <w:rPr>
          <w:rFonts w:cs="Arial"/>
        </w:rPr>
        <w:t xml:space="preserve"> con salvedades tal y como se describe a continuación:</w:t>
      </w:r>
    </w:p>
    <w:p w:rsidR="00784E54" w:rsidRPr="00784E54" w:rsidRDefault="00784E54" w:rsidP="00664032">
      <w:pPr>
        <w:numPr>
          <w:ilvl w:val="0"/>
          <w:numId w:val="6"/>
        </w:numPr>
        <w:tabs>
          <w:tab w:val="left" w:pos="602"/>
        </w:tabs>
        <w:ind w:left="0" w:firstLine="284"/>
        <w:rPr>
          <w:rFonts w:cs="Arial"/>
          <w:spacing w:val="6"/>
          <w:sz w:val="26"/>
          <w:szCs w:val="24"/>
        </w:rPr>
      </w:pPr>
      <w:r w:rsidRPr="00784E54">
        <w:rPr>
          <w:rFonts w:cs="Arial"/>
          <w:spacing w:val="6"/>
          <w:sz w:val="26"/>
          <w:szCs w:val="24"/>
        </w:rPr>
        <w:t xml:space="preserve">Potasas de Subiza: </w:t>
      </w:r>
      <w:r w:rsidR="003779FA" w:rsidRPr="003779FA">
        <w:rPr>
          <w:rFonts w:cs="Arial"/>
          <w:i/>
          <w:spacing w:val="6"/>
          <w:sz w:val="22"/>
          <w:szCs w:val="22"/>
        </w:rPr>
        <w:t>“…e</w:t>
      </w:r>
      <w:r w:rsidRPr="003779FA">
        <w:rPr>
          <w:rFonts w:cs="Arial"/>
          <w:i/>
          <w:spacing w:val="6"/>
          <w:sz w:val="22"/>
          <w:szCs w:val="22"/>
        </w:rPr>
        <w:t xml:space="preserve">n el ejercicio 2016 la sociedad ha obtenido, de un técnico especializado, un estudio relativo a un plan de recuperación medioambiental. De acuerdo con dicho plan, el coste de las actuaciones que debe realizar la sociedad asciende a 2.940 miles de </w:t>
      </w:r>
      <w:r w:rsidR="003779FA" w:rsidRPr="003779FA">
        <w:rPr>
          <w:rFonts w:cs="Arial"/>
          <w:i/>
          <w:spacing w:val="6"/>
          <w:sz w:val="22"/>
          <w:szCs w:val="22"/>
        </w:rPr>
        <w:t>euros</w:t>
      </w:r>
      <w:r w:rsidRPr="003779FA">
        <w:rPr>
          <w:rFonts w:cs="Arial"/>
          <w:i/>
          <w:spacing w:val="6"/>
          <w:sz w:val="22"/>
          <w:szCs w:val="22"/>
        </w:rPr>
        <w:t xml:space="preserve"> (3.065 miles de </w:t>
      </w:r>
      <w:r w:rsidR="003779FA" w:rsidRPr="003779FA">
        <w:rPr>
          <w:rFonts w:cs="Arial"/>
          <w:i/>
          <w:spacing w:val="6"/>
          <w:sz w:val="22"/>
          <w:szCs w:val="22"/>
        </w:rPr>
        <w:t xml:space="preserve">euros </w:t>
      </w:r>
      <w:r w:rsidRPr="003779FA">
        <w:rPr>
          <w:rFonts w:cs="Arial"/>
          <w:i/>
          <w:spacing w:val="6"/>
          <w:sz w:val="22"/>
          <w:szCs w:val="22"/>
        </w:rPr>
        <w:t>en 2015). La sociedad debería haber registrado el pas</w:t>
      </w:r>
      <w:r w:rsidRPr="003779FA">
        <w:rPr>
          <w:rFonts w:cs="Arial"/>
          <w:i/>
          <w:spacing w:val="6"/>
          <w:sz w:val="22"/>
          <w:szCs w:val="22"/>
        </w:rPr>
        <w:t>i</w:t>
      </w:r>
      <w:r w:rsidRPr="003779FA">
        <w:rPr>
          <w:rFonts w:cs="Arial"/>
          <w:i/>
          <w:spacing w:val="6"/>
          <w:sz w:val="22"/>
          <w:szCs w:val="22"/>
        </w:rPr>
        <w:t>vo correspondiente por este concepto en ejercicios anteriores y en el presente los efectos de la actualización del estudio, junto con los correspondientes a la parte que acometerá su f</w:t>
      </w:r>
      <w:r w:rsidRPr="003779FA">
        <w:rPr>
          <w:rFonts w:cs="Arial"/>
          <w:i/>
          <w:spacing w:val="6"/>
          <w:sz w:val="22"/>
          <w:szCs w:val="22"/>
        </w:rPr>
        <w:t>i</w:t>
      </w:r>
      <w:r w:rsidRPr="003779FA">
        <w:rPr>
          <w:rFonts w:cs="Arial"/>
          <w:i/>
          <w:spacing w:val="6"/>
          <w:sz w:val="22"/>
          <w:szCs w:val="22"/>
        </w:rPr>
        <w:t xml:space="preserve">lial Salinas de Navarra, S.A. Las provisiones a largo plazo se encuentran infravaloradas en 2.940 miles de </w:t>
      </w:r>
      <w:r w:rsidR="003779FA" w:rsidRPr="003779FA">
        <w:rPr>
          <w:rFonts w:cs="Arial"/>
          <w:i/>
          <w:spacing w:val="6"/>
          <w:sz w:val="22"/>
          <w:szCs w:val="22"/>
        </w:rPr>
        <w:t>euros</w:t>
      </w:r>
      <w:r w:rsidRPr="003779FA">
        <w:rPr>
          <w:rFonts w:cs="Arial"/>
          <w:i/>
          <w:spacing w:val="6"/>
          <w:sz w:val="22"/>
          <w:szCs w:val="22"/>
        </w:rPr>
        <w:t xml:space="preserve">. Los resultados de ejercicios anteriores deberían verse reducidos en 3.065 miles de </w:t>
      </w:r>
      <w:r w:rsidR="003779FA" w:rsidRPr="003779FA">
        <w:rPr>
          <w:rFonts w:cs="Arial"/>
          <w:i/>
          <w:spacing w:val="6"/>
          <w:sz w:val="22"/>
          <w:szCs w:val="22"/>
        </w:rPr>
        <w:t>euros</w:t>
      </w:r>
      <w:r w:rsidRPr="003779FA">
        <w:rPr>
          <w:rFonts w:cs="Arial"/>
          <w:i/>
          <w:spacing w:val="6"/>
          <w:sz w:val="22"/>
          <w:szCs w:val="22"/>
        </w:rPr>
        <w:t xml:space="preserve"> y el resultado del ejercicio 2016 se encuentra infravalorado en 125 m</w:t>
      </w:r>
      <w:r w:rsidRPr="003779FA">
        <w:rPr>
          <w:rFonts w:cs="Arial"/>
          <w:i/>
          <w:spacing w:val="6"/>
          <w:sz w:val="22"/>
          <w:szCs w:val="22"/>
        </w:rPr>
        <w:t>i</w:t>
      </w:r>
      <w:r w:rsidRPr="003779FA">
        <w:rPr>
          <w:rFonts w:cs="Arial"/>
          <w:i/>
          <w:spacing w:val="6"/>
          <w:sz w:val="22"/>
          <w:szCs w:val="22"/>
        </w:rPr>
        <w:t xml:space="preserve">les de </w:t>
      </w:r>
      <w:r w:rsidR="003779FA" w:rsidRPr="003779FA">
        <w:rPr>
          <w:rFonts w:cs="Arial"/>
          <w:i/>
          <w:spacing w:val="6"/>
          <w:sz w:val="22"/>
          <w:szCs w:val="22"/>
        </w:rPr>
        <w:t>euros….”.</w:t>
      </w:r>
      <w:r w:rsidRPr="00784E54">
        <w:rPr>
          <w:rFonts w:cs="Arial"/>
          <w:spacing w:val="6"/>
          <w:sz w:val="26"/>
          <w:szCs w:val="24"/>
        </w:rPr>
        <w:t xml:space="preserve"> </w:t>
      </w:r>
    </w:p>
    <w:p w:rsidR="00784E54" w:rsidRPr="00900D86" w:rsidRDefault="00784E54" w:rsidP="00664032">
      <w:pPr>
        <w:numPr>
          <w:ilvl w:val="0"/>
          <w:numId w:val="6"/>
        </w:numPr>
        <w:tabs>
          <w:tab w:val="left" w:pos="602"/>
        </w:tabs>
        <w:ind w:left="0" w:firstLine="284"/>
        <w:rPr>
          <w:rFonts w:cs="Arial"/>
          <w:spacing w:val="6"/>
          <w:sz w:val="22"/>
          <w:szCs w:val="22"/>
        </w:rPr>
      </w:pPr>
      <w:r w:rsidRPr="00784E54">
        <w:rPr>
          <w:rFonts w:cs="Arial"/>
          <w:spacing w:val="6"/>
          <w:sz w:val="26"/>
          <w:szCs w:val="24"/>
        </w:rPr>
        <w:t>Start Up Capital de Navarra</w:t>
      </w:r>
      <w:r w:rsidRPr="00784E54">
        <w:rPr>
          <w:rFonts w:cs="Arial"/>
          <w:spacing w:val="6"/>
          <w:sz w:val="26"/>
          <w:szCs w:val="24"/>
          <w:lang w:val="es-ES"/>
        </w:rPr>
        <w:t xml:space="preserve">: </w:t>
      </w:r>
      <w:r w:rsidR="003779FA" w:rsidRPr="00900D86">
        <w:rPr>
          <w:rFonts w:cs="Arial"/>
          <w:i/>
          <w:spacing w:val="6"/>
          <w:sz w:val="22"/>
          <w:szCs w:val="22"/>
          <w:lang w:val="es-ES"/>
        </w:rPr>
        <w:t>“…e</w:t>
      </w:r>
      <w:r w:rsidRPr="00900D86">
        <w:rPr>
          <w:rFonts w:cs="Arial"/>
          <w:i/>
          <w:spacing w:val="6"/>
          <w:sz w:val="22"/>
          <w:szCs w:val="22"/>
          <w:lang w:val="es-ES"/>
        </w:rPr>
        <w:t>n el epígrafe "Deterioro y resultado por enaj</w:t>
      </w:r>
      <w:r w:rsidRPr="00900D86">
        <w:rPr>
          <w:rFonts w:cs="Arial"/>
          <w:i/>
          <w:spacing w:val="6"/>
          <w:sz w:val="22"/>
          <w:szCs w:val="22"/>
          <w:lang w:val="es-ES"/>
        </w:rPr>
        <w:t>e</w:t>
      </w:r>
      <w:r w:rsidRPr="00900D86">
        <w:rPr>
          <w:rFonts w:cs="Arial"/>
          <w:i/>
          <w:spacing w:val="6"/>
          <w:sz w:val="22"/>
          <w:szCs w:val="22"/>
          <w:lang w:val="es-ES"/>
        </w:rPr>
        <w:t>naciones de instrumentos financieros" a 31 de diciembre de 2016 ha sido reconocido una plusvalía por importe de 117 mil euros por la enajenación de una participada íntegramente deteriorada a 31 de diciembre de 2015. Dado que en el ejercicio anterior existían evidencias sobre el valor recuperable por la venta, la sociedad debería haber procedido en 2015 a r</w:t>
      </w:r>
      <w:r w:rsidRPr="00900D86">
        <w:rPr>
          <w:rFonts w:cs="Arial"/>
          <w:i/>
          <w:spacing w:val="6"/>
          <w:sz w:val="22"/>
          <w:szCs w:val="22"/>
          <w:lang w:val="es-ES"/>
        </w:rPr>
        <w:t>e</w:t>
      </w:r>
      <w:r w:rsidRPr="00900D86">
        <w:rPr>
          <w:rFonts w:cs="Arial"/>
          <w:i/>
          <w:spacing w:val="6"/>
          <w:sz w:val="22"/>
          <w:szCs w:val="22"/>
          <w:lang w:val="es-ES"/>
        </w:rPr>
        <w:t>vertir parte de la provisión, lo que motivó una opinión con salvedades en 2015. En cons</w:t>
      </w:r>
      <w:r w:rsidRPr="00900D86">
        <w:rPr>
          <w:rFonts w:cs="Arial"/>
          <w:i/>
          <w:spacing w:val="6"/>
          <w:sz w:val="22"/>
          <w:szCs w:val="22"/>
          <w:lang w:val="es-ES"/>
        </w:rPr>
        <w:t>e</w:t>
      </w:r>
      <w:r w:rsidRPr="00900D86">
        <w:rPr>
          <w:rFonts w:cs="Arial"/>
          <w:i/>
          <w:spacing w:val="6"/>
          <w:sz w:val="22"/>
          <w:szCs w:val="22"/>
          <w:lang w:val="es-ES"/>
        </w:rPr>
        <w:t>cuencia a 31 de diciembre de 2016 el epígrafe de resultados de ejercicios anteriores se e</w:t>
      </w:r>
      <w:r w:rsidRPr="00900D86">
        <w:rPr>
          <w:rFonts w:cs="Arial"/>
          <w:i/>
          <w:spacing w:val="6"/>
          <w:sz w:val="22"/>
          <w:szCs w:val="22"/>
          <w:lang w:val="es-ES"/>
        </w:rPr>
        <w:t>n</w:t>
      </w:r>
      <w:r w:rsidRPr="00900D86">
        <w:rPr>
          <w:rFonts w:cs="Arial"/>
          <w:i/>
          <w:spacing w:val="6"/>
          <w:sz w:val="22"/>
          <w:szCs w:val="22"/>
          <w:lang w:val="es-ES"/>
        </w:rPr>
        <w:t>cuentra infravalorado en 117 miles de euros y el resultado del ejercicio sobre</w:t>
      </w:r>
      <w:r w:rsidR="003779FA" w:rsidRPr="00900D86">
        <w:rPr>
          <w:rFonts w:cs="Arial"/>
          <w:i/>
          <w:spacing w:val="6"/>
          <w:sz w:val="22"/>
          <w:szCs w:val="22"/>
          <w:lang w:val="es-ES"/>
        </w:rPr>
        <w:t>valorado en el mismo importe….”.</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84E54">
        <w:rPr>
          <w:rFonts w:cs="Arial"/>
        </w:rPr>
        <w:t xml:space="preserve">En la memoria de la sociedad </w:t>
      </w:r>
      <w:r w:rsidR="0002702D" w:rsidRPr="00784E54">
        <w:rPr>
          <w:rFonts w:cs="Arial"/>
        </w:rPr>
        <w:t>Nasuvinsa</w:t>
      </w:r>
      <w:r w:rsidRPr="00784E54">
        <w:rPr>
          <w:rFonts w:cs="Arial"/>
        </w:rPr>
        <w:t xml:space="preserve"> aparece recogida la posible co</w:t>
      </w:r>
      <w:r w:rsidRPr="00784E54">
        <w:rPr>
          <w:rFonts w:cs="Arial"/>
        </w:rPr>
        <w:t>n</w:t>
      </w:r>
      <w:r w:rsidRPr="00784E54">
        <w:rPr>
          <w:rFonts w:cs="Arial"/>
        </w:rPr>
        <w:t>tingencia que se puede producir por un litigio existente valorado en 49 millones de euros, más intereses y costas en su caso, indicando que en todo caso, la A</w:t>
      </w:r>
      <w:r w:rsidRPr="00784E54">
        <w:rPr>
          <w:rFonts w:cs="Arial"/>
        </w:rPr>
        <w:t>d</w:t>
      </w:r>
      <w:r w:rsidRPr="00784E54">
        <w:rPr>
          <w:rFonts w:cs="Arial"/>
        </w:rPr>
        <w:t xml:space="preserve">ministración de la Comunidad Foral de Navarra se hará cargo de las posibles </w:t>
      </w:r>
      <w:r w:rsidRPr="00784E54">
        <w:rPr>
          <w:rFonts w:cs="Arial"/>
        </w:rPr>
        <w:lastRenderedPageBreak/>
        <w:t xml:space="preserve">consecuencias económicas. </w:t>
      </w:r>
      <w:r w:rsidRPr="00E54E8B">
        <w:rPr>
          <w:rFonts w:cs="Arial"/>
        </w:rPr>
        <w:t xml:space="preserve">Al respecto, hay que indicar que el Gobierno de Navarra no provisionó esta posible contingencia a pesar de que el importe era significativo. </w:t>
      </w:r>
    </w:p>
    <w:p w:rsidR="00784E54" w:rsidRPr="00784E54" w:rsidRDefault="00784E54" w:rsidP="00E54E8B">
      <w:pPr>
        <w:pStyle w:val="texto"/>
      </w:pPr>
      <w:r w:rsidRPr="00E54E8B">
        <w:tab/>
        <w:t>Como hecho relevante posterior al cierre del ejercicio, resaltamos que en</w:t>
      </w:r>
      <w:r w:rsidRPr="00784E54">
        <w:t xml:space="preserve"> 2017 se dictó sentencia definitiva en contra de los intereses de </w:t>
      </w:r>
      <w:r w:rsidR="004C141F" w:rsidRPr="00784E54">
        <w:t>Nasuvinsa</w:t>
      </w:r>
      <w:r w:rsidRPr="00784E54">
        <w:t>; esto motivó la aprobación de la Ley Foral 5/2017 de concesión de un crédito extr</w:t>
      </w:r>
      <w:r w:rsidRPr="00784E54">
        <w:t>a</w:t>
      </w:r>
      <w:r w:rsidRPr="00784E54">
        <w:t>ordinario en mayo con una dotación inicial de 25 millones con la consideración de crédito ampliable (en julio de 2017 se amplió por 26,5 millones de euros más). A la fecha de redacción de este informe el gasto presupuestario del G</w:t>
      </w:r>
      <w:r w:rsidRPr="00784E54">
        <w:t>o</w:t>
      </w:r>
      <w:r w:rsidRPr="00784E54">
        <w:t xml:space="preserve">bierno de Navarra en relación con esta sentencia asciende a 51,3 millones de euros, sin que estén aún resueltos todos los expedientes relacionados con esta sentencia.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54E8B">
        <w:rPr>
          <w:rFonts w:cs="Arial"/>
        </w:rPr>
        <w:t xml:space="preserve">Destacamos además que, </w:t>
      </w:r>
      <w:r w:rsidR="00752F09">
        <w:rPr>
          <w:rFonts w:cs="Arial"/>
        </w:rPr>
        <w:t>en octubre de 2017, se ha finalizado la auditoría de cumplimiento de legalidad en empresas públicas correspondientes al ejerc</w:t>
      </w:r>
      <w:r w:rsidR="00752F09">
        <w:rPr>
          <w:rFonts w:cs="Arial"/>
        </w:rPr>
        <w:t>i</w:t>
      </w:r>
      <w:r w:rsidR="00752F09">
        <w:rPr>
          <w:rFonts w:cs="Arial"/>
        </w:rPr>
        <w:t>cio 201</w:t>
      </w:r>
      <w:r w:rsidR="00A46310">
        <w:rPr>
          <w:rFonts w:cs="Arial"/>
        </w:rPr>
        <w:t>6</w:t>
      </w:r>
      <w:r w:rsidR="00752F09">
        <w:rPr>
          <w:rFonts w:cs="Arial"/>
        </w:rPr>
        <w:t xml:space="preserve">, realizada de forma externa por una empresa privada. </w:t>
      </w:r>
      <w:r w:rsidR="00A46310">
        <w:rPr>
          <w:rFonts w:cs="Arial"/>
        </w:rPr>
        <w:t>Actualmente, el Servicio de Intervención del Gobierno de Navarra está analizando los result</w:t>
      </w:r>
      <w:r w:rsidR="00A46310">
        <w:rPr>
          <w:rFonts w:cs="Arial"/>
        </w:rPr>
        <w:t>a</w:t>
      </w:r>
      <w:r w:rsidR="00A46310">
        <w:rPr>
          <w:rFonts w:cs="Arial"/>
        </w:rPr>
        <w:t>dos de esta auditoría.</w:t>
      </w:r>
    </w:p>
    <w:p w:rsidR="00784E54" w:rsidRPr="00E54E8B" w:rsidRDefault="00784E54" w:rsidP="00E54E8B">
      <w:pPr>
        <w:spacing w:before="240" w:after="240"/>
        <w:ind w:firstLine="284"/>
        <w:rPr>
          <w:rFonts w:ascii="Arial" w:hAnsi="Arial"/>
          <w:i/>
          <w:iCs/>
          <w:color w:val="000000"/>
          <w:spacing w:val="10"/>
          <w:kern w:val="28"/>
          <w:sz w:val="25"/>
          <w:szCs w:val="26"/>
          <w:lang w:val="es-ES"/>
        </w:rPr>
      </w:pPr>
      <w:r w:rsidRPr="00E54E8B">
        <w:rPr>
          <w:rFonts w:ascii="Arial" w:hAnsi="Arial"/>
          <w:i/>
          <w:iCs/>
          <w:color w:val="000000"/>
          <w:spacing w:val="10"/>
          <w:kern w:val="28"/>
          <w:sz w:val="25"/>
          <w:szCs w:val="26"/>
          <w:lang w:val="es-ES"/>
        </w:rPr>
        <w:t>Fundaciones Públicas</w:t>
      </w:r>
    </w:p>
    <w:p w:rsidR="00784E54" w:rsidRPr="00784E54" w:rsidRDefault="00784E54" w:rsidP="005E5BD3">
      <w:pPr>
        <w:pStyle w:val="texto"/>
        <w:spacing w:after="120"/>
        <w:rPr>
          <w:lang w:val="es-ES"/>
        </w:rPr>
      </w:pPr>
      <w:r w:rsidRPr="00784E54">
        <w:rPr>
          <w:lang w:val="es-ES"/>
        </w:rPr>
        <w:t>En el siguiente cuadro mostramos algunos datos agregados de las fundaci</w:t>
      </w:r>
      <w:r w:rsidRPr="00784E54">
        <w:rPr>
          <w:lang w:val="es-ES"/>
        </w:rPr>
        <w:t>o</w:t>
      </w:r>
      <w:r w:rsidRPr="00784E54">
        <w:rPr>
          <w:lang w:val="es-ES"/>
        </w:rPr>
        <w:t>nes públicas, según información de la memoria de la</w:t>
      </w:r>
      <w:r w:rsidR="00900D86">
        <w:rPr>
          <w:lang w:val="es-ES"/>
        </w:rPr>
        <w:t>s C</w:t>
      </w:r>
      <w:r w:rsidRPr="00784E54">
        <w:rPr>
          <w:lang w:val="es-ES"/>
        </w:rPr>
        <w:t>uenta</w:t>
      </w:r>
      <w:r w:rsidR="00900D86">
        <w:rPr>
          <w:lang w:val="es-ES"/>
        </w:rPr>
        <w:t>s G</w:t>
      </w:r>
      <w:r w:rsidRPr="00784E54">
        <w:rPr>
          <w:lang w:val="es-ES"/>
        </w:rPr>
        <w:t>eneral</w:t>
      </w:r>
      <w:r w:rsidR="00900D86">
        <w:rPr>
          <w:lang w:val="es-ES"/>
        </w:rPr>
        <w:t>es</w:t>
      </w:r>
      <w:r w:rsidRPr="00784E54">
        <w:rPr>
          <w:lang w:val="es-ES"/>
        </w:rPr>
        <w:t xml:space="preserve"> a la que se ha añadido la correspondiente a la Fundación Baluarte recibida tras la elabora</w:t>
      </w:r>
      <w:r w:rsidR="00E342D5">
        <w:rPr>
          <w:lang w:val="es-ES"/>
        </w:rPr>
        <w:t>ción de dicho documento</w:t>
      </w:r>
      <w:r w:rsidRPr="00784E54">
        <w:rPr>
          <w:lang w:val="es-ES"/>
        </w:rPr>
        <w:t>:</w:t>
      </w:r>
    </w:p>
    <w:tbl>
      <w:tblPr>
        <w:tblW w:w="8929" w:type="dxa"/>
        <w:jc w:val="center"/>
        <w:tblCellMar>
          <w:left w:w="70" w:type="dxa"/>
          <w:right w:w="70" w:type="dxa"/>
        </w:tblCellMar>
        <w:tblLook w:val="04A0" w:firstRow="1" w:lastRow="0" w:firstColumn="1" w:lastColumn="0" w:noHBand="0" w:noVBand="1"/>
      </w:tblPr>
      <w:tblGrid>
        <w:gridCol w:w="4531"/>
        <w:gridCol w:w="1493"/>
        <w:gridCol w:w="1493"/>
        <w:gridCol w:w="1412"/>
      </w:tblGrid>
      <w:tr w:rsidR="00900D86" w:rsidRPr="00E342D5" w:rsidTr="00DB4CF5">
        <w:trPr>
          <w:trHeight w:val="255"/>
          <w:jc w:val="center"/>
        </w:trPr>
        <w:tc>
          <w:tcPr>
            <w:tcW w:w="8929" w:type="dxa"/>
            <w:gridSpan w:val="4"/>
            <w:tcBorders>
              <w:left w:val="nil"/>
              <w:bottom w:val="single" w:sz="4" w:space="0" w:color="000000"/>
              <w:right w:val="nil"/>
            </w:tcBorders>
            <w:shd w:val="clear" w:color="auto" w:fill="auto"/>
            <w:vAlign w:val="center"/>
          </w:tcPr>
          <w:p w:rsidR="00900D86" w:rsidRPr="00E342D5"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E342D5">
              <w:rPr>
                <w:rFonts w:ascii="Arial" w:hAnsi="Arial" w:cs="Arial"/>
                <w:spacing w:val="6"/>
                <w:sz w:val="17"/>
                <w:szCs w:val="17"/>
              </w:rPr>
              <w:t>(en miles de euros)</w:t>
            </w:r>
          </w:p>
        </w:tc>
      </w:tr>
      <w:tr w:rsidR="00900D86" w:rsidRPr="00784E54" w:rsidTr="00900D86">
        <w:trPr>
          <w:trHeight w:val="255"/>
          <w:jc w:val="center"/>
        </w:trPr>
        <w:tc>
          <w:tcPr>
            <w:tcW w:w="4531"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784E54">
              <w:rPr>
                <w:rFonts w:ascii="Arial" w:hAnsi="Arial" w:cs="Arial"/>
                <w:spacing w:val="6"/>
                <w:sz w:val="18"/>
                <w:szCs w:val="24"/>
              </w:rPr>
              <w:t>Indicador</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 xml:space="preserve">2015 </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900D86" w:rsidRPr="00784E54" w:rsidRDefault="00900D86"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784E54">
              <w:rPr>
                <w:rFonts w:ascii="Arial" w:hAnsi="Arial" w:cs="Arial"/>
                <w:spacing w:val="6"/>
                <w:sz w:val="18"/>
                <w:szCs w:val="24"/>
              </w:rPr>
              <w:t>2016</w:t>
            </w:r>
          </w:p>
        </w:tc>
        <w:tc>
          <w:tcPr>
            <w:tcW w:w="1412" w:type="dxa"/>
            <w:tcBorders>
              <w:top w:val="single" w:sz="4" w:space="0" w:color="000000"/>
              <w:left w:val="nil"/>
              <w:bottom w:val="single" w:sz="4" w:space="0" w:color="000000"/>
              <w:right w:val="nil"/>
            </w:tcBorders>
            <w:shd w:val="clear" w:color="auto" w:fill="8DB3E2" w:themeFill="text2" w:themeFillTint="66"/>
          </w:tcPr>
          <w:p w:rsidR="00900D86" w:rsidRPr="00784E54" w:rsidRDefault="005847EC" w:rsidP="00784E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w:t>
            </w:r>
            <w:r w:rsidR="00900D86">
              <w:rPr>
                <w:rFonts w:ascii="Arial" w:hAnsi="Arial" w:cs="Arial"/>
                <w:spacing w:val="6"/>
                <w:sz w:val="18"/>
                <w:szCs w:val="24"/>
              </w:rPr>
              <w:t xml:space="preserve"> 2016/2015</w:t>
            </w:r>
          </w:p>
        </w:tc>
      </w:tr>
      <w:tr w:rsidR="00900D86" w:rsidRPr="00784E54" w:rsidTr="00DB4CF5">
        <w:trPr>
          <w:trHeight w:val="198"/>
          <w:jc w:val="center"/>
        </w:trPr>
        <w:tc>
          <w:tcPr>
            <w:tcW w:w="4531"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Patrimonio Neto</w:t>
            </w:r>
          </w:p>
        </w:tc>
        <w:tc>
          <w:tcPr>
            <w:tcW w:w="1493"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1.820</w:t>
            </w:r>
          </w:p>
        </w:tc>
        <w:tc>
          <w:tcPr>
            <w:tcW w:w="1493" w:type="dxa"/>
            <w:tcBorders>
              <w:top w:val="single" w:sz="4"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1.227</w:t>
            </w:r>
          </w:p>
        </w:tc>
        <w:tc>
          <w:tcPr>
            <w:tcW w:w="1412" w:type="dxa"/>
            <w:tcBorders>
              <w:top w:val="single" w:sz="4"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-33</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Deuda a largo plazo</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0</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996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Ingresos derivados de la actividad propia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6.905</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9.649</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40</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Subvenciones recibidas del GN</w:t>
            </w:r>
          </w:p>
        </w:tc>
        <w:tc>
          <w:tcPr>
            <w:tcW w:w="1493" w:type="dxa"/>
            <w:tcBorders>
              <w:top w:val="single" w:sz="2" w:space="0" w:color="000000"/>
              <w:left w:val="nil"/>
              <w:bottom w:val="single" w:sz="2" w:space="0" w:color="000000"/>
              <w:right w:val="nil"/>
            </w:tcBorders>
            <w:vAlign w:val="center"/>
          </w:tcPr>
          <w:p w:rsidR="00900D86" w:rsidRPr="00784E54" w:rsidRDefault="00900D86" w:rsidP="009C04F5">
            <w:pPr>
              <w:spacing w:after="0"/>
              <w:ind w:firstLine="0"/>
              <w:jc w:val="right"/>
              <w:rPr>
                <w:rFonts w:ascii="Arial Narrow" w:hAnsi="Arial Narrow" w:cs="Arial"/>
                <w:lang w:val="es-ES" w:eastAsia="es-ES"/>
              </w:rPr>
            </w:pPr>
            <w:r w:rsidRPr="00784E54">
              <w:rPr>
                <w:rFonts w:ascii="Arial Narrow" w:hAnsi="Arial Narrow" w:cs="Arial"/>
                <w:lang w:val="es-ES" w:eastAsia="es-ES"/>
              </w:rPr>
              <w:t>2.609</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4.466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71</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Gastos de personal</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2.823</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3.972</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41</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Efectivo y otros activos líquidos</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2.804</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3.692</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32</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Fondo de maniobra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933</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1.016</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9</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Excedente del ejercicio</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-925</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-398</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-57</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Número de altos cargos (A)</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2</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3</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50</w:t>
            </w:r>
          </w:p>
        </w:tc>
      </w:tr>
      <w:tr w:rsidR="00900D86" w:rsidRPr="00784E54" w:rsidTr="00DB4CF5">
        <w:trPr>
          <w:trHeight w:val="198"/>
          <w:jc w:val="center"/>
        </w:trPr>
        <w:tc>
          <w:tcPr>
            <w:tcW w:w="4531"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Número medio resto de empleados (B)</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76</w:t>
            </w:r>
          </w:p>
        </w:tc>
        <w:tc>
          <w:tcPr>
            <w:tcW w:w="1493" w:type="dxa"/>
            <w:tcBorders>
              <w:top w:val="single" w:sz="2" w:space="0" w:color="000000"/>
              <w:left w:val="nil"/>
              <w:bottom w:val="single" w:sz="2"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81</w:t>
            </w:r>
          </w:p>
        </w:tc>
        <w:tc>
          <w:tcPr>
            <w:tcW w:w="1412" w:type="dxa"/>
            <w:tcBorders>
              <w:top w:val="single" w:sz="2" w:space="0" w:color="000000"/>
              <w:left w:val="nil"/>
              <w:bottom w:val="single" w:sz="2"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7</w:t>
            </w:r>
          </w:p>
        </w:tc>
      </w:tr>
      <w:tr w:rsidR="00900D86" w:rsidRPr="00784E54" w:rsidTr="00DB4CF5">
        <w:trPr>
          <w:trHeight w:val="198"/>
          <w:jc w:val="center"/>
        </w:trPr>
        <w:tc>
          <w:tcPr>
            <w:tcW w:w="4531" w:type="dxa"/>
            <w:tcBorders>
              <w:top w:val="single" w:sz="2" w:space="0" w:color="000000"/>
              <w:left w:val="nil"/>
              <w:bottom w:val="single" w:sz="4" w:space="0" w:color="000000"/>
              <w:right w:val="nil"/>
            </w:tcBorders>
            <w:vAlign w:val="center"/>
            <w:hideMark/>
          </w:tcPr>
          <w:p w:rsidR="00900D86" w:rsidRPr="00784E54" w:rsidRDefault="00900D86" w:rsidP="00784E54">
            <w:pPr>
              <w:spacing w:after="0"/>
              <w:ind w:firstLine="0"/>
              <w:jc w:val="left"/>
              <w:rPr>
                <w:rFonts w:ascii="Arial Narrow" w:hAnsi="Arial Narrow" w:cs="Arial"/>
                <w:lang w:val="es-ES" w:eastAsia="es-ES"/>
              </w:rPr>
            </w:pPr>
            <w:r w:rsidRPr="00784E54">
              <w:rPr>
                <w:rFonts w:ascii="Arial Narrow" w:hAnsi="Arial Narrow" w:cs="Arial"/>
                <w:lang w:val="es-ES" w:eastAsia="es-ES"/>
              </w:rPr>
              <w:t>Número total de empleados (A+B)</w:t>
            </w:r>
          </w:p>
        </w:tc>
        <w:tc>
          <w:tcPr>
            <w:tcW w:w="1493" w:type="dxa"/>
            <w:tcBorders>
              <w:top w:val="single" w:sz="2" w:space="0" w:color="000000"/>
              <w:left w:val="nil"/>
              <w:bottom w:val="single" w:sz="4" w:space="0" w:color="000000"/>
              <w:right w:val="nil"/>
            </w:tcBorders>
            <w:vAlign w:val="center"/>
          </w:tcPr>
          <w:p w:rsidR="00900D86" w:rsidRPr="00784E54" w:rsidRDefault="00900D86" w:rsidP="009C04F5">
            <w:pPr>
              <w:spacing w:after="0"/>
              <w:ind w:firstLine="0"/>
              <w:jc w:val="right"/>
              <w:rPr>
                <w:rFonts w:ascii="Arial Narrow" w:hAnsi="Arial Narrow" w:cs="Arial"/>
                <w:lang w:val="es-ES" w:eastAsia="es-ES"/>
              </w:rPr>
            </w:pPr>
            <w:r w:rsidRPr="00784E54">
              <w:rPr>
                <w:rFonts w:ascii="Arial Narrow" w:hAnsi="Arial Narrow" w:cs="Arial"/>
                <w:lang w:val="es-ES" w:eastAsia="es-ES"/>
              </w:rPr>
              <w:t>78</w:t>
            </w:r>
          </w:p>
        </w:tc>
        <w:tc>
          <w:tcPr>
            <w:tcW w:w="1493" w:type="dxa"/>
            <w:tcBorders>
              <w:top w:val="single" w:sz="2" w:space="0" w:color="000000"/>
              <w:left w:val="nil"/>
              <w:bottom w:val="single" w:sz="4" w:space="0" w:color="000000"/>
              <w:right w:val="nil"/>
            </w:tcBorders>
            <w:vAlign w:val="center"/>
            <w:hideMark/>
          </w:tcPr>
          <w:p w:rsidR="00900D86" w:rsidRPr="00784E54" w:rsidRDefault="00900D86" w:rsidP="00784E54">
            <w:pPr>
              <w:spacing w:after="0"/>
              <w:ind w:firstLine="0"/>
              <w:jc w:val="right"/>
              <w:rPr>
                <w:rFonts w:ascii="Arial Narrow" w:hAnsi="Arial Narrow" w:cs="Arial"/>
                <w:lang w:val="es-ES" w:eastAsia="es-ES"/>
              </w:rPr>
            </w:pPr>
            <w:r w:rsidRPr="00784E54">
              <w:rPr>
                <w:rFonts w:ascii="Arial Narrow" w:hAnsi="Arial Narrow" w:cs="Arial"/>
                <w:lang w:val="es-ES" w:eastAsia="es-ES"/>
              </w:rPr>
              <w:t>84</w:t>
            </w:r>
          </w:p>
        </w:tc>
        <w:tc>
          <w:tcPr>
            <w:tcW w:w="1412" w:type="dxa"/>
            <w:tcBorders>
              <w:top w:val="single" w:sz="2" w:space="0" w:color="000000"/>
              <w:left w:val="nil"/>
              <w:bottom w:val="single" w:sz="4" w:space="0" w:color="000000"/>
              <w:right w:val="nil"/>
            </w:tcBorders>
            <w:vAlign w:val="bottom"/>
          </w:tcPr>
          <w:p w:rsidR="00900D86" w:rsidRPr="00900D86" w:rsidRDefault="00900D86" w:rsidP="00900D86">
            <w:pPr>
              <w:spacing w:after="0"/>
              <w:ind w:firstLine="0"/>
              <w:jc w:val="right"/>
              <w:rPr>
                <w:rFonts w:ascii="Arial Narrow" w:hAnsi="Arial Narrow" w:cs="Arial"/>
                <w:lang w:val="es-ES" w:eastAsia="es-ES"/>
              </w:rPr>
            </w:pPr>
            <w:r w:rsidRPr="00900D86">
              <w:rPr>
                <w:rFonts w:ascii="Arial Narrow" w:hAnsi="Arial Narrow" w:cs="Arial"/>
                <w:lang w:val="es-ES" w:eastAsia="es-ES"/>
              </w:rPr>
              <w:t>8</w:t>
            </w:r>
          </w:p>
        </w:tc>
      </w:tr>
    </w:tbl>
    <w:p w:rsidR="00784E54" w:rsidRPr="00784E54" w:rsidRDefault="00784E54" w:rsidP="00E54E8B">
      <w:pPr>
        <w:pStyle w:val="texto"/>
        <w:spacing w:before="240"/>
        <w:rPr>
          <w:lang w:val="es-ES"/>
        </w:rPr>
      </w:pPr>
      <w:r w:rsidRPr="00784E54">
        <w:rPr>
          <w:lang w:val="es-ES"/>
        </w:rPr>
        <w:t>Las cuatro fundaciones públicas presentan auditoría de cuentas anuales y t</w:t>
      </w:r>
      <w:r w:rsidRPr="00784E54">
        <w:rPr>
          <w:lang w:val="es-ES"/>
        </w:rPr>
        <w:t>o</w:t>
      </w:r>
      <w:r w:rsidRPr="00784E54">
        <w:rPr>
          <w:lang w:val="es-ES"/>
        </w:rPr>
        <w:t xml:space="preserve">das ellas presentan opinión </w:t>
      </w:r>
      <w:r w:rsidR="00E342D5">
        <w:rPr>
          <w:lang w:val="es-ES"/>
        </w:rPr>
        <w:t>no modificada</w:t>
      </w:r>
      <w:r w:rsidRPr="00784E54">
        <w:rPr>
          <w:lang w:val="es-ES"/>
        </w:rPr>
        <w:t xml:space="preserve">. </w:t>
      </w:r>
    </w:p>
    <w:p w:rsidR="00784E54" w:rsidRPr="00784E54" w:rsidRDefault="00784E54" w:rsidP="00E54E8B">
      <w:pPr>
        <w:pStyle w:val="texto"/>
        <w:rPr>
          <w:lang w:val="es-ES"/>
        </w:rPr>
      </w:pPr>
      <w:r w:rsidRPr="00784E54">
        <w:rPr>
          <w:lang w:val="es-ES"/>
        </w:rPr>
        <w:t>De la revisión del contenido de las cuentas de las fundaciones públicas h</w:t>
      </w:r>
      <w:r w:rsidRPr="00784E54">
        <w:rPr>
          <w:lang w:val="es-ES"/>
        </w:rPr>
        <w:t>e</w:t>
      </w:r>
      <w:r w:rsidRPr="00784E54">
        <w:rPr>
          <w:lang w:val="es-ES"/>
        </w:rPr>
        <w:t>mos constatado que no se especifican todos los saldos y transacciones con ent</w:t>
      </w:r>
      <w:r w:rsidRPr="00784E54">
        <w:rPr>
          <w:lang w:val="es-ES"/>
        </w:rPr>
        <w:t>i</w:t>
      </w:r>
      <w:r w:rsidRPr="00784E54">
        <w:rPr>
          <w:lang w:val="es-ES"/>
        </w:rPr>
        <w:t>dades vinculadas.</w:t>
      </w:r>
    </w:p>
    <w:p w:rsidR="00784E54" w:rsidRPr="00784E54" w:rsidRDefault="00784E54" w:rsidP="00E54E8B">
      <w:pPr>
        <w:pStyle w:val="texto"/>
        <w:rPr>
          <w:lang w:val="es-ES"/>
        </w:rPr>
      </w:pPr>
      <w:r w:rsidRPr="00784E54">
        <w:rPr>
          <w:lang w:val="es-ES"/>
        </w:rPr>
        <w:lastRenderedPageBreak/>
        <w:t>Al igual que con las empresas</w:t>
      </w:r>
      <w:r w:rsidR="00752F09">
        <w:rPr>
          <w:lang w:val="es-ES"/>
        </w:rPr>
        <w:t xml:space="preserve"> públicas, en 2017 </w:t>
      </w:r>
      <w:r w:rsidR="00A46310">
        <w:rPr>
          <w:lang w:val="es-ES"/>
        </w:rPr>
        <w:t xml:space="preserve">ha finalizado la </w:t>
      </w:r>
      <w:r w:rsidRPr="00784E54">
        <w:rPr>
          <w:lang w:val="es-ES"/>
        </w:rPr>
        <w:t>auditoría de cumplimiento de legalidad en esta</w:t>
      </w:r>
      <w:r w:rsidR="00752F09">
        <w:rPr>
          <w:lang w:val="es-ES"/>
        </w:rPr>
        <w:t>s</w:t>
      </w:r>
      <w:r w:rsidRPr="00784E54">
        <w:rPr>
          <w:lang w:val="es-ES"/>
        </w:rPr>
        <w:t xml:space="preserve"> fundaciones mediante contrataciones a e</w:t>
      </w:r>
      <w:r w:rsidRPr="00784E54">
        <w:rPr>
          <w:lang w:val="es-ES"/>
        </w:rPr>
        <w:t>m</w:t>
      </w:r>
      <w:r w:rsidRPr="00784E54">
        <w:rPr>
          <w:lang w:val="es-ES"/>
        </w:rPr>
        <w:t>presas privadas</w:t>
      </w:r>
      <w:r w:rsidR="00A46310">
        <w:rPr>
          <w:lang w:val="es-ES"/>
        </w:rPr>
        <w:t>, y el Servicio de Intervención del Gobierno de Navarra la está analizando</w:t>
      </w:r>
      <w:r w:rsidRPr="00784E54">
        <w:rPr>
          <w:lang w:val="es-ES"/>
        </w:rPr>
        <w:t>.</w:t>
      </w:r>
      <w:r w:rsidR="00A46310">
        <w:rPr>
          <w:lang w:val="es-ES"/>
        </w:rPr>
        <w:t xml:space="preserve"> </w:t>
      </w:r>
    </w:p>
    <w:p w:rsidR="00784E54" w:rsidRPr="00784E54" w:rsidRDefault="00784E54" w:rsidP="00E54E8B">
      <w:pPr>
        <w:pStyle w:val="texto"/>
        <w:rPr>
          <w:lang w:val="es-ES"/>
        </w:rPr>
      </w:pPr>
      <w:r w:rsidRPr="00784E54">
        <w:rPr>
          <w:lang w:val="es-ES"/>
        </w:rPr>
        <w:t>Como hecho relevante posterior al cierre del ejercicio, en marzo de 2017, en cumplimiento de una recomendación realizada por esta Cámara, se firmó un acuerdo de gobierno por el que la Fundación Miguel Induráin ha pasado a co</w:t>
      </w:r>
      <w:r w:rsidRPr="00784E54">
        <w:rPr>
          <w:lang w:val="es-ES"/>
        </w:rPr>
        <w:t>n</w:t>
      </w:r>
      <w:r w:rsidRPr="00784E54">
        <w:rPr>
          <w:lang w:val="es-ES"/>
        </w:rPr>
        <w:t xml:space="preserve">siderarse fundación pública. </w:t>
      </w:r>
    </w:p>
    <w:p w:rsidR="00784E54" w:rsidRPr="00784E54" w:rsidRDefault="00784E54" w:rsidP="00E54E8B">
      <w:pPr>
        <w:pStyle w:val="texto"/>
        <w:rPr>
          <w:lang w:val="es-ES"/>
        </w:rPr>
      </w:pPr>
      <w:r w:rsidRPr="00784E54">
        <w:rPr>
          <w:lang w:val="es-ES"/>
        </w:rPr>
        <w:t xml:space="preserve">Recomendamos: </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54E8B">
        <w:rPr>
          <w:rFonts w:cs="Arial"/>
          <w:i/>
        </w:rPr>
        <w:t>Sobre las empresas públicas en las que se observan relevantes incertidu</w:t>
      </w:r>
      <w:r w:rsidRPr="00E54E8B">
        <w:rPr>
          <w:rFonts w:cs="Arial"/>
          <w:i/>
        </w:rPr>
        <w:t>m</w:t>
      </w:r>
      <w:r w:rsidRPr="00E54E8B">
        <w:rPr>
          <w:rFonts w:cs="Arial"/>
          <w:i/>
        </w:rPr>
        <w:t>bres sobre la capacidad para continuar con sus operaciones, analizar su viab</w:t>
      </w:r>
      <w:r w:rsidRPr="00E54E8B">
        <w:rPr>
          <w:rFonts w:cs="Arial"/>
          <w:i/>
        </w:rPr>
        <w:t>i</w:t>
      </w:r>
      <w:r w:rsidRPr="00E54E8B">
        <w:rPr>
          <w:rFonts w:cs="Arial"/>
          <w:i/>
        </w:rPr>
        <w:t>lidad tanto desde la vertiente económica como social, exigiendo el apoyo f</w:t>
      </w:r>
      <w:r w:rsidRPr="00E54E8B">
        <w:rPr>
          <w:rFonts w:cs="Arial"/>
          <w:i/>
        </w:rPr>
        <w:t>i</w:t>
      </w:r>
      <w:r w:rsidRPr="00E54E8B">
        <w:rPr>
          <w:rFonts w:cs="Arial"/>
          <w:i/>
        </w:rPr>
        <w:t>nanciero de todos los accionistas.</w:t>
      </w:r>
    </w:p>
    <w:p w:rsidR="00784E54" w:rsidRPr="00E54E8B"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54E8B">
        <w:rPr>
          <w:rFonts w:cs="Arial"/>
          <w:i/>
        </w:rPr>
        <w:t>Analizar si la sociedad Parque de la Naturaleza</w:t>
      </w:r>
      <w:r w:rsidR="007903E7">
        <w:rPr>
          <w:rFonts w:cs="Arial"/>
          <w:i/>
        </w:rPr>
        <w:t xml:space="preserve"> de Navarra</w:t>
      </w:r>
      <w:r w:rsidRPr="00E54E8B">
        <w:rPr>
          <w:rFonts w:cs="Arial"/>
          <w:i/>
        </w:rPr>
        <w:t xml:space="preserve"> S.A. reúne las condiciones para su consideración como empresa pública, a efectos de la Ley Foral de Patrimonio y de la Ley Foral de Hacienda Pública de Navarra.</w:t>
      </w:r>
    </w:p>
    <w:p w:rsidR="00784E54" w:rsidRDefault="00784E54" w:rsidP="0066403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54E8B">
        <w:rPr>
          <w:rFonts w:cs="Arial"/>
          <w:i/>
        </w:rPr>
        <w:t>Incluir en las cuentas de las fundaciones públicas todos los saldos y transacciones de estas organizaciones con sus entidades vinculadas.</w:t>
      </w:r>
    </w:p>
    <w:p w:rsidR="005C0FDA" w:rsidRPr="00EE34CE" w:rsidRDefault="005C0FDA" w:rsidP="005C0FDA">
      <w:pPr>
        <w:pStyle w:val="atitulo2"/>
        <w:spacing w:before="240"/>
        <w:rPr>
          <w:bCs w:val="0"/>
          <w:iCs w:val="0"/>
          <w:lang w:val="es-ES"/>
        </w:rPr>
      </w:pPr>
      <w:bookmarkStart w:id="90" w:name="_Toc498515805"/>
      <w:r>
        <w:rPr>
          <w:bCs w:val="0"/>
          <w:iCs w:val="0"/>
          <w:lang w:val="es-ES"/>
        </w:rPr>
        <w:t>IV</w:t>
      </w:r>
      <w:r w:rsidRPr="00EE34CE">
        <w:rPr>
          <w:bCs w:val="0"/>
          <w:iCs w:val="0"/>
          <w:lang w:val="es-ES"/>
        </w:rPr>
        <w:t>.1</w:t>
      </w:r>
      <w:r>
        <w:rPr>
          <w:bCs w:val="0"/>
          <w:iCs w:val="0"/>
          <w:lang w:val="es-ES"/>
        </w:rPr>
        <w:t>6</w:t>
      </w:r>
      <w:r w:rsidRPr="00EE34CE">
        <w:rPr>
          <w:bCs w:val="0"/>
          <w:iCs w:val="0"/>
          <w:lang w:val="es-ES"/>
        </w:rPr>
        <w:t xml:space="preserve">. </w:t>
      </w:r>
      <w:r>
        <w:rPr>
          <w:bCs w:val="0"/>
          <w:iCs w:val="0"/>
          <w:lang w:val="es-ES"/>
        </w:rPr>
        <w:t>Entorno tecnológico</w:t>
      </w:r>
      <w:bookmarkEnd w:id="90"/>
    </w:p>
    <w:p w:rsidR="004309A4" w:rsidRPr="004309A4" w:rsidRDefault="004309A4" w:rsidP="0065108F">
      <w:pPr>
        <w:pStyle w:val="texto"/>
        <w:rPr>
          <w:lang w:val="es-ES"/>
        </w:rPr>
      </w:pPr>
      <w:r w:rsidRPr="004309A4">
        <w:rPr>
          <w:lang w:val="es-ES"/>
        </w:rPr>
        <w:t xml:space="preserve">Los sistemas de información y la tecnología juegan un papel fundamental en la gestión que lleva a cabo cualquier organización incluida la Administración Foral de Navarra. Dada </w:t>
      </w:r>
      <w:r>
        <w:rPr>
          <w:lang w:val="es-ES"/>
        </w:rPr>
        <w:t>su</w:t>
      </w:r>
      <w:r w:rsidRPr="004309A4">
        <w:rPr>
          <w:lang w:val="es-ES"/>
        </w:rPr>
        <w:t xml:space="preserve"> relevancia hemos incorporado por primera vez al i</w:t>
      </w:r>
      <w:r w:rsidRPr="004309A4">
        <w:rPr>
          <w:lang w:val="es-ES"/>
        </w:rPr>
        <w:t>n</w:t>
      </w:r>
      <w:r w:rsidRPr="004309A4">
        <w:rPr>
          <w:lang w:val="es-ES"/>
        </w:rPr>
        <w:t>forme de las Cuentas Generales que emite anualmente esta Cámara, las concl</w:t>
      </w:r>
      <w:r w:rsidRPr="004309A4">
        <w:rPr>
          <w:lang w:val="es-ES"/>
        </w:rPr>
        <w:t>u</w:t>
      </w:r>
      <w:r w:rsidRPr="004309A4">
        <w:rPr>
          <w:lang w:val="es-ES"/>
        </w:rPr>
        <w:t>siones sobre el “entorno tecnológico” o sistemas de información económico-financiera y controles de las tecnologías de la información que realiza el G</w:t>
      </w:r>
      <w:r w:rsidRPr="004309A4">
        <w:rPr>
          <w:lang w:val="es-ES"/>
        </w:rPr>
        <w:t>o</w:t>
      </w:r>
      <w:r w:rsidRPr="004309A4">
        <w:rPr>
          <w:lang w:val="es-ES"/>
        </w:rPr>
        <w:t>bierno de Navarra a través de la DGITIP.</w:t>
      </w:r>
    </w:p>
    <w:p w:rsidR="004309A4" w:rsidRDefault="004309A4" w:rsidP="0065108F">
      <w:pPr>
        <w:pStyle w:val="texto"/>
        <w:rPr>
          <w:lang w:val="es-ES"/>
        </w:rPr>
      </w:pPr>
      <w:r w:rsidRPr="004309A4">
        <w:rPr>
          <w:lang w:val="es-ES"/>
        </w:rPr>
        <w:t>Para llevar a cabo este análisis, y dado que este es el primer año que se i</w:t>
      </w:r>
      <w:r w:rsidRPr="004309A4">
        <w:rPr>
          <w:lang w:val="es-ES"/>
        </w:rPr>
        <w:t>n</w:t>
      </w:r>
      <w:r w:rsidRPr="004309A4">
        <w:rPr>
          <w:lang w:val="es-ES"/>
        </w:rPr>
        <w:t>cluye este trabajo, remitimos un cuestionario de carácter general que nos pe</w:t>
      </w:r>
      <w:r w:rsidRPr="004309A4">
        <w:rPr>
          <w:lang w:val="es-ES"/>
        </w:rPr>
        <w:t>r</w:t>
      </w:r>
      <w:r w:rsidRPr="004309A4">
        <w:rPr>
          <w:lang w:val="es-ES"/>
        </w:rPr>
        <w:t>mitiera evaluar el entorno tecnológico de forma global; en años próximos, las fiscalizaciones que realice esta Cámara serán más exhaustivas y detalladas.</w:t>
      </w:r>
    </w:p>
    <w:p w:rsidR="004309A4" w:rsidRPr="004309A4" w:rsidRDefault="004309A4" w:rsidP="0065108F">
      <w:pPr>
        <w:pStyle w:val="texto"/>
        <w:rPr>
          <w:lang w:val="es-ES"/>
        </w:rPr>
      </w:pPr>
      <w:r w:rsidRPr="004309A4">
        <w:rPr>
          <w:lang w:val="es-ES"/>
        </w:rPr>
        <w:t>Esta Cámara emitió en junio de 2016 un informe sobre la estructura organ</w:t>
      </w:r>
      <w:r w:rsidRPr="004309A4">
        <w:rPr>
          <w:lang w:val="es-ES"/>
        </w:rPr>
        <w:t>i</w:t>
      </w:r>
      <w:r w:rsidRPr="004309A4">
        <w:rPr>
          <w:lang w:val="es-ES"/>
        </w:rPr>
        <w:t>zativa de la Administración de la Comunidad Foral para la gestión de la info</w:t>
      </w:r>
      <w:r w:rsidRPr="004309A4">
        <w:rPr>
          <w:lang w:val="es-ES"/>
        </w:rPr>
        <w:t>r</w:t>
      </w:r>
      <w:r w:rsidRPr="004309A4">
        <w:rPr>
          <w:lang w:val="es-ES"/>
        </w:rPr>
        <w:t xml:space="preserve">mática. En él se explicaba que </w:t>
      </w:r>
      <w:r>
        <w:rPr>
          <w:lang w:val="es-ES"/>
        </w:rPr>
        <w:t>la DGITIP</w:t>
      </w:r>
      <w:r w:rsidRPr="004309A4">
        <w:rPr>
          <w:lang w:val="es-ES"/>
        </w:rPr>
        <w:t xml:space="preserve"> coordina y gestiona todas las tareas relacionadas con los sistemas de información</w:t>
      </w:r>
      <w:r>
        <w:rPr>
          <w:lang w:val="es-ES"/>
        </w:rPr>
        <w:t xml:space="preserve"> y la informática</w:t>
      </w:r>
      <w:r w:rsidRPr="004309A4">
        <w:rPr>
          <w:lang w:val="es-ES"/>
        </w:rPr>
        <w:t xml:space="preserve"> de los depart</w:t>
      </w:r>
      <w:r w:rsidRPr="004309A4">
        <w:rPr>
          <w:lang w:val="es-ES"/>
        </w:rPr>
        <w:t>a</w:t>
      </w:r>
      <w:r w:rsidRPr="004309A4">
        <w:rPr>
          <w:lang w:val="es-ES"/>
        </w:rPr>
        <w:t>mentos del Gobierno de Navarra.</w:t>
      </w:r>
      <w:r>
        <w:rPr>
          <w:lang w:val="es-ES"/>
        </w:rPr>
        <w:t xml:space="preserve"> Por este motivo, enviamos el cuestionario a esta dirección y del análisis de las respuestas hemos obtenido las siguientes conclusiones:</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lastRenderedPageBreak/>
        <w:t>Existen manuales de procedimientos y estratégicos por departamentos o secciones de éstos, pero no constan manuales unificados consecuencia de la e</w:t>
      </w:r>
      <w:r w:rsidRPr="0065108F">
        <w:rPr>
          <w:rFonts w:cs="Arial"/>
        </w:rPr>
        <w:t>s</w:t>
      </w:r>
      <w:r w:rsidRPr="0065108F">
        <w:rPr>
          <w:rFonts w:cs="Arial"/>
        </w:rPr>
        <w:t>tructura organizativa de la gestión de la informática de la Administración de la Comunidad Foral caracterizada por la descentralización de la gestión en los distintos departamentos que la componen.</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Existen directrices sobre la política de seguridad de información pero no existe un documento aprobado formalmente al respecto.</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El Real Decreto 3/2010 por el que se regula el Esquema Nacional de Seg</w:t>
      </w:r>
      <w:r w:rsidRPr="0065108F">
        <w:rPr>
          <w:rFonts w:cs="Arial"/>
        </w:rPr>
        <w:t>u</w:t>
      </w:r>
      <w:r w:rsidRPr="0065108F">
        <w:rPr>
          <w:rFonts w:cs="Arial"/>
        </w:rPr>
        <w:t>ridad en el ámbito de la Administración Electrónica, y el Real Decreto 1720/2007 por el que se aprueba el Reglamento de desarrollo de la Ley Orgán</w:t>
      </w:r>
      <w:r w:rsidRPr="0065108F">
        <w:rPr>
          <w:rFonts w:cs="Arial"/>
        </w:rPr>
        <w:t>i</w:t>
      </w:r>
      <w:r w:rsidRPr="0065108F">
        <w:rPr>
          <w:rFonts w:cs="Arial"/>
        </w:rPr>
        <w:t>ca 15/1999 de Protección de Datos de carácter personal, especificaban, entre otras, las siguientes obligaciones: nombrar a responsables de seguridad, realizar auditorías periódicas, elaborar documentos de seguridad, documentos de ad</w:t>
      </w:r>
      <w:r w:rsidRPr="0065108F">
        <w:rPr>
          <w:rFonts w:cs="Arial"/>
        </w:rPr>
        <w:t>e</w:t>
      </w:r>
      <w:r w:rsidRPr="0065108F">
        <w:rPr>
          <w:rFonts w:cs="Arial"/>
        </w:rPr>
        <w:t>cuación al esquema citado y al Esquema Nacional de Interoperabilidad, inscr</w:t>
      </w:r>
      <w:r w:rsidRPr="0065108F">
        <w:rPr>
          <w:rFonts w:cs="Arial"/>
        </w:rPr>
        <w:t>i</w:t>
      </w:r>
      <w:r w:rsidRPr="0065108F">
        <w:rPr>
          <w:rFonts w:cs="Arial"/>
        </w:rPr>
        <w:t>bir ficheros de datos personales, etc.</w:t>
      </w:r>
    </w:p>
    <w:p w:rsidR="004309A4" w:rsidRDefault="004309A4" w:rsidP="0065108F">
      <w:pPr>
        <w:pStyle w:val="texto"/>
        <w:rPr>
          <w:lang w:val="es-ES"/>
        </w:rPr>
      </w:pPr>
      <w:r w:rsidRPr="004309A4">
        <w:rPr>
          <w:lang w:val="es-ES"/>
        </w:rPr>
        <w:t>Al respecto, algunos departamentos del Gobierno de Navarra han cumplido con lo exigido por la normativa, pero otros aún se encuentran en este proceso contrariamente a los plazos establecidos en la regulación citada.</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Las bajas de los usuarios de la red local y de las aplicaciones no son com</w:t>
      </w:r>
      <w:r w:rsidRPr="0065108F">
        <w:rPr>
          <w:rFonts w:cs="Arial"/>
        </w:rPr>
        <w:t>u</w:t>
      </w:r>
      <w:r w:rsidRPr="0065108F">
        <w:rPr>
          <w:rFonts w:cs="Arial"/>
        </w:rPr>
        <w:t>nicadas en todos los casos por los departamentos a la DGITIP de manera rápida y oportuna.</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Existen planes de continuidad y recuperación de la información para las i</w:t>
      </w:r>
      <w:r w:rsidRPr="0065108F">
        <w:rPr>
          <w:rFonts w:cs="Arial"/>
        </w:rPr>
        <w:t>n</w:t>
      </w:r>
      <w:r w:rsidRPr="0065108F">
        <w:rPr>
          <w:rFonts w:cs="Arial"/>
        </w:rPr>
        <w:t>fraestructuras de los sistemas de información, si bien no están aprobadas fo</w:t>
      </w:r>
      <w:r w:rsidRPr="0065108F">
        <w:rPr>
          <w:rFonts w:cs="Arial"/>
        </w:rPr>
        <w:t>r</w:t>
      </w:r>
      <w:r w:rsidRPr="0065108F">
        <w:rPr>
          <w:rFonts w:cs="Arial"/>
        </w:rPr>
        <w:t>malmente, pero no para las aplicaciones.</w:t>
      </w:r>
    </w:p>
    <w:p w:rsidR="004309A4" w:rsidRPr="00181E8F" w:rsidRDefault="004309A4" w:rsidP="0065108F">
      <w:pPr>
        <w:pStyle w:val="texto"/>
      </w:pPr>
      <w:r w:rsidRPr="00181E8F">
        <w:t>Recomendamos:</w:t>
      </w:r>
    </w:p>
    <w:p w:rsidR="00ED33C2"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108F">
        <w:rPr>
          <w:rFonts w:cs="Arial"/>
          <w:i/>
        </w:rPr>
        <w:t>Aprobar un documento de manera formal sobre la política de seguridad de la información.</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108F">
        <w:rPr>
          <w:rFonts w:cs="Arial"/>
          <w:i/>
        </w:rPr>
        <w:t>Cumplir con las exigencias legales contenidas en los reales decretos cit</w:t>
      </w:r>
      <w:r w:rsidRPr="0065108F">
        <w:rPr>
          <w:rFonts w:cs="Arial"/>
          <w:i/>
        </w:rPr>
        <w:t>a</w:t>
      </w:r>
      <w:r w:rsidRPr="0065108F">
        <w:rPr>
          <w:rFonts w:cs="Arial"/>
          <w:i/>
        </w:rPr>
        <w:t>dos.</w:t>
      </w:r>
    </w:p>
    <w:p w:rsidR="00ED33C2"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108F">
        <w:rPr>
          <w:rFonts w:cs="Arial"/>
          <w:i/>
        </w:rPr>
        <w:t>Comunicar de forma rápida y oportuna en el tiempo por parte de los d</w:t>
      </w:r>
      <w:r w:rsidRPr="0065108F">
        <w:rPr>
          <w:rFonts w:cs="Arial"/>
          <w:i/>
        </w:rPr>
        <w:t>e</w:t>
      </w:r>
      <w:r w:rsidRPr="0065108F">
        <w:rPr>
          <w:rFonts w:cs="Arial"/>
          <w:i/>
        </w:rPr>
        <w:t>partamentos a la DGITIP las bajas de los usuarios de la red local y de las aplicaciones.</w:t>
      </w:r>
    </w:p>
    <w:p w:rsidR="004309A4" w:rsidRPr="0065108F" w:rsidRDefault="004309A4"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108F">
        <w:rPr>
          <w:rFonts w:cs="Arial"/>
          <w:i/>
        </w:rPr>
        <w:t xml:space="preserve">Aprobar </w:t>
      </w:r>
      <w:r w:rsidR="004E68C1" w:rsidRPr="0065108F">
        <w:rPr>
          <w:rFonts w:cs="Arial"/>
          <w:i/>
        </w:rPr>
        <w:t>l</w:t>
      </w:r>
      <w:r w:rsidRPr="0065108F">
        <w:rPr>
          <w:rFonts w:cs="Arial"/>
          <w:i/>
        </w:rPr>
        <w:t>os planes de continuidad y recuperación para las infraestruct</w:t>
      </w:r>
      <w:r w:rsidRPr="0065108F">
        <w:rPr>
          <w:rFonts w:cs="Arial"/>
          <w:i/>
        </w:rPr>
        <w:t>u</w:t>
      </w:r>
      <w:r w:rsidRPr="0065108F">
        <w:rPr>
          <w:rFonts w:cs="Arial"/>
          <w:i/>
        </w:rPr>
        <w:t>ras de los sistemas de información, y elaborar los referidos a las aplicaciones que sean susceptibles de ello.</w:t>
      </w:r>
    </w:p>
    <w:p w:rsidR="006F7B66" w:rsidRDefault="006F7B66">
      <w:pPr>
        <w:spacing w:after="0"/>
        <w:ind w:firstLine="0"/>
        <w:jc w:val="left"/>
        <w:rPr>
          <w:spacing w:val="6"/>
          <w:sz w:val="26"/>
          <w:szCs w:val="24"/>
        </w:rPr>
      </w:pPr>
      <w:r>
        <w:br w:type="page"/>
      </w:r>
    </w:p>
    <w:p w:rsidR="004C141F" w:rsidRPr="008E3284" w:rsidRDefault="004C141F" w:rsidP="004C141F">
      <w:pPr>
        <w:pStyle w:val="texto"/>
        <w:spacing w:before="240"/>
      </w:pPr>
      <w:r w:rsidRPr="008E3284">
        <w:lastRenderedPageBreak/>
        <w:t>Informe que se emite a propuesta de la auditora Karen Moreno Orduña, re</w:t>
      </w:r>
      <w:r w:rsidRPr="008E3284">
        <w:t>s</w:t>
      </w:r>
      <w:r w:rsidRPr="008E3284">
        <w:t>ponsable de la realización de este trabajo, una vez cumplimentados los trámites previstos por la normativa vigente.</w:t>
      </w:r>
    </w:p>
    <w:p w:rsidR="004C141F" w:rsidRPr="00F26E91" w:rsidRDefault="004C141F" w:rsidP="004C141F">
      <w:pPr>
        <w:pStyle w:val="texto"/>
        <w:jc w:val="center"/>
      </w:pPr>
      <w:r w:rsidRPr="00F26E91">
        <w:t xml:space="preserve">Pamplona, </w:t>
      </w:r>
      <w:r w:rsidR="00014092">
        <w:t>1</w:t>
      </w:r>
      <w:r w:rsidR="00A6504A">
        <w:t>6</w:t>
      </w:r>
      <w:r w:rsidRPr="00F26E91">
        <w:t xml:space="preserve"> de </w:t>
      </w:r>
      <w:r w:rsidR="002475D2">
        <w:t>noviemb</w:t>
      </w:r>
      <w:r w:rsidRPr="00F26E91">
        <w:t>re de 2017</w:t>
      </w:r>
    </w:p>
    <w:p w:rsidR="004C141F" w:rsidRDefault="004C141F" w:rsidP="004C141F">
      <w:pPr>
        <w:pStyle w:val="texto"/>
        <w:jc w:val="center"/>
      </w:pPr>
      <w:r w:rsidRPr="00F26E91">
        <w:t xml:space="preserve">La </w:t>
      </w:r>
      <w:r w:rsidR="002475D2">
        <w:t>presidenta, Asunción Olaechea Estanga</w:t>
      </w:r>
    </w:p>
    <w:p w:rsidR="005F57CB" w:rsidRPr="00F26E91" w:rsidRDefault="005F57CB" w:rsidP="004C141F">
      <w:pPr>
        <w:pStyle w:val="texto"/>
        <w:jc w:val="center"/>
        <w:rPr>
          <w:i/>
        </w:rPr>
      </w:pPr>
    </w:p>
    <w:p w:rsidR="005F57CB" w:rsidRDefault="005F57CB" w:rsidP="004C141F">
      <w:pPr>
        <w:pStyle w:val="texto"/>
        <w:rPr>
          <w:i/>
        </w:rPr>
        <w:sectPr w:rsidR="005F57CB" w:rsidSect="001F3380">
          <w:headerReference w:type="even" r:id="rId15"/>
          <w:footerReference w:type="default" r:id="rId16"/>
          <w:pgSz w:w="11907" w:h="16840" w:code="9"/>
          <w:pgMar w:top="2109" w:right="1559" w:bottom="1644" w:left="1559" w:header="369" w:footer="136" w:gutter="0"/>
          <w:pgNumType w:start="3"/>
          <w:cols w:space="720"/>
          <w:docGrid w:linePitch="360"/>
        </w:sectPr>
      </w:pPr>
    </w:p>
    <w:p w:rsidR="00ED33C2" w:rsidRDefault="0065108F" w:rsidP="0065108F">
      <w:pPr>
        <w:pStyle w:val="atitulo1"/>
      </w:pPr>
      <w:bookmarkStart w:id="91" w:name="_Toc498515806"/>
      <w:r w:rsidRPr="00ED33C2">
        <w:lastRenderedPageBreak/>
        <w:t>Apéndice 1.</w:t>
      </w:r>
      <w:r w:rsidR="00ED33C2" w:rsidRPr="00ED33C2">
        <w:t xml:space="preserve"> Contratación de publicidad institucional y de turismo del Gobierno de Navarra y sus empresas públicas</w:t>
      </w:r>
      <w:bookmarkEnd w:id="91"/>
      <w:r w:rsidR="00ED33C2" w:rsidRPr="00ED33C2">
        <w:t xml:space="preserve"> </w:t>
      </w:r>
    </w:p>
    <w:p w:rsidR="002757CA" w:rsidRDefault="008F6390" w:rsidP="008F6390">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Pr>
          <w:rFonts w:cs="Arial"/>
        </w:rPr>
        <w:t>El 12 de abril de 2017 se registró en la Cámara de Comptos una petición pa</w:t>
      </w:r>
      <w:r>
        <w:rPr>
          <w:rFonts w:cs="Arial"/>
        </w:rPr>
        <w:t>r</w:t>
      </w:r>
      <w:r>
        <w:rPr>
          <w:rFonts w:cs="Arial"/>
        </w:rPr>
        <w:t xml:space="preserve">lamentaria a instancias del grupo parlamentario Partido Socialista de Navarra en la que se solicitaba </w:t>
      </w:r>
      <w:r w:rsidR="00192187" w:rsidRPr="00624779">
        <w:rPr>
          <w:rFonts w:cs="Arial"/>
        </w:rPr>
        <w:t xml:space="preserve">analizar la </w:t>
      </w:r>
      <w:r>
        <w:rPr>
          <w:rFonts w:cs="Arial"/>
        </w:rPr>
        <w:t xml:space="preserve">contratación de la publicidad </w:t>
      </w:r>
      <w:r w:rsidR="002757CA">
        <w:rPr>
          <w:rFonts w:cs="Arial"/>
        </w:rPr>
        <w:t>del Gobierno de Navarra, relacionada expresamente con la publicidad institucional y con el t</w:t>
      </w:r>
      <w:r w:rsidR="002757CA">
        <w:rPr>
          <w:rFonts w:cs="Arial"/>
        </w:rPr>
        <w:t>u</w:t>
      </w:r>
      <w:r w:rsidR="002757CA">
        <w:rPr>
          <w:rFonts w:cs="Arial"/>
        </w:rPr>
        <w:t>rismo, y la de sus empresas públicas en 2016.</w:t>
      </w:r>
    </w:p>
    <w:p w:rsidR="00192187" w:rsidRDefault="002757CA" w:rsidP="008F6390">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Pr>
          <w:rFonts w:cs="Arial"/>
        </w:rPr>
        <w:t xml:space="preserve">En concreto se especificaba que se revisara la </w:t>
      </w:r>
      <w:r w:rsidR="00192187" w:rsidRPr="00624779">
        <w:rPr>
          <w:rFonts w:cs="Arial"/>
        </w:rPr>
        <w:t>equidad del reparto entre m</w:t>
      </w:r>
      <w:r w:rsidR="00192187" w:rsidRPr="00624779">
        <w:rPr>
          <w:rFonts w:cs="Arial"/>
        </w:rPr>
        <w:t>e</w:t>
      </w:r>
      <w:r w:rsidR="00192187" w:rsidRPr="00624779">
        <w:rPr>
          <w:rFonts w:cs="Arial"/>
        </w:rPr>
        <w:t xml:space="preserve">dios de los gastos </w:t>
      </w:r>
      <w:r w:rsidR="008F6390">
        <w:rPr>
          <w:rFonts w:cs="Arial"/>
        </w:rPr>
        <w:t>de publicidad institucional y turismo del Gobierno de Nav</w:t>
      </w:r>
      <w:r w:rsidR="008F6390">
        <w:rPr>
          <w:rFonts w:cs="Arial"/>
        </w:rPr>
        <w:t>a</w:t>
      </w:r>
      <w:r w:rsidR="008F6390">
        <w:rPr>
          <w:rFonts w:cs="Arial"/>
        </w:rPr>
        <w:t>rra</w:t>
      </w:r>
      <w:r w:rsidR="00192187" w:rsidRPr="00624779">
        <w:rPr>
          <w:rFonts w:cs="Arial"/>
        </w:rPr>
        <w:t>, así como la adecuación a la normativa y a la lógica de equidad de los ga</w:t>
      </w:r>
      <w:r w:rsidR="00192187" w:rsidRPr="00624779">
        <w:rPr>
          <w:rFonts w:cs="Arial"/>
        </w:rPr>
        <w:t>s</w:t>
      </w:r>
      <w:r w:rsidR="00192187" w:rsidRPr="00624779">
        <w:rPr>
          <w:rFonts w:cs="Arial"/>
        </w:rPr>
        <w:t>tos de las empresas públicas.</w:t>
      </w:r>
    </w:p>
    <w:p w:rsidR="00F82E35" w:rsidRPr="00E54E8B" w:rsidRDefault="00F82E35" w:rsidP="00F82E35">
      <w:pPr>
        <w:spacing w:before="240" w:after="24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Gastos en publicidad institucional y turismo del Gobierno de Navarra</w:t>
      </w:r>
    </w:p>
    <w:p w:rsidR="002757CA" w:rsidRPr="00784E54" w:rsidRDefault="002757CA" w:rsidP="002F6C70">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rFonts w:cs="Arial"/>
        </w:rPr>
      </w:pPr>
      <w:r>
        <w:rPr>
          <w:rFonts w:cs="Arial"/>
        </w:rPr>
        <w:t xml:space="preserve">Los gastos en publicidad institucional y turismo de la Administración de la Comunidad Foral se engloban dentro del concepto económico “publicidad y propaganda”. </w:t>
      </w:r>
      <w:r w:rsidRPr="00A9473F">
        <w:rPr>
          <w:rFonts w:cs="Arial"/>
        </w:rPr>
        <w:t>L</w:t>
      </w:r>
      <w:r w:rsidRPr="00784E54">
        <w:rPr>
          <w:rFonts w:cs="Arial"/>
        </w:rPr>
        <w:t>a evolución del gasto</w:t>
      </w:r>
      <w:r>
        <w:rPr>
          <w:rFonts w:cs="Arial"/>
        </w:rPr>
        <w:t xml:space="preserve"> en el capítulo 2 de bienes corrientes y se</w:t>
      </w:r>
      <w:r>
        <w:rPr>
          <w:rFonts w:cs="Arial"/>
        </w:rPr>
        <w:t>r</w:t>
      </w:r>
      <w:r>
        <w:rPr>
          <w:rFonts w:cs="Arial"/>
        </w:rPr>
        <w:t>vicios, del gasto</w:t>
      </w:r>
      <w:r w:rsidRPr="00784E54">
        <w:rPr>
          <w:rFonts w:cs="Arial"/>
        </w:rPr>
        <w:t xml:space="preserve"> en publicidad y propaganda en el Gobierno de Navarra</w:t>
      </w:r>
      <w:r>
        <w:rPr>
          <w:rFonts w:cs="Arial"/>
        </w:rPr>
        <w:t>, y del gasto en publicidad institucional y turismo</w:t>
      </w:r>
      <w:r w:rsidRPr="00784E54">
        <w:rPr>
          <w:rFonts w:cs="Arial"/>
        </w:rPr>
        <w:t xml:space="preserve"> en los últimos diez años ha sido la siguiente:</w:t>
      </w:r>
    </w:p>
    <w:tbl>
      <w:tblPr>
        <w:tblStyle w:val="Tablaconcuadrcula"/>
        <w:tblW w:w="0" w:type="auto"/>
        <w:tblInd w:w="9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76"/>
        <w:gridCol w:w="694"/>
        <w:gridCol w:w="694"/>
        <w:gridCol w:w="694"/>
        <w:gridCol w:w="695"/>
        <w:gridCol w:w="694"/>
        <w:gridCol w:w="694"/>
        <w:gridCol w:w="695"/>
        <w:gridCol w:w="694"/>
        <w:gridCol w:w="694"/>
        <w:gridCol w:w="695"/>
      </w:tblGrid>
      <w:tr w:rsidR="002757CA" w:rsidRPr="002757CA" w:rsidTr="00EE60AF">
        <w:trPr>
          <w:trHeight w:val="255"/>
        </w:trPr>
        <w:tc>
          <w:tcPr>
            <w:tcW w:w="8819" w:type="dxa"/>
            <w:gridSpan w:val="11"/>
            <w:tcBorders>
              <w:top w:val="nil"/>
              <w:bottom w:val="single" w:sz="4" w:space="0" w:color="auto"/>
            </w:tcBorders>
            <w:shd w:val="clear" w:color="auto" w:fill="auto"/>
            <w:vAlign w:val="center"/>
          </w:tcPr>
          <w:p w:rsidR="002757CA" w:rsidRPr="002757CA" w:rsidRDefault="002757CA" w:rsidP="000A435A">
            <w:pPr>
              <w:tabs>
                <w:tab w:val="left" w:pos="480"/>
              </w:tabs>
              <w:spacing w:after="0"/>
              <w:ind w:firstLine="0"/>
              <w:jc w:val="right"/>
              <w:rPr>
                <w:rFonts w:ascii="Arial" w:hAnsi="Arial" w:cs="Arial"/>
                <w:spacing w:val="6"/>
                <w:sz w:val="17"/>
                <w:szCs w:val="17"/>
              </w:rPr>
            </w:pPr>
            <w:r w:rsidRPr="002757CA">
              <w:rPr>
                <w:rFonts w:ascii="Arial" w:hAnsi="Arial" w:cs="Arial"/>
                <w:spacing w:val="6"/>
                <w:sz w:val="17"/>
                <w:szCs w:val="17"/>
              </w:rPr>
              <w:t>(en millones de euros)</w:t>
            </w:r>
          </w:p>
        </w:tc>
      </w:tr>
      <w:tr w:rsidR="002757CA" w:rsidRPr="00784E54" w:rsidTr="004C141F">
        <w:trPr>
          <w:trHeight w:val="255"/>
        </w:trPr>
        <w:tc>
          <w:tcPr>
            <w:tcW w:w="1876" w:type="dxa"/>
            <w:tcBorders>
              <w:bottom w:val="single" w:sz="4" w:space="0" w:color="auto"/>
            </w:tcBorders>
            <w:shd w:val="clear" w:color="auto" w:fill="8DB3E2" w:themeFill="text2" w:themeFillTint="66"/>
            <w:vAlign w:val="center"/>
          </w:tcPr>
          <w:p w:rsidR="002757CA" w:rsidRPr="00784E54" w:rsidRDefault="002757CA" w:rsidP="000A435A">
            <w:pPr>
              <w:tabs>
                <w:tab w:val="left" w:pos="480"/>
              </w:tabs>
              <w:spacing w:after="0"/>
              <w:ind w:firstLine="0"/>
              <w:rPr>
                <w:rFonts w:ascii="Arial" w:hAnsi="Arial" w:cs="Arial"/>
                <w:spacing w:val="6"/>
                <w:sz w:val="18"/>
                <w:szCs w:val="18"/>
              </w:rPr>
            </w:pP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2007</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2008</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2009</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2010</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2011</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2012</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2013</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2014</w:t>
            </w:r>
          </w:p>
        </w:tc>
        <w:tc>
          <w:tcPr>
            <w:tcW w:w="694"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2015</w:t>
            </w:r>
          </w:p>
        </w:tc>
        <w:tc>
          <w:tcPr>
            <w:tcW w:w="695" w:type="dxa"/>
            <w:tcBorders>
              <w:bottom w:val="single" w:sz="4" w:space="0" w:color="auto"/>
            </w:tcBorders>
            <w:shd w:val="clear" w:color="auto" w:fill="8DB3E2" w:themeFill="text2" w:themeFillTint="66"/>
            <w:vAlign w:val="center"/>
          </w:tcPr>
          <w:p w:rsidR="002757CA" w:rsidRPr="00784E54" w:rsidRDefault="002757CA" w:rsidP="004C141F">
            <w:pPr>
              <w:tabs>
                <w:tab w:val="left" w:pos="480"/>
              </w:tabs>
              <w:spacing w:after="0"/>
              <w:ind w:firstLine="0"/>
              <w:jc w:val="right"/>
              <w:rPr>
                <w:rFonts w:ascii="Arial" w:hAnsi="Arial" w:cs="Arial"/>
                <w:spacing w:val="6"/>
                <w:sz w:val="18"/>
                <w:szCs w:val="18"/>
              </w:rPr>
            </w:pPr>
            <w:r w:rsidRPr="00784E54">
              <w:rPr>
                <w:rFonts w:ascii="Arial" w:hAnsi="Arial" w:cs="Arial"/>
                <w:spacing w:val="6"/>
                <w:sz w:val="18"/>
                <w:szCs w:val="18"/>
              </w:rPr>
              <w:t>2016</w:t>
            </w:r>
          </w:p>
        </w:tc>
      </w:tr>
      <w:tr w:rsidR="002757CA" w:rsidRPr="008F54FC" w:rsidTr="004C141F">
        <w:trPr>
          <w:trHeight w:val="198"/>
        </w:trPr>
        <w:tc>
          <w:tcPr>
            <w:tcW w:w="1876" w:type="dxa"/>
            <w:tcBorders>
              <w:top w:val="single" w:sz="4" w:space="0" w:color="auto"/>
              <w:bottom w:val="single" w:sz="2" w:space="0" w:color="auto"/>
            </w:tcBorders>
            <w:vAlign w:val="center"/>
          </w:tcPr>
          <w:p w:rsidR="002757CA" w:rsidRPr="008F54FC" w:rsidRDefault="002757CA" w:rsidP="000A435A">
            <w:pPr>
              <w:tabs>
                <w:tab w:val="left" w:pos="480"/>
              </w:tabs>
              <w:spacing w:after="0"/>
              <w:ind w:firstLine="0"/>
              <w:jc w:val="left"/>
              <w:rPr>
                <w:rFonts w:ascii="Arial Narrow" w:hAnsi="Arial Narrow" w:cs="Arial"/>
                <w:spacing w:val="6"/>
              </w:rPr>
            </w:pPr>
            <w:r w:rsidRPr="008F54FC">
              <w:rPr>
                <w:rFonts w:ascii="Arial Narrow" w:hAnsi="Arial Narrow" w:cs="Arial"/>
                <w:spacing w:val="6"/>
              </w:rPr>
              <w:t xml:space="preserve">Gasto </w:t>
            </w:r>
            <w:r>
              <w:rPr>
                <w:rFonts w:ascii="Arial Narrow" w:hAnsi="Arial Narrow" w:cs="Arial"/>
                <w:spacing w:val="6"/>
              </w:rPr>
              <w:t>publicidad y propaganda</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10,39</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11,40</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9,36</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3,91</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3,18</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1,93</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1,77</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1,83</w:t>
            </w:r>
          </w:p>
        </w:tc>
        <w:tc>
          <w:tcPr>
            <w:tcW w:w="694"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1,88</w:t>
            </w:r>
          </w:p>
        </w:tc>
        <w:tc>
          <w:tcPr>
            <w:tcW w:w="695" w:type="dxa"/>
            <w:tcBorders>
              <w:top w:val="single" w:sz="4" w:space="0" w:color="auto"/>
              <w:bottom w:val="single" w:sz="2" w:space="0" w:color="auto"/>
            </w:tcBorders>
            <w:vAlign w:val="center"/>
          </w:tcPr>
          <w:p w:rsidR="002757CA" w:rsidRPr="008F54FC" w:rsidRDefault="002757CA" w:rsidP="004C141F">
            <w:pPr>
              <w:tabs>
                <w:tab w:val="left" w:pos="480"/>
              </w:tabs>
              <w:spacing w:after="0"/>
              <w:ind w:firstLine="0"/>
              <w:jc w:val="right"/>
              <w:rPr>
                <w:rFonts w:ascii="Arial Narrow" w:hAnsi="Arial Narrow" w:cs="Arial"/>
                <w:spacing w:val="6"/>
              </w:rPr>
            </w:pPr>
            <w:r w:rsidRPr="008F54FC">
              <w:rPr>
                <w:rFonts w:ascii="Arial Narrow" w:hAnsi="Arial Narrow" w:cs="Arial"/>
                <w:spacing w:val="6"/>
              </w:rPr>
              <w:t>1,69</w:t>
            </w:r>
          </w:p>
        </w:tc>
      </w:tr>
      <w:tr w:rsidR="004C141F" w:rsidRPr="008F54FC" w:rsidTr="004C141F">
        <w:trPr>
          <w:trHeight w:val="198"/>
        </w:trPr>
        <w:tc>
          <w:tcPr>
            <w:tcW w:w="1876" w:type="dxa"/>
            <w:tcBorders>
              <w:top w:val="single" w:sz="2" w:space="0" w:color="auto"/>
              <w:bottom w:val="single" w:sz="4" w:space="0" w:color="auto"/>
            </w:tcBorders>
            <w:vAlign w:val="center"/>
          </w:tcPr>
          <w:p w:rsidR="004C141F" w:rsidRPr="008F54FC" w:rsidRDefault="004C141F" w:rsidP="000A435A">
            <w:pPr>
              <w:tabs>
                <w:tab w:val="left" w:pos="480"/>
              </w:tabs>
              <w:spacing w:after="0"/>
              <w:ind w:firstLine="0"/>
              <w:jc w:val="left"/>
              <w:rPr>
                <w:rFonts w:ascii="Arial Narrow" w:hAnsi="Arial Narrow" w:cs="Arial"/>
                <w:spacing w:val="6"/>
              </w:rPr>
            </w:pPr>
            <w:r>
              <w:rPr>
                <w:rFonts w:ascii="Arial Narrow" w:hAnsi="Arial Narrow" w:cs="Arial"/>
                <w:spacing w:val="6"/>
              </w:rPr>
              <w:t>Gasto petición pa</w:t>
            </w:r>
            <w:r>
              <w:rPr>
                <w:rFonts w:ascii="Arial Narrow" w:hAnsi="Arial Narrow" w:cs="Arial"/>
                <w:spacing w:val="6"/>
              </w:rPr>
              <w:t>r</w:t>
            </w:r>
            <w:r>
              <w:rPr>
                <w:rFonts w:ascii="Arial Narrow" w:hAnsi="Arial Narrow" w:cs="Arial"/>
                <w:spacing w:val="6"/>
              </w:rPr>
              <w:t>lamentaria</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6,31</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6,88</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5,38</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2,82</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2,35</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1,41</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1,23</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1,40</w:t>
            </w:r>
          </w:p>
        </w:tc>
        <w:tc>
          <w:tcPr>
            <w:tcW w:w="694"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1,33</w:t>
            </w:r>
          </w:p>
        </w:tc>
        <w:tc>
          <w:tcPr>
            <w:tcW w:w="695" w:type="dxa"/>
            <w:tcBorders>
              <w:top w:val="single" w:sz="2" w:space="0" w:color="auto"/>
              <w:bottom w:val="single" w:sz="4" w:space="0" w:color="auto"/>
            </w:tcBorders>
            <w:vAlign w:val="center"/>
          </w:tcPr>
          <w:p w:rsidR="004C141F" w:rsidRPr="008F54FC" w:rsidRDefault="004C141F" w:rsidP="004C141F">
            <w:pPr>
              <w:tabs>
                <w:tab w:val="left" w:pos="480"/>
              </w:tabs>
              <w:spacing w:after="0"/>
              <w:ind w:firstLine="0"/>
              <w:jc w:val="right"/>
              <w:rPr>
                <w:rFonts w:ascii="Arial Narrow" w:hAnsi="Arial Narrow" w:cs="Arial"/>
                <w:spacing w:val="6"/>
              </w:rPr>
            </w:pPr>
            <w:r>
              <w:rPr>
                <w:rFonts w:ascii="Arial Narrow" w:hAnsi="Arial Narrow" w:cs="Arial"/>
                <w:spacing w:val="6"/>
              </w:rPr>
              <w:t>0,98</w:t>
            </w:r>
          </w:p>
        </w:tc>
      </w:tr>
    </w:tbl>
    <w:p w:rsidR="002757CA" w:rsidRPr="00784E54" w:rsidRDefault="00B71714" w:rsidP="00B71714">
      <w:pPr>
        <w:pStyle w:val="texto"/>
        <w:spacing w:before="240"/>
        <w:rPr>
          <w:lang w:val="es-ES"/>
        </w:rPr>
      </w:pPr>
      <w:r>
        <w:rPr>
          <w:lang w:val="es-ES"/>
        </w:rPr>
        <w:t>L</w:t>
      </w:r>
      <w:r w:rsidR="002757CA">
        <w:rPr>
          <w:lang w:val="es-ES"/>
        </w:rPr>
        <w:t xml:space="preserve">os </w:t>
      </w:r>
      <w:r w:rsidR="002757CA" w:rsidRPr="00784E54">
        <w:rPr>
          <w:lang w:val="es-ES"/>
        </w:rPr>
        <w:t>gastos</w:t>
      </w:r>
      <w:r w:rsidR="002757CA">
        <w:rPr>
          <w:lang w:val="es-ES"/>
        </w:rPr>
        <w:t xml:space="preserve"> en publicidad y propagan</w:t>
      </w:r>
      <w:r w:rsidR="00FE1E36">
        <w:rPr>
          <w:lang w:val="es-ES"/>
        </w:rPr>
        <w:t>da</w:t>
      </w:r>
      <w:r w:rsidR="002757CA" w:rsidRPr="00784E54">
        <w:rPr>
          <w:lang w:val="es-ES"/>
        </w:rPr>
        <w:t xml:space="preserve"> alcanzan los 1,69 millones en 2016 tras experimentar una bajada muy significativa del </w:t>
      </w:r>
      <w:r w:rsidR="002757CA">
        <w:rPr>
          <w:lang w:val="es-ES"/>
        </w:rPr>
        <w:t>84</w:t>
      </w:r>
      <w:r w:rsidR="002757CA" w:rsidRPr="00784E54">
        <w:rPr>
          <w:lang w:val="es-ES"/>
        </w:rPr>
        <w:t xml:space="preserve"> por ciento.</w:t>
      </w:r>
      <w:r w:rsidR="002757CA">
        <w:rPr>
          <w:lang w:val="es-ES"/>
        </w:rPr>
        <w:t xml:space="preserve"> </w:t>
      </w:r>
    </w:p>
    <w:p w:rsidR="00FE1E36" w:rsidRDefault="00FE1E36" w:rsidP="00FE1E36">
      <w:pPr>
        <w:pStyle w:val="texto"/>
        <w:spacing w:before="120"/>
        <w:rPr>
          <w:lang w:val="es-ES"/>
        </w:rPr>
      </w:pPr>
      <w:r>
        <w:rPr>
          <w:lang w:val="es-ES"/>
        </w:rPr>
        <w:t xml:space="preserve">Respecto </w:t>
      </w:r>
      <w:r w:rsidR="00B71714">
        <w:rPr>
          <w:lang w:val="es-ES"/>
        </w:rPr>
        <w:t>a los</w:t>
      </w:r>
      <w:r>
        <w:rPr>
          <w:lang w:val="es-ES"/>
        </w:rPr>
        <w:t xml:space="preserve"> gastos solicitados expresamente en la petición parlamentaria, se observa el mismo descenso s</w:t>
      </w:r>
      <w:r w:rsidR="002757CA">
        <w:rPr>
          <w:lang w:val="es-ES"/>
        </w:rPr>
        <w:t>ignificativ</w:t>
      </w:r>
      <w:r>
        <w:rPr>
          <w:lang w:val="es-ES"/>
        </w:rPr>
        <w:t>o en el periodo 2007-2016 (85 por ciento), sin que lleguen a alcanzar el</w:t>
      </w:r>
      <w:r w:rsidR="002757CA">
        <w:rPr>
          <w:lang w:val="es-ES"/>
        </w:rPr>
        <w:t xml:space="preserve"> millón de euros en</w:t>
      </w:r>
      <w:r w:rsidR="002757CA" w:rsidRPr="00784E54">
        <w:rPr>
          <w:lang w:val="es-ES"/>
        </w:rPr>
        <w:t xml:space="preserve"> 2016.</w:t>
      </w:r>
    </w:p>
    <w:p w:rsidR="00FE1E36" w:rsidRDefault="00FE1E36" w:rsidP="00FE1E36">
      <w:pPr>
        <w:pStyle w:val="texto"/>
        <w:spacing w:before="120"/>
        <w:rPr>
          <w:lang w:val="es-ES"/>
        </w:rPr>
      </w:pPr>
      <w:r>
        <w:rPr>
          <w:lang w:val="es-ES"/>
        </w:rPr>
        <w:t>Estos descensos están justificados, en parte, por el contexto económico de los años analizados ya que al inicio del periodo la crisis económica aún no h</w:t>
      </w:r>
      <w:r>
        <w:rPr>
          <w:lang w:val="es-ES"/>
        </w:rPr>
        <w:t>a</w:t>
      </w:r>
      <w:r>
        <w:rPr>
          <w:lang w:val="es-ES"/>
        </w:rPr>
        <w:t>bía comenzado; además, dentro de estos gastos se incluían los derivados del p</w:t>
      </w:r>
      <w:r>
        <w:rPr>
          <w:lang w:val="es-ES"/>
        </w:rPr>
        <w:t>a</w:t>
      </w:r>
      <w:r>
        <w:rPr>
          <w:lang w:val="es-ES"/>
        </w:rPr>
        <w:t>trocinio de Osasuna y otr</w:t>
      </w:r>
      <w:r w:rsidR="00453CCE">
        <w:rPr>
          <w:lang w:val="es-ES"/>
        </w:rPr>
        <w:t>a</w:t>
      </w:r>
      <w:r>
        <w:rPr>
          <w:lang w:val="es-ES"/>
        </w:rPr>
        <w:t xml:space="preserve">s entidades deportivas que hoy en día ya no existen. </w:t>
      </w:r>
    </w:p>
    <w:p w:rsidR="00FE1E36" w:rsidRDefault="00FE1E36" w:rsidP="00FE1E36">
      <w:pPr>
        <w:pStyle w:val="texto"/>
        <w:spacing w:before="120"/>
      </w:pPr>
      <w:r>
        <w:rPr>
          <w:lang w:val="es-ES"/>
        </w:rPr>
        <w:t>H</w:t>
      </w:r>
      <w:r w:rsidRPr="00784E54">
        <w:rPr>
          <w:lang w:val="es-ES"/>
        </w:rPr>
        <w:t xml:space="preserve">emos analizado la evolución de los gastos en publicidad </w:t>
      </w:r>
      <w:r>
        <w:rPr>
          <w:lang w:val="es-ES"/>
        </w:rPr>
        <w:t xml:space="preserve">institucional y en turismo </w:t>
      </w:r>
      <w:r w:rsidRPr="00784E54">
        <w:rPr>
          <w:lang w:val="es-ES"/>
        </w:rPr>
        <w:t xml:space="preserve">del Gobierno de Navarra, </w:t>
      </w:r>
      <w:r>
        <w:rPr>
          <w:lang w:val="es-ES"/>
        </w:rPr>
        <w:t>sus</w:t>
      </w:r>
      <w:r w:rsidRPr="00784E54">
        <w:rPr>
          <w:lang w:val="es-ES"/>
        </w:rPr>
        <w:t xml:space="preserve"> formas de adjudicación </w:t>
      </w:r>
      <w:r>
        <w:rPr>
          <w:lang w:val="es-ES"/>
        </w:rPr>
        <w:t>y</w:t>
      </w:r>
      <w:r w:rsidRPr="00784E54">
        <w:rPr>
          <w:lang w:val="es-ES"/>
        </w:rPr>
        <w:t xml:space="preserve"> su adecuación a la normativa aplica</w:t>
      </w:r>
      <w:r>
        <w:rPr>
          <w:lang w:val="es-ES"/>
        </w:rPr>
        <w:t>ble.</w:t>
      </w:r>
    </w:p>
    <w:p w:rsidR="0065108F" w:rsidRDefault="0065108F">
      <w:pPr>
        <w:spacing w:after="0"/>
        <w:ind w:firstLine="0"/>
        <w:jc w:val="left"/>
        <w:rPr>
          <w:spacing w:val="6"/>
          <w:sz w:val="26"/>
          <w:szCs w:val="24"/>
          <w:lang w:val="es-ES"/>
        </w:rPr>
      </w:pPr>
      <w:r>
        <w:rPr>
          <w:lang w:val="es-ES"/>
        </w:rPr>
        <w:br w:type="page"/>
      </w:r>
    </w:p>
    <w:p w:rsidR="00780897" w:rsidRPr="00FE1E36" w:rsidRDefault="00780897" w:rsidP="00FE1E36">
      <w:pPr>
        <w:pStyle w:val="texto"/>
        <w:spacing w:before="120"/>
      </w:pPr>
      <w:r w:rsidRPr="00784E54">
        <w:rPr>
          <w:lang w:val="es-ES"/>
        </w:rPr>
        <w:lastRenderedPageBreak/>
        <w:t>A continuación señalamos las principales con</w:t>
      </w:r>
      <w:r w:rsidR="00FE1E36">
        <w:rPr>
          <w:lang w:val="es-ES"/>
        </w:rPr>
        <w:t xml:space="preserve">clusiones obtenidas del trabajo </w:t>
      </w:r>
      <w:r w:rsidRPr="00784E54">
        <w:rPr>
          <w:lang w:val="es-ES"/>
        </w:rPr>
        <w:t>realizado:</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Los gastos en 2016 dedicados expresamente a publicidad institucional fu</w:t>
      </w:r>
      <w:r w:rsidRPr="0065108F">
        <w:rPr>
          <w:rFonts w:cs="Arial"/>
        </w:rPr>
        <w:t>e</w:t>
      </w:r>
      <w:r w:rsidRPr="0065108F">
        <w:rPr>
          <w:rFonts w:cs="Arial"/>
        </w:rPr>
        <w:t xml:space="preserve">ron 731.063 euros y los de turismo 248.258 euros. Un 96,3 por ciento </w:t>
      </w:r>
      <w:r w:rsidR="00FE1E36" w:rsidRPr="0065108F">
        <w:rPr>
          <w:rFonts w:cs="Arial"/>
        </w:rPr>
        <w:t xml:space="preserve">del total </w:t>
      </w:r>
      <w:r w:rsidRPr="0065108F">
        <w:rPr>
          <w:rFonts w:cs="Arial"/>
        </w:rPr>
        <w:t xml:space="preserve">se </w:t>
      </w:r>
      <w:r w:rsidR="00FE1E36" w:rsidRPr="0065108F">
        <w:rPr>
          <w:rFonts w:cs="Arial"/>
        </w:rPr>
        <w:t>gestionaron a través de la celebración de</w:t>
      </w:r>
      <w:r w:rsidRPr="0065108F">
        <w:rPr>
          <w:rFonts w:cs="Arial"/>
        </w:rPr>
        <w:t xml:space="preserve"> dos acuerdos marco (uno para anuncios ordinarios y otro para contratación de espacios y soportes publicit</w:t>
      </w:r>
      <w:r w:rsidRPr="0065108F">
        <w:rPr>
          <w:rFonts w:cs="Arial"/>
        </w:rPr>
        <w:t>a</w:t>
      </w:r>
      <w:r w:rsidRPr="0065108F">
        <w:rPr>
          <w:rFonts w:cs="Arial"/>
        </w:rPr>
        <w:t>rios), y el 3,7 por ciento restante</w:t>
      </w:r>
      <w:r w:rsidR="00FE1E36" w:rsidRPr="0065108F">
        <w:rPr>
          <w:rFonts w:cs="Arial"/>
        </w:rPr>
        <w:t>,</w:t>
      </w:r>
      <w:r w:rsidRPr="0065108F">
        <w:rPr>
          <w:rFonts w:cs="Arial"/>
        </w:rPr>
        <w:t xml:space="preserve"> se adjudicaron por procedimientos negoci</w:t>
      </w:r>
      <w:r w:rsidRPr="0065108F">
        <w:rPr>
          <w:rFonts w:cs="Arial"/>
        </w:rPr>
        <w:t>a</w:t>
      </w:r>
      <w:r w:rsidRPr="0065108F">
        <w:rPr>
          <w:rFonts w:cs="Arial"/>
        </w:rPr>
        <w:t>dos o abiertos en función del importe</w:t>
      </w:r>
      <w:r w:rsidR="002F6C70" w:rsidRPr="0065108F">
        <w:rPr>
          <w:rFonts w:cs="Arial"/>
        </w:rPr>
        <w:t xml:space="preserve"> para los aspectos relacionados con la creatividad y el diseño</w:t>
      </w:r>
      <w:r w:rsidRPr="0065108F">
        <w:rPr>
          <w:rFonts w:cs="Arial"/>
        </w:rPr>
        <w:t xml:space="preserve">. </w:t>
      </w:r>
    </w:p>
    <w:p w:rsidR="002F6C70"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La norma que regula estos gastos es la Orden Foral 1/2003 de 11 de n</w:t>
      </w:r>
      <w:r w:rsidRPr="0065108F">
        <w:rPr>
          <w:rFonts w:cs="Arial"/>
        </w:rPr>
        <w:t>o</w:t>
      </w:r>
      <w:r w:rsidRPr="0065108F">
        <w:rPr>
          <w:rFonts w:cs="Arial"/>
        </w:rPr>
        <w:t>viembre por la que se determinan las directrices de contratación de la public</w:t>
      </w:r>
      <w:r w:rsidRPr="0065108F">
        <w:rPr>
          <w:rFonts w:cs="Arial"/>
        </w:rPr>
        <w:t>i</w:t>
      </w:r>
      <w:r w:rsidRPr="0065108F">
        <w:rPr>
          <w:rFonts w:cs="Arial"/>
        </w:rPr>
        <w:t>dad institucional de la Administración de la Comunidad Foral de Navarra; los criterios de reparto del gasto entre los medios de esta orden</w:t>
      </w:r>
      <w:r w:rsidR="002F6C70" w:rsidRPr="0065108F">
        <w:rPr>
          <w:rFonts w:cs="Arial"/>
        </w:rPr>
        <w:t>,</w:t>
      </w:r>
      <w:r w:rsidRPr="0065108F">
        <w:rPr>
          <w:rFonts w:cs="Arial"/>
        </w:rPr>
        <w:t xml:space="preserve"> no contemplan de forma expresa los medios digitales como un canal para ser utilizado en la p</w:t>
      </w:r>
      <w:r w:rsidRPr="0065108F">
        <w:rPr>
          <w:rFonts w:cs="Arial"/>
        </w:rPr>
        <w:t>u</w:t>
      </w:r>
      <w:r w:rsidRPr="0065108F">
        <w:rPr>
          <w:rFonts w:cs="Arial"/>
        </w:rPr>
        <w:t>blicidad</w:t>
      </w:r>
      <w:r w:rsidR="00FE1E36" w:rsidRPr="0065108F">
        <w:rPr>
          <w:rFonts w:cs="Arial"/>
        </w:rPr>
        <w:t>,</w:t>
      </w:r>
      <w:r w:rsidRPr="0065108F">
        <w:rPr>
          <w:rFonts w:cs="Arial"/>
        </w:rPr>
        <w:t xml:space="preserve"> y aluden exclusivamente a la prensa escrita, radio y televisión. </w:t>
      </w:r>
    </w:p>
    <w:p w:rsidR="00780897" w:rsidRPr="00784E54" w:rsidRDefault="00780897" w:rsidP="002F6C70">
      <w:pPr>
        <w:pStyle w:val="texto"/>
        <w:tabs>
          <w:tab w:val="clear" w:pos="2835"/>
          <w:tab w:val="clear" w:pos="3969"/>
          <w:tab w:val="clear" w:pos="5103"/>
          <w:tab w:val="clear" w:pos="6237"/>
          <w:tab w:val="clear" w:pos="7371"/>
          <w:tab w:val="left" w:pos="567"/>
        </w:tabs>
      </w:pPr>
      <w:r w:rsidRPr="00784E54">
        <w:t>Si bien cuando se aprobó esta norma los medios digitales no tení</w:t>
      </w:r>
      <w:r w:rsidR="00453CCE">
        <w:t>an mucha relevancia, hoy en día</w:t>
      </w:r>
      <w:r w:rsidRPr="00784E54">
        <w:t xml:space="preserve"> los ciudadanos los utilizan de forma habitual, sin que e</w:t>
      </w:r>
      <w:r w:rsidRPr="00784E54">
        <w:t>s</w:t>
      </w:r>
      <w:r w:rsidRPr="00784E54">
        <w:t>ta orden se haya actualizado teniendo en cuenta este cambio en las costumbres a la hora de informarse.</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Hemos revisado los dos acuerdos marco celebrados por importes de 1.275.000 y 130.350 euros (IVA excluido)</w:t>
      </w:r>
      <w:r w:rsidR="002F6C70" w:rsidRPr="0065108F">
        <w:rPr>
          <w:rFonts w:cs="Arial"/>
        </w:rPr>
        <w:t>,</w:t>
      </w:r>
      <w:r w:rsidRPr="0065108F">
        <w:rPr>
          <w:rFonts w:cs="Arial"/>
        </w:rPr>
        <w:t xml:space="preserve"> así como un procedimiento neg</w:t>
      </w:r>
      <w:r w:rsidRPr="0065108F">
        <w:rPr>
          <w:rFonts w:cs="Arial"/>
        </w:rPr>
        <w:t>o</w:t>
      </w:r>
      <w:r w:rsidRPr="0065108F">
        <w:rPr>
          <w:rFonts w:cs="Arial"/>
        </w:rPr>
        <w:t>ciado llevado a cabo según las condiciones de uno de los acuerdos marco. Del análisis efectuado concluimos que, en general, se cumple con la normativa aplicable y con los criterios de reparto contenidos en la misma.</w:t>
      </w:r>
    </w:p>
    <w:p w:rsidR="00780897" w:rsidRPr="0065108F" w:rsidRDefault="00780897" w:rsidP="0065108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5108F">
        <w:rPr>
          <w:rFonts w:cs="Arial"/>
        </w:rPr>
        <w:t>La distribución del gasto por canales utilizados en el caso de la publicidad institucional y del turismo en 2016 fue la siguiente:</w:t>
      </w:r>
    </w:p>
    <w:tbl>
      <w:tblPr>
        <w:tblW w:w="8824" w:type="dxa"/>
        <w:jc w:val="center"/>
        <w:tblInd w:w="10" w:type="dxa"/>
        <w:tblCellMar>
          <w:left w:w="70" w:type="dxa"/>
          <w:right w:w="70" w:type="dxa"/>
        </w:tblCellMar>
        <w:tblLook w:val="04A0" w:firstRow="1" w:lastRow="0" w:firstColumn="1" w:lastColumn="0" w:noHBand="0" w:noVBand="1"/>
      </w:tblPr>
      <w:tblGrid>
        <w:gridCol w:w="4433"/>
        <w:gridCol w:w="1455"/>
        <w:gridCol w:w="1455"/>
        <w:gridCol w:w="1481"/>
      </w:tblGrid>
      <w:tr w:rsidR="00780897" w:rsidRPr="00A9473F" w:rsidTr="0065108F">
        <w:trPr>
          <w:trHeight w:val="255"/>
          <w:jc w:val="center"/>
        </w:trPr>
        <w:tc>
          <w:tcPr>
            <w:tcW w:w="8824" w:type="dxa"/>
            <w:gridSpan w:val="4"/>
            <w:tcBorders>
              <w:left w:val="nil"/>
              <w:bottom w:val="single" w:sz="4" w:space="0" w:color="auto"/>
              <w:right w:val="nil"/>
            </w:tcBorders>
            <w:shd w:val="clear" w:color="auto" w:fill="auto"/>
            <w:noWrap/>
            <w:vAlign w:val="center"/>
          </w:tcPr>
          <w:p w:rsidR="00780897" w:rsidRPr="00A9473F" w:rsidRDefault="00780897" w:rsidP="00780897">
            <w:pPr>
              <w:pStyle w:val="texto"/>
              <w:spacing w:after="0"/>
              <w:jc w:val="right"/>
              <w:rPr>
                <w:rFonts w:ascii="Arial" w:hAnsi="Arial" w:cs="Arial"/>
                <w:sz w:val="17"/>
                <w:szCs w:val="17"/>
              </w:rPr>
            </w:pPr>
            <w:r w:rsidRPr="00A9473F">
              <w:rPr>
                <w:rFonts w:ascii="Arial" w:hAnsi="Arial" w:cs="Arial"/>
                <w:sz w:val="17"/>
                <w:szCs w:val="17"/>
              </w:rPr>
              <w:t>(en euros)</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ind w:firstLine="0"/>
              <w:jc w:val="left"/>
              <w:rPr>
                <w:rFonts w:ascii="Arial" w:hAnsi="Arial" w:cs="Arial"/>
                <w:sz w:val="18"/>
                <w:szCs w:val="18"/>
              </w:rPr>
            </w:pPr>
            <w:r w:rsidRPr="002D34C1">
              <w:rPr>
                <w:rFonts w:ascii="Arial" w:hAnsi="Arial" w:cs="Arial"/>
                <w:sz w:val="18"/>
                <w:szCs w:val="18"/>
              </w:rPr>
              <w:t>Gasto por canales publicidad institucional</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pStyle w:val="texto"/>
              <w:spacing w:after="0"/>
              <w:jc w:val="right"/>
              <w:rPr>
                <w:rFonts w:ascii="Arial" w:hAnsi="Arial" w:cs="Arial"/>
                <w:sz w:val="18"/>
                <w:szCs w:val="18"/>
              </w:rPr>
            </w:pPr>
            <w:r w:rsidRPr="002D34C1">
              <w:rPr>
                <w:rFonts w:ascii="Arial" w:hAnsi="Arial" w:cs="Arial"/>
                <w:sz w:val="18"/>
                <w:szCs w:val="18"/>
              </w:rPr>
              <w:t>2015</w:t>
            </w:r>
          </w:p>
        </w:tc>
        <w:tc>
          <w:tcPr>
            <w:tcW w:w="1455"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jc w:val="right"/>
              <w:rPr>
                <w:rFonts w:ascii="Arial" w:hAnsi="Arial" w:cs="Arial"/>
                <w:sz w:val="18"/>
                <w:szCs w:val="18"/>
              </w:rPr>
            </w:pPr>
            <w:r w:rsidRPr="002D34C1">
              <w:rPr>
                <w:rFonts w:ascii="Arial" w:hAnsi="Arial" w:cs="Arial"/>
                <w:sz w:val="18"/>
                <w:szCs w:val="18"/>
              </w:rPr>
              <w:t>2016</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pStyle w:val="texto"/>
              <w:spacing w:after="0"/>
              <w:jc w:val="right"/>
              <w:rPr>
                <w:rFonts w:ascii="Arial" w:hAnsi="Arial" w:cs="Arial"/>
                <w:sz w:val="18"/>
                <w:szCs w:val="18"/>
              </w:rPr>
            </w:pPr>
            <w:r>
              <w:rPr>
                <w:rFonts w:ascii="Arial" w:hAnsi="Arial" w:cs="Arial"/>
                <w:sz w:val="18"/>
                <w:szCs w:val="18"/>
              </w:rPr>
              <w:t>% v</w:t>
            </w:r>
            <w:r w:rsidRPr="002D34C1">
              <w:rPr>
                <w:rFonts w:ascii="Arial" w:hAnsi="Arial" w:cs="Arial"/>
                <w:sz w:val="18"/>
                <w:szCs w:val="18"/>
              </w:rPr>
              <w:t>ar</w:t>
            </w:r>
            <w:r>
              <w:rPr>
                <w:rFonts w:ascii="Arial" w:hAnsi="Arial" w:cs="Arial"/>
                <w:sz w:val="18"/>
                <w:szCs w:val="18"/>
              </w:rPr>
              <w:t>iación</w:t>
            </w:r>
            <w:r w:rsidRPr="002D34C1">
              <w:rPr>
                <w:rFonts w:ascii="Arial" w:hAnsi="Arial" w:cs="Arial"/>
                <w:sz w:val="18"/>
                <w:szCs w:val="18"/>
              </w:rPr>
              <w:t xml:space="preserve"> 2016/2015</w:t>
            </w:r>
          </w:p>
        </w:tc>
      </w:tr>
      <w:tr w:rsidR="00780897" w:rsidRPr="0065108F" w:rsidTr="0065108F">
        <w:trPr>
          <w:trHeight w:val="198"/>
          <w:jc w:val="center"/>
        </w:trPr>
        <w:tc>
          <w:tcPr>
            <w:tcW w:w="4433" w:type="dxa"/>
            <w:tcBorders>
              <w:top w:val="single" w:sz="4"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Prensa</w:t>
            </w:r>
          </w:p>
        </w:tc>
        <w:tc>
          <w:tcPr>
            <w:tcW w:w="1455" w:type="dxa"/>
            <w:tcBorders>
              <w:top w:val="single" w:sz="4"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331.471 </w:t>
            </w:r>
          </w:p>
        </w:tc>
        <w:tc>
          <w:tcPr>
            <w:tcW w:w="1455" w:type="dxa"/>
            <w:tcBorders>
              <w:top w:val="single" w:sz="4"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410.276 </w:t>
            </w:r>
          </w:p>
        </w:tc>
        <w:tc>
          <w:tcPr>
            <w:tcW w:w="1481" w:type="dxa"/>
            <w:tcBorders>
              <w:top w:val="single" w:sz="4"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24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Radio</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150.133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140.102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-7</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Revistas locales-nacionales</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26.554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43.304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63</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Digitales</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85.257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26.973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-68</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Cine</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11.979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13.649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14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Televisión</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39.753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10.473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-74</w:t>
            </w:r>
          </w:p>
        </w:tc>
      </w:tr>
      <w:tr w:rsidR="00780897" w:rsidRPr="0065108F" w:rsidTr="0065108F">
        <w:trPr>
          <w:trHeight w:val="198"/>
          <w:jc w:val="center"/>
        </w:trPr>
        <w:tc>
          <w:tcPr>
            <w:tcW w:w="4433"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Otros soportes</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16.258 </w:t>
            </w:r>
          </w:p>
        </w:tc>
        <w:tc>
          <w:tcPr>
            <w:tcW w:w="1455" w:type="dxa"/>
            <w:tcBorders>
              <w:top w:val="single" w:sz="2" w:space="0" w:color="auto"/>
              <w:left w:val="nil"/>
              <w:bottom w:val="single" w:sz="2" w:space="0" w:color="auto"/>
              <w:right w:val="nil"/>
            </w:tcBorders>
            <w:shd w:val="clear" w:color="auto" w:fill="auto"/>
            <w:noWrap/>
            <w:vAlign w:val="center"/>
            <w:hideMark/>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 xml:space="preserve">52.343 </w:t>
            </w:r>
          </w:p>
        </w:tc>
        <w:tc>
          <w:tcPr>
            <w:tcW w:w="1481" w:type="dxa"/>
            <w:tcBorders>
              <w:top w:val="single" w:sz="2" w:space="0" w:color="auto"/>
              <w:left w:val="nil"/>
              <w:bottom w:val="single" w:sz="2"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222</w:t>
            </w:r>
          </w:p>
        </w:tc>
      </w:tr>
      <w:tr w:rsidR="00780897" w:rsidRPr="0065108F" w:rsidTr="0065108F">
        <w:trPr>
          <w:trHeight w:val="198"/>
          <w:jc w:val="center"/>
        </w:trPr>
        <w:tc>
          <w:tcPr>
            <w:tcW w:w="4433"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ind w:firstLine="0"/>
              <w:contextualSpacing/>
              <w:jc w:val="left"/>
              <w:rPr>
                <w:rFonts w:ascii="Arial Narrow" w:hAnsi="Arial Narrow" w:cs="Arial"/>
                <w:lang w:val="es-ES" w:eastAsia="es-ES"/>
              </w:rPr>
            </w:pPr>
            <w:r w:rsidRPr="0065108F">
              <w:rPr>
                <w:rFonts w:ascii="Arial Narrow" w:hAnsi="Arial Narrow" w:cs="Arial"/>
                <w:lang w:val="es-ES" w:eastAsia="es-ES"/>
              </w:rPr>
              <w:t>Servicios prestados por particulares (creatividad y diseño)</w:t>
            </w:r>
          </w:p>
        </w:tc>
        <w:tc>
          <w:tcPr>
            <w:tcW w:w="1455" w:type="dxa"/>
            <w:tcBorders>
              <w:top w:val="single" w:sz="2" w:space="0" w:color="auto"/>
              <w:left w:val="nil"/>
              <w:bottom w:val="single" w:sz="4" w:space="0" w:color="auto"/>
              <w:right w:val="nil"/>
            </w:tcBorders>
            <w:vAlign w:val="center"/>
          </w:tcPr>
          <w:p w:rsidR="00780897" w:rsidRPr="0065108F" w:rsidRDefault="00780897" w:rsidP="00780897">
            <w:pPr>
              <w:spacing w:after="0"/>
              <w:contextualSpacing/>
              <w:jc w:val="right"/>
              <w:rPr>
                <w:rFonts w:ascii="Arial Narrow" w:hAnsi="Arial Narrow" w:cs="Arial"/>
              </w:rPr>
            </w:pPr>
            <w:r w:rsidRPr="0065108F">
              <w:rPr>
                <w:rFonts w:ascii="Arial Narrow" w:hAnsi="Arial Narrow" w:cs="Arial"/>
              </w:rPr>
              <w:t xml:space="preserve">151.526 </w:t>
            </w:r>
          </w:p>
        </w:tc>
        <w:tc>
          <w:tcPr>
            <w:tcW w:w="1455"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contextualSpacing/>
              <w:jc w:val="right"/>
              <w:rPr>
                <w:rFonts w:ascii="Arial Narrow" w:hAnsi="Arial Narrow" w:cs="Arial"/>
              </w:rPr>
            </w:pPr>
            <w:r w:rsidRPr="0065108F">
              <w:rPr>
                <w:rFonts w:ascii="Arial Narrow" w:hAnsi="Arial Narrow" w:cs="Arial"/>
              </w:rPr>
              <w:t xml:space="preserve">33.944 </w:t>
            </w:r>
          </w:p>
        </w:tc>
        <w:tc>
          <w:tcPr>
            <w:tcW w:w="1481" w:type="dxa"/>
            <w:tcBorders>
              <w:top w:val="single" w:sz="2" w:space="0" w:color="auto"/>
              <w:left w:val="nil"/>
              <w:bottom w:val="single" w:sz="4" w:space="0" w:color="auto"/>
              <w:right w:val="nil"/>
            </w:tcBorders>
            <w:vAlign w:val="center"/>
          </w:tcPr>
          <w:p w:rsidR="00780897" w:rsidRPr="0065108F" w:rsidRDefault="00780897" w:rsidP="00780897">
            <w:pPr>
              <w:spacing w:after="0"/>
              <w:ind w:firstLine="0"/>
              <w:contextualSpacing/>
              <w:jc w:val="right"/>
              <w:rPr>
                <w:rFonts w:ascii="Arial Narrow" w:hAnsi="Arial Narrow" w:cs="Arial"/>
                <w:lang w:val="es-ES" w:eastAsia="es-ES"/>
              </w:rPr>
            </w:pPr>
            <w:r w:rsidRPr="0065108F">
              <w:rPr>
                <w:rFonts w:ascii="Arial Narrow" w:hAnsi="Arial Narrow" w:cs="Arial"/>
                <w:lang w:val="es-ES" w:eastAsia="es-ES"/>
              </w:rPr>
              <w:t>-78</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spacing w:after="0"/>
              <w:ind w:firstLine="0"/>
              <w:contextualSpacing/>
              <w:jc w:val="left"/>
              <w:rPr>
                <w:rFonts w:ascii="Arial" w:hAnsi="Arial" w:cs="Arial"/>
                <w:bCs/>
                <w:sz w:val="18"/>
                <w:szCs w:val="18"/>
                <w:lang w:val="es-ES" w:eastAsia="es-ES"/>
              </w:rPr>
            </w:pPr>
            <w:r w:rsidRPr="002D34C1">
              <w:rPr>
                <w:rFonts w:ascii="Arial" w:hAnsi="Arial" w:cs="Arial"/>
                <w:bCs/>
                <w:sz w:val="18"/>
                <w:szCs w:val="18"/>
                <w:lang w:val="es-ES" w:eastAsia="es-ES"/>
              </w:rPr>
              <w:t>Total gasto publicidad institucional</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ind w:firstLine="0"/>
              <w:contextualSpacing/>
              <w:jc w:val="right"/>
              <w:rPr>
                <w:rFonts w:ascii="Arial" w:hAnsi="Arial" w:cs="Arial"/>
                <w:sz w:val="18"/>
                <w:szCs w:val="18"/>
              </w:rPr>
            </w:pPr>
            <w:r w:rsidRPr="002D34C1">
              <w:rPr>
                <w:rFonts w:ascii="Arial" w:hAnsi="Arial" w:cs="Arial"/>
                <w:sz w:val="18"/>
                <w:szCs w:val="18"/>
              </w:rPr>
              <w:t>812.932</w:t>
            </w:r>
          </w:p>
        </w:tc>
        <w:tc>
          <w:tcPr>
            <w:tcW w:w="1455"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spacing w:after="0"/>
              <w:ind w:firstLine="0"/>
              <w:contextualSpacing/>
              <w:jc w:val="right"/>
              <w:rPr>
                <w:rFonts w:ascii="Arial" w:hAnsi="Arial" w:cs="Arial"/>
                <w:sz w:val="18"/>
                <w:szCs w:val="18"/>
              </w:rPr>
            </w:pPr>
            <w:r w:rsidRPr="002D34C1">
              <w:rPr>
                <w:rFonts w:ascii="Arial" w:hAnsi="Arial" w:cs="Arial"/>
                <w:sz w:val="18"/>
                <w:szCs w:val="18"/>
              </w:rPr>
              <w:t>731.064</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ind w:firstLine="0"/>
              <w:contextualSpacing/>
              <w:jc w:val="right"/>
              <w:rPr>
                <w:rFonts w:ascii="Arial" w:hAnsi="Arial" w:cs="Arial"/>
                <w:sz w:val="18"/>
                <w:szCs w:val="18"/>
              </w:rPr>
            </w:pPr>
            <w:r w:rsidRPr="002D34C1">
              <w:rPr>
                <w:rFonts w:ascii="Arial" w:hAnsi="Arial" w:cs="Arial"/>
                <w:sz w:val="18"/>
                <w:szCs w:val="18"/>
              </w:rPr>
              <w:t>-10</w:t>
            </w:r>
          </w:p>
        </w:tc>
      </w:tr>
      <w:tr w:rsidR="00780897" w:rsidRPr="00784E54" w:rsidTr="0065108F">
        <w:trPr>
          <w:trHeight w:val="20"/>
          <w:jc w:val="center"/>
        </w:trPr>
        <w:tc>
          <w:tcPr>
            <w:tcW w:w="4433" w:type="dxa"/>
            <w:tcBorders>
              <w:left w:val="nil"/>
              <w:bottom w:val="single" w:sz="4" w:space="0" w:color="auto"/>
              <w:right w:val="nil"/>
            </w:tcBorders>
            <w:shd w:val="clear" w:color="auto" w:fill="auto"/>
            <w:noWrap/>
            <w:vAlign w:val="center"/>
          </w:tcPr>
          <w:p w:rsidR="00780897" w:rsidRPr="00784E54" w:rsidRDefault="00780897" w:rsidP="00780897">
            <w:pPr>
              <w:spacing w:after="0" w:line="0" w:lineRule="atLeast"/>
              <w:ind w:firstLine="0"/>
              <w:contextualSpacing/>
              <w:rPr>
                <w:rFonts w:ascii="Arial" w:hAnsi="Arial" w:cs="Arial"/>
                <w:bCs/>
                <w:sz w:val="18"/>
                <w:szCs w:val="18"/>
                <w:lang w:val="es-ES" w:eastAsia="es-ES"/>
              </w:rPr>
            </w:pPr>
          </w:p>
        </w:tc>
        <w:tc>
          <w:tcPr>
            <w:tcW w:w="1455" w:type="dxa"/>
            <w:tcBorders>
              <w:left w:val="nil"/>
              <w:bottom w:val="single" w:sz="4" w:space="0" w:color="auto"/>
              <w:right w:val="nil"/>
            </w:tcBorders>
            <w:shd w:val="clear" w:color="auto" w:fill="auto"/>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c>
          <w:tcPr>
            <w:tcW w:w="1455" w:type="dxa"/>
            <w:tcBorders>
              <w:left w:val="nil"/>
              <w:bottom w:val="single" w:sz="4" w:space="0" w:color="auto"/>
              <w:right w:val="nil"/>
            </w:tcBorders>
            <w:shd w:val="clear" w:color="auto" w:fill="auto"/>
            <w:noWrap/>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c>
          <w:tcPr>
            <w:tcW w:w="1481" w:type="dxa"/>
            <w:tcBorders>
              <w:left w:val="nil"/>
              <w:bottom w:val="single" w:sz="4" w:space="0" w:color="auto"/>
              <w:right w:val="nil"/>
            </w:tcBorders>
            <w:shd w:val="clear" w:color="auto" w:fill="auto"/>
            <w:vAlign w:val="center"/>
          </w:tcPr>
          <w:p w:rsidR="00780897" w:rsidRPr="00784E54" w:rsidRDefault="00780897" w:rsidP="00780897">
            <w:pPr>
              <w:spacing w:after="0" w:line="0" w:lineRule="atLeast"/>
              <w:ind w:firstLine="0"/>
              <w:contextualSpacing/>
              <w:jc w:val="right"/>
              <w:rPr>
                <w:rFonts w:ascii="Arial" w:hAnsi="Arial" w:cs="Arial"/>
                <w:bCs/>
                <w:sz w:val="18"/>
                <w:szCs w:val="18"/>
                <w:lang w:val="es-ES" w:eastAsia="es-ES"/>
              </w:rPr>
            </w:pP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hideMark/>
          </w:tcPr>
          <w:p w:rsidR="00780897" w:rsidRPr="002D34C1" w:rsidRDefault="00780897" w:rsidP="00780897">
            <w:pPr>
              <w:pStyle w:val="texto"/>
              <w:spacing w:after="0"/>
              <w:ind w:firstLine="0"/>
              <w:jc w:val="left"/>
              <w:rPr>
                <w:rFonts w:ascii="Arial" w:hAnsi="Arial" w:cs="Arial"/>
                <w:bCs/>
                <w:sz w:val="18"/>
                <w:szCs w:val="18"/>
                <w:lang w:val="es-ES" w:eastAsia="es-ES"/>
              </w:rPr>
            </w:pPr>
            <w:r w:rsidRPr="002D34C1">
              <w:rPr>
                <w:rFonts w:ascii="Arial" w:hAnsi="Arial" w:cs="Arial"/>
                <w:sz w:val="18"/>
                <w:szCs w:val="18"/>
              </w:rPr>
              <w:t>Gasto por canales turismo</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bCs/>
                <w:sz w:val="18"/>
                <w:szCs w:val="18"/>
                <w:lang w:val="es-ES" w:eastAsia="es-ES"/>
              </w:rPr>
            </w:pPr>
            <w:r w:rsidRPr="002D34C1">
              <w:rPr>
                <w:rFonts w:ascii="Arial" w:hAnsi="Arial" w:cs="Arial"/>
                <w:bCs/>
                <w:sz w:val="18"/>
                <w:szCs w:val="18"/>
                <w:lang w:val="es-ES" w:eastAsia="es-ES"/>
              </w:rPr>
              <w:t>2015</w:t>
            </w:r>
          </w:p>
        </w:tc>
        <w:tc>
          <w:tcPr>
            <w:tcW w:w="1455"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right"/>
              <w:rPr>
                <w:rFonts w:ascii="Arial" w:hAnsi="Arial" w:cs="Arial"/>
                <w:bCs/>
                <w:sz w:val="18"/>
                <w:szCs w:val="18"/>
                <w:lang w:val="es-ES" w:eastAsia="es-ES"/>
              </w:rPr>
            </w:pPr>
            <w:r w:rsidRPr="002D34C1">
              <w:rPr>
                <w:rFonts w:ascii="Arial" w:hAnsi="Arial" w:cs="Arial"/>
                <w:bCs/>
                <w:sz w:val="18"/>
                <w:szCs w:val="18"/>
                <w:lang w:val="es-ES" w:eastAsia="es-ES"/>
              </w:rPr>
              <w:t>2016</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bCs/>
                <w:sz w:val="18"/>
                <w:szCs w:val="18"/>
                <w:lang w:val="es-ES" w:eastAsia="es-ES"/>
              </w:rPr>
            </w:pPr>
            <w:r w:rsidRPr="002D34C1">
              <w:rPr>
                <w:rFonts w:ascii="Arial" w:hAnsi="Arial" w:cs="Arial"/>
                <w:bCs/>
                <w:sz w:val="18"/>
                <w:szCs w:val="18"/>
                <w:lang w:val="es-ES" w:eastAsia="es-ES"/>
              </w:rPr>
              <w:t>% variación 2016/2015</w:t>
            </w:r>
          </w:p>
        </w:tc>
      </w:tr>
      <w:tr w:rsidR="00780897" w:rsidRPr="0065108F" w:rsidTr="0065108F">
        <w:trPr>
          <w:trHeight w:val="20"/>
          <w:jc w:val="center"/>
        </w:trPr>
        <w:tc>
          <w:tcPr>
            <w:tcW w:w="4433" w:type="dxa"/>
            <w:tcBorders>
              <w:top w:val="single" w:sz="4"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lang w:val="es-ES" w:eastAsia="es-ES"/>
              </w:rPr>
            </w:pPr>
            <w:r w:rsidRPr="0065108F">
              <w:rPr>
                <w:rFonts w:ascii="Arial Narrow" w:hAnsi="Arial Narrow" w:cs="Arial"/>
                <w:lang w:val="es-ES" w:eastAsia="es-ES"/>
              </w:rPr>
              <w:t>Radio</w:t>
            </w:r>
          </w:p>
        </w:tc>
        <w:tc>
          <w:tcPr>
            <w:tcW w:w="1455" w:type="dxa"/>
            <w:tcBorders>
              <w:top w:val="single" w:sz="4" w:space="0" w:color="auto"/>
              <w:left w:val="nil"/>
              <w:bottom w:val="single" w:sz="2"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sidRPr="0065108F">
              <w:rPr>
                <w:rFonts w:ascii="Arial Narrow" w:hAnsi="Arial Narrow" w:cs="Arial"/>
              </w:rPr>
              <w:t xml:space="preserve">109.081 </w:t>
            </w:r>
          </w:p>
        </w:tc>
        <w:tc>
          <w:tcPr>
            <w:tcW w:w="1455" w:type="dxa"/>
            <w:tcBorders>
              <w:top w:val="single" w:sz="4"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contextualSpacing/>
              <w:jc w:val="right"/>
              <w:rPr>
                <w:rFonts w:ascii="Arial Narrow" w:hAnsi="Arial Narrow" w:cs="Arial"/>
              </w:rPr>
            </w:pPr>
            <w:r w:rsidRPr="0065108F">
              <w:rPr>
                <w:rFonts w:ascii="Arial Narrow" w:hAnsi="Arial Narrow" w:cs="Arial"/>
              </w:rPr>
              <w:t xml:space="preserve">128.433 </w:t>
            </w:r>
          </w:p>
        </w:tc>
        <w:tc>
          <w:tcPr>
            <w:tcW w:w="1481" w:type="dxa"/>
            <w:tcBorders>
              <w:top w:val="single" w:sz="4" w:space="0" w:color="auto"/>
              <w:left w:val="nil"/>
              <w:bottom w:val="single" w:sz="2" w:space="0" w:color="auto"/>
              <w:right w:val="nil"/>
            </w:tcBorders>
            <w:vAlign w:val="center"/>
          </w:tcPr>
          <w:p w:rsidR="00780897" w:rsidRPr="0065108F" w:rsidRDefault="00780897" w:rsidP="00780897">
            <w:pPr>
              <w:spacing w:after="0" w:line="0" w:lineRule="atLeast"/>
              <w:ind w:firstLine="0"/>
              <w:contextualSpacing/>
              <w:jc w:val="right"/>
              <w:rPr>
                <w:rFonts w:ascii="Arial Narrow" w:hAnsi="Arial Narrow" w:cs="Arial"/>
                <w:lang w:val="es-ES" w:eastAsia="es-ES"/>
              </w:rPr>
            </w:pPr>
            <w:r w:rsidRPr="0065108F">
              <w:rPr>
                <w:rFonts w:ascii="Arial Narrow" w:hAnsi="Arial Narrow" w:cs="Arial"/>
                <w:lang w:val="es-ES" w:eastAsia="es-ES"/>
              </w:rPr>
              <w:t>18</w:t>
            </w:r>
          </w:p>
        </w:tc>
      </w:tr>
      <w:tr w:rsidR="00780897" w:rsidRPr="0065108F" w:rsidTr="0065108F">
        <w:trPr>
          <w:trHeight w:val="20"/>
          <w:jc w:val="center"/>
        </w:trPr>
        <w:tc>
          <w:tcPr>
            <w:tcW w:w="4433" w:type="dxa"/>
            <w:tcBorders>
              <w:top w:val="single" w:sz="2" w:space="0" w:color="auto"/>
              <w:left w:val="nil"/>
              <w:bottom w:val="single" w:sz="2"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lang w:val="es-ES" w:eastAsia="es-ES"/>
              </w:rPr>
            </w:pPr>
            <w:r w:rsidRPr="0065108F">
              <w:rPr>
                <w:rFonts w:ascii="Arial Narrow" w:hAnsi="Arial Narrow" w:cs="Arial"/>
                <w:lang w:val="es-ES" w:eastAsia="es-ES"/>
              </w:rPr>
              <w:t>Prensa diaria</w:t>
            </w:r>
          </w:p>
        </w:tc>
        <w:tc>
          <w:tcPr>
            <w:tcW w:w="1455" w:type="dxa"/>
            <w:tcBorders>
              <w:top w:val="single" w:sz="2" w:space="0" w:color="auto"/>
              <w:left w:val="nil"/>
              <w:bottom w:val="single" w:sz="2"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sidRPr="0065108F">
              <w:rPr>
                <w:rFonts w:ascii="Arial Narrow" w:hAnsi="Arial Narrow" w:cs="Arial"/>
              </w:rPr>
              <w:t xml:space="preserve">109.632 </w:t>
            </w:r>
          </w:p>
        </w:tc>
        <w:tc>
          <w:tcPr>
            <w:tcW w:w="1455" w:type="dxa"/>
            <w:tcBorders>
              <w:top w:val="single" w:sz="2" w:space="0" w:color="auto"/>
              <w:left w:val="nil"/>
              <w:bottom w:val="single" w:sz="2" w:space="0" w:color="auto"/>
              <w:right w:val="nil"/>
            </w:tcBorders>
            <w:shd w:val="clear" w:color="auto" w:fill="auto"/>
            <w:noWrap/>
            <w:vAlign w:val="center"/>
          </w:tcPr>
          <w:p w:rsidR="00780897" w:rsidRPr="0065108F" w:rsidRDefault="006F0C61" w:rsidP="00780897">
            <w:pPr>
              <w:spacing w:after="0" w:line="0" w:lineRule="atLeast"/>
              <w:contextualSpacing/>
              <w:jc w:val="right"/>
              <w:rPr>
                <w:rFonts w:ascii="Arial Narrow" w:hAnsi="Arial Narrow" w:cs="Arial"/>
              </w:rPr>
            </w:pPr>
            <w:r w:rsidRPr="0065108F">
              <w:rPr>
                <w:rFonts w:ascii="Arial Narrow" w:hAnsi="Arial Narrow" w:cs="Arial"/>
              </w:rPr>
              <w:t>70</w:t>
            </w:r>
            <w:r w:rsidR="00780897" w:rsidRPr="0065108F">
              <w:rPr>
                <w:rFonts w:ascii="Arial Narrow" w:hAnsi="Arial Narrow" w:cs="Arial"/>
              </w:rPr>
              <w:t xml:space="preserve">.801 </w:t>
            </w:r>
          </w:p>
        </w:tc>
        <w:tc>
          <w:tcPr>
            <w:tcW w:w="1481" w:type="dxa"/>
            <w:tcBorders>
              <w:top w:val="single" w:sz="2" w:space="0" w:color="auto"/>
              <w:left w:val="nil"/>
              <w:bottom w:val="single" w:sz="2" w:space="0" w:color="auto"/>
              <w:right w:val="nil"/>
            </w:tcBorders>
            <w:vAlign w:val="center"/>
          </w:tcPr>
          <w:p w:rsidR="00780897" w:rsidRPr="0065108F" w:rsidRDefault="00780897" w:rsidP="006F0C61">
            <w:pPr>
              <w:spacing w:after="0" w:line="0" w:lineRule="atLeast"/>
              <w:ind w:firstLine="0"/>
              <w:contextualSpacing/>
              <w:jc w:val="right"/>
              <w:rPr>
                <w:rFonts w:ascii="Arial Narrow" w:hAnsi="Arial Narrow" w:cs="Arial"/>
                <w:lang w:val="es-ES" w:eastAsia="es-ES"/>
              </w:rPr>
            </w:pPr>
            <w:r w:rsidRPr="0065108F">
              <w:rPr>
                <w:rFonts w:ascii="Arial Narrow" w:hAnsi="Arial Narrow" w:cs="Arial"/>
                <w:lang w:val="es-ES" w:eastAsia="es-ES"/>
              </w:rPr>
              <w:t>-</w:t>
            </w:r>
            <w:r w:rsidR="006F0C61" w:rsidRPr="0065108F">
              <w:rPr>
                <w:rFonts w:ascii="Arial Narrow" w:hAnsi="Arial Narrow" w:cs="Arial"/>
                <w:lang w:val="es-ES" w:eastAsia="es-ES"/>
              </w:rPr>
              <w:t>35</w:t>
            </w:r>
          </w:p>
        </w:tc>
      </w:tr>
      <w:tr w:rsidR="00780897" w:rsidRPr="0065108F" w:rsidTr="0065108F">
        <w:trPr>
          <w:trHeight w:val="20"/>
          <w:jc w:val="center"/>
        </w:trPr>
        <w:tc>
          <w:tcPr>
            <w:tcW w:w="4433" w:type="dxa"/>
            <w:tcBorders>
              <w:top w:val="single" w:sz="2" w:space="0" w:color="auto"/>
              <w:left w:val="nil"/>
              <w:bottom w:val="single" w:sz="4" w:space="0" w:color="auto"/>
              <w:right w:val="nil"/>
            </w:tcBorders>
            <w:shd w:val="clear" w:color="auto" w:fill="auto"/>
            <w:noWrap/>
            <w:vAlign w:val="center"/>
          </w:tcPr>
          <w:p w:rsidR="00780897" w:rsidRPr="0065108F" w:rsidRDefault="00780897" w:rsidP="00780897">
            <w:pPr>
              <w:spacing w:after="0" w:line="0" w:lineRule="atLeast"/>
              <w:ind w:firstLine="0"/>
              <w:contextualSpacing/>
              <w:jc w:val="left"/>
              <w:rPr>
                <w:rFonts w:ascii="Arial Narrow" w:hAnsi="Arial Narrow" w:cs="Arial"/>
                <w:lang w:val="es-ES" w:eastAsia="es-ES"/>
              </w:rPr>
            </w:pPr>
            <w:r w:rsidRPr="0065108F">
              <w:rPr>
                <w:rFonts w:ascii="Arial Narrow" w:hAnsi="Arial Narrow" w:cs="Arial"/>
                <w:lang w:val="es-ES" w:eastAsia="es-ES"/>
              </w:rPr>
              <w:t>Revistas y digitales</w:t>
            </w:r>
          </w:p>
        </w:tc>
        <w:tc>
          <w:tcPr>
            <w:tcW w:w="1455" w:type="dxa"/>
            <w:tcBorders>
              <w:top w:val="single" w:sz="2" w:space="0" w:color="auto"/>
              <w:left w:val="nil"/>
              <w:bottom w:val="single" w:sz="4" w:space="0" w:color="auto"/>
              <w:right w:val="nil"/>
            </w:tcBorders>
            <w:vAlign w:val="center"/>
          </w:tcPr>
          <w:p w:rsidR="00780897" w:rsidRPr="0065108F" w:rsidRDefault="00780897" w:rsidP="00780897">
            <w:pPr>
              <w:spacing w:after="0" w:line="0" w:lineRule="atLeast"/>
              <w:contextualSpacing/>
              <w:jc w:val="right"/>
              <w:rPr>
                <w:rFonts w:ascii="Arial Narrow" w:hAnsi="Arial Narrow" w:cs="Arial"/>
              </w:rPr>
            </w:pPr>
            <w:r w:rsidRPr="0065108F">
              <w:rPr>
                <w:rFonts w:ascii="Arial Narrow" w:hAnsi="Arial Narrow" w:cs="Arial"/>
              </w:rPr>
              <w:t xml:space="preserve">293.934 </w:t>
            </w:r>
          </w:p>
        </w:tc>
        <w:tc>
          <w:tcPr>
            <w:tcW w:w="1455" w:type="dxa"/>
            <w:tcBorders>
              <w:top w:val="single" w:sz="2" w:space="0" w:color="auto"/>
              <w:left w:val="nil"/>
              <w:bottom w:val="single" w:sz="4" w:space="0" w:color="auto"/>
              <w:right w:val="nil"/>
            </w:tcBorders>
            <w:shd w:val="clear" w:color="auto" w:fill="auto"/>
            <w:noWrap/>
            <w:vAlign w:val="center"/>
          </w:tcPr>
          <w:p w:rsidR="00780897" w:rsidRPr="0065108F" w:rsidRDefault="006F0C61" w:rsidP="00780897">
            <w:pPr>
              <w:spacing w:after="0" w:line="0" w:lineRule="atLeast"/>
              <w:contextualSpacing/>
              <w:jc w:val="right"/>
              <w:rPr>
                <w:rFonts w:ascii="Arial Narrow" w:hAnsi="Arial Narrow" w:cs="Arial"/>
              </w:rPr>
            </w:pPr>
            <w:r w:rsidRPr="0065108F">
              <w:rPr>
                <w:rFonts w:ascii="Arial Narrow" w:hAnsi="Arial Narrow" w:cs="Arial"/>
              </w:rPr>
              <w:t>49</w:t>
            </w:r>
            <w:r w:rsidR="00780897" w:rsidRPr="0065108F">
              <w:rPr>
                <w:rFonts w:ascii="Arial Narrow" w:hAnsi="Arial Narrow" w:cs="Arial"/>
              </w:rPr>
              <w:t xml:space="preserve">.024 </w:t>
            </w:r>
          </w:p>
        </w:tc>
        <w:tc>
          <w:tcPr>
            <w:tcW w:w="1481" w:type="dxa"/>
            <w:tcBorders>
              <w:top w:val="single" w:sz="2" w:space="0" w:color="auto"/>
              <w:left w:val="nil"/>
              <w:bottom w:val="single" w:sz="4" w:space="0" w:color="auto"/>
              <w:right w:val="nil"/>
            </w:tcBorders>
            <w:vAlign w:val="center"/>
          </w:tcPr>
          <w:p w:rsidR="00780897" w:rsidRPr="0065108F" w:rsidRDefault="00780897" w:rsidP="00780897">
            <w:pPr>
              <w:spacing w:after="0" w:line="0" w:lineRule="atLeast"/>
              <w:ind w:firstLine="0"/>
              <w:contextualSpacing/>
              <w:jc w:val="right"/>
              <w:rPr>
                <w:rFonts w:ascii="Arial Narrow" w:hAnsi="Arial Narrow" w:cs="Arial"/>
                <w:lang w:val="es-ES" w:eastAsia="es-ES"/>
              </w:rPr>
            </w:pPr>
            <w:r w:rsidRPr="0065108F">
              <w:rPr>
                <w:rFonts w:ascii="Arial Narrow" w:hAnsi="Arial Narrow" w:cs="Arial"/>
                <w:lang w:val="es-ES" w:eastAsia="es-ES"/>
              </w:rPr>
              <w:t>-8</w:t>
            </w:r>
            <w:r w:rsidR="006F0C61" w:rsidRPr="0065108F">
              <w:rPr>
                <w:rFonts w:ascii="Arial Narrow" w:hAnsi="Arial Narrow" w:cs="Arial"/>
                <w:lang w:val="es-ES" w:eastAsia="es-ES"/>
              </w:rPr>
              <w:t>3</w:t>
            </w:r>
          </w:p>
        </w:tc>
      </w:tr>
      <w:tr w:rsidR="00780897" w:rsidRPr="002D34C1" w:rsidTr="0065108F">
        <w:trPr>
          <w:trHeight w:val="255"/>
          <w:jc w:val="center"/>
        </w:trPr>
        <w:tc>
          <w:tcPr>
            <w:tcW w:w="4433"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left"/>
              <w:rPr>
                <w:rFonts w:ascii="Arial" w:hAnsi="Arial" w:cs="Arial"/>
                <w:bCs/>
                <w:sz w:val="18"/>
                <w:szCs w:val="18"/>
                <w:lang w:val="es-ES" w:eastAsia="es-ES"/>
              </w:rPr>
            </w:pPr>
            <w:r w:rsidRPr="002D34C1">
              <w:rPr>
                <w:rFonts w:ascii="Arial" w:hAnsi="Arial" w:cs="Arial"/>
                <w:bCs/>
                <w:sz w:val="18"/>
                <w:szCs w:val="18"/>
                <w:lang w:val="es-ES" w:eastAsia="es-ES"/>
              </w:rPr>
              <w:t>Total gasto publicidad turismo</w:t>
            </w:r>
          </w:p>
        </w:tc>
        <w:tc>
          <w:tcPr>
            <w:tcW w:w="1455"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sz w:val="18"/>
                <w:szCs w:val="18"/>
              </w:rPr>
            </w:pPr>
            <w:r w:rsidRPr="002D34C1">
              <w:rPr>
                <w:rFonts w:ascii="Arial" w:hAnsi="Arial" w:cs="Arial"/>
                <w:sz w:val="18"/>
                <w:szCs w:val="18"/>
              </w:rPr>
              <w:t xml:space="preserve">512.647 </w:t>
            </w:r>
          </w:p>
        </w:tc>
        <w:tc>
          <w:tcPr>
            <w:tcW w:w="1455" w:type="dxa"/>
            <w:tcBorders>
              <w:top w:val="single" w:sz="4" w:space="0" w:color="auto"/>
              <w:left w:val="nil"/>
              <w:bottom w:val="single" w:sz="4" w:space="0" w:color="auto"/>
              <w:right w:val="nil"/>
            </w:tcBorders>
            <w:shd w:val="clear" w:color="auto" w:fill="8DB3E2" w:themeFill="text2" w:themeFillTint="66"/>
            <w:noWrap/>
            <w:vAlign w:val="center"/>
          </w:tcPr>
          <w:p w:rsidR="00780897" w:rsidRPr="002D34C1" w:rsidRDefault="00780897" w:rsidP="00780897">
            <w:pPr>
              <w:spacing w:after="0" w:line="0" w:lineRule="atLeast"/>
              <w:ind w:firstLine="0"/>
              <w:contextualSpacing/>
              <w:jc w:val="right"/>
              <w:rPr>
                <w:rFonts w:ascii="Arial" w:hAnsi="Arial" w:cs="Arial"/>
                <w:sz w:val="18"/>
                <w:szCs w:val="18"/>
              </w:rPr>
            </w:pPr>
            <w:r w:rsidRPr="002D34C1">
              <w:rPr>
                <w:rFonts w:ascii="Arial" w:hAnsi="Arial" w:cs="Arial"/>
                <w:sz w:val="18"/>
                <w:szCs w:val="18"/>
              </w:rPr>
              <w:t xml:space="preserve">248.258 </w:t>
            </w:r>
          </w:p>
        </w:tc>
        <w:tc>
          <w:tcPr>
            <w:tcW w:w="1481" w:type="dxa"/>
            <w:tcBorders>
              <w:top w:val="single" w:sz="4" w:space="0" w:color="auto"/>
              <w:left w:val="nil"/>
              <w:bottom w:val="single" w:sz="4" w:space="0" w:color="auto"/>
              <w:right w:val="nil"/>
            </w:tcBorders>
            <w:shd w:val="clear" w:color="auto" w:fill="8DB3E2" w:themeFill="text2" w:themeFillTint="66"/>
            <w:vAlign w:val="center"/>
          </w:tcPr>
          <w:p w:rsidR="00780897" w:rsidRPr="002D34C1" w:rsidRDefault="00780897" w:rsidP="00780897">
            <w:pPr>
              <w:spacing w:after="0" w:line="0" w:lineRule="atLeast"/>
              <w:ind w:firstLine="0"/>
              <w:contextualSpacing/>
              <w:jc w:val="right"/>
              <w:rPr>
                <w:rFonts w:ascii="Arial" w:hAnsi="Arial" w:cs="Arial"/>
                <w:sz w:val="18"/>
                <w:szCs w:val="18"/>
              </w:rPr>
            </w:pPr>
            <w:r w:rsidRPr="002D34C1">
              <w:rPr>
                <w:rFonts w:ascii="Arial" w:hAnsi="Arial" w:cs="Arial"/>
                <w:sz w:val="18"/>
                <w:szCs w:val="18"/>
              </w:rPr>
              <w:t>-52</w:t>
            </w:r>
          </w:p>
        </w:tc>
      </w:tr>
    </w:tbl>
    <w:p w:rsidR="00780897" w:rsidRPr="00784E54" w:rsidRDefault="002F6C70" w:rsidP="00780897">
      <w:pPr>
        <w:pStyle w:val="texto"/>
        <w:spacing w:before="240"/>
      </w:pPr>
      <w:r>
        <w:lastRenderedPageBreak/>
        <w:t>El gasto en publicidad institucional en 2016 alcanzó los 731.064 euros y disminuyó un diez por ciento respecto a 2015; el</w:t>
      </w:r>
      <w:r w:rsidR="00780897" w:rsidRPr="00784E54">
        <w:t xml:space="preserve"> canal que supuso </w:t>
      </w:r>
      <w:r>
        <w:t xml:space="preserve">un </w:t>
      </w:r>
      <w:r w:rsidR="00780897" w:rsidRPr="00784E54">
        <w:t>mayor gasto fue el de la prensa con el 56 por ciento del total, frente a la radio que a</w:t>
      </w:r>
      <w:r w:rsidR="00780897" w:rsidRPr="00784E54">
        <w:t>l</w:t>
      </w:r>
      <w:r w:rsidR="00780897" w:rsidRPr="00784E54">
        <w:t xml:space="preserve">canzó el 19 por ciento del total. </w:t>
      </w:r>
      <w:r>
        <w:t>Destaca la bajada de un 78 por ciento en los servicios prestados por particulares para la creatividad y diseño, la del gasto en televisión en un 74 por ciento, o la de los medios digitales en un 68 por ciento</w:t>
      </w:r>
      <w:r w:rsidR="00780897" w:rsidRPr="00784E54">
        <w:t xml:space="preserve"> canales.</w:t>
      </w:r>
      <w:r>
        <w:t xml:space="preserve"> Por otro lado, el gasto en prensa escrita, en revistas, cine y otros s</w:t>
      </w:r>
      <w:r>
        <w:t>o</w:t>
      </w:r>
      <w:r>
        <w:t xml:space="preserve">portes incrementó. </w:t>
      </w:r>
    </w:p>
    <w:p w:rsidR="00780897" w:rsidRPr="00784E54" w:rsidRDefault="002F6C70" w:rsidP="00780897">
      <w:pPr>
        <w:pStyle w:val="texto"/>
      </w:pPr>
      <w:r>
        <w:t>La publicidad relacionada con el turismo supuso un gasto de 248.258 euros tras haber descendido de forma significativa respecto a 2015 en un 52 por cie</w:t>
      </w:r>
      <w:r>
        <w:t>n</w:t>
      </w:r>
      <w:r>
        <w:t>to; el</w:t>
      </w:r>
      <w:r w:rsidR="00780897">
        <w:t xml:space="preserve"> canal que más gasto ha supuesto ha sido </w:t>
      </w:r>
      <w:r w:rsidR="00780897" w:rsidRPr="00784E54">
        <w:t xml:space="preserve">la radio </w:t>
      </w:r>
      <w:r w:rsidR="00780897">
        <w:t>con</w:t>
      </w:r>
      <w:r w:rsidR="00780897" w:rsidRPr="00784E54">
        <w:t xml:space="preserve"> un 52 por ciento del total</w:t>
      </w:r>
      <w:r w:rsidR="00780897">
        <w:t>,</w:t>
      </w:r>
      <w:r w:rsidR="00780897" w:rsidRPr="00784E54">
        <w:t xml:space="preserve"> frente a la prensa en papel que ha supuesto el 26 por ciento. </w:t>
      </w:r>
      <w:r>
        <w:t>En este caso, la publicidad en revistas y prensa escrita ha experimentado una disminución del 8</w:t>
      </w:r>
      <w:r w:rsidR="006F0C61">
        <w:t>3</w:t>
      </w:r>
      <w:r>
        <w:t xml:space="preserve"> y del </w:t>
      </w:r>
      <w:r w:rsidR="006F0C61">
        <w:t>35</w:t>
      </w:r>
      <w:r>
        <w:t xml:space="preserve"> por ciento respectivamente.</w:t>
      </w:r>
    </w:p>
    <w:p w:rsidR="00780897" w:rsidRPr="00784E54" w:rsidRDefault="00780897" w:rsidP="00780897">
      <w:pPr>
        <w:pStyle w:val="texto"/>
      </w:pPr>
      <w:r w:rsidRPr="00784E54">
        <w:t>El gasto concreto por medio de comunicación tanto de la publicidad instit</w:t>
      </w:r>
      <w:r w:rsidRPr="00784E54">
        <w:t>u</w:t>
      </w:r>
      <w:r w:rsidRPr="00784E54">
        <w:t>cional como de turismo se publica en el Portal de Transparencia del Gobierno de Navarra y puede ser consultado en el siguiente enlace:</w:t>
      </w:r>
    </w:p>
    <w:p w:rsidR="002F6C70" w:rsidRDefault="00551EFF" w:rsidP="0065108F">
      <w:pPr>
        <w:spacing w:before="120"/>
        <w:ind w:firstLine="0"/>
        <w:jc w:val="center"/>
        <w:rPr>
          <w:rFonts w:cs="Arial"/>
          <w:color w:val="0000FF"/>
          <w:spacing w:val="6"/>
          <w:sz w:val="22"/>
          <w:szCs w:val="22"/>
          <w:u w:val="single"/>
        </w:rPr>
      </w:pPr>
      <w:hyperlink r:id="rId17" w:history="1">
        <w:r w:rsidR="00780897" w:rsidRPr="00784E54">
          <w:rPr>
            <w:rFonts w:cs="Arial"/>
            <w:color w:val="0000FF"/>
            <w:spacing w:val="6"/>
            <w:sz w:val="22"/>
            <w:szCs w:val="22"/>
            <w:u w:val="single"/>
          </w:rPr>
          <w:t>https://gobiernoabierto.navarra.es/es/open-data/datos/publicidad-institucional-2016</w:t>
        </w:r>
      </w:hyperlink>
    </w:p>
    <w:p w:rsidR="00B71714" w:rsidRDefault="002F6C70" w:rsidP="004827BB">
      <w:pPr>
        <w:pStyle w:val="texto"/>
        <w:spacing w:after="240"/>
      </w:pPr>
      <w:r>
        <w:t>A continuación mostramos un resumen de la información que puede consu</w:t>
      </w:r>
      <w:r>
        <w:t>l</w:t>
      </w:r>
      <w:r>
        <w:t xml:space="preserve">tarse en esta </w:t>
      </w:r>
      <w:r w:rsidRPr="004827BB">
        <w:t>página web:</w:t>
      </w:r>
    </w:p>
    <w:p w:rsidR="0065108F" w:rsidRPr="004827BB" w:rsidRDefault="0065108F" w:rsidP="004827BB">
      <w:pPr>
        <w:ind w:firstLine="0"/>
        <w:jc w:val="center"/>
        <w:outlineLvl w:val="0"/>
        <w:rPr>
          <w:rFonts w:ascii="Arial" w:hAnsi="Arial" w:cs="Arial"/>
        </w:rPr>
      </w:pPr>
      <w:r w:rsidRPr="004827BB">
        <w:rPr>
          <w:rFonts w:ascii="Arial" w:hAnsi="Arial" w:cs="Arial"/>
        </w:rPr>
        <w:t>Principales campañas de publicidad institucional realizadas en 2016</w:t>
      </w:r>
    </w:p>
    <w:tbl>
      <w:tblPr>
        <w:tblW w:w="8874" w:type="dxa"/>
        <w:tblInd w:w="55" w:type="dxa"/>
        <w:tblLayout w:type="fixed"/>
        <w:tblCellMar>
          <w:left w:w="70" w:type="dxa"/>
          <w:right w:w="70" w:type="dxa"/>
        </w:tblCellMar>
        <w:tblLook w:val="04A0" w:firstRow="1" w:lastRow="0" w:firstColumn="1" w:lastColumn="0" w:noHBand="0" w:noVBand="1"/>
      </w:tblPr>
      <w:tblGrid>
        <w:gridCol w:w="4840"/>
        <w:gridCol w:w="944"/>
        <w:gridCol w:w="3090"/>
      </w:tblGrid>
      <w:tr w:rsidR="00B71714" w:rsidRPr="00B71714" w:rsidTr="004827BB">
        <w:trPr>
          <w:trHeight w:val="255"/>
        </w:trPr>
        <w:tc>
          <w:tcPr>
            <w:tcW w:w="5784"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left"/>
              <w:rPr>
                <w:rFonts w:ascii="Arial" w:hAnsi="Arial" w:cs="Arial"/>
                <w:bCs/>
                <w:sz w:val="18"/>
                <w:szCs w:val="18"/>
                <w:lang w:val="es-ES" w:eastAsia="es-ES"/>
              </w:rPr>
            </w:pPr>
            <w:r w:rsidRPr="00B71714">
              <w:rPr>
                <w:rFonts w:ascii="Arial" w:hAnsi="Arial" w:cs="Arial"/>
                <w:bCs/>
                <w:sz w:val="18"/>
                <w:szCs w:val="18"/>
                <w:lang w:val="es-ES" w:eastAsia="es-ES"/>
              </w:rPr>
              <w:t>Descripción</w:t>
            </w:r>
          </w:p>
        </w:tc>
        <w:tc>
          <w:tcPr>
            <w:tcW w:w="3090" w:type="dxa"/>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right"/>
              <w:rPr>
                <w:rFonts w:ascii="Arial" w:hAnsi="Arial" w:cs="Arial"/>
                <w:sz w:val="18"/>
                <w:szCs w:val="18"/>
                <w:lang w:val="es-ES" w:eastAsia="es-ES"/>
              </w:rPr>
            </w:pPr>
            <w:r w:rsidRPr="00B71714">
              <w:rPr>
                <w:rFonts w:ascii="Arial" w:hAnsi="Arial" w:cs="Arial"/>
                <w:sz w:val="18"/>
                <w:szCs w:val="18"/>
                <w:lang w:val="es-ES" w:eastAsia="es-ES"/>
              </w:rPr>
              <w:t xml:space="preserve">Importe </w:t>
            </w:r>
          </w:p>
        </w:tc>
      </w:tr>
      <w:tr w:rsidR="00B71714" w:rsidRPr="004827BB" w:rsidTr="004827BB">
        <w:trPr>
          <w:trHeight w:val="198"/>
        </w:trPr>
        <w:tc>
          <w:tcPr>
            <w:tcW w:w="5784" w:type="dxa"/>
            <w:gridSpan w:val="2"/>
            <w:tcBorders>
              <w:top w:val="single" w:sz="4"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Violencia Machista</w:t>
            </w:r>
          </w:p>
        </w:tc>
        <w:tc>
          <w:tcPr>
            <w:tcW w:w="3090" w:type="dxa"/>
            <w:tcBorders>
              <w:top w:val="single" w:sz="4"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72.237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Renta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65.825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Comercio Minorista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59.042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Sensibilización Euskera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55.307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Citas médicas</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52.283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Día de Navarra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50.474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Bolsa alquiler vivienda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49.770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Prematriculación "Elige la pública"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49.258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Mecna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40.158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Aprende Euskera (euskaldunización de adultos)</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32.167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Kultur</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23.361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Buenos deseos saludables (salud pública)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18.454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Cáncer Colon</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16.788 </w:t>
            </w:r>
          </w:p>
        </w:tc>
      </w:tr>
      <w:tr w:rsidR="00B71714" w:rsidRPr="004827BB" w:rsidTr="004827BB">
        <w:trPr>
          <w:trHeight w:val="198"/>
        </w:trPr>
        <w:tc>
          <w:tcPr>
            <w:tcW w:w="5784" w:type="dxa"/>
            <w:gridSpan w:val="2"/>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Jornadas Paz y Convivencia</w:t>
            </w:r>
          </w:p>
        </w:tc>
        <w:tc>
          <w:tcPr>
            <w:tcW w:w="3090" w:type="dxa"/>
            <w:tcBorders>
              <w:top w:val="single" w:sz="2" w:space="0" w:color="auto"/>
              <w:left w:val="nil"/>
              <w:bottom w:val="single" w:sz="2"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14.538 </w:t>
            </w:r>
          </w:p>
        </w:tc>
      </w:tr>
      <w:tr w:rsidR="00B71714" w:rsidRPr="004827BB" w:rsidTr="004827BB">
        <w:trPr>
          <w:trHeight w:val="198"/>
        </w:trPr>
        <w:tc>
          <w:tcPr>
            <w:tcW w:w="5784" w:type="dxa"/>
            <w:gridSpan w:val="2"/>
            <w:tcBorders>
              <w:top w:val="single" w:sz="2" w:space="0" w:color="auto"/>
              <w:left w:val="nil"/>
              <w:bottom w:val="single" w:sz="4" w:space="0" w:color="auto"/>
              <w:right w:val="nil"/>
            </w:tcBorders>
            <w:shd w:val="clear" w:color="auto" w:fill="auto"/>
            <w:noWrap/>
            <w:vAlign w:val="center"/>
            <w:hideMark/>
          </w:tcPr>
          <w:p w:rsidR="00B71714" w:rsidRPr="004827BB" w:rsidRDefault="00B71714" w:rsidP="00E8186F">
            <w:pPr>
              <w:spacing w:after="0"/>
              <w:ind w:firstLine="0"/>
              <w:contextualSpacing/>
              <w:jc w:val="left"/>
              <w:rPr>
                <w:rFonts w:ascii="Arial Narrow" w:hAnsi="Arial Narrow" w:cs="Arial"/>
                <w:lang w:val="es-ES" w:eastAsia="es-ES"/>
              </w:rPr>
            </w:pPr>
            <w:r w:rsidRPr="004827BB">
              <w:rPr>
                <w:rFonts w:ascii="Arial Narrow" w:hAnsi="Arial Narrow" w:cs="Arial"/>
                <w:lang w:val="es-ES" w:eastAsia="es-ES"/>
              </w:rPr>
              <w:t>Homenaje Reyes de Navarra</w:t>
            </w:r>
          </w:p>
        </w:tc>
        <w:tc>
          <w:tcPr>
            <w:tcW w:w="3090" w:type="dxa"/>
            <w:tcBorders>
              <w:top w:val="single" w:sz="2" w:space="0" w:color="auto"/>
              <w:left w:val="nil"/>
              <w:bottom w:val="single" w:sz="4" w:space="0" w:color="auto"/>
              <w:right w:val="nil"/>
            </w:tcBorders>
            <w:shd w:val="clear" w:color="auto" w:fill="auto"/>
            <w:noWrap/>
            <w:vAlign w:val="center"/>
            <w:hideMark/>
          </w:tcPr>
          <w:p w:rsidR="00B71714" w:rsidRPr="004827BB" w:rsidRDefault="00B71714" w:rsidP="00E8186F">
            <w:pPr>
              <w:spacing w:after="0"/>
              <w:ind w:firstLine="0"/>
              <w:contextualSpacing/>
              <w:jc w:val="right"/>
              <w:rPr>
                <w:rFonts w:ascii="Arial Narrow" w:hAnsi="Arial Narrow" w:cs="Arial"/>
                <w:lang w:val="es-ES" w:eastAsia="es-ES"/>
              </w:rPr>
            </w:pPr>
            <w:r w:rsidRPr="004827BB">
              <w:rPr>
                <w:rFonts w:ascii="Arial Narrow" w:hAnsi="Arial Narrow" w:cs="Arial"/>
                <w:lang w:val="es-ES" w:eastAsia="es-ES"/>
              </w:rPr>
              <w:t xml:space="preserve">11.991 </w:t>
            </w:r>
          </w:p>
        </w:tc>
      </w:tr>
      <w:tr w:rsidR="00B71714" w:rsidRPr="00B71714" w:rsidTr="004827BB">
        <w:trPr>
          <w:trHeight w:val="255"/>
        </w:trPr>
        <w:tc>
          <w:tcPr>
            <w:tcW w:w="4840" w:type="dxa"/>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left"/>
              <w:rPr>
                <w:rFonts w:ascii="Arial" w:hAnsi="Arial" w:cs="Arial"/>
                <w:bCs/>
                <w:sz w:val="18"/>
                <w:szCs w:val="18"/>
                <w:lang w:val="es-ES" w:eastAsia="es-ES"/>
              </w:rPr>
            </w:pPr>
            <w:r w:rsidRPr="00B71714">
              <w:rPr>
                <w:rFonts w:ascii="Arial" w:hAnsi="Arial" w:cs="Arial"/>
                <w:bCs/>
                <w:sz w:val="18"/>
                <w:szCs w:val="18"/>
                <w:lang w:val="es-ES" w:eastAsia="es-ES"/>
              </w:rPr>
              <w:t>Total</w:t>
            </w:r>
          </w:p>
        </w:tc>
        <w:tc>
          <w:tcPr>
            <w:tcW w:w="4034"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71714" w:rsidRPr="00B71714" w:rsidRDefault="00B71714" w:rsidP="00E8186F">
            <w:pPr>
              <w:spacing w:after="0"/>
              <w:ind w:firstLine="0"/>
              <w:contextualSpacing/>
              <w:jc w:val="right"/>
              <w:rPr>
                <w:rFonts w:ascii="Arial" w:hAnsi="Arial" w:cs="Arial"/>
                <w:bCs/>
                <w:sz w:val="18"/>
                <w:szCs w:val="18"/>
                <w:lang w:val="es-ES" w:eastAsia="es-ES"/>
              </w:rPr>
            </w:pPr>
            <w:r w:rsidRPr="00B71714">
              <w:rPr>
                <w:rFonts w:ascii="Arial" w:hAnsi="Arial" w:cs="Arial"/>
                <w:bCs/>
                <w:sz w:val="18"/>
                <w:szCs w:val="18"/>
                <w:lang w:val="es-ES" w:eastAsia="es-ES"/>
              </w:rPr>
              <w:t xml:space="preserve">611.653 </w:t>
            </w:r>
          </w:p>
        </w:tc>
      </w:tr>
      <w:tr w:rsidR="00F82E35" w:rsidRPr="00B71714" w:rsidTr="004827BB">
        <w:trPr>
          <w:trHeight w:val="198"/>
        </w:trPr>
        <w:tc>
          <w:tcPr>
            <w:tcW w:w="4840" w:type="dxa"/>
            <w:tcBorders>
              <w:top w:val="single" w:sz="4" w:space="0" w:color="auto"/>
              <w:left w:val="nil"/>
              <w:right w:val="nil"/>
            </w:tcBorders>
            <w:shd w:val="clear" w:color="auto" w:fill="FFFFFF" w:themeFill="background1"/>
            <w:noWrap/>
            <w:vAlign w:val="center"/>
          </w:tcPr>
          <w:p w:rsidR="00F82E35" w:rsidRPr="00B71714" w:rsidRDefault="00F82E35" w:rsidP="00E8186F">
            <w:pPr>
              <w:spacing w:after="0"/>
              <w:ind w:firstLine="0"/>
              <w:contextualSpacing/>
              <w:jc w:val="left"/>
              <w:rPr>
                <w:rFonts w:ascii="Arial" w:hAnsi="Arial" w:cs="Arial"/>
                <w:bCs/>
                <w:sz w:val="18"/>
                <w:szCs w:val="18"/>
                <w:lang w:val="es-ES" w:eastAsia="es-ES"/>
              </w:rPr>
            </w:pPr>
          </w:p>
        </w:tc>
        <w:tc>
          <w:tcPr>
            <w:tcW w:w="4034" w:type="dxa"/>
            <w:gridSpan w:val="2"/>
            <w:tcBorders>
              <w:top w:val="single" w:sz="4" w:space="0" w:color="auto"/>
              <w:left w:val="nil"/>
              <w:right w:val="nil"/>
            </w:tcBorders>
            <w:shd w:val="clear" w:color="auto" w:fill="FFFFFF" w:themeFill="background1"/>
            <w:noWrap/>
            <w:vAlign w:val="center"/>
          </w:tcPr>
          <w:p w:rsidR="00F82E35" w:rsidRPr="00B71714" w:rsidRDefault="00F82E35" w:rsidP="00E8186F">
            <w:pPr>
              <w:spacing w:after="0"/>
              <w:ind w:firstLine="0"/>
              <w:contextualSpacing/>
              <w:jc w:val="right"/>
              <w:rPr>
                <w:rFonts w:ascii="Arial" w:hAnsi="Arial" w:cs="Arial"/>
                <w:bCs/>
                <w:sz w:val="18"/>
                <w:szCs w:val="18"/>
                <w:lang w:val="es-ES" w:eastAsia="es-ES"/>
              </w:rPr>
            </w:pPr>
          </w:p>
        </w:tc>
      </w:tr>
    </w:tbl>
    <w:p w:rsidR="004827BB" w:rsidRDefault="004827BB" w:rsidP="004827BB">
      <w:pPr>
        <w:ind w:firstLine="0"/>
        <w:jc w:val="center"/>
        <w:outlineLvl w:val="0"/>
        <w:rPr>
          <w:rFonts w:ascii="Arial" w:hAnsi="Arial" w:cs="Arial"/>
        </w:rPr>
      </w:pPr>
    </w:p>
    <w:p w:rsidR="004827BB" w:rsidRDefault="004827BB">
      <w:pPr>
        <w:spacing w:after="0"/>
        <w:ind w:firstLine="0"/>
        <w:jc w:val="left"/>
        <w:rPr>
          <w:rFonts w:ascii="Arial" w:hAnsi="Arial" w:cs="Arial"/>
        </w:rPr>
      </w:pPr>
      <w:r>
        <w:rPr>
          <w:rFonts w:ascii="Arial" w:hAnsi="Arial" w:cs="Arial"/>
        </w:rPr>
        <w:br w:type="page"/>
      </w:r>
    </w:p>
    <w:p w:rsidR="004827BB" w:rsidRPr="004827BB" w:rsidRDefault="004827BB" w:rsidP="004827BB">
      <w:pPr>
        <w:ind w:firstLine="0"/>
        <w:jc w:val="center"/>
        <w:outlineLvl w:val="0"/>
        <w:rPr>
          <w:rFonts w:ascii="Arial" w:hAnsi="Arial" w:cs="Arial"/>
        </w:rPr>
      </w:pPr>
      <w:r w:rsidRPr="004827BB">
        <w:rPr>
          <w:rFonts w:ascii="Arial" w:hAnsi="Arial" w:cs="Arial"/>
        </w:rPr>
        <w:lastRenderedPageBreak/>
        <w:t>Desglose de gastos en prensa escrita</w:t>
      </w:r>
    </w:p>
    <w:tbl>
      <w:tblPr>
        <w:tblW w:w="8874" w:type="dxa"/>
        <w:tblInd w:w="55" w:type="dxa"/>
        <w:tblLayout w:type="fixed"/>
        <w:tblCellMar>
          <w:left w:w="70" w:type="dxa"/>
          <w:right w:w="70" w:type="dxa"/>
        </w:tblCellMar>
        <w:tblLook w:val="04A0" w:firstRow="1" w:lastRow="0" w:firstColumn="1" w:lastColumn="0" w:noHBand="0" w:noVBand="1"/>
      </w:tblPr>
      <w:tblGrid>
        <w:gridCol w:w="4880"/>
        <w:gridCol w:w="1331"/>
        <w:gridCol w:w="1331"/>
        <w:gridCol w:w="1332"/>
      </w:tblGrid>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sz w:val="18"/>
                <w:szCs w:val="18"/>
                <w:lang w:val="es-ES" w:eastAsia="es-ES"/>
              </w:rPr>
            </w:pPr>
            <w:r w:rsidRPr="000A435A">
              <w:rPr>
                <w:rFonts w:ascii="Arial" w:hAnsi="Arial" w:cs="Arial"/>
                <w:sz w:val="18"/>
                <w:szCs w:val="18"/>
                <w:lang w:val="es-ES" w:eastAsia="es-ES"/>
              </w:rPr>
              <w:t xml:space="preserve">Publicidad institucional </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color w:val="000000"/>
                <w:sz w:val="18"/>
                <w:szCs w:val="18"/>
                <w:lang w:val="es-ES" w:eastAsia="es-ES"/>
              </w:rPr>
            </w:pPr>
            <w:r w:rsidRPr="000A435A">
              <w:rPr>
                <w:rFonts w:ascii="Arial" w:hAnsi="Arial" w:cs="Arial"/>
                <w:color w:val="000000"/>
                <w:sz w:val="18"/>
                <w:szCs w:val="18"/>
                <w:lang w:val="es-ES" w:eastAsia="es-ES"/>
              </w:rPr>
              <w:t>Turismo</w:t>
            </w:r>
          </w:p>
        </w:tc>
        <w:tc>
          <w:tcPr>
            <w:tcW w:w="1332"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right"/>
              <w:rPr>
                <w:rFonts w:ascii="Arial" w:hAnsi="Arial" w:cs="Arial"/>
                <w:color w:val="000000"/>
                <w:sz w:val="18"/>
                <w:szCs w:val="18"/>
                <w:lang w:val="es-ES" w:eastAsia="es-ES"/>
              </w:rPr>
            </w:pPr>
            <w:r w:rsidRPr="000A435A">
              <w:rPr>
                <w:rFonts w:ascii="Arial" w:hAnsi="Arial" w:cs="Arial"/>
                <w:color w:val="000000"/>
                <w:sz w:val="18"/>
                <w:szCs w:val="18"/>
                <w:lang w:val="es-ES" w:eastAsia="es-ES"/>
              </w:rPr>
              <w:t>Total</w:t>
            </w:r>
          </w:p>
        </w:tc>
      </w:tr>
      <w:tr w:rsidR="000A435A" w:rsidRPr="004827BB" w:rsidTr="004827BB">
        <w:trPr>
          <w:trHeight w:val="198"/>
        </w:trPr>
        <w:tc>
          <w:tcPr>
            <w:tcW w:w="4880"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Diario de Navarra</w:t>
            </w:r>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239.031</w:t>
            </w:r>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7.255</w:t>
            </w:r>
          </w:p>
        </w:tc>
        <w:tc>
          <w:tcPr>
            <w:tcW w:w="1332"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239.031</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Diario de Noticias</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130.743</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7.259</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138.002</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Gara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28.475</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3.993</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32.468</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Berria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12.027</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3.993</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16.020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La Vanguardia</w:t>
            </w:r>
          </w:p>
        </w:tc>
        <w:tc>
          <w:tcPr>
            <w:tcW w:w="1331" w:type="dxa"/>
            <w:tcBorders>
              <w:top w:val="single" w:sz="2" w:space="0" w:color="auto"/>
              <w:left w:val="nil"/>
              <w:bottom w:val="single" w:sz="2" w:space="0" w:color="auto"/>
              <w:right w:val="nil"/>
            </w:tcBorders>
            <w:shd w:val="clear" w:color="auto" w:fill="auto"/>
            <w:noWrap/>
            <w:vAlign w:val="center"/>
            <w:hideMark/>
          </w:tcPr>
          <w:p w:rsidR="00A46310" w:rsidRPr="004827BB" w:rsidRDefault="00A46310" w:rsidP="00A46310">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Heraldo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El Correo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Diario Vasco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Gupo Noticias CAV: Deia-D.Noticias Alava-Gipuzkoa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Diario La Rioja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6.000</w:t>
            </w:r>
          </w:p>
        </w:tc>
        <w:tc>
          <w:tcPr>
            <w:tcW w:w="1332"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6.000</w:t>
            </w:r>
          </w:p>
        </w:tc>
      </w:tr>
      <w:tr w:rsidR="000A435A" w:rsidRPr="004827BB" w:rsidTr="004827BB">
        <w:trPr>
          <w:trHeight w:val="198"/>
        </w:trPr>
        <w:tc>
          <w:tcPr>
            <w:tcW w:w="4880"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Sud Ouest</w:t>
            </w:r>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A46310" w:rsidP="000A435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lang w:val="es-ES" w:eastAsia="es-ES"/>
              </w:rPr>
            </w:pPr>
            <w:r w:rsidRPr="004827BB">
              <w:rPr>
                <w:rFonts w:ascii="Arial Narrow" w:hAnsi="Arial Narrow"/>
                <w:lang w:val="es-ES" w:eastAsia="es-ES"/>
              </w:rPr>
              <w:t>6.000</w:t>
            </w:r>
          </w:p>
        </w:tc>
        <w:tc>
          <w:tcPr>
            <w:tcW w:w="1332"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0A435A">
            <w:pPr>
              <w:spacing w:after="0"/>
              <w:ind w:firstLine="0"/>
              <w:jc w:val="right"/>
              <w:rPr>
                <w:rFonts w:ascii="Arial Narrow" w:hAnsi="Arial Narrow"/>
                <w:color w:val="000000"/>
                <w:lang w:val="es-ES" w:eastAsia="es-ES"/>
              </w:rPr>
            </w:pPr>
            <w:r w:rsidRPr="004827BB">
              <w:rPr>
                <w:rFonts w:ascii="Arial Narrow" w:hAnsi="Arial Narrow"/>
                <w:color w:val="000000"/>
                <w:lang w:val="es-ES" w:eastAsia="es-ES"/>
              </w:rPr>
              <w:t>6.000</w:t>
            </w:r>
          </w:p>
        </w:tc>
      </w:tr>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left"/>
              <w:rPr>
                <w:rFonts w:ascii="Arial" w:hAnsi="Arial" w:cs="Arial"/>
                <w:sz w:val="18"/>
                <w:szCs w:val="18"/>
                <w:lang w:val="es-ES" w:eastAsia="es-ES"/>
              </w:rPr>
            </w:pPr>
            <w:r w:rsidRPr="000A435A">
              <w:rPr>
                <w:rFonts w:ascii="Arial" w:hAnsi="Arial" w:cs="Arial"/>
                <w:sz w:val="18"/>
                <w:szCs w:val="18"/>
                <w:lang w:val="es-ES" w:eastAsia="es-ES"/>
              </w:rPr>
              <w:t>Total gasto en prensa escrita</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410.276 </w:t>
            </w: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70.801 </w:t>
            </w:r>
          </w:p>
        </w:tc>
        <w:tc>
          <w:tcPr>
            <w:tcW w:w="1332"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0A435A">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481.077</w:t>
            </w:r>
          </w:p>
        </w:tc>
      </w:tr>
      <w:tr w:rsidR="000A435A" w:rsidRPr="000A435A" w:rsidTr="004827BB">
        <w:trPr>
          <w:trHeight w:val="198"/>
        </w:trPr>
        <w:tc>
          <w:tcPr>
            <w:tcW w:w="4880"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1"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Arial" w:hAnsi="Arial" w:cs="Arial"/>
                <w:sz w:val="18"/>
                <w:szCs w:val="18"/>
                <w:lang w:val="es-ES" w:eastAsia="es-ES"/>
              </w:rPr>
            </w:pPr>
          </w:p>
        </w:tc>
        <w:tc>
          <w:tcPr>
            <w:tcW w:w="1332" w:type="dxa"/>
            <w:tcBorders>
              <w:top w:val="single" w:sz="4" w:space="0" w:color="auto"/>
              <w:left w:val="nil"/>
              <w:right w:val="nil"/>
            </w:tcBorders>
            <w:shd w:val="clear" w:color="auto" w:fill="auto"/>
            <w:noWrap/>
            <w:vAlign w:val="center"/>
            <w:hideMark/>
          </w:tcPr>
          <w:p w:rsidR="000A435A" w:rsidRPr="000A435A" w:rsidRDefault="000A435A" w:rsidP="000A435A">
            <w:pPr>
              <w:spacing w:after="0"/>
              <w:ind w:firstLine="0"/>
              <w:jc w:val="left"/>
              <w:rPr>
                <w:rFonts w:ascii="Calibri" w:hAnsi="Calibri"/>
                <w:color w:val="000000"/>
                <w:sz w:val="18"/>
                <w:szCs w:val="18"/>
                <w:lang w:val="es-ES" w:eastAsia="es-ES"/>
              </w:rPr>
            </w:pPr>
          </w:p>
        </w:tc>
      </w:tr>
    </w:tbl>
    <w:p w:rsidR="004827BB" w:rsidRPr="004827BB" w:rsidRDefault="004827BB" w:rsidP="004827BB">
      <w:pPr>
        <w:ind w:firstLine="0"/>
        <w:jc w:val="center"/>
        <w:outlineLvl w:val="0"/>
        <w:rPr>
          <w:rFonts w:ascii="Arial" w:hAnsi="Arial" w:cs="Arial"/>
        </w:rPr>
      </w:pPr>
      <w:r w:rsidRPr="004827BB">
        <w:rPr>
          <w:rFonts w:ascii="Arial" w:hAnsi="Arial" w:cs="Arial"/>
        </w:rPr>
        <w:t>Desglose de gastos en radio</w:t>
      </w:r>
    </w:p>
    <w:tbl>
      <w:tblPr>
        <w:tblW w:w="8874" w:type="dxa"/>
        <w:tblInd w:w="55" w:type="dxa"/>
        <w:tblLayout w:type="fixed"/>
        <w:tblCellMar>
          <w:left w:w="70" w:type="dxa"/>
          <w:right w:w="70" w:type="dxa"/>
        </w:tblCellMar>
        <w:tblLook w:val="04A0" w:firstRow="1" w:lastRow="0" w:firstColumn="1" w:lastColumn="0" w:noHBand="0" w:noVBand="1"/>
      </w:tblPr>
      <w:tblGrid>
        <w:gridCol w:w="4880"/>
        <w:gridCol w:w="1331"/>
        <w:gridCol w:w="181"/>
        <w:gridCol w:w="1150"/>
        <w:gridCol w:w="541"/>
        <w:gridCol w:w="791"/>
      </w:tblGrid>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0A435A">
            <w:pPr>
              <w:spacing w:after="0"/>
              <w:ind w:firstLine="0"/>
              <w:jc w:val="left"/>
              <w:rPr>
                <w:rFonts w:ascii="Arial" w:hAnsi="Arial" w:cs="Arial"/>
                <w:sz w:val="24"/>
                <w:szCs w:val="24"/>
                <w:lang w:val="es-ES" w:eastAsia="es-ES"/>
              </w:rPr>
            </w:pPr>
          </w:p>
        </w:tc>
        <w:tc>
          <w:tcPr>
            <w:tcW w:w="133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firstLine="0"/>
              <w:jc w:val="right"/>
              <w:rPr>
                <w:rFonts w:ascii="Arial" w:hAnsi="Arial" w:cs="Arial"/>
                <w:sz w:val="18"/>
                <w:szCs w:val="18"/>
                <w:lang w:val="es-ES" w:eastAsia="es-ES"/>
              </w:rPr>
            </w:pPr>
            <w:r w:rsidRPr="000A435A">
              <w:rPr>
                <w:rFonts w:ascii="Arial" w:hAnsi="Arial" w:cs="Arial"/>
                <w:sz w:val="18"/>
                <w:szCs w:val="18"/>
                <w:lang w:val="es-ES" w:eastAsia="es-ES"/>
              </w:rPr>
              <w:t xml:space="preserve">Publicidad institucional </w:t>
            </w:r>
          </w:p>
        </w:tc>
        <w:tc>
          <w:tcPr>
            <w:tcW w:w="1331"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B07E0A">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Turismo</w:t>
            </w:r>
          </w:p>
        </w:tc>
        <w:tc>
          <w:tcPr>
            <w:tcW w:w="133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6F0C61" w:rsidRDefault="000A435A"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Total</w:t>
            </w:r>
          </w:p>
        </w:tc>
      </w:tr>
      <w:tr w:rsidR="000A435A" w:rsidRPr="004827BB" w:rsidTr="004827BB">
        <w:trPr>
          <w:trHeight w:val="198"/>
        </w:trPr>
        <w:tc>
          <w:tcPr>
            <w:tcW w:w="4880"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Cadena Ser</w:t>
            </w:r>
          </w:p>
        </w:tc>
        <w:tc>
          <w:tcPr>
            <w:tcW w:w="1331" w:type="dxa"/>
            <w:tcBorders>
              <w:top w:val="single" w:sz="4"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50.322</w:t>
            </w:r>
          </w:p>
        </w:tc>
        <w:tc>
          <w:tcPr>
            <w:tcW w:w="1331" w:type="dxa"/>
            <w:gridSpan w:val="2"/>
            <w:tcBorders>
              <w:top w:val="single" w:sz="4"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42.669</w:t>
            </w:r>
          </w:p>
        </w:tc>
        <w:tc>
          <w:tcPr>
            <w:tcW w:w="1332" w:type="dxa"/>
            <w:gridSpan w:val="2"/>
            <w:tcBorders>
              <w:top w:val="single" w:sz="4"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92.991</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Onda Cero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39.125</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15.000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54.125</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 xml:space="preserve">Cope </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36.705</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15.000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51.705</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Euskalerria Irratia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11.300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13.903</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25.203</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Xorroxin Irratia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2.649</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4.000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6.649</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Radio Euskadi</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12.937</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12.937</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Cope Euskadi</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3.200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3.200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Onda Vasca</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7.260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7.260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Radio Popular Bilbao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5.000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5.000</w:t>
            </w:r>
          </w:p>
        </w:tc>
      </w:tr>
      <w:tr w:rsidR="000A435A" w:rsidRPr="004827BB" w:rsidTr="004827BB">
        <w:trPr>
          <w:trHeight w:val="198"/>
        </w:trPr>
        <w:tc>
          <w:tcPr>
            <w:tcW w:w="4880" w:type="dxa"/>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Onda Cero Bilbao</w:t>
            </w:r>
          </w:p>
        </w:tc>
        <w:tc>
          <w:tcPr>
            <w:tcW w:w="1331" w:type="dxa"/>
            <w:tcBorders>
              <w:top w:val="single" w:sz="2" w:space="0" w:color="auto"/>
              <w:left w:val="nil"/>
              <w:bottom w:val="single" w:sz="2"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4.850</w:t>
            </w:r>
          </w:p>
        </w:tc>
        <w:tc>
          <w:tcPr>
            <w:tcW w:w="1332" w:type="dxa"/>
            <w:gridSpan w:val="2"/>
            <w:tcBorders>
              <w:top w:val="single" w:sz="2" w:space="0" w:color="auto"/>
              <w:left w:val="nil"/>
              <w:bottom w:val="single" w:sz="2"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4.850</w:t>
            </w:r>
          </w:p>
        </w:tc>
      </w:tr>
      <w:tr w:rsidR="000A435A" w:rsidRPr="004827BB" w:rsidTr="004827BB">
        <w:trPr>
          <w:trHeight w:val="198"/>
        </w:trPr>
        <w:tc>
          <w:tcPr>
            <w:tcW w:w="4880" w:type="dxa"/>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left"/>
              <w:rPr>
                <w:rFonts w:ascii="Arial Narrow" w:hAnsi="Arial Narrow"/>
                <w:lang w:val="es-ES" w:eastAsia="es-ES"/>
              </w:rPr>
            </w:pPr>
            <w:r w:rsidRPr="004827BB">
              <w:rPr>
                <w:rFonts w:ascii="Arial Narrow" w:hAnsi="Arial Narrow"/>
                <w:lang w:val="es-ES" w:eastAsia="es-ES"/>
              </w:rPr>
              <w:t>Radio Nervión</w:t>
            </w:r>
          </w:p>
        </w:tc>
        <w:tc>
          <w:tcPr>
            <w:tcW w:w="1331" w:type="dxa"/>
            <w:tcBorders>
              <w:top w:val="single" w:sz="2" w:space="0" w:color="auto"/>
              <w:left w:val="nil"/>
              <w:bottom w:val="single" w:sz="4" w:space="0" w:color="auto"/>
              <w:right w:val="nil"/>
            </w:tcBorders>
            <w:shd w:val="clear" w:color="auto" w:fill="auto"/>
            <w:noWrap/>
            <w:vAlign w:val="center"/>
            <w:hideMark/>
          </w:tcPr>
          <w:p w:rsidR="000A435A" w:rsidRPr="004827BB" w:rsidRDefault="00A46310" w:rsidP="00B07E0A">
            <w:pPr>
              <w:spacing w:after="0"/>
              <w:ind w:firstLine="0"/>
              <w:jc w:val="right"/>
              <w:rPr>
                <w:rFonts w:ascii="Arial Narrow" w:hAnsi="Arial Narrow"/>
                <w:lang w:val="es-ES" w:eastAsia="es-ES"/>
              </w:rPr>
            </w:pPr>
            <w:r>
              <w:rPr>
                <w:rFonts w:ascii="Arial Narrow" w:hAnsi="Arial Narrow"/>
                <w:lang w:val="es-ES" w:eastAsia="es-ES"/>
              </w:rPr>
              <w:t>0</w:t>
            </w:r>
          </w:p>
        </w:tc>
        <w:tc>
          <w:tcPr>
            <w:tcW w:w="1331" w:type="dxa"/>
            <w:gridSpan w:val="2"/>
            <w:tcBorders>
              <w:top w:val="single" w:sz="2" w:space="0" w:color="auto"/>
              <w:left w:val="nil"/>
              <w:bottom w:val="single" w:sz="4" w:space="0" w:color="auto"/>
              <w:right w:val="nil"/>
            </w:tcBorders>
            <w:shd w:val="clear" w:color="auto" w:fill="auto"/>
            <w:noWrap/>
            <w:vAlign w:val="center"/>
            <w:hideMark/>
          </w:tcPr>
          <w:p w:rsidR="000A435A" w:rsidRPr="004827BB" w:rsidRDefault="000A435A" w:rsidP="00B07E0A">
            <w:pPr>
              <w:spacing w:after="0"/>
              <w:ind w:firstLine="0"/>
              <w:jc w:val="right"/>
              <w:rPr>
                <w:rFonts w:ascii="Arial Narrow" w:hAnsi="Arial Narrow"/>
                <w:lang w:val="es-ES" w:eastAsia="es-ES"/>
              </w:rPr>
            </w:pPr>
            <w:r w:rsidRPr="004827BB">
              <w:rPr>
                <w:rFonts w:ascii="Arial Narrow" w:hAnsi="Arial Narrow"/>
                <w:lang w:val="es-ES" w:eastAsia="es-ES"/>
              </w:rPr>
              <w:t>4.615</w:t>
            </w:r>
          </w:p>
        </w:tc>
        <w:tc>
          <w:tcPr>
            <w:tcW w:w="1332" w:type="dxa"/>
            <w:gridSpan w:val="2"/>
            <w:tcBorders>
              <w:top w:val="single" w:sz="2" w:space="0" w:color="auto"/>
              <w:left w:val="nil"/>
              <w:bottom w:val="single" w:sz="4" w:space="0" w:color="auto"/>
              <w:right w:val="nil"/>
            </w:tcBorders>
            <w:shd w:val="clear" w:color="auto" w:fill="auto"/>
            <w:noWrap/>
            <w:vAlign w:val="center"/>
            <w:hideMark/>
          </w:tcPr>
          <w:p w:rsidR="000A435A" w:rsidRPr="004827BB" w:rsidRDefault="000A435A" w:rsidP="006F0C61">
            <w:pPr>
              <w:spacing w:after="0"/>
              <w:ind w:firstLine="0"/>
              <w:jc w:val="right"/>
              <w:rPr>
                <w:rFonts w:ascii="Arial Narrow" w:hAnsi="Arial Narrow"/>
                <w:lang w:val="es-ES" w:eastAsia="es-ES"/>
              </w:rPr>
            </w:pPr>
            <w:r w:rsidRPr="004827BB">
              <w:rPr>
                <w:rFonts w:ascii="Arial Narrow" w:hAnsi="Arial Narrow"/>
                <w:lang w:val="es-ES" w:eastAsia="es-ES"/>
              </w:rPr>
              <w:t>4.615</w:t>
            </w:r>
          </w:p>
        </w:tc>
      </w:tr>
      <w:tr w:rsidR="000A435A" w:rsidRPr="000A435A" w:rsidTr="004827BB">
        <w:trPr>
          <w:trHeight w:val="255"/>
        </w:trPr>
        <w:tc>
          <w:tcPr>
            <w:tcW w:w="4880"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left"/>
              <w:rPr>
                <w:rFonts w:ascii="Arial" w:hAnsi="Arial" w:cs="Arial"/>
                <w:sz w:val="18"/>
                <w:szCs w:val="18"/>
                <w:lang w:val="es-ES" w:eastAsia="es-ES"/>
              </w:rPr>
            </w:pPr>
            <w:r w:rsidRPr="000A435A">
              <w:rPr>
                <w:rFonts w:ascii="Arial" w:hAnsi="Arial" w:cs="Arial"/>
                <w:sz w:val="18"/>
                <w:szCs w:val="18"/>
                <w:lang w:val="es-ES" w:eastAsia="es-ES"/>
              </w:rPr>
              <w:t>Total gasto en radio</w:t>
            </w:r>
          </w:p>
        </w:tc>
        <w:tc>
          <w:tcPr>
            <w:tcW w:w="151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right="190" w:firstLine="0"/>
              <w:jc w:val="right"/>
              <w:rPr>
                <w:rFonts w:ascii="Arial" w:hAnsi="Arial" w:cs="Arial"/>
                <w:sz w:val="18"/>
                <w:szCs w:val="18"/>
                <w:lang w:val="es-ES" w:eastAsia="es-ES"/>
              </w:rPr>
            </w:pPr>
            <w:r w:rsidRPr="000A435A">
              <w:rPr>
                <w:rFonts w:ascii="Arial" w:hAnsi="Arial" w:cs="Arial"/>
                <w:sz w:val="18"/>
                <w:szCs w:val="18"/>
                <w:lang w:val="es-ES" w:eastAsia="es-ES"/>
              </w:rPr>
              <w:t>140.102</w:t>
            </w:r>
          </w:p>
        </w:tc>
        <w:tc>
          <w:tcPr>
            <w:tcW w:w="1691"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B07E0A">
            <w:pPr>
              <w:spacing w:after="0"/>
              <w:ind w:right="537" w:firstLine="0"/>
              <w:jc w:val="right"/>
              <w:rPr>
                <w:rFonts w:ascii="Arial" w:hAnsi="Arial" w:cs="Arial"/>
                <w:sz w:val="18"/>
                <w:szCs w:val="18"/>
                <w:lang w:val="es-ES" w:eastAsia="es-ES"/>
              </w:rPr>
            </w:pPr>
            <w:r w:rsidRPr="000A435A">
              <w:rPr>
                <w:rFonts w:ascii="Arial" w:hAnsi="Arial" w:cs="Arial"/>
                <w:sz w:val="18"/>
                <w:szCs w:val="18"/>
                <w:lang w:val="es-ES" w:eastAsia="es-ES"/>
              </w:rPr>
              <w:t>128.433</w:t>
            </w:r>
          </w:p>
        </w:tc>
        <w:tc>
          <w:tcPr>
            <w:tcW w:w="791" w:type="dxa"/>
            <w:tcBorders>
              <w:top w:val="single" w:sz="4" w:space="0" w:color="auto"/>
              <w:left w:val="nil"/>
              <w:bottom w:val="single" w:sz="4" w:space="0" w:color="auto"/>
              <w:right w:val="nil"/>
            </w:tcBorders>
            <w:shd w:val="clear" w:color="auto" w:fill="8DB3E2" w:themeFill="text2" w:themeFillTint="66"/>
            <w:noWrap/>
            <w:vAlign w:val="center"/>
            <w:hideMark/>
          </w:tcPr>
          <w:p w:rsidR="000A435A" w:rsidRPr="000A435A" w:rsidRDefault="000A435A" w:rsidP="006F0C61">
            <w:pPr>
              <w:spacing w:after="0"/>
              <w:ind w:firstLine="0"/>
              <w:jc w:val="right"/>
              <w:rPr>
                <w:rFonts w:ascii="Arial" w:hAnsi="Arial" w:cs="Arial"/>
                <w:sz w:val="18"/>
                <w:szCs w:val="18"/>
                <w:lang w:val="es-ES" w:eastAsia="es-ES"/>
              </w:rPr>
            </w:pPr>
            <w:r w:rsidRPr="000A435A">
              <w:rPr>
                <w:rFonts w:ascii="Arial" w:hAnsi="Arial" w:cs="Arial"/>
                <w:sz w:val="18"/>
                <w:szCs w:val="18"/>
                <w:lang w:val="es-ES" w:eastAsia="es-ES"/>
              </w:rPr>
              <w:t xml:space="preserve">268.535 </w:t>
            </w:r>
          </w:p>
        </w:tc>
      </w:tr>
    </w:tbl>
    <w:p w:rsidR="002F6C70" w:rsidRDefault="002F6C70" w:rsidP="002F6C70">
      <w:pPr>
        <w:tabs>
          <w:tab w:val="left" w:pos="0"/>
        </w:tabs>
        <w:spacing w:before="240"/>
        <w:ind w:firstLine="284"/>
        <w:rPr>
          <w:spacing w:val="6"/>
          <w:sz w:val="26"/>
          <w:szCs w:val="24"/>
        </w:rPr>
      </w:pPr>
    </w:p>
    <w:p w:rsidR="00B07E0A" w:rsidRDefault="00B07E0A">
      <w:pPr>
        <w:spacing w:after="0"/>
        <w:ind w:firstLine="0"/>
        <w:jc w:val="left"/>
        <w:rPr>
          <w:rFonts w:ascii="Arial" w:hAnsi="Arial" w:cs="Arial"/>
        </w:rPr>
      </w:pPr>
      <w:r>
        <w:rPr>
          <w:rFonts w:ascii="Arial" w:hAnsi="Arial" w:cs="Arial"/>
        </w:rPr>
        <w:br w:type="page"/>
      </w:r>
    </w:p>
    <w:p w:rsidR="00B07E0A" w:rsidRPr="00B07E0A" w:rsidRDefault="00B07E0A" w:rsidP="00B07E0A">
      <w:pPr>
        <w:ind w:firstLine="0"/>
        <w:jc w:val="center"/>
        <w:outlineLvl w:val="0"/>
        <w:rPr>
          <w:rFonts w:ascii="Arial" w:hAnsi="Arial" w:cs="Arial"/>
        </w:rPr>
      </w:pPr>
      <w:r w:rsidRPr="00B07E0A">
        <w:rPr>
          <w:rFonts w:ascii="Arial" w:hAnsi="Arial" w:cs="Arial"/>
        </w:rPr>
        <w:lastRenderedPageBreak/>
        <w:t>Desglose de gastos en revistas</w:t>
      </w:r>
    </w:p>
    <w:tbl>
      <w:tblPr>
        <w:tblW w:w="8876" w:type="dxa"/>
        <w:tblInd w:w="55" w:type="dxa"/>
        <w:tblCellMar>
          <w:left w:w="70" w:type="dxa"/>
          <w:right w:w="70" w:type="dxa"/>
        </w:tblCellMar>
        <w:tblLook w:val="04A0" w:firstRow="1" w:lastRow="0" w:firstColumn="1" w:lastColumn="0" w:noHBand="0" w:noVBand="1"/>
      </w:tblPr>
      <w:tblGrid>
        <w:gridCol w:w="5161"/>
        <w:gridCol w:w="1167"/>
        <w:gridCol w:w="1218"/>
        <w:gridCol w:w="1330"/>
      </w:tblGrid>
      <w:tr w:rsidR="006F0C61" w:rsidRPr="000A435A" w:rsidTr="00B07E0A">
        <w:trPr>
          <w:trHeight w:val="198"/>
        </w:trPr>
        <w:tc>
          <w:tcPr>
            <w:tcW w:w="5161"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0A435A" w:rsidRDefault="006F0C61" w:rsidP="0010718F">
            <w:pPr>
              <w:spacing w:after="0"/>
              <w:ind w:firstLine="0"/>
              <w:jc w:val="center"/>
              <w:rPr>
                <w:rFonts w:ascii="Arial" w:hAnsi="Arial" w:cs="Arial"/>
                <w:b/>
                <w:bCs/>
                <w:sz w:val="24"/>
                <w:szCs w:val="24"/>
                <w:lang w:val="es-ES" w:eastAsia="es-ES"/>
              </w:rPr>
            </w:pPr>
          </w:p>
        </w:tc>
        <w:tc>
          <w:tcPr>
            <w:tcW w:w="1167"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Publicidad institucional </w:t>
            </w:r>
          </w:p>
        </w:tc>
        <w:tc>
          <w:tcPr>
            <w:tcW w:w="1218"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Turismo</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Total</w:t>
            </w:r>
          </w:p>
        </w:tc>
      </w:tr>
      <w:tr w:rsidR="006F0C61" w:rsidRPr="00B07E0A" w:rsidTr="00B07E0A">
        <w:trPr>
          <w:trHeight w:val="198"/>
        </w:trPr>
        <w:tc>
          <w:tcPr>
            <w:tcW w:w="5161"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Revista On</w:t>
            </w:r>
          </w:p>
        </w:tc>
        <w:tc>
          <w:tcPr>
            <w:tcW w:w="1167"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7.260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7.260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Revista Conocer Navarra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7.260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7.260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La Vida Linda MK Noticias</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6.118</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6.118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Conde Nast-Traveler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5.225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5.225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Mundo Pirineos</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4.598</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4.598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Revista Fundación Víctimas del Terrorismo</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4.598</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4.598</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Mailope  Tipi Tapa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3.345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3.345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Sector Ejecutivo</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3.223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3.223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Guaixe</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3.143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3.143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Anuario Navarra Capital</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3.025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3.025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AEHN</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3.025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800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3.825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Negocios de Navarra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2.733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2.733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Congresos y convenciones España 2016</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2.662</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2.662</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Revista hostelería Navarra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2.511</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2.511</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Plaza Nueva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2.416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2.416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Anapeh</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2.139</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2.139</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Calle Mayor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2.093</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2.093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La Voz de la Ribera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2.087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2.087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Entreto2 Tierra Estella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2.074</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2.074</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Ze berri</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2.057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2.057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Al revés Huarte/Zizur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1.859</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1.859</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Birdwatch</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1.743</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1.743</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Mendixut</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1.656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1.656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La Voz de la Merindad</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1.586</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1.586</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Cabalgata reyes - Pamplona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1.500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1.500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Entreto2 Valdizarbe</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1.497</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1.497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Ahora Zona Media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1.452</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1.452</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Revista Olentzero - Pamplona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1.210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1.210</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Turismo Rural-Navartour</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847</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847</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Periódico del estudiante</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0</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835</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835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Entorno Zona Media</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605</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605</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Entorno Valdizarbe</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484</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484</w:t>
            </w:r>
          </w:p>
        </w:tc>
      </w:tr>
      <w:tr w:rsidR="006F0C61" w:rsidRPr="00B07E0A" w:rsidTr="00B07E0A">
        <w:trPr>
          <w:trHeight w:val="198"/>
        </w:trPr>
        <w:tc>
          <w:tcPr>
            <w:tcW w:w="5161"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left"/>
              <w:rPr>
                <w:rFonts w:ascii="Arial Narrow" w:hAnsi="Arial Narrow"/>
                <w:lang w:val="es-ES" w:eastAsia="es-ES"/>
              </w:rPr>
            </w:pPr>
            <w:r w:rsidRPr="00B07E0A">
              <w:rPr>
                <w:rFonts w:ascii="Arial Narrow" w:hAnsi="Arial Narrow"/>
                <w:lang w:val="es-ES" w:eastAsia="es-ES"/>
              </w:rPr>
              <w:t>Tudeocio</w:t>
            </w:r>
          </w:p>
        </w:tc>
        <w:tc>
          <w:tcPr>
            <w:tcW w:w="1167"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661</w:t>
            </w:r>
          </w:p>
        </w:tc>
        <w:tc>
          <w:tcPr>
            <w:tcW w:w="1218"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color w:val="000000"/>
                <w:lang w:val="es-ES" w:eastAsia="es-ES"/>
              </w:rPr>
            </w:pPr>
            <w:r w:rsidRPr="00B07E0A">
              <w:rPr>
                <w:rFonts w:ascii="Arial Narrow" w:hAnsi="Arial Narrow"/>
                <w:color w:val="000000"/>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B07E0A" w:rsidRDefault="006F0C61" w:rsidP="006F0C61">
            <w:pPr>
              <w:spacing w:after="0"/>
              <w:ind w:firstLine="0"/>
              <w:jc w:val="right"/>
              <w:rPr>
                <w:rFonts w:ascii="Arial Narrow" w:hAnsi="Arial Narrow"/>
                <w:lang w:val="es-ES" w:eastAsia="es-ES"/>
              </w:rPr>
            </w:pPr>
            <w:r w:rsidRPr="00B07E0A">
              <w:rPr>
                <w:rFonts w:ascii="Arial Narrow" w:hAnsi="Arial Narrow"/>
                <w:lang w:val="es-ES" w:eastAsia="es-ES"/>
              </w:rPr>
              <w:t>661</w:t>
            </w:r>
          </w:p>
        </w:tc>
      </w:tr>
      <w:tr w:rsidR="006F0C61" w:rsidRPr="00B07E0A" w:rsidTr="00B07E0A">
        <w:trPr>
          <w:trHeight w:val="255"/>
        </w:trPr>
        <w:tc>
          <w:tcPr>
            <w:tcW w:w="5161"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left"/>
              <w:rPr>
                <w:rFonts w:ascii="Arial Narrow" w:hAnsi="Arial Narrow" w:cs="Arial"/>
                <w:lang w:val="es-ES" w:eastAsia="es-ES"/>
              </w:rPr>
            </w:pPr>
            <w:r w:rsidRPr="00B07E0A">
              <w:rPr>
                <w:rFonts w:ascii="Arial Narrow" w:hAnsi="Arial Narrow" w:cs="Arial"/>
                <w:lang w:val="es-ES" w:eastAsia="es-ES"/>
              </w:rPr>
              <w:t>Total gasto en revistas</w:t>
            </w:r>
          </w:p>
        </w:tc>
        <w:tc>
          <w:tcPr>
            <w:tcW w:w="1167"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lang w:val="es-ES" w:eastAsia="es-ES"/>
              </w:rPr>
            </w:pPr>
            <w:r w:rsidRPr="00B07E0A">
              <w:rPr>
                <w:rFonts w:ascii="Arial Narrow" w:hAnsi="Arial Narrow" w:cs="Arial"/>
                <w:lang w:val="es-ES" w:eastAsia="es-ES"/>
              </w:rPr>
              <w:t>43.304</w:t>
            </w:r>
          </w:p>
        </w:tc>
        <w:tc>
          <w:tcPr>
            <w:tcW w:w="1218"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lang w:val="es-ES" w:eastAsia="es-ES"/>
              </w:rPr>
            </w:pPr>
            <w:r w:rsidRPr="00B07E0A">
              <w:rPr>
                <w:rFonts w:ascii="Arial Narrow" w:hAnsi="Arial Narrow" w:cs="Arial"/>
                <w:lang w:val="es-ES" w:eastAsia="es-ES"/>
              </w:rPr>
              <w:t>45.024</w:t>
            </w:r>
          </w:p>
        </w:tc>
        <w:tc>
          <w:tcPr>
            <w:tcW w:w="1330" w:type="dxa"/>
            <w:tcBorders>
              <w:top w:val="single" w:sz="2" w:space="0" w:color="auto"/>
              <w:left w:val="nil"/>
              <w:bottom w:val="single" w:sz="4" w:space="0" w:color="auto"/>
              <w:right w:val="nil"/>
            </w:tcBorders>
            <w:shd w:val="clear" w:color="000000" w:fill="8DB3E2" w:themeFill="text2" w:themeFillTint="66"/>
            <w:noWrap/>
            <w:vAlign w:val="center"/>
            <w:hideMark/>
          </w:tcPr>
          <w:p w:rsidR="006F0C61" w:rsidRPr="00B07E0A" w:rsidRDefault="006F0C61" w:rsidP="006F0C61">
            <w:pPr>
              <w:spacing w:after="0"/>
              <w:ind w:firstLine="0"/>
              <w:jc w:val="right"/>
              <w:rPr>
                <w:rFonts w:ascii="Arial Narrow" w:hAnsi="Arial Narrow" w:cs="Arial"/>
                <w:lang w:val="es-ES" w:eastAsia="es-ES"/>
              </w:rPr>
            </w:pPr>
            <w:r w:rsidRPr="00B07E0A">
              <w:rPr>
                <w:rFonts w:ascii="Arial Narrow" w:hAnsi="Arial Narrow" w:cs="Arial"/>
                <w:lang w:val="es-ES" w:eastAsia="es-ES"/>
              </w:rPr>
              <w:t>88.328</w:t>
            </w:r>
          </w:p>
        </w:tc>
      </w:tr>
    </w:tbl>
    <w:p w:rsidR="006F0C61" w:rsidRDefault="006F0C61" w:rsidP="006F0C61">
      <w:pPr>
        <w:tabs>
          <w:tab w:val="left" w:pos="0"/>
        </w:tabs>
        <w:spacing w:before="240"/>
        <w:ind w:firstLine="284"/>
        <w:rPr>
          <w:spacing w:val="6"/>
          <w:sz w:val="26"/>
          <w:szCs w:val="24"/>
        </w:rPr>
      </w:pPr>
    </w:p>
    <w:p w:rsidR="006F0C61" w:rsidRDefault="006F0C61" w:rsidP="002F6C70">
      <w:pPr>
        <w:tabs>
          <w:tab w:val="left" w:pos="0"/>
        </w:tabs>
        <w:spacing w:before="240"/>
        <w:ind w:firstLine="284"/>
        <w:rPr>
          <w:spacing w:val="6"/>
          <w:sz w:val="26"/>
          <w:szCs w:val="24"/>
        </w:rPr>
      </w:pPr>
    </w:p>
    <w:p w:rsidR="002F6C70" w:rsidRPr="002F6C70" w:rsidRDefault="002F6C70" w:rsidP="002F6C70">
      <w:pPr>
        <w:tabs>
          <w:tab w:val="left" w:pos="480"/>
        </w:tabs>
        <w:spacing w:before="120"/>
        <w:ind w:left="482" w:hanging="198"/>
        <w:rPr>
          <w:spacing w:val="6"/>
          <w:sz w:val="26"/>
          <w:szCs w:val="24"/>
        </w:rPr>
      </w:pPr>
    </w:p>
    <w:p w:rsidR="00B07E0A" w:rsidRDefault="00B07E0A">
      <w:pPr>
        <w:spacing w:after="0"/>
        <w:ind w:firstLine="0"/>
        <w:jc w:val="left"/>
        <w:rPr>
          <w:spacing w:val="6"/>
          <w:sz w:val="26"/>
          <w:szCs w:val="24"/>
        </w:rPr>
      </w:pPr>
      <w:r>
        <w:br w:type="page"/>
      </w:r>
    </w:p>
    <w:p w:rsidR="00B07E0A" w:rsidRPr="00B07E0A" w:rsidRDefault="00B07E0A" w:rsidP="00B07E0A">
      <w:pPr>
        <w:ind w:firstLine="0"/>
        <w:jc w:val="center"/>
        <w:outlineLvl w:val="0"/>
        <w:rPr>
          <w:rFonts w:ascii="Arial" w:hAnsi="Arial" w:cs="Arial"/>
        </w:rPr>
      </w:pPr>
      <w:r w:rsidRPr="00B07E0A">
        <w:rPr>
          <w:rFonts w:ascii="Arial" w:hAnsi="Arial" w:cs="Arial"/>
        </w:rPr>
        <w:lastRenderedPageBreak/>
        <w:t>Desglose del gasto en medios digitales</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b/>
                <w:bCs/>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Publicidad institucional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Turismo</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Total</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diariodenavarra.es</w:t>
            </w:r>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16.603</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lang w:val="es-ES" w:eastAsia="es-ES"/>
              </w:rPr>
            </w:pPr>
            <w:r>
              <w:rPr>
                <w:rFonts w:ascii="Arial Narrow" w:hAnsi="Arial Narrow"/>
                <w:lang w:val="es-ES" w:eastAsia="es-ES"/>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16.603</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noticiasdenavarra.com</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10.370</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lang w:val="es-ES" w:eastAsia="es-ES"/>
              </w:rPr>
            </w:pPr>
            <w:r>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10.370</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caminosantiago.com</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A46310" w:rsidP="006F0C61">
            <w:pPr>
              <w:spacing w:after="0"/>
              <w:ind w:firstLine="0"/>
              <w:jc w:val="right"/>
              <w:rPr>
                <w:rFonts w:ascii="Arial Narrow" w:hAnsi="Arial Narrow"/>
                <w:lang w:val="es-ES" w:eastAsia="es-ES"/>
              </w:rPr>
            </w:pPr>
            <w:r>
              <w:rPr>
                <w:rFonts w:ascii="Arial Narrow" w:hAnsi="Arial Narrow"/>
                <w:lang w:val="es-ES" w:eastAsia="es-ES"/>
              </w:rPr>
              <w:t>0</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4.000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4.000</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lang w:val="es-ES" w:eastAsia="es-ES"/>
              </w:rPr>
            </w:pPr>
            <w:r w:rsidRPr="006F0C61">
              <w:rPr>
                <w:rFonts w:ascii="Arial" w:hAnsi="Arial" w:cs="Arial"/>
                <w:sz w:val="18"/>
                <w:szCs w:val="18"/>
                <w:lang w:val="es-ES" w:eastAsia="es-ES"/>
              </w:rPr>
              <w:t>Total gasto medios digitales</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26.973</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4.000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30.973</w:t>
            </w:r>
          </w:p>
        </w:tc>
      </w:tr>
      <w:tr w:rsidR="006F0C61" w:rsidRPr="00B07E0A" w:rsidTr="00B07E0A">
        <w:trPr>
          <w:trHeight w:val="315"/>
        </w:trPr>
        <w:tc>
          <w:tcPr>
            <w:tcW w:w="4305"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2037"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204"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330"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r>
    </w:tbl>
    <w:p w:rsidR="00B07E0A" w:rsidRPr="00B07E0A" w:rsidRDefault="00B07E0A" w:rsidP="00B07E0A">
      <w:pPr>
        <w:ind w:firstLine="0"/>
        <w:jc w:val="center"/>
        <w:outlineLvl w:val="0"/>
        <w:rPr>
          <w:rFonts w:ascii="Arial" w:hAnsi="Arial" w:cs="Arial"/>
        </w:rPr>
      </w:pPr>
      <w:r w:rsidRPr="00B07E0A">
        <w:rPr>
          <w:rFonts w:ascii="Arial" w:hAnsi="Arial" w:cs="Arial"/>
        </w:rPr>
        <w:t>Desglose del gasto en televisión</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b/>
                <w:bCs/>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Publicidad institucional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Turismo</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Total</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Navarra TV</w:t>
            </w:r>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7.474</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7.474</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Xaloa</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1.499</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1.499</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Zona Media</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1.499</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1.499</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lang w:val="es-ES" w:eastAsia="es-ES"/>
              </w:rPr>
            </w:pPr>
            <w:r w:rsidRPr="006F0C61">
              <w:rPr>
                <w:rFonts w:ascii="Arial" w:hAnsi="Arial" w:cs="Arial"/>
                <w:sz w:val="18"/>
                <w:szCs w:val="18"/>
                <w:lang w:val="es-ES" w:eastAsia="es-ES"/>
              </w:rPr>
              <w:t>Total gasto en televisión</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10.473</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10.473</w:t>
            </w:r>
          </w:p>
        </w:tc>
      </w:tr>
      <w:tr w:rsidR="006F0C61" w:rsidRPr="00B07E0A" w:rsidTr="00B07E0A">
        <w:trPr>
          <w:trHeight w:val="315"/>
        </w:trPr>
        <w:tc>
          <w:tcPr>
            <w:tcW w:w="4305"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2037"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204"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c>
          <w:tcPr>
            <w:tcW w:w="1330" w:type="dxa"/>
            <w:tcBorders>
              <w:top w:val="single" w:sz="4" w:space="0" w:color="auto"/>
              <w:left w:val="nil"/>
              <w:right w:val="nil"/>
            </w:tcBorders>
            <w:shd w:val="clear" w:color="auto" w:fill="auto"/>
            <w:noWrap/>
            <w:vAlign w:val="bottom"/>
            <w:hideMark/>
          </w:tcPr>
          <w:p w:rsidR="006F0C61" w:rsidRPr="00B07E0A" w:rsidRDefault="006F0C61" w:rsidP="00B07E0A">
            <w:pPr>
              <w:ind w:firstLine="0"/>
              <w:jc w:val="center"/>
              <w:outlineLvl w:val="0"/>
              <w:rPr>
                <w:rFonts w:ascii="Arial" w:hAnsi="Arial" w:cs="Arial"/>
              </w:rPr>
            </w:pPr>
          </w:p>
        </w:tc>
      </w:tr>
    </w:tbl>
    <w:p w:rsidR="00B07E0A" w:rsidRPr="00B07E0A" w:rsidRDefault="00B07E0A" w:rsidP="00B07E0A">
      <w:pPr>
        <w:ind w:firstLine="0"/>
        <w:jc w:val="center"/>
        <w:outlineLvl w:val="0"/>
        <w:rPr>
          <w:rFonts w:ascii="Arial" w:hAnsi="Arial" w:cs="Arial"/>
        </w:rPr>
      </w:pPr>
      <w:r w:rsidRPr="00B07E0A">
        <w:rPr>
          <w:rFonts w:ascii="Arial" w:hAnsi="Arial" w:cs="Arial"/>
        </w:rPr>
        <w:t>Desglose del gasto en otros medios</w:t>
      </w:r>
    </w:p>
    <w:tbl>
      <w:tblPr>
        <w:tblW w:w="8876" w:type="dxa"/>
        <w:tblInd w:w="55" w:type="dxa"/>
        <w:tblCellMar>
          <w:left w:w="70" w:type="dxa"/>
          <w:right w:w="70" w:type="dxa"/>
        </w:tblCellMar>
        <w:tblLook w:val="04A0" w:firstRow="1" w:lastRow="0" w:firstColumn="1" w:lastColumn="0" w:noHBand="0" w:noVBand="1"/>
      </w:tblPr>
      <w:tblGrid>
        <w:gridCol w:w="4305"/>
        <w:gridCol w:w="2037"/>
        <w:gridCol w:w="1204"/>
        <w:gridCol w:w="1330"/>
      </w:tblGrid>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24"/>
                <w:szCs w:val="24"/>
                <w:lang w:val="es-ES" w:eastAsia="es-ES"/>
              </w:rPr>
            </w:pP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 xml:space="preserve">Publicidad institucional </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Turismo</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color w:val="000000"/>
                <w:sz w:val="18"/>
                <w:szCs w:val="18"/>
                <w:lang w:val="es-ES" w:eastAsia="es-ES"/>
              </w:rPr>
            </w:pPr>
            <w:r w:rsidRPr="006F0C61">
              <w:rPr>
                <w:rFonts w:ascii="Arial" w:hAnsi="Arial" w:cs="Arial"/>
                <w:color w:val="000000"/>
                <w:sz w:val="18"/>
                <w:szCs w:val="18"/>
                <w:lang w:val="es-ES" w:eastAsia="es-ES"/>
              </w:rPr>
              <w:t>Total</w:t>
            </w:r>
          </w:p>
        </w:tc>
      </w:tr>
      <w:tr w:rsidR="006F0C61" w:rsidRPr="006F0C61" w:rsidTr="00B07E0A">
        <w:trPr>
          <w:trHeight w:val="198"/>
        </w:trPr>
        <w:tc>
          <w:tcPr>
            <w:tcW w:w="4305"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Marquesinas-Mupis</w:t>
            </w:r>
          </w:p>
        </w:tc>
        <w:tc>
          <w:tcPr>
            <w:tcW w:w="2037"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30.849</w:t>
            </w:r>
          </w:p>
        </w:tc>
        <w:tc>
          <w:tcPr>
            <w:tcW w:w="1204"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4"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30.849</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Cine</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13.649</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13.649</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Impresos</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8.037</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8.037</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Exterior</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7.197</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7.197</w:t>
            </w:r>
          </w:p>
        </w:tc>
      </w:tr>
      <w:tr w:rsidR="006F0C61" w:rsidRPr="006F0C61" w:rsidTr="00B07E0A">
        <w:trPr>
          <w:trHeight w:val="198"/>
        </w:trPr>
        <w:tc>
          <w:tcPr>
            <w:tcW w:w="4305"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Transporte urbano</w:t>
            </w:r>
          </w:p>
        </w:tc>
        <w:tc>
          <w:tcPr>
            <w:tcW w:w="2037"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4.560</w:t>
            </w:r>
          </w:p>
        </w:tc>
        <w:tc>
          <w:tcPr>
            <w:tcW w:w="1204"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2"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4.560</w:t>
            </w:r>
          </w:p>
        </w:tc>
      </w:tr>
      <w:tr w:rsidR="006F0C61" w:rsidRPr="006F0C61" w:rsidTr="00B07E0A">
        <w:trPr>
          <w:trHeight w:val="198"/>
        </w:trPr>
        <w:tc>
          <w:tcPr>
            <w:tcW w:w="4305"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left"/>
              <w:rPr>
                <w:rFonts w:ascii="Arial Narrow" w:hAnsi="Arial Narrow"/>
                <w:lang w:val="es-ES" w:eastAsia="es-ES"/>
              </w:rPr>
            </w:pPr>
            <w:r w:rsidRPr="006F0C61">
              <w:rPr>
                <w:rFonts w:ascii="Arial Narrow" w:hAnsi="Arial Narrow"/>
                <w:lang w:val="es-ES" w:eastAsia="es-ES"/>
              </w:rPr>
              <w:t>Rotulación autobuses interurbanos</w:t>
            </w:r>
          </w:p>
        </w:tc>
        <w:tc>
          <w:tcPr>
            <w:tcW w:w="2037"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1.700</w:t>
            </w:r>
          </w:p>
        </w:tc>
        <w:tc>
          <w:tcPr>
            <w:tcW w:w="1204"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0</w:t>
            </w:r>
          </w:p>
        </w:tc>
        <w:tc>
          <w:tcPr>
            <w:tcW w:w="1330" w:type="dxa"/>
            <w:tcBorders>
              <w:top w:val="single" w:sz="2" w:space="0" w:color="auto"/>
              <w:left w:val="nil"/>
              <w:bottom w:val="single" w:sz="4" w:space="0" w:color="auto"/>
              <w:right w:val="nil"/>
            </w:tcBorders>
            <w:shd w:val="clear" w:color="auto" w:fill="auto"/>
            <w:noWrap/>
            <w:vAlign w:val="center"/>
            <w:hideMark/>
          </w:tcPr>
          <w:p w:rsidR="006F0C61" w:rsidRPr="006F0C61" w:rsidRDefault="006F0C61" w:rsidP="006F0C61">
            <w:pPr>
              <w:spacing w:after="0"/>
              <w:ind w:firstLine="0"/>
              <w:jc w:val="right"/>
              <w:rPr>
                <w:rFonts w:ascii="Arial Narrow" w:hAnsi="Arial Narrow"/>
                <w:lang w:val="es-ES" w:eastAsia="es-ES"/>
              </w:rPr>
            </w:pPr>
            <w:r w:rsidRPr="006F0C61">
              <w:rPr>
                <w:rFonts w:ascii="Arial Narrow" w:hAnsi="Arial Narrow"/>
                <w:lang w:val="es-ES" w:eastAsia="es-ES"/>
              </w:rPr>
              <w:t>1.700</w:t>
            </w:r>
          </w:p>
        </w:tc>
      </w:tr>
      <w:tr w:rsidR="006F0C61" w:rsidRPr="006F0C61" w:rsidTr="00B07E0A">
        <w:trPr>
          <w:trHeight w:val="255"/>
        </w:trPr>
        <w:tc>
          <w:tcPr>
            <w:tcW w:w="4305"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left"/>
              <w:rPr>
                <w:rFonts w:ascii="Arial" w:hAnsi="Arial" w:cs="Arial"/>
                <w:sz w:val="18"/>
                <w:szCs w:val="18"/>
                <w:lang w:val="es-ES" w:eastAsia="es-ES"/>
              </w:rPr>
            </w:pPr>
            <w:r w:rsidRPr="006F0C61">
              <w:rPr>
                <w:rFonts w:ascii="Arial" w:hAnsi="Arial" w:cs="Arial"/>
                <w:sz w:val="18"/>
                <w:szCs w:val="18"/>
                <w:lang w:val="es-ES" w:eastAsia="es-ES"/>
              </w:rPr>
              <w:t>Total gasto en otros medios</w:t>
            </w:r>
          </w:p>
        </w:tc>
        <w:tc>
          <w:tcPr>
            <w:tcW w:w="2037"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65.992</w:t>
            </w:r>
          </w:p>
        </w:tc>
        <w:tc>
          <w:tcPr>
            <w:tcW w:w="1204"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0</w:t>
            </w:r>
          </w:p>
        </w:tc>
        <w:tc>
          <w:tcPr>
            <w:tcW w:w="1330" w:type="dxa"/>
            <w:tcBorders>
              <w:top w:val="single" w:sz="4" w:space="0" w:color="auto"/>
              <w:left w:val="nil"/>
              <w:bottom w:val="single" w:sz="4" w:space="0" w:color="auto"/>
              <w:right w:val="nil"/>
            </w:tcBorders>
            <w:shd w:val="clear" w:color="000000" w:fill="8DB3E2" w:themeFill="text2" w:themeFillTint="66"/>
            <w:noWrap/>
            <w:vAlign w:val="center"/>
            <w:hideMark/>
          </w:tcPr>
          <w:p w:rsidR="006F0C61" w:rsidRPr="006F0C61" w:rsidRDefault="006F0C61" w:rsidP="006F0C61">
            <w:pPr>
              <w:spacing w:after="0"/>
              <w:ind w:firstLine="0"/>
              <w:jc w:val="right"/>
              <w:rPr>
                <w:rFonts w:ascii="Arial" w:hAnsi="Arial" w:cs="Arial"/>
                <w:sz w:val="18"/>
                <w:szCs w:val="18"/>
                <w:lang w:val="es-ES" w:eastAsia="es-ES"/>
              </w:rPr>
            </w:pPr>
            <w:r w:rsidRPr="006F0C61">
              <w:rPr>
                <w:rFonts w:ascii="Arial" w:hAnsi="Arial" w:cs="Arial"/>
                <w:sz w:val="18"/>
                <w:szCs w:val="18"/>
                <w:lang w:val="es-ES" w:eastAsia="es-ES"/>
              </w:rPr>
              <w:t>65.992</w:t>
            </w:r>
          </w:p>
        </w:tc>
      </w:tr>
    </w:tbl>
    <w:p w:rsidR="00F74F37" w:rsidRPr="00E54E8B" w:rsidRDefault="00F74F37" w:rsidP="00F74F37">
      <w:pPr>
        <w:spacing w:before="240" w:after="24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Gastos en publicidad de las empresas públicas de Navarra</w:t>
      </w:r>
    </w:p>
    <w:p w:rsidR="00266895" w:rsidRDefault="00F74F37" w:rsidP="00B05B8D">
      <w:pPr>
        <w:pStyle w:val="texto"/>
        <w:spacing w:after="240"/>
      </w:pPr>
      <w:r w:rsidRPr="00F74F37">
        <w:t xml:space="preserve">Los gastos de publicidad de las empresas públicas en 2016 alcanzaron los </w:t>
      </w:r>
      <w:r w:rsidR="00A61050">
        <w:t>164.204</w:t>
      </w:r>
      <w:r w:rsidRPr="00F74F37">
        <w:t xml:space="preserve"> euros</w:t>
      </w:r>
      <w:r w:rsidR="00266895">
        <w:t xml:space="preserve"> y se distribuyeron de la siguiente forma</w:t>
      </w:r>
      <w:r w:rsidRPr="00F74F37">
        <w:t xml:space="preserve">. </w:t>
      </w:r>
    </w:p>
    <w:tbl>
      <w:tblPr>
        <w:tblW w:w="8866"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7"/>
        <w:gridCol w:w="2268"/>
        <w:gridCol w:w="1938"/>
        <w:gridCol w:w="2103"/>
      </w:tblGrid>
      <w:tr w:rsidR="00266895" w:rsidRPr="00B05B8D" w:rsidTr="00B05B8D">
        <w:trPr>
          <w:trHeight w:val="255"/>
        </w:trPr>
        <w:tc>
          <w:tcPr>
            <w:tcW w:w="2557" w:type="dxa"/>
            <w:tcBorders>
              <w:bottom w:val="single" w:sz="4" w:space="0" w:color="auto"/>
            </w:tcBorders>
            <w:shd w:val="clear" w:color="auto" w:fill="8DB3E2" w:themeFill="text2" w:themeFillTint="66"/>
            <w:noWrap/>
            <w:vAlign w:val="center"/>
            <w:hideMark/>
          </w:tcPr>
          <w:p w:rsidR="00266895" w:rsidRPr="00B05B8D" w:rsidRDefault="00266895" w:rsidP="00B05B8D">
            <w:pPr>
              <w:spacing w:after="0"/>
              <w:ind w:firstLine="0"/>
              <w:jc w:val="lef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E</w:t>
            </w:r>
            <w:r w:rsidR="00B05B8D" w:rsidRPr="00B05B8D">
              <w:rPr>
                <w:rFonts w:ascii="Arial" w:hAnsi="Arial" w:cs="Arial"/>
                <w:bCs/>
                <w:color w:val="000000"/>
                <w:sz w:val="18"/>
                <w:szCs w:val="18"/>
                <w:lang w:val="es-ES" w:eastAsia="es-ES"/>
              </w:rPr>
              <w:t>mpresa</w:t>
            </w:r>
          </w:p>
        </w:tc>
        <w:tc>
          <w:tcPr>
            <w:tcW w:w="2268" w:type="dxa"/>
            <w:tcBorders>
              <w:bottom w:val="single" w:sz="4" w:space="0" w:color="auto"/>
            </w:tcBorders>
            <w:shd w:val="clear" w:color="auto" w:fill="8DB3E2" w:themeFill="text2" w:themeFillTint="66"/>
            <w:noWrap/>
            <w:vAlign w:val="center"/>
            <w:hideMark/>
          </w:tcPr>
          <w:p w:rsidR="00266895" w:rsidRPr="00B05B8D" w:rsidRDefault="00B05B8D" w:rsidP="00B05B8D">
            <w:pPr>
              <w:spacing w:after="0"/>
              <w:ind w:firstLine="0"/>
              <w:jc w:val="righ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G</w:t>
            </w:r>
            <w:r w:rsidR="00266895" w:rsidRPr="00B05B8D">
              <w:rPr>
                <w:rFonts w:ascii="Arial" w:hAnsi="Arial" w:cs="Arial"/>
                <w:bCs/>
                <w:color w:val="000000"/>
                <w:sz w:val="18"/>
                <w:szCs w:val="18"/>
                <w:lang w:val="es-ES" w:eastAsia="es-ES"/>
              </w:rPr>
              <w:t>asto</w:t>
            </w:r>
          </w:p>
        </w:tc>
        <w:tc>
          <w:tcPr>
            <w:tcW w:w="1938" w:type="dxa"/>
            <w:tcBorders>
              <w:bottom w:val="single" w:sz="4" w:space="0" w:color="auto"/>
            </w:tcBorders>
            <w:shd w:val="clear" w:color="auto" w:fill="8DB3E2" w:themeFill="text2" w:themeFillTint="66"/>
            <w:noWrap/>
            <w:vAlign w:val="center"/>
            <w:hideMark/>
          </w:tcPr>
          <w:p w:rsidR="00B05B8D" w:rsidRPr="00B05B8D" w:rsidRDefault="00266895" w:rsidP="00B05B8D">
            <w:pPr>
              <w:spacing w:after="0"/>
              <w:ind w:firstLine="0"/>
              <w:jc w:val="righ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Porcentaje/</w:t>
            </w:r>
          </w:p>
          <w:p w:rsidR="00266895" w:rsidRPr="00B05B8D" w:rsidRDefault="00266895" w:rsidP="00B05B8D">
            <w:pPr>
              <w:spacing w:after="0"/>
              <w:ind w:firstLine="0"/>
              <w:jc w:val="righ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total gasto</w:t>
            </w:r>
          </w:p>
        </w:tc>
        <w:tc>
          <w:tcPr>
            <w:tcW w:w="2103" w:type="dxa"/>
            <w:tcBorders>
              <w:bottom w:val="single" w:sz="4" w:space="0" w:color="auto"/>
            </w:tcBorders>
            <w:shd w:val="clear" w:color="auto" w:fill="8DB3E2" w:themeFill="text2" w:themeFillTint="66"/>
            <w:vAlign w:val="center"/>
            <w:hideMark/>
          </w:tcPr>
          <w:p w:rsidR="00B05B8D" w:rsidRPr="00B05B8D" w:rsidRDefault="00266895" w:rsidP="00B05B8D">
            <w:pPr>
              <w:spacing w:after="0"/>
              <w:ind w:firstLine="0"/>
              <w:jc w:val="righ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 xml:space="preserve">Nº </w:t>
            </w:r>
            <w:r w:rsidR="00B05B8D" w:rsidRPr="00B05B8D">
              <w:rPr>
                <w:rFonts w:ascii="Arial" w:hAnsi="Arial" w:cs="Arial"/>
                <w:bCs/>
                <w:color w:val="000000"/>
                <w:sz w:val="18"/>
                <w:szCs w:val="18"/>
                <w:lang w:val="es-ES" w:eastAsia="es-ES"/>
              </w:rPr>
              <w:t xml:space="preserve">contrataciones </w:t>
            </w:r>
          </w:p>
          <w:p w:rsidR="00266895" w:rsidRPr="00B05B8D" w:rsidRDefault="00B05B8D" w:rsidP="00B05B8D">
            <w:pPr>
              <w:spacing w:after="0"/>
              <w:ind w:firstLine="0"/>
              <w:jc w:val="right"/>
              <w:rPr>
                <w:rFonts w:ascii="Arial" w:hAnsi="Arial" w:cs="Arial"/>
                <w:bCs/>
                <w:color w:val="000000"/>
                <w:sz w:val="18"/>
                <w:szCs w:val="18"/>
                <w:lang w:val="es-ES" w:eastAsia="es-ES"/>
              </w:rPr>
            </w:pPr>
            <w:r w:rsidRPr="00B05B8D">
              <w:rPr>
                <w:rFonts w:ascii="Arial" w:hAnsi="Arial" w:cs="Arial"/>
                <w:bCs/>
                <w:color w:val="000000"/>
                <w:sz w:val="18"/>
                <w:szCs w:val="18"/>
                <w:lang w:val="es-ES" w:eastAsia="es-ES"/>
              </w:rPr>
              <w:t>publicitarias</w:t>
            </w:r>
          </w:p>
        </w:tc>
      </w:tr>
      <w:tr w:rsidR="00266895" w:rsidRPr="00266895" w:rsidTr="00B05B8D">
        <w:trPr>
          <w:trHeight w:val="198"/>
        </w:trPr>
        <w:tc>
          <w:tcPr>
            <w:tcW w:w="2557" w:type="dxa"/>
            <w:tcBorders>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INTIA</w:t>
            </w:r>
          </w:p>
        </w:tc>
        <w:tc>
          <w:tcPr>
            <w:tcW w:w="2268"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74.399</w:t>
            </w:r>
          </w:p>
        </w:tc>
        <w:tc>
          <w:tcPr>
            <w:tcW w:w="1938"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45</w:t>
            </w:r>
          </w:p>
        </w:tc>
        <w:tc>
          <w:tcPr>
            <w:tcW w:w="2103" w:type="dxa"/>
            <w:tcBorders>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44</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NICDO</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22.380</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14</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30</w:t>
            </w:r>
          </w:p>
        </w:tc>
      </w:tr>
      <w:tr w:rsidR="00266895" w:rsidRPr="00266895" w:rsidTr="00B05B8D">
        <w:trPr>
          <w:trHeight w:val="198"/>
        </w:trPr>
        <w:tc>
          <w:tcPr>
            <w:tcW w:w="2557" w:type="dxa"/>
            <w:tcBorders>
              <w:top w:val="single" w:sz="2" w:space="0" w:color="auto"/>
              <w:bottom w:val="single" w:sz="2" w:space="0" w:color="auto"/>
            </w:tcBorders>
            <w:shd w:val="clear" w:color="000000" w:fill="FFFFFF"/>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SODENA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16.305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10</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3</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CAT</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13.585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8</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13</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NASUVINSA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11.056</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7</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7</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CEIN</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7.104</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4</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5</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NILSA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5.045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3</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7</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TRACASA</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4.885</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3</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9</w:t>
            </w:r>
          </w:p>
        </w:tc>
      </w:tr>
      <w:tr w:rsidR="00266895" w:rsidRPr="00266895" w:rsidTr="00B05B8D">
        <w:trPr>
          <w:trHeight w:val="198"/>
        </w:trPr>
        <w:tc>
          <w:tcPr>
            <w:tcW w:w="2557" w:type="dxa"/>
            <w:tcBorders>
              <w:top w:val="single" w:sz="2" w:space="0" w:color="auto"/>
              <w:bottom w:val="single" w:sz="2"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CNAI</w:t>
            </w:r>
          </w:p>
        </w:tc>
        <w:tc>
          <w:tcPr>
            <w:tcW w:w="226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3.082</w:t>
            </w:r>
          </w:p>
        </w:tc>
        <w:tc>
          <w:tcPr>
            <w:tcW w:w="1938"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2</w:t>
            </w:r>
          </w:p>
        </w:tc>
        <w:tc>
          <w:tcPr>
            <w:tcW w:w="2103" w:type="dxa"/>
            <w:tcBorders>
              <w:top w:val="single" w:sz="2" w:space="0" w:color="auto"/>
              <w:bottom w:val="single" w:sz="2"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2</w:t>
            </w:r>
          </w:p>
        </w:tc>
      </w:tr>
      <w:tr w:rsidR="00266895" w:rsidRPr="00266895" w:rsidTr="00B05B8D">
        <w:trPr>
          <w:trHeight w:val="198"/>
        </w:trPr>
        <w:tc>
          <w:tcPr>
            <w:tcW w:w="2557" w:type="dxa"/>
            <w:tcBorders>
              <w:top w:val="single" w:sz="2" w:space="0" w:color="auto"/>
              <w:bottom w:val="single" w:sz="4" w:space="0" w:color="auto"/>
            </w:tcBorders>
            <w:shd w:val="clear" w:color="auto" w:fill="auto"/>
            <w:noWrap/>
            <w:vAlign w:val="center"/>
            <w:hideMark/>
          </w:tcPr>
          <w:p w:rsidR="00266895" w:rsidRPr="00266895" w:rsidRDefault="00266895" w:rsidP="00266895">
            <w:pPr>
              <w:spacing w:after="0"/>
              <w:ind w:firstLine="0"/>
              <w:jc w:val="left"/>
              <w:rPr>
                <w:rFonts w:ascii="Arial Narrow" w:hAnsi="Arial Narrow"/>
                <w:color w:val="000000"/>
                <w:lang w:val="es-ES" w:eastAsia="es-ES"/>
              </w:rPr>
            </w:pPr>
            <w:r w:rsidRPr="00266895">
              <w:rPr>
                <w:rFonts w:ascii="Arial Narrow" w:hAnsi="Arial Narrow"/>
                <w:color w:val="000000"/>
                <w:lang w:val="es-ES" w:eastAsia="es-ES"/>
              </w:rPr>
              <w:t>GAN</w:t>
            </w:r>
          </w:p>
        </w:tc>
        <w:tc>
          <w:tcPr>
            <w:tcW w:w="2268"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6.363</w:t>
            </w:r>
          </w:p>
        </w:tc>
        <w:tc>
          <w:tcPr>
            <w:tcW w:w="1938"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4</w:t>
            </w:r>
          </w:p>
        </w:tc>
        <w:tc>
          <w:tcPr>
            <w:tcW w:w="2103" w:type="dxa"/>
            <w:tcBorders>
              <w:top w:val="single" w:sz="2" w:space="0" w:color="auto"/>
              <w:bottom w:val="single" w:sz="4" w:space="0" w:color="auto"/>
            </w:tcBorders>
            <w:shd w:val="clear" w:color="auto" w:fill="auto"/>
            <w:noWrap/>
            <w:vAlign w:val="center"/>
            <w:hideMark/>
          </w:tcPr>
          <w:p w:rsidR="00266895" w:rsidRPr="00266895" w:rsidRDefault="00266895" w:rsidP="00B05B8D">
            <w:pPr>
              <w:spacing w:after="0"/>
              <w:ind w:firstLine="0"/>
              <w:jc w:val="right"/>
              <w:rPr>
                <w:rFonts w:ascii="Arial Narrow" w:hAnsi="Arial Narrow"/>
                <w:color w:val="000000"/>
                <w:lang w:val="es-ES" w:eastAsia="es-ES"/>
              </w:rPr>
            </w:pPr>
            <w:r w:rsidRPr="00266895">
              <w:rPr>
                <w:rFonts w:ascii="Arial Narrow" w:hAnsi="Arial Narrow"/>
                <w:color w:val="000000"/>
                <w:lang w:val="es-ES" w:eastAsia="es-ES"/>
              </w:rPr>
              <w:t>20</w:t>
            </w:r>
          </w:p>
        </w:tc>
      </w:tr>
      <w:tr w:rsidR="00266895" w:rsidRPr="00B05B8D" w:rsidTr="00B05B8D">
        <w:trPr>
          <w:trHeight w:val="255"/>
        </w:trPr>
        <w:tc>
          <w:tcPr>
            <w:tcW w:w="2557" w:type="dxa"/>
            <w:shd w:val="clear" w:color="auto" w:fill="8DB3E2" w:themeFill="text2" w:themeFillTint="66"/>
            <w:noWrap/>
            <w:vAlign w:val="center"/>
            <w:hideMark/>
          </w:tcPr>
          <w:p w:rsidR="00266895" w:rsidRPr="00B05B8D" w:rsidRDefault="00266895" w:rsidP="00B05B8D">
            <w:pPr>
              <w:spacing w:after="0"/>
              <w:ind w:firstLine="0"/>
              <w:jc w:val="left"/>
              <w:rPr>
                <w:rFonts w:ascii="Arial" w:hAnsi="Arial" w:cs="Arial"/>
                <w:color w:val="000000"/>
                <w:sz w:val="18"/>
                <w:szCs w:val="18"/>
                <w:lang w:val="es-ES" w:eastAsia="es-ES"/>
              </w:rPr>
            </w:pPr>
            <w:r w:rsidRPr="00B05B8D">
              <w:rPr>
                <w:rFonts w:ascii="Arial" w:hAnsi="Arial" w:cs="Arial"/>
                <w:color w:val="000000"/>
                <w:sz w:val="18"/>
                <w:szCs w:val="18"/>
                <w:lang w:val="es-ES" w:eastAsia="es-ES"/>
              </w:rPr>
              <w:t>T</w:t>
            </w:r>
            <w:r w:rsidR="00B05B8D" w:rsidRPr="00B05B8D">
              <w:rPr>
                <w:rFonts w:ascii="Arial" w:hAnsi="Arial" w:cs="Arial"/>
                <w:color w:val="000000"/>
                <w:sz w:val="18"/>
                <w:szCs w:val="18"/>
                <w:lang w:val="es-ES" w:eastAsia="es-ES"/>
              </w:rPr>
              <w:t>otal</w:t>
            </w:r>
          </w:p>
        </w:tc>
        <w:tc>
          <w:tcPr>
            <w:tcW w:w="2268"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lang w:val="es-ES" w:eastAsia="es-ES"/>
              </w:rPr>
            </w:pPr>
            <w:r w:rsidRPr="00B05B8D">
              <w:rPr>
                <w:rFonts w:ascii="Arial" w:hAnsi="Arial" w:cs="Arial"/>
                <w:color w:val="000000"/>
                <w:sz w:val="18"/>
                <w:szCs w:val="18"/>
                <w:lang w:val="es-ES" w:eastAsia="es-ES"/>
              </w:rPr>
              <w:t>164.204</w:t>
            </w:r>
          </w:p>
        </w:tc>
        <w:tc>
          <w:tcPr>
            <w:tcW w:w="1938"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lang w:val="es-ES" w:eastAsia="es-ES"/>
              </w:rPr>
            </w:pPr>
            <w:r w:rsidRPr="00B05B8D">
              <w:rPr>
                <w:rFonts w:ascii="Arial" w:hAnsi="Arial" w:cs="Arial"/>
                <w:color w:val="000000"/>
                <w:sz w:val="18"/>
                <w:szCs w:val="18"/>
                <w:lang w:val="es-ES" w:eastAsia="es-ES"/>
              </w:rPr>
              <w:t>100</w:t>
            </w:r>
          </w:p>
        </w:tc>
        <w:tc>
          <w:tcPr>
            <w:tcW w:w="2103" w:type="dxa"/>
            <w:shd w:val="clear" w:color="auto" w:fill="8DB3E2" w:themeFill="text2" w:themeFillTint="66"/>
            <w:noWrap/>
            <w:vAlign w:val="center"/>
            <w:hideMark/>
          </w:tcPr>
          <w:p w:rsidR="00266895" w:rsidRPr="00B05B8D" w:rsidRDefault="00266895" w:rsidP="00B05B8D">
            <w:pPr>
              <w:spacing w:after="0"/>
              <w:ind w:firstLine="0"/>
              <w:jc w:val="right"/>
              <w:rPr>
                <w:rFonts w:ascii="Arial" w:hAnsi="Arial" w:cs="Arial"/>
                <w:color w:val="000000"/>
                <w:sz w:val="18"/>
                <w:szCs w:val="18"/>
                <w:lang w:val="es-ES" w:eastAsia="es-ES"/>
              </w:rPr>
            </w:pPr>
            <w:r w:rsidRPr="00B05B8D">
              <w:rPr>
                <w:rFonts w:ascii="Arial" w:hAnsi="Arial" w:cs="Arial"/>
                <w:color w:val="000000"/>
                <w:sz w:val="18"/>
                <w:szCs w:val="18"/>
                <w:lang w:val="es-ES" w:eastAsia="es-ES"/>
              </w:rPr>
              <w:t>140</w:t>
            </w:r>
          </w:p>
        </w:tc>
      </w:tr>
    </w:tbl>
    <w:p w:rsidR="00266895" w:rsidRDefault="00266895" w:rsidP="00B05B8D">
      <w:pPr>
        <w:pStyle w:val="texto"/>
        <w:spacing w:before="240"/>
      </w:pPr>
      <w:r w:rsidRPr="00F74F37">
        <w:t>La distribución de este gasto por canal y medio no son publicados como en el ca</w:t>
      </w:r>
      <w:r>
        <w:t xml:space="preserve">so del </w:t>
      </w:r>
      <w:r w:rsidRPr="00F74F37">
        <w:t>Gobierno de Navarra;</w:t>
      </w:r>
      <w:r>
        <w:t xml:space="preserve"> solicitamos a</w:t>
      </w:r>
      <w:r w:rsidRPr="00F74F37">
        <w:t xml:space="preserve"> las empresas públicas </w:t>
      </w:r>
      <w:r>
        <w:t>que nos proporcionaran este detalle y el resultado es el siguiente</w:t>
      </w:r>
      <w:r w:rsidRPr="00F74F37">
        <w:t>:</w:t>
      </w:r>
    </w:p>
    <w:p w:rsidR="00266895" w:rsidRDefault="00266895">
      <w:pPr>
        <w:spacing w:after="0"/>
        <w:ind w:firstLine="0"/>
        <w:jc w:val="left"/>
        <w:rPr>
          <w:spacing w:val="6"/>
          <w:sz w:val="26"/>
          <w:szCs w:val="24"/>
        </w:rPr>
      </w:pPr>
      <w:r>
        <w:br w:type="page"/>
      </w:r>
    </w:p>
    <w:tbl>
      <w:tblPr>
        <w:tblW w:w="8870" w:type="dxa"/>
        <w:jc w:val="center"/>
        <w:tblLayout w:type="fixed"/>
        <w:tblCellMar>
          <w:left w:w="70" w:type="dxa"/>
          <w:right w:w="70" w:type="dxa"/>
        </w:tblCellMar>
        <w:tblLook w:val="04A0" w:firstRow="1" w:lastRow="0" w:firstColumn="1" w:lastColumn="0" w:noHBand="0" w:noVBand="1"/>
      </w:tblPr>
      <w:tblGrid>
        <w:gridCol w:w="372"/>
        <w:gridCol w:w="1275"/>
        <w:gridCol w:w="3997"/>
        <w:gridCol w:w="1628"/>
        <w:gridCol w:w="1598"/>
      </w:tblGrid>
      <w:tr w:rsidR="00FC307E" w:rsidRPr="00B07E0A" w:rsidTr="00AB6C80">
        <w:trPr>
          <w:trHeight w:val="255"/>
          <w:jc w:val="center"/>
        </w:trPr>
        <w:tc>
          <w:tcPr>
            <w:tcW w:w="372" w:type="dxa"/>
            <w:tcBorders>
              <w:top w:val="single" w:sz="4" w:space="0" w:color="auto"/>
              <w:bottom w:val="single" w:sz="4" w:space="0" w:color="auto"/>
            </w:tcBorders>
            <w:shd w:val="clear" w:color="auto" w:fill="8DB3E2" w:themeFill="text2" w:themeFillTint="66"/>
            <w:vAlign w:val="center"/>
          </w:tcPr>
          <w:p w:rsidR="00FC307E" w:rsidRPr="00AB6C80" w:rsidRDefault="00FC307E" w:rsidP="006F7B66">
            <w:pPr>
              <w:spacing w:after="0"/>
              <w:ind w:left="-57" w:right="-106" w:firstLine="0"/>
              <w:jc w:val="left"/>
              <w:rPr>
                <w:rFonts w:ascii="Arial" w:hAnsi="Arial" w:cs="Arial"/>
                <w:spacing w:val="6"/>
                <w:sz w:val="18"/>
                <w:szCs w:val="18"/>
              </w:rPr>
            </w:pPr>
          </w:p>
        </w:tc>
        <w:tc>
          <w:tcPr>
            <w:tcW w:w="5272" w:type="dxa"/>
            <w:gridSpan w:val="2"/>
            <w:tcBorders>
              <w:top w:val="single" w:sz="4" w:space="0" w:color="auto"/>
              <w:bottom w:val="single" w:sz="4" w:space="0" w:color="auto"/>
            </w:tcBorders>
            <w:shd w:val="clear" w:color="auto" w:fill="8DB3E2" w:themeFill="text2" w:themeFillTint="66"/>
            <w:vAlign w:val="center"/>
            <w:hideMark/>
          </w:tcPr>
          <w:p w:rsidR="00FC307E" w:rsidRPr="00B07E0A" w:rsidRDefault="00FC307E" w:rsidP="006F7B66">
            <w:pPr>
              <w:spacing w:after="0"/>
              <w:ind w:left="-57" w:firstLine="0"/>
              <w:jc w:val="center"/>
              <w:rPr>
                <w:rFonts w:ascii="Arial" w:hAnsi="Arial" w:cs="Arial"/>
                <w:bCs/>
                <w:color w:val="000000"/>
                <w:sz w:val="18"/>
                <w:szCs w:val="18"/>
                <w:lang w:val="es-ES" w:eastAsia="es-ES"/>
              </w:rPr>
            </w:pPr>
            <w:r w:rsidRPr="00B07E0A">
              <w:rPr>
                <w:rFonts w:ascii="Arial" w:hAnsi="Arial" w:cs="Arial"/>
                <w:spacing w:val="6"/>
                <w:sz w:val="18"/>
                <w:szCs w:val="18"/>
              </w:rPr>
              <w:br w:type="page"/>
            </w:r>
            <w:r w:rsidRPr="00B07E0A">
              <w:rPr>
                <w:rFonts w:ascii="Arial" w:hAnsi="Arial" w:cs="Arial"/>
                <w:bCs/>
                <w:color w:val="000000"/>
                <w:sz w:val="18"/>
                <w:szCs w:val="18"/>
                <w:lang w:val="es-ES" w:eastAsia="es-ES"/>
              </w:rPr>
              <w:t>Medio</w:t>
            </w:r>
          </w:p>
        </w:tc>
        <w:tc>
          <w:tcPr>
            <w:tcW w:w="1628" w:type="dxa"/>
            <w:tcBorders>
              <w:top w:val="single" w:sz="4" w:space="0" w:color="auto"/>
              <w:bottom w:val="single" w:sz="4" w:space="0" w:color="auto"/>
            </w:tcBorders>
            <w:shd w:val="clear" w:color="auto" w:fill="8DB3E2" w:themeFill="text2" w:themeFillTint="66"/>
            <w:vAlign w:val="center"/>
            <w:hideMark/>
          </w:tcPr>
          <w:p w:rsidR="00FC307E" w:rsidRPr="00B07E0A" w:rsidRDefault="00FC307E" w:rsidP="00E0425E">
            <w:pPr>
              <w:spacing w:after="0"/>
              <w:ind w:firstLine="0"/>
              <w:jc w:val="right"/>
              <w:rPr>
                <w:rFonts w:ascii="Arial" w:hAnsi="Arial" w:cs="Arial"/>
                <w:bCs/>
                <w:color w:val="000000"/>
                <w:sz w:val="18"/>
                <w:szCs w:val="18"/>
                <w:lang w:val="es-ES" w:eastAsia="es-ES"/>
              </w:rPr>
            </w:pPr>
            <w:r w:rsidRPr="00B07E0A">
              <w:rPr>
                <w:rFonts w:ascii="Arial" w:hAnsi="Arial" w:cs="Arial"/>
                <w:bCs/>
                <w:color w:val="000000"/>
                <w:sz w:val="18"/>
                <w:szCs w:val="18"/>
                <w:lang w:val="es-ES" w:eastAsia="es-ES"/>
              </w:rPr>
              <w:t xml:space="preserve">Nº </w:t>
            </w:r>
            <w:r>
              <w:rPr>
                <w:rFonts w:ascii="Arial" w:hAnsi="Arial" w:cs="Arial"/>
                <w:bCs/>
                <w:color w:val="000000"/>
                <w:sz w:val="18"/>
                <w:szCs w:val="18"/>
                <w:lang w:val="es-ES" w:eastAsia="es-ES"/>
              </w:rPr>
              <w:t>contrataciones</w:t>
            </w:r>
          </w:p>
        </w:tc>
        <w:tc>
          <w:tcPr>
            <w:tcW w:w="1598" w:type="dxa"/>
            <w:tcBorders>
              <w:top w:val="single" w:sz="4" w:space="0" w:color="auto"/>
              <w:bottom w:val="single" w:sz="4" w:space="0" w:color="auto"/>
            </w:tcBorders>
            <w:shd w:val="clear" w:color="auto" w:fill="8DB3E2" w:themeFill="text2" w:themeFillTint="66"/>
            <w:vAlign w:val="center"/>
            <w:hideMark/>
          </w:tcPr>
          <w:p w:rsidR="00FC307E" w:rsidRPr="00B07E0A" w:rsidRDefault="00FC307E" w:rsidP="00780897">
            <w:pPr>
              <w:spacing w:after="0"/>
              <w:ind w:firstLine="0"/>
              <w:jc w:val="right"/>
              <w:rPr>
                <w:rFonts w:ascii="Arial" w:hAnsi="Arial" w:cs="Arial"/>
                <w:bCs/>
                <w:color w:val="000000"/>
                <w:sz w:val="18"/>
                <w:szCs w:val="18"/>
                <w:lang w:val="es-ES" w:eastAsia="es-ES"/>
              </w:rPr>
            </w:pPr>
            <w:r w:rsidRPr="00B07E0A">
              <w:rPr>
                <w:rFonts w:ascii="Arial" w:hAnsi="Arial" w:cs="Arial"/>
                <w:bCs/>
                <w:color w:val="000000"/>
                <w:sz w:val="18"/>
                <w:szCs w:val="18"/>
                <w:lang w:val="es-ES" w:eastAsia="es-ES"/>
              </w:rPr>
              <w:t>Gasto (en euros)</w:t>
            </w:r>
          </w:p>
        </w:tc>
      </w:tr>
      <w:tr w:rsidR="00FC307E" w:rsidRPr="00A61050" w:rsidTr="00AB6C80">
        <w:trPr>
          <w:trHeight w:val="198"/>
          <w:jc w:val="center"/>
        </w:trPr>
        <w:tc>
          <w:tcPr>
            <w:tcW w:w="1647" w:type="dxa"/>
            <w:gridSpan w:val="2"/>
            <w:vMerge w:val="restart"/>
            <w:tcBorders>
              <w:top w:val="single" w:sz="4" w:space="0" w:color="auto"/>
            </w:tcBorders>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r w:rsidRPr="00AB6C80">
              <w:rPr>
                <w:rFonts w:ascii="Arial" w:hAnsi="Arial" w:cs="Arial"/>
                <w:color w:val="000000"/>
                <w:sz w:val="16"/>
                <w:szCs w:val="16"/>
                <w:lang w:val="es-ES" w:eastAsia="es-ES"/>
              </w:rPr>
              <w:t>Prensa</w:t>
            </w:r>
          </w:p>
        </w:tc>
        <w:tc>
          <w:tcPr>
            <w:tcW w:w="3997" w:type="dxa"/>
            <w:tcBorders>
              <w:top w:val="single" w:sz="4"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Diario de Navarra</w:t>
            </w:r>
          </w:p>
        </w:tc>
        <w:tc>
          <w:tcPr>
            <w:tcW w:w="1628" w:type="dxa"/>
            <w:tcBorders>
              <w:top w:val="single" w:sz="4" w:space="0" w:color="auto"/>
              <w:bottom w:val="single" w:sz="2" w:space="0" w:color="auto"/>
            </w:tcBorders>
            <w:shd w:val="clear" w:color="auto" w:fill="auto"/>
            <w:noWrap/>
            <w:vAlign w:val="center"/>
            <w:hideMark/>
          </w:tcPr>
          <w:p w:rsidR="00FC307E" w:rsidRPr="00A61050" w:rsidRDefault="00FC307E" w:rsidP="00A61050">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21</w:t>
            </w:r>
          </w:p>
        </w:tc>
        <w:tc>
          <w:tcPr>
            <w:tcW w:w="1598" w:type="dxa"/>
            <w:tcBorders>
              <w:top w:val="single" w:sz="4"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29.731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Diario de Noticias</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17</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32.754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Concejo</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7</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2.735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La voz de la Ribera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4</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955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Plaza Nueva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4</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1.200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Magazine Tudeocio</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300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Prensa nacional Alimarket</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2.492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Anuario Navarra Capital</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1.530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Origen</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1.500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Guía Ilustrada Navarra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1.500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El Mundo</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1.000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Folleto Cabalgata Reyes</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1.000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Al revés Sangüesa, Sarriguren, Zizur, Burlada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720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Conocer Navarra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600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Ze Berri</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450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Prensa nacional Interempresas</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414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Hostelería Navarra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350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Calle Mayor</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270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Revista Mancomunidad Izaga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225 </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Merindad</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225</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Entretodos Tierra Estella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202</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Mendixut</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198</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Entretodos Valdizarbe</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182</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Ttiipi Ttapa</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180</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Guaixe</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169</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Mailope</w:t>
            </w:r>
          </w:p>
        </w:tc>
        <w:tc>
          <w:tcPr>
            <w:tcW w:w="162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FC307E" w:rsidRPr="00A61050" w:rsidRDefault="00FC307E"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135</w:t>
            </w:r>
          </w:p>
        </w:tc>
      </w:tr>
      <w:tr w:rsidR="00FC307E" w:rsidRPr="00A61050" w:rsidTr="00AB6C80">
        <w:trPr>
          <w:trHeight w:val="198"/>
          <w:jc w:val="center"/>
        </w:trPr>
        <w:tc>
          <w:tcPr>
            <w:tcW w:w="1647" w:type="dxa"/>
            <w:gridSpan w:val="2"/>
            <w:vMerge/>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Entorno Zona Media</w:t>
            </w:r>
          </w:p>
        </w:tc>
        <w:tc>
          <w:tcPr>
            <w:tcW w:w="162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135</w:t>
            </w:r>
          </w:p>
        </w:tc>
      </w:tr>
      <w:tr w:rsidR="00FC307E" w:rsidRPr="00A61050" w:rsidTr="00AB6C80">
        <w:trPr>
          <w:trHeight w:val="198"/>
          <w:jc w:val="center"/>
        </w:trPr>
        <w:tc>
          <w:tcPr>
            <w:tcW w:w="1647" w:type="dxa"/>
            <w:gridSpan w:val="2"/>
            <w:vMerge/>
            <w:tcBorders>
              <w:bottom w:val="single" w:sz="2" w:space="0" w:color="auto"/>
            </w:tcBorders>
            <w:vAlign w:val="center"/>
          </w:tcPr>
          <w:p w:rsidR="00FC307E" w:rsidRPr="00AB6C80" w:rsidRDefault="00FC307E"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FC307E" w:rsidRPr="00A61050" w:rsidRDefault="00FC307E"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Entorno Valdizarbe</w:t>
            </w:r>
          </w:p>
        </w:tc>
        <w:tc>
          <w:tcPr>
            <w:tcW w:w="162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tcPr>
          <w:p w:rsidR="00FC307E" w:rsidRPr="00A61050" w:rsidRDefault="00FC307E"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127</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prensa</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7</w:t>
            </w:r>
            <w:r w:rsidRPr="00B07E0A">
              <w:rPr>
                <w:rFonts w:ascii="Arial" w:hAnsi="Arial" w:cs="Arial"/>
                <w:color w:val="000000"/>
                <w:sz w:val="18"/>
                <w:szCs w:val="18"/>
                <w:lang w:val="es-ES" w:eastAsia="es-ES"/>
              </w:rPr>
              <w:t>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81.279</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r w:rsidRPr="00AB6C80">
              <w:rPr>
                <w:rFonts w:ascii="Arial" w:hAnsi="Arial" w:cs="Arial"/>
                <w:color w:val="000000"/>
                <w:sz w:val="16"/>
                <w:szCs w:val="16"/>
                <w:lang w:val="es-ES" w:eastAsia="es-ES"/>
              </w:rPr>
              <w:t>Radio</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Onda Cero</w:t>
            </w:r>
          </w:p>
        </w:tc>
        <w:tc>
          <w:tcPr>
            <w:tcW w:w="1628" w:type="dxa"/>
            <w:tcBorders>
              <w:top w:val="single" w:sz="4" w:space="0" w:color="auto"/>
              <w:bottom w:val="single" w:sz="2" w:space="0" w:color="auto"/>
            </w:tcBorders>
            <w:shd w:val="clear" w:color="000000" w:fill="FFFFFF"/>
            <w:noWrap/>
            <w:vAlign w:val="center"/>
            <w:hideMark/>
          </w:tcPr>
          <w:p w:rsidR="00AB6C80" w:rsidRPr="00A61050" w:rsidRDefault="00AB6C80" w:rsidP="00A61050">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11</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9.120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Cadena Ser</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9</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10.494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Cope</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8</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7.244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Europa FM</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2.388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Radio Euskadi</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1.900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Euskadi Irratia</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1.110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Onda Vasca</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1.100 </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Es Radio</w:t>
            </w:r>
          </w:p>
        </w:tc>
        <w:tc>
          <w:tcPr>
            <w:tcW w:w="162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414 </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radio</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33.770</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r w:rsidRPr="00AB6C80">
              <w:rPr>
                <w:rFonts w:ascii="Arial" w:hAnsi="Arial" w:cs="Arial"/>
                <w:color w:val="000000"/>
                <w:sz w:val="16"/>
                <w:szCs w:val="16"/>
                <w:lang w:val="es-ES" w:eastAsia="es-ES"/>
              </w:rPr>
              <w:t>Medios</w:t>
            </w:r>
            <w:r>
              <w:rPr>
                <w:rFonts w:ascii="Arial" w:hAnsi="Arial" w:cs="Arial"/>
                <w:color w:val="000000"/>
                <w:sz w:val="16"/>
                <w:szCs w:val="16"/>
                <w:lang w:val="es-ES" w:eastAsia="es-ES"/>
              </w:rPr>
              <w:t xml:space="preserve"> </w:t>
            </w:r>
            <w:r w:rsidRPr="00AB6C80">
              <w:rPr>
                <w:rFonts w:ascii="Arial" w:hAnsi="Arial" w:cs="Arial"/>
                <w:color w:val="000000"/>
                <w:sz w:val="16"/>
                <w:szCs w:val="16"/>
                <w:lang w:val="es-ES" w:eastAsia="es-ES"/>
              </w:rPr>
              <w:t>digitales</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Navarra.com</w:t>
            </w:r>
          </w:p>
        </w:tc>
        <w:tc>
          <w:tcPr>
            <w:tcW w:w="162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2.520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Google Adwords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3.894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Alimarket</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720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Twitter ADS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2.476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Canaldis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2.000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Diario de Gastronomía</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1.500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Navarra Capital</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1.450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Financial Food</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Retail Actual</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FC307E">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Interempresas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720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EITB.EUS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500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Facebook ADS</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434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tcPr>
          <w:p w:rsidR="00AB6C80" w:rsidRPr="00A61050" w:rsidRDefault="00AB6C80" w:rsidP="00AB6C80">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Pamplona actual</w:t>
            </w:r>
          </w:p>
        </w:tc>
        <w:tc>
          <w:tcPr>
            <w:tcW w:w="1628" w:type="dxa"/>
            <w:tcBorders>
              <w:top w:val="single" w:sz="2" w:space="0" w:color="auto"/>
              <w:bottom w:val="single" w:sz="2"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w:t>
            </w:r>
          </w:p>
        </w:tc>
        <w:tc>
          <w:tcPr>
            <w:tcW w:w="1598" w:type="dxa"/>
            <w:tcBorders>
              <w:top w:val="single" w:sz="2" w:space="0" w:color="auto"/>
              <w:bottom w:val="single" w:sz="2"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300</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tcPr>
          <w:p w:rsidR="00AB6C80" w:rsidRPr="00A61050" w:rsidRDefault="00AB6C80" w:rsidP="00AB6C80">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Zona Media TV.com</w:t>
            </w:r>
          </w:p>
        </w:tc>
        <w:tc>
          <w:tcPr>
            <w:tcW w:w="1628" w:type="dxa"/>
            <w:tcBorders>
              <w:top w:val="single" w:sz="2" w:space="0" w:color="auto"/>
              <w:bottom w:val="single" w:sz="4"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w:t>
            </w:r>
          </w:p>
        </w:tc>
        <w:tc>
          <w:tcPr>
            <w:tcW w:w="1598" w:type="dxa"/>
            <w:tcBorders>
              <w:top w:val="single" w:sz="2" w:space="0" w:color="auto"/>
              <w:bottom w:val="single" w:sz="4" w:space="0" w:color="auto"/>
            </w:tcBorders>
            <w:shd w:val="clear" w:color="auto" w:fill="auto"/>
            <w:noWrap/>
            <w:vAlign w:val="center"/>
          </w:tcPr>
          <w:p w:rsidR="00AB6C80" w:rsidRPr="00A61050" w:rsidRDefault="00AB6C80" w:rsidP="00780897">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200</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medios digitales</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1</w:t>
            </w:r>
            <w:r>
              <w:rPr>
                <w:rFonts w:ascii="Arial" w:hAnsi="Arial" w:cs="Arial"/>
                <w:color w:val="000000"/>
                <w:sz w:val="18"/>
                <w:szCs w:val="18"/>
                <w:lang w:val="es-ES" w:eastAsia="es-ES"/>
              </w:rPr>
              <w:t>7</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18.</w:t>
            </w:r>
            <w:r>
              <w:rPr>
                <w:rFonts w:ascii="Arial" w:hAnsi="Arial" w:cs="Arial"/>
                <w:color w:val="000000"/>
                <w:sz w:val="18"/>
                <w:szCs w:val="18"/>
                <w:lang w:val="es-ES" w:eastAsia="es-ES"/>
              </w:rPr>
              <w:t>7</w:t>
            </w:r>
            <w:r w:rsidRPr="00B07E0A">
              <w:rPr>
                <w:rFonts w:ascii="Arial" w:hAnsi="Arial" w:cs="Arial"/>
                <w:color w:val="000000"/>
                <w:sz w:val="18"/>
                <w:szCs w:val="18"/>
                <w:lang w:val="es-ES" w:eastAsia="es-ES"/>
              </w:rPr>
              <w:t>14</w:t>
            </w:r>
          </w:p>
        </w:tc>
      </w:tr>
      <w:tr w:rsidR="00AB6C80" w:rsidRPr="00A61050" w:rsidTr="00AB6C80">
        <w:trPr>
          <w:trHeight w:val="198"/>
          <w:jc w:val="center"/>
        </w:trPr>
        <w:tc>
          <w:tcPr>
            <w:tcW w:w="1647" w:type="dxa"/>
            <w:gridSpan w:val="2"/>
            <w:vMerge w:val="restart"/>
            <w:tcBorders>
              <w:top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r w:rsidRPr="00AB6C80">
              <w:rPr>
                <w:rFonts w:ascii="Arial" w:hAnsi="Arial" w:cs="Arial"/>
                <w:color w:val="000000"/>
                <w:sz w:val="16"/>
                <w:szCs w:val="16"/>
                <w:lang w:val="es-ES" w:eastAsia="es-ES"/>
              </w:rPr>
              <w:t>Televisión</w:t>
            </w:r>
          </w:p>
        </w:tc>
        <w:tc>
          <w:tcPr>
            <w:tcW w:w="3997" w:type="dxa"/>
            <w:tcBorders>
              <w:top w:val="single" w:sz="4"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EITB</w:t>
            </w:r>
          </w:p>
        </w:tc>
        <w:tc>
          <w:tcPr>
            <w:tcW w:w="162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3</w:t>
            </w:r>
          </w:p>
        </w:tc>
        <w:tc>
          <w:tcPr>
            <w:tcW w:w="1598" w:type="dxa"/>
            <w:tcBorders>
              <w:top w:val="single" w:sz="4"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6.000 </w:t>
            </w:r>
          </w:p>
        </w:tc>
      </w:tr>
      <w:tr w:rsidR="00AB6C80" w:rsidRPr="00A61050" w:rsidTr="00AB6C80">
        <w:trPr>
          <w:trHeight w:val="198"/>
          <w:jc w:val="center"/>
        </w:trPr>
        <w:tc>
          <w:tcPr>
            <w:tcW w:w="1647" w:type="dxa"/>
            <w:gridSpan w:val="2"/>
            <w:vMerge/>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2"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Navarra TV</w:t>
            </w:r>
          </w:p>
        </w:tc>
        <w:tc>
          <w:tcPr>
            <w:tcW w:w="162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2</w:t>
            </w:r>
          </w:p>
        </w:tc>
        <w:tc>
          <w:tcPr>
            <w:tcW w:w="1598" w:type="dxa"/>
            <w:tcBorders>
              <w:top w:val="single" w:sz="2" w:space="0" w:color="auto"/>
              <w:bottom w:val="single" w:sz="2"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5.000 </w:t>
            </w:r>
          </w:p>
        </w:tc>
      </w:tr>
      <w:tr w:rsidR="00AB6C80" w:rsidRPr="00A61050"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0"/>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A61050" w:rsidRDefault="00AB6C80" w:rsidP="00AB6C80">
            <w:pPr>
              <w:spacing w:after="0"/>
              <w:ind w:firstLine="0"/>
              <w:jc w:val="lef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Hamaika Telebista</w:t>
            </w:r>
          </w:p>
        </w:tc>
        <w:tc>
          <w:tcPr>
            <w:tcW w:w="162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1</w:t>
            </w:r>
          </w:p>
        </w:tc>
        <w:tc>
          <w:tcPr>
            <w:tcW w:w="1598" w:type="dxa"/>
            <w:tcBorders>
              <w:top w:val="single" w:sz="2" w:space="0" w:color="auto"/>
              <w:bottom w:val="single" w:sz="4" w:space="0" w:color="auto"/>
            </w:tcBorders>
            <w:shd w:val="clear" w:color="auto" w:fill="auto"/>
            <w:noWrap/>
            <w:vAlign w:val="center"/>
            <w:hideMark/>
          </w:tcPr>
          <w:p w:rsidR="00AB6C80" w:rsidRPr="00A61050" w:rsidRDefault="00AB6C80" w:rsidP="00780897">
            <w:pPr>
              <w:spacing w:after="0"/>
              <w:ind w:firstLine="0"/>
              <w:jc w:val="right"/>
              <w:rPr>
                <w:rFonts w:ascii="Arial Narrow" w:hAnsi="Arial Narrow"/>
                <w:color w:val="000000"/>
                <w:sz w:val="16"/>
                <w:szCs w:val="16"/>
                <w:lang w:val="es-ES" w:eastAsia="es-ES"/>
              </w:rPr>
            </w:pPr>
            <w:r w:rsidRPr="00A61050">
              <w:rPr>
                <w:rFonts w:ascii="Arial Narrow" w:hAnsi="Arial Narrow"/>
                <w:color w:val="000000"/>
                <w:sz w:val="16"/>
                <w:szCs w:val="16"/>
                <w:lang w:val="es-ES" w:eastAsia="es-ES"/>
              </w:rPr>
              <w:t xml:space="preserve">1.500 </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televisión</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6</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12.500</w:t>
            </w:r>
          </w:p>
        </w:tc>
      </w:tr>
      <w:tr w:rsidR="00AB6C80" w:rsidRPr="00385819" w:rsidTr="00AB6C80">
        <w:trPr>
          <w:trHeight w:val="198"/>
          <w:jc w:val="center"/>
        </w:trPr>
        <w:tc>
          <w:tcPr>
            <w:tcW w:w="1647" w:type="dxa"/>
            <w:gridSpan w:val="2"/>
            <w:vMerge w:val="restart"/>
            <w:vAlign w:val="center"/>
          </w:tcPr>
          <w:p w:rsidR="00AB6C80" w:rsidRPr="00AB6C80" w:rsidRDefault="006F7B66" w:rsidP="00AB6C80">
            <w:pPr>
              <w:spacing w:after="0"/>
              <w:ind w:left="41" w:right="-106" w:firstLine="14"/>
              <w:jc w:val="left"/>
              <w:rPr>
                <w:rFonts w:ascii="Arial" w:hAnsi="Arial" w:cs="Arial"/>
                <w:color w:val="000000"/>
                <w:sz w:val="16"/>
                <w:szCs w:val="16"/>
                <w:lang w:val="es-ES" w:eastAsia="es-ES"/>
              </w:rPr>
            </w:pPr>
            <w:r>
              <w:rPr>
                <w:rFonts w:ascii="Arial" w:hAnsi="Arial" w:cs="Arial"/>
                <w:color w:val="000000"/>
                <w:sz w:val="16"/>
                <w:szCs w:val="16"/>
                <w:lang w:val="es-ES" w:eastAsia="es-ES"/>
              </w:rPr>
              <w:t>Otros medios</w:t>
            </w:r>
          </w:p>
        </w:tc>
        <w:tc>
          <w:tcPr>
            <w:tcW w:w="3997" w:type="dxa"/>
            <w:tcBorders>
              <w:top w:val="single" w:sz="4" w:space="0" w:color="auto"/>
              <w:bottom w:val="single" w:sz="2" w:space="0" w:color="auto"/>
            </w:tcBorders>
            <w:shd w:val="clear" w:color="auto" w:fill="auto"/>
            <w:noWrap/>
            <w:vAlign w:val="center"/>
            <w:hideMark/>
          </w:tcPr>
          <w:p w:rsidR="00AB6C80" w:rsidRPr="00385819" w:rsidRDefault="00AB6C80" w:rsidP="00AB6C80">
            <w:pPr>
              <w:spacing w:after="0"/>
              <w:ind w:firstLine="0"/>
              <w:jc w:val="lef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Marquesinas y vallas publicitarias</w:t>
            </w:r>
          </w:p>
        </w:tc>
        <w:tc>
          <w:tcPr>
            <w:tcW w:w="1628" w:type="dxa"/>
            <w:tcBorders>
              <w:top w:val="single" w:sz="4" w:space="0" w:color="auto"/>
              <w:bottom w:val="single" w:sz="2"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2</w:t>
            </w:r>
          </w:p>
        </w:tc>
        <w:tc>
          <w:tcPr>
            <w:tcW w:w="1598" w:type="dxa"/>
            <w:tcBorders>
              <w:top w:val="single" w:sz="4" w:space="0" w:color="auto"/>
              <w:bottom w:val="single" w:sz="2"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 xml:space="preserve">13.434 </w:t>
            </w:r>
          </w:p>
        </w:tc>
      </w:tr>
      <w:tr w:rsidR="00AB6C80" w:rsidRPr="00385819" w:rsidTr="00AB6C80">
        <w:trPr>
          <w:trHeight w:val="198"/>
          <w:jc w:val="center"/>
        </w:trPr>
        <w:tc>
          <w:tcPr>
            <w:tcW w:w="1647" w:type="dxa"/>
            <w:gridSpan w:val="2"/>
            <w:vMerge/>
            <w:tcBorders>
              <w:bottom w:val="single" w:sz="4" w:space="0" w:color="auto"/>
            </w:tcBorders>
            <w:vAlign w:val="center"/>
          </w:tcPr>
          <w:p w:rsidR="00AB6C80" w:rsidRPr="00AB6C80" w:rsidRDefault="00AB6C80" w:rsidP="00AB6C80">
            <w:pPr>
              <w:spacing w:after="0"/>
              <w:ind w:left="41" w:right="-106" w:firstLine="14"/>
              <w:jc w:val="left"/>
              <w:rPr>
                <w:rFonts w:ascii="Arial" w:hAnsi="Arial" w:cs="Arial"/>
                <w:color w:val="000000"/>
                <w:sz w:val="16"/>
                <w:szCs w:val="16"/>
                <w:lang w:val="es-ES" w:eastAsia="es-ES"/>
              </w:rPr>
            </w:pPr>
          </w:p>
        </w:tc>
        <w:tc>
          <w:tcPr>
            <w:tcW w:w="3997" w:type="dxa"/>
            <w:tcBorders>
              <w:top w:val="single" w:sz="2" w:space="0" w:color="auto"/>
              <w:bottom w:val="single" w:sz="4" w:space="0" w:color="auto"/>
            </w:tcBorders>
            <w:shd w:val="clear" w:color="auto" w:fill="auto"/>
            <w:noWrap/>
            <w:vAlign w:val="center"/>
            <w:hideMark/>
          </w:tcPr>
          <w:p w:rsidR="00AB6C80" w:rsidRPr="00385819" w:rsidRDefault="00AB6C80" w:rsidP="00AB6C80">
            <w:pPr>
              <w:spacing w:after="0"/>
              <w:ind w:firstLine="0"/>
              <w:jc w:val="lef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Reverso de ticket parking</w:t>
            </w:r>
          </w:p>
        </w:tc>
        <w:tc>
          <w:tcPr>
            <w:tcW w:w="1628" w:type="dxa"/>
            <w:tcBorders>
              <w:top w:val="single" w:sz="2" w:space="0" w:color="auto"/>
              <w:bottom w:val="single" w:sz="4"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1</w:t>
            </w:r>
          </w:p>
        </w:tc>
        <w:tc>
          <w:tcPr>
            <w:tcW w:w="1598" w:type="dxa"/>
            <w:tcBorders>
              <w:top w:val="single" w:sz="2" w:space="0" w:color="auto"/>
              <w:bottom w:val="single" w:sz="4" w:space="0" w:color="auto"/>
            </w:tcBorders>
            <w:shd w:val="clear" w:color="auto" w:fill="auto"/>
            <w:noWrap/>
            <w:vAlign w:val="center"/>
            <w:hideMark/>
          </w:tcPr>
          <w:p w:rsidR="00AB6C80" w:rsidRPr="00385819" w:rsidRDefault="00AB6C80" w:rsidP="00780897">
            <w:pPr>
              <w:spacing w:after="0"/>
              <w:ind w:firstLine="0"/>
              <w:jc w:val="right"/>
              <w:rPr>
                <w:rFonts w:ascii="Arial Narrow" w:hAnsi="Arial Narrow"/>
                <w:color w:val="000000"/>
                <w:sz w:val="16"/>
                <w:szCs w:val="16"/>
                <w:lang w:val="es-ES" w:eastAsia="es-ES"/>
              </w:rPr>
            </w:pPr>
            <w:r w:rsidRPr="00385819">
              <w:rPr>
                <w:rFonts w:ascii="Arial Narrow" w:hAnsi="Arial Narrow"/>
                <w:color w:val="000000"/>
                <w:sz w:val="16"/>
                <w:szCs w:val="16"/>
                <w:lang w:val="es-ES" w:eastAsia="es-ES"/>
              </w:rPr>
              <w:t>4.000</w:t>
            </w:r>
          </w:p>
        </w:tc>
      </w:tr>
      <w:tr w:rsidR="00FC307E" w:rsidRPr="00B07E0A" w:rsidTr="00AB6C80">
        <w:trPr>
          <w:trHeight w:val="198"/>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otros medios</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3</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17.434</w:t>
            </w:r>
          </w:p>
        </w:tc>
      </w:tr>
      <w:tr w:rsidR="00FC307E" w:rsidRPr="00B07E0A" w:rsidTr="00AB6C80">
        <w:trPr>
          <w:trHeight w:val="255"/>
          <w:jc w:val="center"/>
        </w:trPr>
        <w:tc>
          <w:tcPr>
            <w:tcW w:w="1647" w:type="dxa"/>
            <w:gridSpan w:val="2"/>
            <w:tcBorders>
              <w:top w:val="single" w:sz="4" w:space="0" w:color="auto"/>
              <w:bottom w:val="single" w:sz="4" w:space="0" w:color="auto"/>
            </w:tcBorders>
            <w:shd w:val="clear" w:color="auto" w:fill="8DB3E2" w:themeFill="text2" w:themeFillTint="66"/>
            <w:vAlign w:val="center"/>
          </w:tcPr>
          <w:p w:rsidR="00FC307E" w:rsidRPr="00AB6C80" w:rsidRDefault="00FC307E" w:rsidP="00AB6C80">
            <w:pPr>
              <w:spacing w:after="0"/>
              <w:ind w:left="41" w:right="-106" w:firstLine="0"/>
              <w:jc w:val="left"/>
              <w:rPr>
                <w:rFonts w:ascii="Arial" w:hAnsi="Arial" w:cs="Arial"/>
                <w:color w:val="000000"/>
                <w:sz w:val="18"/>
                <w:szCs w:val="18"/>
                <w:lang w:val="es-ES" w:eastAsia="es-ES"/>
              </w:rPr>
            </w:pPr>
          </w:p>
        </w:tc>
        <w:tc>
          <w:tcPr>
            <w:tcW w:w="3997"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AB6C80">
            <w:pPr>
              <w:spacing w:after="0"/>
              <w:ind w:firstLine="0"/>
              <w:jc w:val="left"/>
              <w:rPr>
                <w:rFonts w:ascii="Arial" w:hAnsi="Arial" w:cs="Arial"/>
                <w:color w:val="000000"/>
                <w:sz w:val="18"/>
                <w:szCs w:val="18"/>
                <w:lang w:val="es-ES" w:eastAsia="es-ES"/>
              </w:rPr>
            </w:pPr>
            <w:r w:rsidRPr="00B07E0A">
              <w:rPr>
                <w:rFonts w:ascii="Arial" w:hAnsi="Arial" w:cs="Arial"/>
                <w:color w:val="000000"/>
                <w:sz w:val="18"/>
                <w:szCs w:val="18"/>
                <w:lang w:val="es-ES" w:eastAsia="es-ES"/>
              </w:rPr>
              <w:t>Total gasto publicidad</w:t>
            </w:r>
          </w:p>
        </w:tc>
        <w:tc>
          <w:tcPr>
            <w:tcW w:w="162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385819">
            <w:pPr>
              <w:spacing w:after="0"/>
              <w:ind w:firstLine="0"/>
              <w:jc w:val="right"/>
              <w:rPr>
                <w:rFonts w:ascii="Arial" w:hAnsi="Arial" w:cs="Arial"/>
                <w:color w:val="000000"/>
                <w:sz w:val="18"/>
                <w:szCs w:val="18"/>
                <w:lang w:val="es-ES" w:eastAsia="es-ES"/>
              </w:rPr>
            </w:pPr>
            <w:r w:rsidRPr="00B07E0A">
              <w:rPr>
                <w:rFonts w:ascii="Arial" w:hAnsi="Arial" w:cs="Arial"/>
                <w:color w:val="000000"/>
                <w:sz w:val="18"/>
                <w:szCs w:val="18"/>
                <w:lang w:val="es-ES" w:eastAsia="es-ES"/>
              </w:rPr>
              <w:t>1</w:t>
            </w:r>
            <w:r>
              <w:rPr>
                <w:rFonts w:ascii="Arial" w:hAnsi="Arial" w:cs="Arial"/>
                <w:color w:val="000000"/>
                <w:sz w:val="18"/>
                <w:szCs w:val="18"/>
                <w:lang w:val="es-ES" w:eastAsia="es-ES"/>
              </w:rPr>
              <w:t>40</w:t>
            </w:r>
          </w:p>
        </w:tc>
        <w:tc>
          <w:tcPr>
            <w:tcW w:w="1598" w:type="dxa"/>
            <w:tcBorders>
              <w:top w:val="single" w:sz="4" w:space="0" w:color="auto"/>
              <w:bottom w:val="single" w:sz="4" w:space="0" w:color="auto"/>
            </w:tcBorders>
            <w:shd w:val="clear" w:color="auto" w:fill="8DB3E2" w:themeFill="text2" w:themeFillTint="66"/>
            <w:noWrap/>
            <w:vAlign w:val="center"/>
          </w:tcPr>
          <w:p w:rsidR="00FC307E" w:rsidRPr="00B07E0A" w:rsidRDefault="00FC307E" w:rsidP="0078089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164.204</w:t>
            </w:r>
          </w:p>
        </w:tc>
      </w:tr>
    </w:tbl>
    <w:p w:rsidR="00780897" w:rsidRPr="00784E54" w:rsidRDefault="00780897" w:rsidP="00385819">
      <w:pPr>
        <w:pStyle w:val="texto"/>
        <w:spacing w:before="240"/>
      </w:pPr>
      <w:r w:rsidRPr="00784E54">
        <w:lastRenderedPageBreak/>
        <w:t xml:space="preserve">El </w:t>
      </w:r>
      <w:r w:rsidR="00385819">
        <w:t>50</w:t>
      </w:r>
      <w:r w:rsidRPr="00784E54">
        <w:t xml:space="preserve"> por ciento del gasto de las empresas públicas se destinó a la prensa e</w:t>
      </w:r>
      <w:r w:rsidRPr="00784E54">
        <w:t>s</w:t>
      </w:r>
      <w:r w:rsidRPr="00784E54">
        <w:t xml:space="preserve">crita, el 21 por ciento a radio, el 11 por ciento a medios digitales y el ocho por ciento a televisión. </w:t>
      </w:r>
    </w:p>
    <w:p w:rsidR="00780897" w:rsidRPr="00784E54" w:rsidRDefault="00780897" w:rsidP="00780897">
      <w:pPr>
        <w:pStyle w:val="texto"/>
      </w:pPr>
      <w:r w:rsidRPr="00784E54">
        <w:t xml:space="preserve">Del análisis de estos gastos </w:t>
      </w:r>
      <w:r w:rsidR="00385819">
        <w:t>hemos verificado que todas las contrataciones fueron inferiores a 15.000 euros</w:t>
      </w:r>
      <w:r w:rsidR="00F74F37">
        <w:t xml:space="preserve">, por lo que, de acuerdo con la </w:t>
      </w:r>
      <w:r>
        <w:t>Ley Foral de Contratos Públicos</w:t>
      </w:r>
      <w:r w:rsidR="00F74F37">
        <w:t xml:space="preserve">, se </w:t>
      </w:r>
      <w:r w:rsidR="00385819">
        <w:t>podrían haber tramitado</w:t>
      </w:r>
      <w:r w:rsidR="00F74F37">
        <w:t xml:space="preserve"> a través de la correspondiente factura</w:t>
      </w:r>
      <w:r w:rsidR="00385819">
        <w:t>,</w:t>
      </w:r>
      <w:r w:rsidRPr="00784E54">
        <w:t xml:space="preserve"> </w:t>
      </w:r>
      <w:r w:rsidR="00385819">
        <w:t xml:space="preserve">y este fue el procedimiento seguido en 138 de las 140 contrataciones; </w:t>
      </w:r>
      <w:r w:rsidRPr="00784E54">
        <w:t xml:space="preserve">las dos restantes se adjudicaron siguiendo un procedimiento negociado. </w:t>
      </w:r>
    </w:p>
    <w:p w:rsidR="00780897" w:rsidRPr="00784E54" w:rsidRDefault="00780897" w:rsidP="00780897">
      <w:pPr>
        <w:pStyle w:val="texto"/>
      </w:pPr>
      <w:r w:rsidRPr="00784E54">
        <w:t>Hemos revisado una muestra de gastos compuesta por diez expedientes por un importe total de 36.285 euros (ocho por adjudicación directa por un total de 24.790 euros y los dos llevados a cabo por procedimiento negociado por un v</w:t>
      </w:r>
      <w:r w:rsidRPr="00784E54">
        <w:t>a</w:t>
      </w:r>
      <w:r w:rsidRPr="00784E54">
        <w:t>lor de 11.495 euros); comprobamos que, en general, se formalizaron y tramit</w:t>
      </w:r>
      <w:r w:rsidRPr="00784E54">
        <w:t>a</w:t>
      </w:r>
      <w:r w:rsidRPr="00784E54">
        <w:t xml:space="preserve">ron según la normativa aplicable a las empresas públicas en esta materia. </w:t>
      </w:r>
    </w:p>
    <w:p w:rsidR="006039A8" w:rsidRDefault="006039A8" w:rsidP="006039A8">
      <w:pPr>
        <w:pStyle w:val="texto"/>
        <w:rPr>
          <w:rFonts w:cs="Arial"/>
          <w:i/>
        </w:rPr>
      </w:pPr>
      <w:r w:rsidRPr="006039A8">
        <w:rPr>
          <w:i/>
          <w:lang w:val="es-ES"/>
        </w:rPr>
        <w:t>Recomendamo</w:t>
      </w:r>
      <w:r>
        <w:rPr>
          <w:i/>
          <w:lang w:val="es-ES"/>
        </w:rPr>
        <w:t xml:space="preserve">s </w:t>
      </w:r>
      <w:r w:rsidR="004E68C1" w:rsidRPr="00D76979">
        <w:rPr>
          <w:rFonts w:cs="Arial"/>
          <w:i/>
        </w:rPr>
        <w:t>actualizar</w:t>
      </w:r>
      <w:r w:rsidRPr="00D76979">
        <w:rPr>
          <w:rFonts w:cs="Arial"/>
          <w:i/>
        </w:rPr>
        <w:t xml:space="preserve"> la normativa existente para determinar las dire</w:t>
      </w:r>
      <w:r w:rsidRPr="00D76979">
        <w:rPr>
          <w:rFonts w:cs="Arial"/>
          <w:i/>
        </w:rPr>
        <w:t>c</w:t>
      </w:r>
      <w:r w:rsidRPr="00D76979">
        <w:rPr>
          <w:rFonts w:cs="Arial"/>
          <w:i/>
        </w:rPr>
        <w:t xml:space="preserve">trices de contratación de la publicidad institucional </w:t>
      </w:r>
      <w:r w:rsidR="00385819">
        <w:rPr>
          <w:rFonts w:cs="Arial"/>
          <w:i/>
        </w:rPr>
        <w:t>contemplando</w:t>
      </w:r>
      <w:r w:rsidRPr="00D76979">
        <w:rPr>
          <w:rFonts w:cs="Arial"/>
          <w:i/>
        </w:rPr>
        <w:t xml:space="preserve"> expres</w:t>
      </w:r>
      <w:r w:rsidRPr="00D76979">
        <w:rPr>
          <w:rFonts w:cs="Arial"/>
          <w:i/>
        </w:rPr>
        <w:t>a</w:t>
      </w:r>
      <w:r w:rsidRPr="00D76979">
        <w:rPr>
          <w:rFonts w:cs="Arial"/>
          <w:i/>
        </w:rPr>
        <w:t xml:space="preserve">mente los medios digitales </w:t>
      </w:r>
      <w:r w:rsidR="00385819">
        <w:rPr>
          <w:rFonts w:cs="Arial"/>
          <w:i/>
        </w:rPr>
        <w:t>en</w:t>
      </w:r>
      <w:r w:rsidRPr="00D76979">
        <w:rPr>
          <w:rFonts w:cs="Arial"/>
          <w:i/>
        </w:rPr>
        <w:t xml:space="preserve"> la misma. </w:t>
      </w:r>
    </w:p>
    <w:p w:rsidR="008121DB" w:rsidRDefault="008121D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p>
    <w:p w:rsidR="008121DB" w:rsidRPr="00BC3289" w:rsidRDefault="008121D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r w:rsidRPr="00BC3289">
        <w:rPr>
          <w:rFonts w:cs="Arial"/>
        </w:rPr>
        <w:t xml:space="preserve">Pamplona, </w:t>
      </w:r>
      <w:r w:rsidR="00014092">
        <w:rPr>
          <w:rFonts w:cs="Arial"/>
        </w:rPr>
        <w:t>1</w:t>
      </w:r>
      <w:r w:rsidR="00A6504A">
        <w:rPr>
          <w:rFonts w:cs="Arial"/>
        </w:rPr>
        <w:t>6</w:t>
      </w:r>
      <w:r w:rsidR="00E0425E">
        <w:rPr>
          <w:rFonts w:cs="Arial"/>
        </w:rPr>
        <w:t xml:space="preserve"> de noviembre</w:t>
      </w:r>
      <w:r w:rsidRPr="00BC3289">
        <w:rPr>
          <w:rFonts w:cs="Arial"/>
        </w:rPr>
        <w:t xml:space="preserve"> de 2017</w:t>
      </w:r>
    </w:p>
    <w:p w:rsidR="008121DB" w:rsidRDefault="006F7B66"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r>
        <w:rPr>
          <w:rFonts w:cs="Arial"/>
        </w:rPr>
        <w:t>La presidenta</w:t>
      </w:r>
      <w:r w:rsidR="008121DB" w:rsidRPr="00BC3289">
        <w:rPr>
          <w:rFonts w:cs="Arial"/>
        </w:rPr>
        <w:t xml:space="preserve">, </w:t>
      </w:r>
      <w:r>
        <w:rPr>
          <w:rFonts w:cs="Arial"/>
        </w:rPr>
        <w:t>Asunción Olaechea Estanga</w:t>
      </w:r>
    </w:p>
    <w:p w:rsidR="005F57CB" w:rsidRPr="00BC3289" w:rsidRDefault="005F57CB" w:rsidP="008121DB">
      <w:pPr>
        <w:pStyle w:val="texto"/>
        <w:tabs>
          <w:tab w:val="clear" w:pos="2835"/>
          <w:tab w:val="clear" w:pos="3969"/>
          <w:tab w:val="clear" w:pos="5103"/>
          <w:tab w:val="clear" w:pos="6237"/>
          <w:tab w:val="clear" w:pos="7371"/>
          <w:tab w:val="left" w:pos="480"/>
          <w:tab w:val="num" w:pos="720"/>
          <w:tab w:val="num" w:pos="1320"/>
          <w:tab w:val="num" w:pos="1948"/>
        </w:tabs>
        <w:jc w:val="center"/>
        <w:rPr>
          <w:rFonts w:cs="Arial"/>
        </w:rPr>
      </w:pPr>
    </w:p>
    <w:p w:rsidR="005F57CB" w:rsidRDefault="005F57CB" w:rsidP="006039A8">
      <w:pPr>
        <w:pStyle w:val="texto"/>
        <w:rPr>
          <w:rFonts w:cs="Arial"/>
          <w:i/>
        </w:rPr>
        <w:sectPr w:rsidR="005F57CB" w:rsidSect="005F57CB">
          <w:footerReference w:type="default" r:id="rId18"/>
          <w:type w:val="oddPage"/>
          <w:pgSz w:w="11907" w:h="16840" w:code="9"/>
          <w:pgMar w:top="2109" w:right="1559" w:bottom="1644" w:left="1559" w:header="369" w:footer="136" w:gutter="0"/>
          <w:cols w:space="720"/>
          <w:docGrid w:linePitch="360"/>
        </w:sectPr>
      </w:pPr>
    </w:p>
    <w:p w:rsidR="00664032" w:rsidRPr="00784E54" w:rsidRDefault="00EC378A" w:rsidP="00EC378A">
      <w:pPr>
        <w:pStyle w:val="atitulo1"/>
      </w:pPr>
      <w:bookmarkStart w:id="92" w:name="_Toc498515807"/>
      <w:r>
        <w:lastRenderedPageBreak/>
        <w:t>Apéndice 2</w:t>
      </w:r>
      <w:r w:rsidR="00664032" w:rsidRPr="00784E54">
        <w:t>. Contratación en situación de enriquecimiento injusto</w:t>
      </w:r>
      <w:bookmarkEnd w:id="92"/>
    </w:p>
    <w:p w:rsidR="00F26E91" w:rsidRPr="00F26E91" w:rsidRDefault="00F26E91" w:rsidP="00F26E91">
      <w:pPr>
        <w:pStyle w:val="texto"/>
      </w:pPr>
      <w:r w:rsidRPr="00F26E91">
        <w:t>En mayo de 2017, el Grupo Parlamentario Unión del Pueblo Navarro (UPN) y Geroa Bai cursaron sendas peticiones en las que solicitaban fundamentalme</w:t>
      </w:r>
      <w:r w:rsidRPr="00F26E91">
        <w:t>n</w:t>
      </w:r>
      <w:r w:rsidRPr="00F26E91">
        <w:t>te un análisis de los siguientes aspectos:</w:t>
      </w:r>
    </w:p>
    <w:p w:rsidR="00F26E91" w:rsidRPr="00F26E91" w:rsidRDefault="00F26E91" w:rsidP="00F26E91">
      <w:pPr>
        <w:pStyle w:val="texto"/>
        <w:numPr>
          <w:ilvl w:val="0"/>
          <w:numId w:val="3"/>
        </w:numPr>
        <w:tabs>
          <w:tab w:val="clear" w:pos="2835"/>
          <w:tab w:val="clear" w:pos="3969"/>
          <w:tab w:val="clear" w:pos="5103"/>
          <w:tab w:val="clear" w:pos="6237"/>
          <w:tab w:val="clear" w:pos="7371"/>
          <w:tab w:val="left" w:pos="480"/>
          <w:tab w:val="num" w:pos="928"/>
          <w:tab w:val="num" w:pos="6597"/>
        </w:tabs>
        <w:ind w:left="426" w:hanging="384"/>
        <w:rPr>
          <w:i/>
          <w:sz w:val="20"/>
          <w:szCs w:val="20"/>
        </w:rPr>
      </w:pPr>
      <w:r w:rsidRPr="00F26E91">
        <w:rPr>
          <w:i/>
          <w:sz w:val="20"/>
          <w:szCs w:val="20"/>
        </w:rPr>
        <w:t>“…Analizar, desde el punto de vista de su validez temporal y su procedimiento de adjudicación, la adecuación al ordenamiento jurídico de todos los contratos del Servicio Navarro de Salud-Osasunbidea (SNS-O en adelante) y del Instituto de Salud Pública y Laboral de Navarra (ISPLN en adelante) a fecha de hoy de 2017.</w:t>
      </w:r>
    </w:p>
    <w:p w:rsidR="00F26E91" w:rsidRPr="00F26E91" w:rsidRDefault="00F26E91" w:rsidP="00F26E91">
      <w:pPr>
        <w:pStyle w:val="texto"/>
        <w:numPr>
          <w:ilvl w:val="0"/>
          <w:numId w:val="3"/>
        </w:numPr>
        <w:tabs>
          <w:tab w:val="clear" w:pos="2835"/>
          <w:tab w:val="clear" w:pos="3969"/>
          <w:tab w:val="clear" w:pos="5103"/>
          <w:tab w:val="clear" w:pos="6237"/>
          <w:tab w:val="clear" w:pos="7371"/>
          <w:tab w:val="left" w:pos="480"/>
          <w:tab w:val="num" w:pos="928"/>
          <w:tab w:val="num" w:pos="6597"/>
        </w:tabs>
        <w:ind w:left="426" w:hanging="384"/>
        <w:rPr>
          <w:i/>
          <w:sz w:val="20"/>
          <w:szCs w:val="20"/>
        </w:rPr>
      </w:pPr>
      <w:r w:rsidRPr="00F26E91">
        <w:rPr>
          <w:i/>
          <w:sz w:val="20"/>
          <w:szCs w:val="20"/>
        </w:rPr>
        <w:t>En el caso de contratos del SNS-O y del ISPLN que se hallen en situación de enriquecimiento injusto, valorar económicamente el perjuicio que esta situación supone para la Hacienda F</w:t>
      </w:r>
      <w:r w:rsidRPr="00F26E91">
        <w:rPr>
          <w:i/>
          <w:sz w:val="20"/>
          <w:szCs w:val="20"/>
        </w:rPr>
        <w:t>o</w:t>
      </w:r>
      <w:r w:rsidRPr="00F26E91">
        <w:rPr>
          <w:i/>
          <w:sz w:val="20"/>
          <w:szCs w:val="20"/>
        </w:rPr>
        <w:t>ral...”.</w:t>
      </w:r>
    </w:p>
    <w:p w:rsidR="00F26E91" w:rsidRPr="00F26E91" w:rsidRDefault="00F26E91" w:rsidP="00F26E91">
      <w:pPr>
        <w:pStyle w:val="texto"/>
      </w:pPr>
      <w:r w:rsidRPr="00F26E91">
        <w:t>La petición del grupo UPN solicitaba además que se analizaran expresame</w:t>
      </w:r>
      <w:r w:rsidRPr="00F26E91">
        <w:t>n</w:t>
      </w:r>
      <w:r w:rsidRPr="00F26E91">
        <w:t>te los aspectos citados en el apartado a) para el contrato de la gestión del serv</w:t>
      </w:r>
      <w:r w:rsidRPr="00F26E91">
        <w:t>i</w:t>
      </w:r>
      <w:r w:rsidRPr="00F26E91">
        <w:t>cio de cocinas del Complejo Hospitalario de Navarra desde el 23 de septiembre de 2016 hasta mayo de 2017, así como la realización de un análisis económico comparativo sobre el coste del servicio citado en distintos escenarios. Por otra parte, la petición del grupo Geroa Bai indicaba 2010 como la fecha de inicio de los análisis tanto del apartado a) como b).</w:t>
      </w:r>
    </w:p>
    <w:p w:rsidR="00F26E91" w:rsidRPr="00F26E91" w:rsidRDefault="00F26E91" w:rsidP="00F26E91">
      <w:pPr>
        <w:pStyle w:val="texto"/>
      </w:pPr>
      <w:r w:rsidRPr="00F26E91">
        <w:t>Teniendo en cuenta las normas que rigen el trabajo de auditoría, hemos an</w:t>
      </w:r>
      <w:r w:rsidRPr="00F26E91">
        <w:t>a</w:t>
      </w:r>
      <w:r w:rsidRPr="00F26E91">
        <w:t>lizado aquellas prestaciones que se seguían realizando en el Gobierno de Nav</w:t>
      </w:r>
      <w:r w:rsidRPr="00F26E91">
        <w:t>a</w:t>
      </w:r>
      <w:r w:rsidRPr="00F26E91">
        <w:t>rra a pesar de haber finalizado la vigencia de su contrato a 31 de mayo de 2017.</w:t>
      </w:r>
    </w:p>
    <w:p w:rsidR="00F26E91" w:rsidRPr="00F26E91" w:rsidRDefault="00F26E91" w:rsidP="00F26E91">
      <w:pPr>
        <w:pStyle w:val="texto"/>
      </w:pPr>
      <w:r w:rsidRPr="00F26E91">
        <w:t>No hemos realizado un análisis económico comparativo del coste del serv</w:t>
      </w:r>
      <w:r w:rsidRPr="00F26E91">
        <w:t>i</w:t>
      </w:r>
      <w:r w:rsidRPr="00F26E91">
        <w:t>cio de gestión de las cocinas del Complejo Hospitalario de Navarra de los di</w:t>
      </w:r>
      <w:r w:rsidRPr="00F26E91">
        <w:t>s</w:t>
      </w:r>
      <w:r w:rsidRPr="00F26E91">
        <w:t>tintos escenarios que se describían en la petición, dado que esta Cámara publ</w:t>
      </w:r>
      <w:r w:rsidRPr="00F26E91">
        <w:t>i</w:t>
      </w:r>
      <w:r w:rsidRPr="00F26E91">
        <w:t>có en junio de 2014 un informe en el que ya se obtenían esos cálculos, a exce</w:t>
      </w:r>
      <w:r w:rsidRPr="00F26E91">
        <w:t>p</w:t>
      </w:r>
      <w:r w:rsidRPr="00F26E91">
        <w:t>ción del referido a la gestión mixta, cuya estimación no fue posible al no di</w:t>
      </w:r>
      <w:r w:rsidRPr="00F26E91">
        <w:t>s</w:t>
      </w:r>
      <w:r w:rsidRPr="00F26E91">
        <w:t>poner de suficiente información.</w:t>
      </w:r>
    </w:p>
    <w:p w:rsidR="00F26E91" w:rsidRPr="00F26E91" w:rsidRDefault="00F26E91" w:rsidP="00F26E91">
      <w:pPr>
        <w:pStyle w:val="texto"/>
      </w:pPr>
      <w:r w:rsidRPr="00F26E91">
        <w:t>Finalmente señalamos que nos han proporcionado el gasto acumulado de los contratos cuya vigencia había finalizado si bien sus prestaciones se seguían ll</w:t>
      </w:r>
      <w:r w:rsidRPr="00F26E91">
        <w:t>e</w:t>
      </w:r>
      <w:r w:rsidRPr="00F26E91">
        <w:t xml:space="preserve">vando a cabo a 31 de mayo de 2017, sin que esta Cámara haya </w:t>
      </w:r>
      <w:r w:rsidR="00BA0678">
        <w:t>podido valorar</w:t>
      </w:r>
      <w:r w:rsidRPr="00F26E91">
        <w:t xml:space="preserve"> el perjuicio </w:t>
      </w:r>
      <w:r w:rsidR="00BA0678">
        <w:t xml:space="preserve">económico </w:t>
      </w:r>
      <w:r w:rsidRPr="00F26E91">
        <w:t>que esto le ha podido suponer a la Administración de la Comunidad Foral de Navarra.</w:t>
      </w:r>
    </w:p>
    <w:p w:rsidR="00F26E91" w:rsidRPr="00F26E91" w:rsidRDefault="00F26E91" w:rsidP="00F26E91">
      <w:pPr>
        <w:pStyle w:val="texto"/>
      </w:pPr>
      <w:r w:rsidRPr="00F26E91">
        <w:t>El alcance de nuestro trabajo lo ha constituido la información proporcionada por el Servicio de Intervención General del Gobierno de Navarra respecto a, como ya hemos indicado, aquellas prestaciones que se han seguido realizando a pesar de que el contrato ya se había extinguido y no se había tramitado el pr</w:t>
      </w:r>
      <w:r w:rsidRPr="00F26E91">
        <w:t>o</w:t>
      </w:r>
      <w:r w:rsidRPr="00F26E91">
        <w:t>cedimiento de contratación correspondiente.</w:t>
      </w:r>
    </w:p>
    <w:p w:rsidR="00F26E91" w:rsidRDefault="00F26E91">
      <w:pPr>
        <w:spacing w:after="0"/>
        <w:ind w:firstLine="0"/>
        <w:jc w:val="left"/>
        <w:rPr>
          <w:spacing w:val="6"/>
          <w:sz w:val="26"/>
          <w:szCs w:val="24"/>
          <w:lang w:val="es-ES"/>
        </w:rPr>
      </w:pPr>
      <w:r>
        <w:rPr>
          <w:lang w:val="es-ES"/>
        </w:rPr>
        <w:br w:type="page"/>
      </w:r>
    </w:p>
    <w:p w:rsidR="00F26E91" w:rsidRPr="00F26E91" w:rsidRDefault="00F26E91" w:rsidP="00F26E91">
      <w:pPr>
        <w:pStyle w:val="texto"/>
        <w:spacing w:after="240"/>
        <w:rPr>
          <w:lang w:val="es-ES"/>
        </w:rPr>
      </w:pPr>
      <w:r w:rsidRPr="00F26E91">
        <w:rPr>
          <w:lang w:val="es-ES"/>
        </w:rPr>
        <w:lastRenderedPageBreak/>
        <w:t>Los principales datos obtenidos son los siguientes:</w:t>
      </w:r>
    </w:p>
    <w:tbl>
      <w:tblPr>
        <w:tblStyle w:val="Tablaconcuadrcula4"/>
        <w:tblW w:w="879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258"/>
        <w:gridCol w:w="1117"/>
        <w:gridCol w:w="1873"/>
        <w:gridCol w:w="2063"/>
      </w:tblGrid>
      <w:tr w:rsidR="00F26E91" w:rsidRPr="00F26E91" w:rsidTr="00860E65">
        <w:trPr>
          <w:trHeight w:val="255"/>
        </w:trPr>
        <w:tc>
          <w:tcPr>
            <w:tcW w:w="3480"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left"/>
              <w:rPr>
                <w:rFonts w:ascii="Arial" w:hAnsi="Arial" w:cs="Arial"/>
                <w:sz w:val="18"/>
                <w:szCs w:val="18"/>
                <w:lang w:val="es-ES" w:eastAsia="es-ES"/>
              </w:rPr>
            </w:pPr>
            <w:r w:rsidRPr="00F26E91">
              <w:rPr>
                <w:rFonts w:ascii="Arial" w:hAnsi="Arial" w:cs="Arial"/>
                <w:sz w:val="18"/>
                <w:szCs w:val="18"/>
                <w:lang w:val="es-ES" w:eastAsia="es-ES"/>
              </w:rPr>
              <w:t>Departamento</w:t>
            </w:r>
          </w:p>
        </w:tc>
        <w:tc>
          <w:tcPr>
            <w:tcW w:w="1375"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lang w:val="es-ES" w:eastAsia="es-ES"/>
              </w:rPr>
            </w:pPr>
            <w:r w:rsidRPr="00F26E91">
              <w:rPr>
                <w:rFonts w:ascii="Arial" w:hAnsi="Arial" w:cs="Arial"/>
                <w:sz w:val="18"/>
                <w:szCs w:val="18"/>
                <w:lang w:val="es-ES" w:eastAsia="es-ES"/>
              </w:rPr>
              <w:t>Nº contratos</w:t>
            </w:r>
          </w:p>
        </w:tc>
        <w:tc>
          <w:tcPr>
            <w:tcW w:w="187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lang w:val="es-ES" w:eastAsia="es-ES"/>
              </w:rPr>
            </w:pPr>
            <w:r w:rsidRPr="00F26E91">
              <w:rPr>
                <w:rFonts w:ascii="Arial" w:hAnsi="Arial" w:cs="Arial"/>
                <w:sz w:val="18"/>
                <w:szCs w:val="18"/>
                <w:lang w:val="es-ES" w:eastAsia="es-ES"/>
              </w:rPr>
              <w:t xml:space="preserve">Gasto acumulado desde fin contrato hasta 31 mayo 2017 </w:t>
            </w:r>
          </w:p>
        </w:tc>
        <w:tc>
          <w:tcPr>
            <w:tcW w:w="206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right="-83" w:firstLine="0"/>
              <w:jc w:val="right"/>
              <w:rPr>
                <w:rFonts w:ascii="Arial" w:hAnsi="Arial" w:cs="Arial"/>
                <w:sz w:val="18"/>
                <w:szCs w:val="18"/>
                <w:lang w:val="es-ES" w:eastAsia="es-ES"/>
              </w:rPr>
            </w:pPr>
            <w:r w:rsidRPr="00F26E91">
              <w:rPr>
                <w:rFonts w:ascii="Arial" w:hAnsi="Arial" w:cs="Arial"/>
                <w:sz w:val="18"/>
                <w:szCs w:val="18"/>
                <w:lang w:val="es-ES" w:eastAsia="es-ES"/>
              </w:rPr>
              <w:t>Tiempo medio en días desde fin contrato hasta 31 mayo 2017</w:t>
            </w:r>
          </w:p>
        </w:tc>
      </w:tr>
      <w:tr w:rsidR="00F26E91" w:rsidRPr="00F26E91" w:rsidTr="00F26E91">
        <w:trPr>
          <w:trHeight w:val="198"/>
        </w:trPr>
        <w:tc>
          <w:tcPr>
            <w:tcW w:w="3738" w:type="dxa"/>
            <w:gridSpan w:val="2"/>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Salud</w:t>
            </w:r>
          </w:p>
        </w:tc>
        <w:tc>
          <w:tcPr>
            <w:tcW w:w="1117" w:type="dxa"/>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48</w:t>
            </w:r>
          </w:p>
        </w:tc>
        <w:tc>
          <w:tcPr>
            <w:tcW w:w="1873" w:type="dxa"/>
            <w:tcBorders>
              <w:top w:val="single" w:sz="4"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32.610.448</w:t>
            </w:r>
          </w:p>
        </w:tc>
        <w:tc>
          <w:tcPr>
            <w:tcW w:w="2063" w:type="dxa"/>
            <w:tcBorders>
              <w:top w:val="single" w:sz="4"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748*</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Derechos Sociales</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19</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12.585.427</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817</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Desarrollo Económico</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41</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3.479.654</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1.033</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Presidencia, Función Pblca., Int. y Justicia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23</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1.288.371</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165</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Relaciones Ciudadanas e Institucionales</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17</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1.178.569</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411</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Cultura, Deporte y Juventud</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3</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81.673</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150</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Hacienda y Política Financiera</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2</w:t>
            </w:r>
          </w:p>
        </w:tc>
        <w:tc>
          <w:tcPr>
            <w:tcW w:w="1873" w:type="dxa"/>
            <w:tcBorders>
              <w:top w:val="single" w:sz="2" w:space="0" w:color="auto"/>
              <w:bottom w:val="single" w:sz="2" w:space="0" w:color="auto"/>
            </w:tcBorders>
            <w:vAlign w:val="center"/>
          </w:tcPr>
          <w:p w:rsidR="00F26E91" w:rsidRPr="00F26E91" w:rsidRDefault="00F26E91" w:rsidP="00466FB3">
            <w:pPr>
              <w:tabs>
                <w:tab w:val="left" w:pos="126"/>
              </w:tabs>
              <w:spacing w:after="0"/>
              <w:ind w:right="-57" w:firstLine="0"/>
              <w:jc w:val="right"/>
              <w:rPr>
                <w:rFonts w:ascii="Arial Narrow" w:hAnsi="Arial Narrow"/>
                <w:lang w:val="es-ES" w:eastAsia="es-ES"/>
              </w:rPr>
            </w:pPr>
            <w:r w:rsidRPr="00F26E91">
              <w:rPr>
                <w:rFonts w:ascii="Arial Narrow" w:hAnsi="Arial Narrow"/>
                <w:lang w:val="es-ES" w:eastAsia="es-ES"/>
              </w:rPr>
              <w:t>3.618</w:t>
            </w:r>
          </w:p>
        </w:tc>
        <w:tc>
          <w:tcPr>
            <w:tcW w:w="2063" w:type="dxa"/>
            <w:tcBorders>
              <w:top w:val="single" w:sz="2" w:space="0" w:color="auto"/>
              <w:bottom w:val="single" w:sz="2" w:space="0" w:color="auto"/>
            </w:tcBorders>
            <w:vAlign w:val="center"/>
          </w:tcPr>
          <w:p w:rsidR="00F26E91" w:rsidRPr="00F26E91" w:rsidRDefault="00F26E91" w:rsidP="00BC3289">
            <w:pPr>
              <w:tabs>
                <w:tab w:val="left" w:pos="480"/>
              </w:tabs>
              <w:spacing w:after="0"/>
              <w:ind w:right="74" w:firstLine="0"/>
              <w:jc w:val="right"/>
              <w:rPr>
                <w:rFonts w:ascii="Arial Narrow" w:hAnsi="Arial Narrow"/>
                <w:lang w:val="es-ES" w:eastAsia="es-ES"/>
              </w:rPr>
            </w:pPr>
            <w:r w:rsidRPr="00F26E91">
              <w:rPr>
                <w:rFonts w:ascii="Arial Narrow" w:hAnsi="Arial Narrow"/>
                <w:lang w:val="es-ES" w:eastAsia="es-ES"/>
              </w:rPr>
              <w:t>77</w:t>
            </w:r>
          </w:p>
        </w:tc>
      </w:tr>
      <w:tr w:rsidR="00F26E91" w:rsidRPr="00F26E91" w:rsidTr="00F26E91">
        <w:trPr>
          <w:trHeight w:val="198"/>
        </w:trPr>
        <w:tc>
          <w:tcPr>
            <w:tcW w:w="3738" w:type="dxa"/>
            <w:gridSpan w:val="2"/>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Des. Rural, Medio Amb. y Admón. Local</w:t>
            </w:r>
          </w:p>
        </w:tc>
        <w:tc>
          <w:tcPr>
            <w:tcW w:w="1117" w:type="dxa"/>
            <w:tcBorders>
              <w:top w:val="single" w:sz="2" w:space="0" w:color="auto"/>
              <w:bottom w:val="single" w:sz="2"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1</w:t>
            </w:r>
          </w:p>
        </w:tc>
        <w:tc>
          <w:tcPr>
            <w:tcW w:w="1873" w:type="dxa"/>
            <w:tcBorders>
              <w:top w:val="single" w:sz="2" w:space="0" w:color="auto"/>
              <w:bottom w:val="single" w:sz="2" w:space="0" w:color="auto"/>
            </w:tcBorders>
            <w:vAlign w:val="center"/>
          </w:tcPr>
          <w:p w:rsidR="00F26E91" w:rsidRPr="00F26E91" w:rsidRDefault="00F26E91" w:rsidP="00466FB3">
            <w:pPr>
              <w:tabs>
                <w:tab w:val="left" w:pos="480"/>
              </w:tabs>
              <w:spacing w:after="0"/>
              <w:ind w:right="-99" w:firstLine="0"/>
              <w:jc w:val="right"/>
              <w:rPr>
                <w:rFonts w:ascii="Arial Narrow" w:hAnsi="Arial Narrow"/>
                <w:lang w:val="es-ES" w:eastAsia="es-ES"/>
              </w:rPr>
            </w:pPr>
            <w:r w:rsidRPr="00F26E91">
              <w:rPr>
                <w:rFonts w:ascii="Arial Narrow" w:hAnsi="Arial Narrow"/>
                <w:lang w:val="es-ES" w:eastAsia="es-ES"/>
              </w:rPr>
              <w:t>0</w:t>
            </w:r>
            <w:r w:rsidR="00466FB3">
              <w:rPr>
                <w:rFonts w:ascii="Arial Narrow" w:hAnsi="Arial Narrow"/>
                <w:lang w:val="es-ES" w:eastAsia="es-ES"/>
              </w:rPr>
              <w:t>**</w:t>
            </w:r>
          </w:p>
        </w:tc>
        <w:tc>
          <w:tcPr>
            <w:tcW w:w="2063" w:type="dxa"/>
            <w:tcBorders>
              <w:top w:val="single" w:sz="2" w:space="0" w:color="auto"/>
              <w:bottom w:val="single" w:sz="2" w:space="0" w:color="auto"/>
            </w:tcBorders>
            <w:vAlign w:val="center"/>
          </w:tcPr>
          <w:p w:rsidR="00F26E91" w:rsidRPr="00F26E91" w:rsidRDefault="00466FB3" w:rsidP="00466FB3">
            <w:pPr>
              <w:tabs>
                <w:tab w:val="left" w:pos="480"/>
              </w:tabs>
              <w:spacing w:after="0"/>
              <w:ind w:right="74" w:firstLine="0"/>
              <w:jc w:val="right"/>
              <w:rPr>
                <w:rFonts w:ascii="Arial Narrow" w:hAnsi="Arial Narrow"/>
                <w:lang w:val="es-ES" w:eastAsia="es-ES"/>
              </w:rPr>
            </w:pPr>
            <w:r>
              <w:rPr>
                <w:rFonts w:ascii="Arial Narrow" w:hAnsi="Arial Narrow"/>
                <w:lang w:val="es-ES" w:eastAsia="es-ES"/>
              </w:rPr>
              <w:t>149</w:t>
            </w:r>
          </w:p>
        </w:tc>
      </w:tr>
      <w:tr w:rsidR="00F26E91" w:rsidRPr="00F26E91" w:rsidTr="00860E65">
        <w:trPr>
          <w:trHeight w:val="198"/>
        </w:trPr>
        <w:tc>
          <w:tcPr>
            <w:tcW w:w="3738" w:type="dxa"/>
            <w:gridSpan w:val="2"/>
            <w:tcBorders>
              <w:top w:val="single" w:sz="2" w:space="0" w:color="auto"/>
              <w:bottom w:val="single" w:sz="4" w:space="0" w:color="auto"/>
            </w:tcBorders>
            <w:vAlign w:val="center"/>
          </w:tcPr>
          <w:p w:rsidR="00F26E91" w:rsidRPr="00F26E91" w:rsidRDefault="00F26E91" w:rsidP="00F26E91">
            <w:pPr>
              <w:tabs>
                <w:tab w:val="left" w:pos="480"/>
              </w:tabs>
              <w:spacing w:after="0"/>
              <w:ind w:firstLine="0"/>
              <w:jc w:val="left"/>
              <w:rPr>
                <w:rFonts w:ascii="Arial Narrow" w:hAnsi="Arial Narrow"/>
                <w:lang w:val="es-ES" w:eastAsia="es-ES"/>
              </w:rPr>
            </w:pPr>
            <w:r w:rsidRPr="00F26E91">
              <w:rPr>
                <w:rFonts w:ascii="Arial Narrow" w:hAnsi="Arial Narrow"/>
                <w:lang w:val="es-ES" w:eastAsia="es-ES"/>
              </w:rPr>
              <w:t>Educación</w:t>
            </w:r>
          </w:p>
        </w:tc>
        <w:tc>
          <w:tcPr>
            <w:tcW w:w="1117" w:type="dxa"/>
            <w:tcBorders>
              <w:top w:val="single" w:sz="2" w:space="0" w:color="auto"/>
              <w:bottom w:val="single" w:sz="4" w:space="0" w:color="auto"/>
            </w:tcBorders>
            <w:vAlign w:val="center"/>
          </w:tcPr>
          <w:p w:rsidR="00F26E91" w:rsidRPr="00F26E91" w:rsidRDefault="00F26E91" w:rsidP="00F26E91">
            <w:pPr>
              <w:tabs>
                <w:tab w:val="left" w:pos="480"/>
              </w:tabs>
              <w:spacing w:after="0"/>
              <w:ind w:firstLine="0"/>
              <w:jc w:val="right"/>
              <w:rPr>
                <w:rFonts w:ascii="Arial Narrow" w:hAnsi="Arial Narrow"/>
                <w:lang w:val="es-ES" w:eastAsia="es-ES"/>
              </w:rPr>
            </w:pPr>
            <w:r w:rsidRPr="00F26E91">
              <w:rPr>
                <w:rFonts w:ascii="Arial Narrow" w:hAnsi="Arial Narrow"/>
                <w:lang w:val="es-ES" w:eastAsia="es-ES"/>
              </w:rPr>
              <w:t>1</w:t>
            </w:r>
          </w:p>
        </w:tc>
        <w:tc>
          <w:tcPr>
            <w:tcW w:w="1873" w:type="dxa"/>
            <w:tcBorders>
              <w:top w:val="single" w:sz="2" w:space="0" w:color="auto"/>
              <w:bottom w:val="single" w:sz="4" w:space="0" w:color="auto"/>
            </w:tcBorders>
            <w:vAlign w:val="center"/>
          </w:tcPr>
          <w:p w:rsidR="00F26E91" w:rsidRPr="00F26E91" w:rsidRDefault="00F26E91" w:rsidP="00466FB3">
            <w:pPr>
              <w:tabs>
                <w:tab w:val="left" w:pos="480"/>
              </w:tabs>
              <w:spacing w:after="0"/>
              <w:ind w:right="-99" w:firstLine="0"/>
              <w:jc w:val="right"/>
              <w:rPr>
                <w:rFonts w:ascii="Arial Narrow" w:hAnsi="Arial Narrow"/>
                <w:lang w:val="es-ES" w:eastAsia="es-ES"/>
              </w:rPr>
            </w:pPr>
            <w:r w:rsidRPr="00F26E91">
              <w:rPr>
                <w:rFonts w:ascii="Arial Narrow" w:hAnsi="Arial Narrow"/>
                <w:lang w:val="es-ES" w:eastAsia="es-ES"/>
              </w:rPr>
              <w:t>0</w:t>
            </w:r>
            <w:r w:rsidR="00466FB3">
              <w:rPr>
                <w:rFonts w:ascii="Arial Narrow" w:hAnsi="Arial Narrow"/>
                <w:lang w:val="es-ES" w:eastAsia="es-ES"/>
              </w:rPr>
              <w:t>**</w:t>
            </w:r>
          </w:p>
        </w:tc>
        <w:tc>
          <w:tcPr>
            <w:tcW w:w="2063" w:type="dxa"/>
            <w:tcBorders>
              <w:top w:val="single" w:sz="2" w:space="0" w:color="auto"/>
              <w:bottom w:val="single" w:sz="4" w:space="0" w:color="auto"/>
            </w:tcBorders>
            <w:vAlign w:val="center"/>
          </w:tcPr>
          <w:p w:rsidR="00F26E91" w:rsidRPr="00F26E91" w:rsidRDefault="00466FB3" w:rsidP="00BC3289">
            <w:pPr>
              <w:tabs>
                <w:tab w:val="left" w:pos="480"/>
              </w:tabs>
              <w:spacing w:after="0"/>
              <w:ind w:right="74" w:firstLine="0"/>
              <w:jc w:val="right"/>
              <w:rPr>
                <w:rFonts w:ascii="Arial Narrow" w:hAnsi="Arial Narrow"/>
                <w:lang w:val="es-ES" w:eastAsia="es-ES"/>
              </w:rPr>
            </w:pPr>
            <w:r>
              <w:rPr>
                <w:rFonts w:ascii="Arial Narrow" w:hAnsi="Arial Narrow"/>
                <w:lang w:val="es-ES" w:eastAsia="es-ES"/>
              </w:rPr>
              <w:t>15</w:t>
            </w:r>
            <w:r w:rsidR="00F26E91" w:rsidRPr="00F26E91">
              <w:rPr>
                <w:rFonts w:ascii="Arial Narrow" w:hAnsi="Arial Narrow"/>
                <w:lang w:val="es-ES" w:eastAsia="es-ES"/>
              </w:rPr>
              <w:t>0</w:t>
            </w:r>
          </w:p>
        </w:tc>
      </w:tr>
      <w:tr w:rsidR="00F26E91" w:rsidRPr="00F26E91" w:rsidTr="00F26E91">
        <w:trPr>
          <w:trHeight w:val="255"/>
        </w:trPr>
        <w:tc>
          <w:tcPr>
            <w:tcW w:w="3480"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left"/>
              <w:rPr>
                <w:rFonts w:ascii="Arial" w:hAnsi="Arial" w:cs="Arial"/>
                <w:sz w:val="18"/>
                <w:szCs w:val="18"/>
                <w:lang w:val="es-ES" w:eastAsia="es-ES"/>
              </w:rPr>
            </w:pPr>
            <w:r w:rsidRPr="00F26E91">
              <w:rPr>
                <w:rFonts w:ascii="Arial" w:hAnsi="Arial" w:cs="Arial"/>
                <w:sz w:val="18"/>
                <w:szCs w:val="18"/>
                <w:lang w:val="es-ES" w:eastAsia="es-ES"/>
              </w:rPr>
              <w:t>Total</w:t>
            </w:r>
          </w:p>
        </w:tc>
        <w:tc>
          <w:tcPr>
            <w:tcW w:w="1375"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lang w:val="es-ES" w:eastAsia="es-ES"/>
              </w:rPr>
            </w:pPr>
            <w:r w:rsidRPr="00F26E91">
              <w:rPr>
                <w:rFonts w:ascii="Arial" w:hAnsi="Arial" w:cs="Arial"/>
                <w:sz w:val="18"/>
                <w:szCs w:val="18"/>
                <w:lang w:val="es-ES" w:eastAsia="es-ES"/>
              </w:rPr>
              <w:t>155</w:t>
            </w:r>
          </w:p>
        </w:tc>
        <w:tc>
          <w:tcPr>
            <w:tcW w:w="1873" w:type="dxa"/>
            <w:tcBorders>
              <w:top w:val="single" w:sz="4" w:space="0" w:color="auto"/>
              <w:bottom w:val="single" w:sz="4" w:space="0" w:color="auto"/>
            </w:tcBorders>
            <w:shd w:val="clear" w:color="auto" w:fill="8DB3E2" w:themeFill="text2" w:themeFillTint="66"/>
            <w:vAlign w:val="center"/>
          </w:tcPr>
          <w:p w:rsidR="00F26E91" w:rsidRPr="00F26E91" w:rsidRDefault="00F26E91" w:rsidP="00860E65">
            <w:pPr>
              <w:tabs>
                <w:tab w:val="left" w:pos="480"/>
              </w:tabs>
              <w:spacing w:after="0"/>
              <w:ind w:firstLine="0"/>
              <w:jc w:val="right"/>
              <w:rPr>
                <w:rFonts w:ascii="Arial" w:hAnsi="Arial" w:cs="Arial"/>
                <w:sz w:val="18"/>
                <w:szCs w:val="18"/>
                <w:lang w:val="es-ES" w:eastAsia="es-ES"/>
              </w:rPr>
            </w:pPr>
            <w:r w:rsidRPr="00F26E91">
              <w:rPr>
                <w:rFonts w:ascii="Arial" w:hAnsi="Arial" w:cs="Arial"/>
                <w:sz w:val="18"/>
                <w:szCs w:val="18"/>
                <w:lang w:val="es-ES" w:eastAsia="es-ES"/>
              </w:rPr>
              <w:t>51.227.760</w:t>
            </w:r>
          </w:p>
        </w:tc>
        <w:tc>
          <w:tcPr>
            <w:tcW w:w="2063"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lang w:val="es-ES" w:eastAsia="es-ES"/>
              </w:rPr>
            </w:pPr>
            <w:r w:rsidRPr="00F26E91">
              <w:rPr>
                <w:rFonts w:ascii="Arial" w:hAnsi="Arial" w:cs="Arial"/>
                <w:sz w:val="18"/>
                <w:szCs w:val="18"/>
                <w:lang w:val="es-ES" w:eastAsia="es-ES"/>
              </w:rPr>
              <w:t>761</w:t>
            </w:r>
          </w:p>
        </w:tc>
      </w:tr>
      <w:tr w:rsidR="00F26E91" w:rsidRPr="00F26E91" w:rsidTr="00F26E91">
        <w:trPr>
          <w:trHeight w:val="255"/>
        </w:trPr>
        <w:tc>
          <w:tcPr>
            <w:tcW w:w="8791" w:type="dxa"/>
            <w:gridSpan w:val="5"/>
            <w:tcBorders>
              <w:top w:val="single" w:sz="4" w:space="0" w:color="auto"/>
            </w:tcBorders>
            <w:shd w:val="clear" w:color="auto" w:fill="auto"/>
            <w:vAlign w:val="center"/>
          </w:tcPr>
          <w:p w:rsidR="00F26E91" w:rsidRDefault="00860E65" w:rsidP="00860E65">
            <w:pPr>
              <w:pStyle w:val="Prrafodelista"/>
              <w:spacing w:before="60" w:after="0"/>
              <w:ind w:left="-108" w:firstLine="0"/>
              <w:rPr>
                <w:rFonts w:ascii="Arial" w:hAnsi="Arial" w:cs="Arial"/>
                <w:sz w:val="16"/>
                <w:szCs w:val="16"/>
                <w:lang w:val="es-ES" w:eastAsia="es-ES"/>
              </w:rPr>
            </w:pPr>
            <w:r>
              <w:rPr>
                <w:rFonts w:ascii="Arial" w:hAnsi="Arial" w:cs="Arial"/>
                <w:sz w:val="16"/>
                <w:szCs w:val="16"/>
                <w:lang w:eastAsia="es-ES"/>
              </w:rPr>
              <w:t xml:space="preserve">* </w:t>
            </w:r>
            <w:r w:rsidR="00F26E91" w:rsidRPr="00860E65">
              <w:rPr>
                <w:rFonts w:ascii="Arial" w:hAnsi="Arial" w:cs="Arial"/>
                <w:sz w:val="16"/>
                <w:szCs w:val="16"/>
                <w:lang w:val="es-ES" w:eastAsia="es-ES"/>
              </w:rPr>
              <w:t xml:space="preserve">En un caso cuyo importe abonado alcanzado los 212.000 euros, no nos han proporcionado el tiempo transcurrido desde la fecha de fin del contrato. </w:t>
            </w:r>
          </w:p>
          <w:p w:rsidR="00466FB3" w:rsidRPr="00860E65" w:rsidRDefault="00466FB3" w:rsidP="00860E65">
            <w:pPr>
              <w:pStyle w:val="Prrafodelista"/>
              <w:spacing w:before="60" w:after="0"/>
              <w:ind w:left="-108" w:firstLine="0"/>
              <w:rPr>
                <w:rFonts w:ascii="Arial" w:hAnsi="Arial" w:cs="Arial"/>
                <w:sz w:val="16"/>
                <w:szCs w:val="16"/>
                <w:lang w:val="es-ES" w:eastAsia="es-ES"/>
              </w:rPr>
            </w:pPr>
            <w:r>
              <w:rPr>
                <w:rFonts w:ascii="Arial" w:hAnsi="Arial" w:cs="Arial"/>
                <w:sz w:val="16"/>
                <w:szCs w:val="16"/>
                <w:lang w:val="es-ES" w:eastAsia="es-ES"/>
              </w:rPr>
              <w:t>** En estos casos, aún no se ha abonado cantidad alguna a la fecha indicada.</w:t>
            </w:r>
          </w:p>
        </w:tc>
      </w:tr>
    </w:tbl>
    <w:p w:rsidR="00F26E91" w:rsidRPr="00F26E91" w:rsidRDefault="00F26E91" w:rsidP="00F26E91">
      <w:pPr>
        <w:pStyle w:val="texto"/>
        <w:spacing w:before="240"/>
        <w:rPr>
          <w:lang w:val="es-ES"/>
        </w:rPr>
      </w:pPr>
      <w:r w:rsidRPr="00F26E91">
        <w:rPr>
          <w:lang w:val="es-ES"/>
        </w:rPr>
        <w:t>Del análisis de esta información destacamos los siguientes aspectos:</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rsidRPr="00913008">
        <w:rPr>
          <w:rFonts w:cs="Arial"/>
        </w:rPr>
        <w:t>A 31 de mayo de 2017 existían 155 contratos en situación de enriquec</w:t>
      </w:r>
      <w:r w:rsidRPr="00913008">
        <w:rPr>
          <w:rFonts w:cs="Arial"/>
        </w:rPr>
        <w:t>i</w:t>
      </w:r>
      <w:r w:rsidRPr="00913008">
        <w:rPr>
          <w:rFonts w:cs="Arial"/>
        </w:rPr>
        <w:t>miento injusto. El 31 por ciento de estas prestaciones correspondían al Depa</w:t>
      </w:r>
      <w:r w:rsidRPr="00913008">
        <w:rPr>
          <w:rFonts w:cs="Arial"/>
        </w:rPr>
        <w:t>r</w:t>
      </w:r>
      <w:r w:rsidRPr="00913008">
        <w:rPr>
          <w:rFonts w:cs="Arial"/>
        </w:rPr>
        <w:t>tamento de Salud, el 26 por ciento al de Desarrollo Económico, el 15 por ciento al de Presidencia, el 12 por ciento a Derechos Sociales y el 11 por ciento a R</w:t>
      </w:r>
      <w:r w:rsidRPr="00913008">
        <w:rPr>
          <w:rFonts w:cs="Arial"/>
        </w:rPr>
        <w:t>e</w:t>
      </w:r>
      <w:r w:rsidRPr="00913008">
        <w:rPr>
          <w:rFonts w:cs="Arial"/>
        </w:rPr>
        <w:t>laciones Ciudadanas e Institucionales.</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rsidRPr="00913008">
        <w:rPr>
          <w:rFonts w:cs="Arial"/>
        </w:rPr>
        <w:t xml:space="preserve">El gasto que han supuesto las prestaciones recibidas desde que finalizó la vigencia del contrato hasta el 31 de mayo de 2017, asciende a 51,23 millones de euros, de los cuales el 64 por ciento corresponde al Departamento de Salud y el 25 por ciento al de Derechos Sociales. </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rsidRPr="00913008">
        <w:rPr>
          <w:rFonts w:cs="Arial"/>
        </w:rPr>
        <w:t>La duración media de la situación de enriquecimiento injusto en el G</w:t>
      </w:r>
      <w:r w:rsidRPr="00913008">
        <w:rPr>
          <w:rFonts w:cs="Arial"/>
        </w:rPr>
        <w:t>o</w:t>
      </w:r>
      <w:r w:rsidRPr="00913008">
        <w:rPr>
          <w:rFonts w:cs="Arial"/>
        </w:rPr>
        <w:t>bierno de Navarra asciende a 761 días (2,1 años), si bien los datos por depart</w:t>
      </w:r>
      <w:r w:rsidRPr="00913008">
        <w:rPr>
          <w:rFonts w:cs="Arial"/>
        </w:rPr>
        <w:t>a</w:t>
      </w:r>
      <w:r w:rsidRPr="00913008">
        <w:rPr>
          <w:rFonts w:cs="Arial"/>
        </w:rPr>
        <w:t>mentos difieren; en tres departamentos se superan los dos años (Departamento de Desarrollo Económico, Salud y Derechos Sociales), en el de Relaciones Ciudadanas e Institucionales el periodo es superior al año, y en el resto, la d</w:t>
      </w:r>
      <w:r w:rsidRPr="00913008">
        <w:rPr>
          <w:rFonts w:cs="Arial"/>
        </w:rPr>
        <w:t>u</w:t>
      </w:r>
      <w:r w:rsidRPr="00913008">
        <w:rPr>
          <w:rFonts w:cs="Arial"/>
        </w:rPr>
        <w:t>ración es inferior a medio año.</w:t>
      </w:r>
    </w:p>
    <w:p w:rsidR="00F26E91" w:rsidRPr="00913008" w:rsidRDefault="00F26E91" w:rsidP="006F7B6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00"/>
        <w:ind w:left="0" w:firstLine="289"/>
        <w:rPr>
          <w:rFonts w:cs="Arial"/>
        </w:rPr>
      </w:pPr>
      <w:r w:rsidRPr="00913008">
        <w:rPr>
          <w:rFonts w:cs="Arial"/>
        </w:rPr>
        <w:t>Los aspectos más destacables de los contratos del SNS-O y del ISPLN, c</w:t>
      </w:r>
      <w:r w:rsidRPr="00913008">
        <w:rPr>
          <w:rFonts w:cs="Arial"/>
        </w:rPr>
        <w:t>u</w:t>
      </w:r>
      <w:r w:rsidRPr="00913008">
        <w:rPr>
          <w:rFonts w:cs="Arial"/>
        </w:rPr>
        <w:t>yo análisis se solicitaba expresamente en la petición parlamentaria, son:</w:t>
      </w:r>
    </w:p>
    <w:p w:rsidR="00F26E91" w:rsidRPr="00F26E91" w:rsidRDefault="00F26E91" w:rsidP="00913008">
      <w:pPr>
        <w:pStyle w:val="texto"/>
        <w:numPr>
          <w:ilvl w:val="0"/>
          <w:numId w:val="17"/>
        </w:numPr>
        <w:tabs>
          <w:tab w:val="clear" w:pos="2835"/>
          <w:tab w:val="clear" w:pos="3969"/>
          <w:tab w:val="clear" w:pos="5103"/>
          <w:tab w:val="clear" w:pos="6237"/>
          <w:tab w:val="clear" w:pos="7371"/>
          <w:tab w:val="left" w:pos="567"/>
        </w:tabs>
        <w:spacing w:after="240"/>
        <w:ind w:left="0" w:firstLine="284"/>
      </w:pPr>
      <w:r w:rsidRPr="00F26E91">
        <w:t xml:space="preserve">De los 48 contratos del Departamento de Salud, 44 corresponden al SNS-O, cuatro al ISPLN y uno al propio departamento. Las causas por las que se ha llegado a esta situación en el SNS-O y en el ISPLN, corresponden a: </w:t>
      </w:r>
    </w:p>
    <w:tbl>
      <w:tblPr>
        <w:tblStyle w:val="Tablaconcuadrcula4"/>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6195"/>
        <w:gridCol w:w="356"/>
        <w:gridCol w:w="1028"/>
      </w:tblGrid>
      <w:tr w:rsidR="00F26E91" w:rsidRPr="00F26E91" w:rsidTr="003E64CF">
        <w:trPr>
          <w:trHeight w:val="255"/>
          <w:jc w:val="center"/>
        </w:trPr>
        <w:tc>
          <w:tcPr>
            <w:tcW w:w="1142" w:type="dxa"/>
            <w:tcBorders>
              <w:top w:val="single" w:sz="4" w:space="0" w:color="auto"/>
              <w:bottom w:val="single" w:sz="4" w:space="0" w:color="auto"/>
            </w:tcBorders>
            <w:shd w:val="clear" w:color="auto" w:fill="8DB3E2" w:themeFill="text2" w:themeFillTint="66"/>
            <w:vAlign w:val="center"/>
          </w:tcPr>
          <w:p w:rsidR="00F26E91" w:rsidRPr="00F26E91" w:rsidRDefault="00F26E91" w:rsidP="003E64CF">
            <w:pPr>
              <w:tabs>
                <w:tab w:val="left" w:pos="567"/>
              </w:tabs>
              <w:spacing w:after="0"/>
              <w:ind w:right="-94" w:firstLine="0"/>
              <w:contextualSpacing/>
              <w:jc w:val="left"/>
              <w:rPr>
                <w:rFonts w:ascii="Arial" w:hAnsi="Arial" w:cs="Arial"/>
                <w:sz w:val="18"/>
                <w:szCs w:val="18"/>
                <w:lang w:eastAsia="es-ES"/>
              </w:rPr>
            </w:pPr>
            <w:r w:rsidRPr="00F26E91">
              <w:rPr>
                <w:rFonts w:ascii="Arial" w:hAnsi="Arial" w:cs="Arial"/>
                <w:sz w:val="18"/>
                <w:szCs w:val="18"/>
                <w:lang w:eastAsia="es-ES"/>
              </w:rPr>
              <w:t>Nº contratos</w:t>
            </w:r>
          </w:p>
        </w:tc>
        <w:tc>
          <w:tcPr>
            <w:tcW w:w="6195"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567"/>
              </w:tabs>
              <w:spacing w:after="0"/>
              <w:ind w:firstLine="0"/>
              <w:contextualSpacing/>
              <w:rPr>
                <w:rFonts w:ascii="Arial" w:hAnsi="Arial" w:cs="Arial"/>
                <w:sz w:val="18"/>
                <w:szCs w:val="18"/>
                <w:lang w:eastAsia="es-ES"/>
              </w:rPr>
            </w:pPr>
            <w:r w:rsidRPr="00F26E91">
              <w:rPr>
                <w:rFonts w:ascii="Arial" w:hAnsi="Arial" w:cs="Arial"/>
                <w:sz w:val="18"/>
                <w:szCs w:val="18"/>
                <w:lang w:eastAsia="es-ES"/>
              </w:rPr>
              <w:t xml:space="preserve">Causa </w:t>
            </w:r>
          </w:p>
        </w:tc>
        <w:tc>
          <w:tcPr>
            <w:tcW w:w="1384" w:type="dxa"/>
            <w:gridSpan w:val="2"/>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567"/>
              </w:tabs>
              <w:spacing w:after="0"/>
              <w:ind w:firstLine="0"/>
              <w:contextualSpacing/>
              <w:jc w:val="right"/>
              <w:rPr>
                <w:rFonts w:ascii="Arial" w:hAnsi="Arial" w:cs="Arial"/>
                <w:sz w:val="18"/>
                <w:szCs w:val="18"/>
                <w:lang w:eastAsia="es-ES"/>
              </w:rPr>
            </w:pPr>
            <w:r w:rsidRPr="00F26E91">
              <w:rPr>
                <w:rFonts w:ascii="Arial" w:hAnsi="Arial" w:cs="Arial"/>
                <w:sz w:val="18"/>
                <w:szCs w:val="18"/>
                <w:lang w:eastAsia="es-ES"/>
              </w:rPr>
              <w:t>% sobre el total</w:t>
            </w:r>
          </w:p>
        </w:tc>
      </w:tr>
      <w:tr w:rsidR="00F26E91" w:rsidRPr="00F26E91" w:rsidTr="003E64CF">
        <w:trPr>
          <w:trHeight w:val="198"/>
          <w:jc w:val="center"/>
        </w:trPr>
        <w:tc>
          <w:tcPr>
            <w:tcW w:w="1142" w:type="dxa"/>
            <w:tcBorders>
              <w:top w:val="single" w:sz="4"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lang w:eastAsia="es-ES"/>
              </w:rPr>
            </w:pPr>
            <w:r w:rsidRPr="00F26E91">
              <w:rPr>
                <w:rFonts w:ascii="Arial Narrow" w:hAnsi="Arial Narrow"/>
                <w:lang w:eastAsia="es-ES"/>
              </w:rPr>
              <w:t>36</w:t>
            </w:r>
          </w:p>
        </w:tc>
        <w:tc>
          <w:tcPr>
            <w:tcW w:w="6551" w:type="dxa"/>
            <w:gridSpan w:val="2"/>
            <w:tcBorders>
              <w:top w:val="single" w:sz="4"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lang w:eastAsia="es-ES"/>
              </w:rPr>
            </w:pPr>
            <w:r w:rsidRPr="00F26E91">
              <w:rPr>
                <w:rFonts w:ascii="Arial Narrow" w:hAnsi="Arial Narrow"/>
                <w:lang w:eastAsia="es-ES"/>
              </w:rPr>
              <w:t>Retrasos tramitación expediente (cambio condiciones en el contrato para adecuarlo a nuevas necesidades, internalizaciones del servicio, recursos a las licitaciones, etc.)</w:t>
            </w:r>
          </w:p>
        </w:tc>
        <w:tc>
          <w:tcPr>
            <w:tcW w:w="1028" w:type="dxa"/>
            <w:tcBorders>
              <w:top w:val="single" w:sz="4"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lang w:eastAsia="es-ES"/>
              </w:rPr>
            </w:pPr>
            <w:r w:rsidRPr="00F26E91">
              <w:rPr>
                <w:rFonts w:ascii="Arial Narrow" w:hAnsi="Arial Narrow"/>
                <w:lang w:eastAsia="es-ES"/>
              </w:rPr>
              <w:t>75</w:t>
            </w:r>
          </w:p>
        </w:tc>
      </w:tr>
      <w:tr w:rsidR="00F26E91" w:rsidRPr="00F26E91" w:rsidTr="003E64CF">
        <w:trPr>
          <w:trHeight w:val="198"/>
          <w:jc w:val="center"/>
        </w:trPr>
        <w:tc>
          <w:tcPr>
            <w:tcW w:w="1142" w:type="dxa"/>
            <w:tcBorders>
              <w:top w:val="single" w:sz="2"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lang w:eastAsia="es-ES"/>
              </w:rPr>
            </w:pPr>
            <w:r w:rsidRPr="00F26E91">
              <w:rPr>
                <w:rFonts w:ascii="Arial Narrow" w:hAnsi="Arial Narrow"/>
                <w:lang w:eastAsia="es-ES"/>
              </w:rPr>
              <w:t>7</w:t>
            </w:r>
          </w:p>
        </w:tc>
        <w:tc>
          <w:tcPr>
            <w:tcW w:w="6551" w:type="dxa"/>
            <w:gridSpan w:val="2"/>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lang w:eastAsia="es-ES"/>
              </w:rPr>
            </w:pPr>
            <w:r w:rsidRPr="00F26E91">
              <w:rPr>
                <w:rFonts w:ascii="Arial Narrow" w:hAnsi="Arial Narrow"/>
                <w:lang w:eastAsia="es-ES"/>
              </w:rPr>
              <w:t xml:space="preserve">Pendiente licitar por aprobación de normativa </w:t>
            </w:r>
          </w:p>
        </w:tc>
        <w:tc>
          <w:tcPr>
            <w:tcW w:w="1028" w:type="dxa"/>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lang w:eastAsia="es-ES"/>
              </w:rPr>
            </w:pPr>
            <w:r w:rsidRPr="00F26E91">
              <w:rPr>
                <w:rFonts w:ascii="Arial Narrow" w:hAnsi="Arial Narrow"/>
                <w:lang w:eastAsia="es-ES"/>
              </w:rPr>
              <w:t>15</w:t>
            </w:r>
          </w:p>
        </w:tc>
      </w:tr>
      <w:tr w:rsidR="00F26E91" w:rsidRPr="00F26E91" w:rsidTr="003E64CF">
        <w:trPr>
          <w:trHeight w:val="198"/>
          <w:jc w:val="center"/>
        </w:trPr>
        <w:tc>
          <w:tcPr>
            <w:tcW w:w="1142" w:type="dxa"/>
            <w:tcBorders>
              <w:top w:val="single" w:sz="2" w:space="0" w:color="auto"/>
              <w:bottom w:val="single" w:sz="2"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lang w:eastAsia="es-ES"/>
              </w:rPr>
            </w:pPr>
            <w:r w:rsidRPr="00F26E91">
              <w:rPr>
                <w:rFonts w:ascii="Arial Narrow" w:hAnsi="Arial Narrow"/>
                <w:lang w:eastAsia="es-ES"/>
              </w:rPr>
              <w:t>3</w:t>
            </w:r>
          </w:p>
        </w:tc>
        <w:tc>
          <w:tcPr>
            <w:tcW w:w="6551" w:type="dxa"/>
            <w:gridSpan w:val="2"/>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rPr>
                <w:rFonts w:ascii="Arial Narrow" w:hAnsi="Arial Narrow"/>
                <w:lang w:eastAsia="es-ES"/>
              </w:rPr>
            </w:pPr>
            <w:r w:rsidRPr="00F26E91">
              <w:rPr>
                <w:rFonts w:ascii="Arial Narrow" w:hAnsi="Arial Narrow"/>
                <w:lang w:eastAsia="es-ES"/>
              </w:rPr>
              <w:t>Pendiente organización internalización del servicio</w:t>
            </w:r>
          </w:p>
        </w:tc>
        <w:tc>
          <w:tcPr>
            <w:tcW w:w="1028" w:type="dxa"/>
            <w:tcBorders>
              <w:top w:val="single" w:sz="2" w:space="0" w:color="auto"/>
              <w:bottom w:val="single" w:sz="2"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lang w:eastAsia="es-ES"/>
              </w:rPr>
            </w:pPr>
            <w:r w:rsidRPr="00F26E91">
              <w:rPr>
                <w:rFonts w:ascii="Arial Narrow" w:hAnsi="Arial Narrow"/>
                <w:lang w:eastAsia="es-ES"/>
              </w:rPr>
              <w:t>6</w:t>
            </w:r>
          </w:p>
        </w:tc>
      </w:tr>
      <w:tr w:rsidR="00F26E91" w:rsidRPr="00F26E91" w:rsidTr="003E64CF">
        <w:trPr>
          <w:jc w:val="center"/>
        </w:trPr>
        <w:tc>
          <w:tcPr>
            <w:tcW w:w="1142" w:type="dxa"/>
            <w:tcBorders>
              <w:top w:val="single" w:sz="2" w:space="0" w:color="auto"/>
              <w:bottom w:val="single" w:sz="4" w:space="0" w:color="auto"/>
            </w:tcBorders>
            <w:vAlign w:val="center"/>
          </w:tcPr>
          <w:p w:rsidR="00F26E91" w:rsidRPr="00F26E91" w:rsidRDefault="00F26E91" w:rsidP="003E64CF">
            <w:pPr>
              <w:tabs>
                <w:tab w:val="left" w:pos="567"/>
              </w:tabs>
              <w:spacing w:after="0"/>
              <w:ind w:right="-94" w:firstLine="0"/>
              <w:contextualSpacing/>
              <w:jc w:val="center"/>
              <w:rPr>
                <w:rFonts w:ascii="Arial Narrow" w:hAnsi="Arial Narrow"/>
                <w:lang w:eastAsia="es-ES"/>
              </w:rPr>
            </w:pPr>
            <w:r w:rsidRPr="00F26E91">
              <w:rPr>
                <w:rFonts w:ascii="Arial Narrow" w:hAnsi="Arial Narrow"/>
                <w:lang w:eastAsia="es-ES"/>
              </w:rPr>
              <w:t>2</w:t>
            </w:r>
          </w:p>
        </w:tc>
        <w:tc>
          <w:tcPr>
            <w:tcW w:w="6195" w:type="dxa"/>
            <w:tcBorders>
              <w:top w:val="single" w:sz="2" w:space="0" w:color="auto"/>
              <w:bottom w:val="single" w:sz="4" w:space="0" w:color="auto"/>
            </w:tcBorders>
          </w:tcPr>
          <w:p w:rsidR="00F26E91" w:rsidRPr="00F26E91" w:rsidRDefault="00F26E91" w:rsidP="00F26E91">
            <w:pPr>
              <w:tabs>
                <w:tab w:val="left" w:pos="567"/>
              </w:tabs>
              <w:spacing w:after="0"/>
              <w:ind w:firstLine="0"/>
              <w:contextualSpacing/>
              <w:rPr>
                <w:rFonts w:ascii="Arial Narrow" w:hAnsi="Arial Narrow"/>
                <w:lang w:eastAsia="es-ES"/>
              </w:rPr>
            </w:pPr>
            <w:r w:rsidRPr="00F26E91">
              <w:rPr>
                <w:rFonts w:ascii="Arial Narrow" w:hAnsi="Arial Narrow"/>
                <w:lang w:eastAsia="es-ES"/>
              </w:rPr>
              <w:t>Declaración desierta tramitación administrativa, nueva licitación</w:t>
            </w:r>
          </w:p>
        </w:tc>
        <w:tc>
          <w:tcPr>
            <w:tcW w:w="1384" w:type="dxa"/>
            <w:gridSpan w:val="2"/>
            <w:tcBorders>
              <w:top w:val="single" w:sz="2" w:space="0" w:color="auto"/>
              <w:bottom w:val="single" w:sz="4" w:space="0" w:color="auto"/>
            </w:tcBorders>
            <w:vAlign w:val="center"/>
          </w:tcPr>
          <w:p w:rsidR="00F26E91" w:rsidRPr="00F26E91" w:rsidRDefault="00F26E91" w:rsidP="00F26E91">
            <w:pPr>
              <w:tabs>
                <w:tab w:val="left" w:pos="567"/>
              </w:tabs>
              <w:spacing w:after="0"/>
              <w:ind w:firstLine="0"/>
              <w:contextualSpacing/>
              <w:jc w:val="right"/>
              <w:rPr>
                <w:rFonts w:ascii="Arial Narrow" w:hAnsi="Arial Narrow"/>
                <w:lang w:eastAsia="es-ES"/>
              </w:rPr>
            </w:pPr>
            <w:r w:rsidRPr="00F26E91">
              <w:rPr>
                <w:rFonts w:ascii="Arial Narrow" w:hAnsi="Arial Narrow"/>
                <w:lang w:eastAsia="es-ES"/>
              </w:rPr>
              <w:t>4</w:t>
            </w:r>
          </w:p>
        </w:tc>
      </w:tr>
    </w:tbl>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rsidRPr="00F26E91">
        <w:lastRenderedPageBreak/>
        <w:t>En todos los casos el proveedor de bienes y/o servicios sigue siendo el mismo, salvo en dos contratos del SNS-O (mantenimiento general del Hospital Reina Sofía de Tudela y de un centro de salud del área de Tudela) en los que la empresa renunció.</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rsidRPr="00F26E91">
        <w:t>La prestación de bienes y/o servicios sigue siendo la misma en todas las ocasiones.</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rsidRPr="00F26E91">
        <w:t>En seis casos del SNS-O (limpieza servicios centrales, los dos casos del mantenimiento del área de Tudela citados y los tres correspondientes al tran</w:t>
      </w:r>
      <w:r w:rsidRPr="00F26E91">
        <w:t>s</w:t>
      </w:r>
      <w:r w:rsidRPr="00F26E91">
        <w:t>porte sanitario) el precio ha variado respecto a lo abonado previamente al alza.</w:t>
      </w:r>
    </w:p>
    <w:p w:rsidR="00F26E91" w:rsidRPr="00F26E91" w:rsidRDefault="00F26E91" w:rsidP="00F26E91">
      <w:pPr>
        <w:tabs>
          <w:tab w:val="left" w:pos="567"/>
        </w:tabs>
        <w:ind w:firstLine="284"/>
        <w:rPr>
          <w:spacing w:val="6"/>
          <w:sz w:val="26"/>
          <w:szCs w:val="24"/>
        </w:rPr>
      </w:pPr>
      <w:r w:rsidRPr="00F26E91">
        <w:rPr>
          <w:spacing w:val="6"/>
          <w:sz w:val="26"/>
          <w:szCs w:val="24"/>
        </w:rPr>
        <w:t xml:space="preserve">En los tres casos del transporte sanitario se modificó debido a la aplicación de las nuevas condiciones del convenio colectivo de trabajadores; el importe de la limpieza de los servicios centrales del SNS-O y del propio Departamento de Salud se vio incrementado debido a exigencias de la empresa; en cuanto al mantenimiento del Hospital Reina Sofía de Tudela y de los centros de atención primaria de esta área, el motivo fue la aprobación de un nuevo complemento en el convenio colectivo que supuso que la empresa exigiera un mayor importe.  </w:t>
      </w:r>
    </w:p>
    <w:p w:rsidR="00F26E91" w:rsidRPr="00F26E91" w:rsidRDefault="00F26E91" w:rsidP="00860E65">
      <w:pPr>
        <w:pStyle w:val="texto"/>
        <w:numPr>
          <w:ilvl w:val="0"/>
          <w:numId w:val="17"/>
        </w:numPr>
        <w:tabs>
          <w:tab w:val="clear" w:pos="2835"/>
          <w:tab w:val="clear" w:pos="3969"/>
          <w:tab w:val="clear" w:pos="5103"/>
          <w:tab w:val="clear" w:pos="6237"/>
          <w:tab w:val="clear" w:pos="7371"/>
          <w:tab w:val="left" w:pos="567"/>
        </w:tabs>
        <w:ind w:left="0" w:firstLine="284"/>
      </w:pPr>
      <w:r w:rsidRPr="00F26E91">
        <w:t>El procedimiento de gestión del pago de estas prestaciones es el siguiente: tras recibir una factura, finalizado el contrato correspondiente, la dirección de la estructura organizativa del SNS-O que corresponda, solicita autorización p</w:t>
      </w:r>
      <w:r w:rsidRPr="00F26E91">
        <w:t>a</w:t>
      </w:r>
      <w:r w:rsidRPr="00F26E91">
        <w:t xml:space="preserve">ra pagarla. </w:t>
      </w:r>
    </w:p>
    <w:p w:rsidR="00F26E91" w:rsidRPr="00F26E91" w:rsidRDefault="00F26E91" w:rsidP="00F26E91">
      <w:pPr>
        <w:tabs>
          <w:tab w:val="left" w:pos="567"/>
        </w:tabs>
        <w:ind w:firstLine="284"/>
        <w:rPr>
          <w:spacing w:val="6"/>
          <w:sz w:val="26"/>
          <w:szCs w:val="24"/>
        </w:rPr>
      </w:pPr>
      <w:r w:rsidRPr="00F26E91">
        <w:rPr>
          <w:spacing w:val="6"/>
          <w:sz w:val="26"/>
          <w:szCs w:val="24"/>
        </w:rPr>
        <w:t>El Servicio de Régimen Jurídico emite un informe analizando dicha petición, y le dan el visto bueno al pago de las facturas, basándose en la doctrina juri</w:t>
      </w:r>
      <w:r w:rsidRPr="00F26E91">
        <w:rPr>
          <w:spacing w:val="6"/>
          <w:sz w:val="26"/>
          <w:szCs w:val="24"/>
        </w:rPr>
        <w:t>s</w:t>
      </w:r>
      <w:r w:rsidRPr="00F26E91">
        <w:rPr>
          <w:spacing w:val="6"/>
          <w:sz w:val="26"/>
          <w:szCs w:val="24"/>
        </w:rPr>
        <w:t xml:space="preserve">prudencial existente de prohibición de enriquecimiento de la Administración a costa de quien realiza un servicio, que se debe prestar, por no haber seguido el procedimiento de contratación correspondiente. </w:t>
      </w:r>
    </w:p>
    <w:p w:rsidR="00F26E91" w:rsidRPr="00F26E91" w:rsidRDefault="00F26E91" w:rsidP="00F26E91">
      <w:pPr>
        <w:tabs>
          <w:tab w:val="left" w:pos="567"/>
        </w:tabs>
        <w:ind w:firstLine="284"/>
        <w:rPr>
          <w:spacing w:val="6"/>
          <w:sz w:val="26"/>
          <w:szCs w:val="24"/>
        </w:rPr>
      </w:pPr>
      <w:r w:rsidRPr="00F26E91">
        <w:rPr>
          <w:spacing w:val="6"/>
          <w:sz w:val="26"/>
          <w:szCs w:val="24"/>
        </w:rPr>
        <w:t xml:space="preserve">Con este informe, la gerencia del SNS-O elabora una resolución autorizando el pago de la factura. </w:t>
      </w:r>
    </w:p>
    <w:p w:rsidR="00F26E91" w:rsidRPr="00F26E91" w:rsidRDefault="00F26E91" w:rsidP="003E64C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26E91">
        <w:rPr>
          <w:rFonts w:cs="Arial"/>
        </w:rPr>
        <w:t>Hemos revisado una muestra compuesta por diez contratos del SNS-O con un gasto acumulado de 19,25 millones de euros</w:t>
      </w:r>
      <w:r w:rsidRPr="003E64CF">
        <w:rPr>
          <w:rFonts w:cs="Arial"/>
        </w:rPr>
        <w:t xml:space="preserve"> </w:t>
      </w:r>
      <w:r w:rsidRPr="00F26E91">
        <w:rPr>
          <w:rFonts w:cs="Arial"/>
        </w:rPr>
        <w:t>y uno del ISPLN con un gasto de 311.498 euros, lo que supone un 70 por ciento del gasto de las prestaciones en esta situación de este departamento, y el 42</w:t>
      </w:r>
      <w:r w:rsidRPr="003E64CF">
        <w:rPr>
          <w:rFonts w:cs="Arial"/>
        </w:rPr>
        <w:t xml:space="preserve"> </w:t>
      </w:r>
      <w:r w:rsidRPr="00F26E91">
        <w:rPr>
          <w:rFonts w:cs="Arial"/>
        </w:rPr>
        <w:t>por ciento del total del Gobierno de Navarra.</w:t>
      </w:r>
    </w:p>
    <w:p w:rsidR="00F26E91" w:rsidRPr="00F26E91" w:rsidRDefault="00F26E91" w:rsidP="003E64CF">
      <w:pPr>
        <w:pStyle w:val="texto"/>
      </w:pPr>
      <w:r w:rsidRPr="00F26E91">
        <w:t>Además de todos los aspectos señalados en el punto anterior, se han analiz</w:t>
      </w:r>
      <w:r w:rsidRPr="00F26E91">
        <w:t>a</w:t>
      </w:r>
      <w:r w:rsidRPr="00F26E91">
        <w:t>do las razones que han provocado esta situación, así como la primera factura abonada tras la finalización del contrato, y la correspondiente al mes de mayo de 2017.</w:t>
      </w:r>
    </w:p>
    <w:p w:rsidR="00F26E91" w:rsidRPr="00F26E91" w:rsidRDefault="00F26E91" w:rsidP="00F26E91">
      <w:pPr>
        <w:spacing w:after="0"/>
        <w:ind w:firstLine="0"/>
        <w:jc w:val="left"/>
        <w:rPr>
          <w:spacing w:val="6"/>
          <w:sz w:val="26"/>
          <w:szCs w:val="24"/>
        </w:rPr>
      </w:pPr>
      <w:r w:rsidRPr="00F26E91">
        <w:br w:type="page"/>
      </w:r>
    </w:p>
    <w:p w:rsidR="00F26E91" w:rsidRPr="00F26E91" w:rsidRDefault="00F26E91" w:rsidP="003E64CF">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F26E91">
        <w:rPr>
          <w:rFonts w:cs="Arial"/>
        </w:rPr>
        <w:lastRenderedPageBreak/>
        <w:t>Los aspectos más relevantes de la muestra revisada son los siguientes:</w:t>
      </w:r>
    </w:p>
    <w:tbl>
      <w:tblPr>
        <w:tblStyle w:val="Tablaconcuadrcula4"/>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3174"/>
        <w:gridCol w:w="1162"/>
        <w:gridCol w:w="1115"/>
        <w:gridCol w:w="1175"/>
        <w:gridCol w:w="3337"/>
      </w:tblGrid>
      <w:tr w:rsidR="00F26E91" w:rsidRPr="00F26E91" w:rsidTr="003E64CF">
        <w:trPr>
          <w:trHeight w:val="255"/>
          <w:jc w:val="center"/>
        </w:trPr>
        <w:tc>
          <w:tcPr>
            <w:tcW w:w="3174"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rPr>
                <w:rFonts w:ascii="Arial" w:hAnsi="Arial" w:cs="Arial"/>
                <w:sz w:val="18"/>
                <w:szCs w:val="18"/>
                <w:lang w:eastAsia="es-ES"/>
              </w:rPr>
            </w:pPr>
            <w:r w:rsidRPr="00F26E91">
              <w:rPr>
                <w:rFonts w:ascii="Arial" w:hAnsi="Arial" w:cs="Arial"/>
                <w:sz w:val="18"/>
                <w:szCs w:val="18"/>
                <w:lang w:eastAsia="es-ES"/>
              </w:rPr>
              <w:t>Contrato</w:t>
            </w:r>
          </w:p>
        </w:tc>
        <w:tc>
          <w:tcPr>
            <w:tcW w:w="1162"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rPr>
                <w:rFonts w:ascii="Arial" w:hAnsi="Arial" w:cs="Arial"/>
                <w:sz w:val="18"/>
                <w:szCs w:val="18"/>
                <w:lang w:eastAsia="es-ES"/>
              </w:rPr>
            </w:pPr>
            <w:r w:rsidRPr="00F26E91">
              <w:rPr>
                <w:rFonts w:ascii="Arial" w:hAnsi="Arial" w:cs="Arial"/>
                <w:sz w:val="18"/>
                <w:szCs w:val="18"/>
                <w:lang w:eastAsia="es-ES"/>
              </w:rPr>
              <w:t>Organismo</w:t>
            </w:r>
          </w:p>
        </w:tc>
        <w:tc>
          <w:tcPr>
            <w:tcW w:w="1115" w:type="dxa"/>
            <w:tcBorders>
              <w:top w:val="single" w:sz="4" w:space="0" w:color="auto"/>
              <w:bottom w:val="single" w:sz="4" w:space="0" w:color="auto"/>
            </w:tcBorders>
            <w:shd w:val="clear" w:color="auto" w:fill="8DB3E2" w:themeFill="text2" w:themeFillTint="66"/>
            <w:vAlign w:val="center"/>
          </w:tcPr>
          <w:p w:rsidR="00F26E91" w:rsidRPr="00F26E91" w:rsidRDefault="00F26E91" w:rsidP="003E64CF">
            <w:pPr>
              <w:tabs>
                <w:tab w:val="left" w:pos="480"/>
              </w:tabs>
              <w:spacing w:after="0"/>
              <w:ind w:firstLine="0"/>
              <w:jc w:val="right"/>
              <w:rPr>
                <w:rFonts w:ascii="Arial" w:hAnsi="Arial" w:cs="Arial"/>
                <w:sz w:val="18"/>
                <w:szCs w:val="18"/>
                <w:lang w:eastAsia="es-ES"/>
              </w:rPr>
            </w:pPr>
            <w:r w:rsidRPr="00F26E91">
              <w:rPr>
                <w:rFonts w:ascii="Arial" w:hAnsi="Arial" w:cs="Arial"/>
                <w:sz w:val="18"/>
                <w:szCs w:val="18"/>
                <w:lang w:eastAsia="es-ES"/>
              </w:rPr>
              <w:t xml:space="preserve">Importe acumulado </w:t>
            </w:r>
          </w:p>
        </w:tc>
        <w:tc>
          <w:tcPr>
            <w:tcW w:w="1175"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lang w:eastAsia="es-ES"/>
              </w:rPr>
            </w:pPr>
            <w:r w:rsidRPr="00F26E91">
              <w:rPr>
                <w:rFonts w:ascii="Arial" w:hAnsi="Arial" w:cs="Arial"/>
                <w:sz w:val="18"/>
                <w:szCs w:val="18"/>
                <w:lang w:eastAsia="es-ES"/>
              </w:rPr>
              <w:t>Duración (días)</w:t>
            </w:r>
          </w:p>
        </w:tc>
        <w:tc>
          <w:tcPr>
            <w:tcW w:w="3337" w:type="dxa"/>
            <w:tcBorders>
              <w:top w:val="single" w:sz="4" w:space="0" w:color="auto"/>
              <w:bottom w:val="single" w:sz="4" w:space="0" w:color="auto"/>
            </w:tcBorders>
            <w:shd w:val="clear" w:color="auto" w:fill="8DB3E2" w:themeFill="text2" w:themeFillTint="66"/>
            <w:vAlign w:val="center"/>
          </w:tcPr>
          <w:p w:rsidR="00F26E91" w:rsidRPr="00F26E91" w:rsidRDefault="00F26E91" w:rsidP="00F26E91">
            <w:pPr>
              <w:tabs>
                <w:tab w:val="left" w:pos="480"/>
              </w:tabs>
              <w:spacing w:after="0"/>
              <w:ind w:firstLine="0"/>
              <w:jc w:val="right"/>
              <w:rPr>
                <w:rFonts w:ascii="Arial" w:hAnsi="Arial" w:cs="Arial"/>
                <w:sz w:val="18"/>
                <w:szCs w:val="18"/>
                <w:lang w:eastAsia="es-ES"/>
              </w:rPr>
            </w:pPr>
            <w:r w:rsidRPr="00F26E91">
              <w:rPr>
                <w:rFonts w:ascii="Arial" w:hAnsi="Arial" w:cs="Arial"/>
                <w:sz w:val="18"/>
                <w:szCs w:val="18"/>
                <w:lang w:eastAsia="es-ES"/>
              </w:rPr>
              <w:t>Causa</w:t>
            </w:r>
          </w:p>
        </w:tc>
      </w:tr>
      <w:tr w:rsidR="00F26E91" w:rsidRPr="003E64CF" w:rsidTr="003E64CF">
        <w:trPr>
          <w:trHeight w:val="198"/>
          <w:jc w:val="center"/>
        </w:trPr>
        <w:tc>
          <w:tcPr>
            <w:tcW w:w="3174" w:type="dxa"/>
            <w:tcBorders>
              <w:top w:val="single" w:sz="4"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Asist. sanitaria media estancia y cuid</w:t>
            </w:r>
            <w:r w:rsidRPr="003E64CF">
              <w:rPr>
                <w:rFonts w:ascii="Arial Narrow" w:hAnsi="Arial Narrow" w:cs="Arial"/>
                <w:lang w:eastAsia="es-ES"/>
              </w:rPr>
              <w:t>a</w:t>
            </w:r>
            <w:r w:rsidRPr="003E64CF">
              <w:rPr>
                <w:rFonts w:ascii="Arial Narrow" w:hAnsi="Arial Narrow" w:cs="Arial"/>
                <w:lang w:eastAsia="es-ES"/>
              </w:rPr>
              <w:t xml:space="preserve">dos paliativos* </w:t>
            </w:r>
          </w:p>
        </w:tc>
        <w:tc>
          <w:tcPr>
            <w:tcW w:w="1162" w:type="dxa"/>
            <w:vMerge w:val="restart"/>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center"/>
              <w:rPr>
                <w:rFonts w:ascii="Arial Narrow" w:hAnsi="Arial Narrow" w:cs="Arial"/>
                <w:lang w:eastAsia="es-ES"/>
              </w:rPr>
            </w:pPr>
            <w:r w:rsidRPr="003E64CF">
              <w:rPr>
                <w:rFonts w:ascii="Arial Narrow" w:hAnsi="Arial Narrow" w:cs="Arial"/>
                <w:lang w:eastAsia="es-ES"/>
              </w:rPr>
              <w:t>SNS-O</w:t>
            </w:r>
          </w:p>
        </w:tc>
        <w:tc>
          <w:tcPr>
            <w:tcW w:w="1115" w:type="dxa"/>
            <w:tcBorders>
              <w:top w:val="single" w:sz="4"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5.908.173</w:t>
            </w:r>
          </w:p>
        </w:tc>
        <w:tc>
          <w:tcPr>
            <w:tcW w:w="1175" w:type="dxa"/>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val="restart"/>
            <w:tcBorders>
              <w:top w:val="single" w:sz="4"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 xml:space="preserve">A la espera de la aprobación de la Ley Foral de Conciertos Sociales </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Asist. sanitaria cirugía baja complejidad*</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1.935.966</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 xml:space="preserve">Asist. sanitaria para pacientes agudos* </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72.242</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Alimentación Complejo Hospitalario de Navarra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3.261.472</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249</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Licitación parte servicio queda desierta; internalización servicio</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Alimentación y cafetería Hospital Reina Sofía Tudela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2.069.560</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882</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Licitación desierta a la espera de la nueva</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Suministro y distribución absorbentes incontinencia urinaria residencias 3ª edad y centros de atención a personas con discapacidad</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1.826.987</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516</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Expediente de contratación para nuevo acuerdo marco en fase de elaboración</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Programa atención neuropsicología, neuropsiquiatría y terapia ocupacional</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876.677</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1.246</w:t>
            </w:r>
          </w:p>
        </w:tc>
        <w:tc>
          <w:tcPr>
            <w:tcW w:w="3337"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Internalización servicio</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Transporte sanitario Zona Pamplona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1.558.119</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val="restart"/>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Retrasos en la elaboración del expediente de contratación por indefinición del objeto del contrato</w:t>
            </w: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Transporte sanitario Zona Estella-Tafalla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560.478</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Transporte sanitario Zona Baztan-Bidasoa-Alsasua</w:t>
            </w:r>
          </w:p>
        </w:tc>
        <w:tc>
          <w:tcPr>
            <w:tcW w:w="1162" w:type="dxa"/>
            <w:vMerge/>
            <w:tcBorders>
              <w:top w:val="single" w:sz="2" w:space="0" w:color="auto"/>
              <w:bottom w:val="single" w:sz="2" w:space="0" w:color="auto"/>
            </w:tcBorders>
          </w:tcPr>
          <w:p w:rsidR="00F26E91" w:rsidRPr="003E64CF" w:rsidRDefault="00F26E91" w:rsidP="00F26E91">
            <w:pPr>
              <w:tabs>
                <w:tab w:val="left" w:pos="480"/>
              </w:tabs>
              <w:spacing w:after="0"/>
              <w:ind w:firstLine="0"/>
              <w:jc w:val="center"/>
              <w:rPr>
                <w:rFonts w:ascii="Arial Narrow" w:hAnsi="Arial Narrow" w:cs="Arial"/>
                <w:lang w:eastAsia="es-ES"/>
              </w:rPr>
            </w:pPr>
          </w:p>
        </w:tc>
        <w:tc>
          <w:tcPr>
            <w:tcW w:w="1115" w:type="dxa"/>
            <w:tcBorders>
              <w:top w:val="single" w:sz="2" w:space="0" w:color="auto"/>
              <w:bottom w:val="single" w:sz="2"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873.470</w:t>
            </w:r>
          </w:p>
        </w:tc>
        <w:tc>
          <w:tcPr>
            <w:tcW w:w="1175" w:type="dxa"/>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150</w:t>
            </w:r>
          </w:p>
        </w:tc>
        <w:tc>
          <w:tcPr>
            <w:tcW w:w="3337" w:type="dxa"/>
            <w:vMerge/>
            <w:tcBorders>
              <w:top w:val="single" w:sz="2" w:space="0" w:color="auto"/>
              <w:bottom w:val="single" w:sz="2"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p>
        </w:tc>
      </w:tr>
      <w:tr w:rsidR="00F26E91" w:rsidRPr="003E64CF" w:rsidTr="003E64CF">
        <w:trPr>
          <w:trHeight w:val="198"/>
          <w:jc w:val="center"/>
        </w:trPr>
        <w:tc>
          <w:tcPr>
            <w:tcW w:w="3174" w:type="dxa"/>
            <w:tcBorders>
              <w:top w:val="single" w:sz="2" w:space="0" w:color="auto"/>
              <w:bottom w:val="single" w:sz="4" w:space="0" w:color="auto"/>
            </w:tcBorders>
            <w:vAlign w:val="center"/>
          </w:tcPr>
          <w:p w:rsidR="00F26E91" w:rsidRPr="003E64CF" w:rsidRDefault="00F26E91" w:rsidP="003E64CF">
            <w:pPr>
              <w:tabs>
                <w:tab w:val="left" w:pos="480"/>
              </w:tabs>
              <w:spacing w:after="0"/>
              <w:ind w:firstLine="0"/>
              <w:rPr>
                <w:rFonts w:ascii="Arial Narrow" w:hAnsi="Arial Narrow" w:cs="Arial"/>
                <w:lang w:eastAsia="es-ES"/>
              </w:rPr>
            </w:pPr>
            <w:r w:rsidRPr="003E64CF">
              <w:rPr>
                <w:rFonts w:ascii="Arial Narrow" w:hAnsi="Arial Narrow" w:cs="Arial"/>
                <w:lang w:eastAsia="es-ES"/>
              </w:rPr>
              <w:t>Mantenimiento mamógrafos programa detección precoz cáncer de mama</w:t>
            </w:r>
          </w:p>
        </w:tc>
        <w:tc>
          <w:tcPr>
            <w:tcW w:w="1162"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center"/>
              <w:rPr>
                <w:rFonts w:ascii="Arial Narrow" w:hAnsi="Arial Narrow" w:cs="Arial"/>
                <w:lang w:eastAsia="es-ES"/>
              </w:rPr>
            </w:pPr>
            <w:r w:rsidRPr="003E64CF">
              <w:rPr>
                <w:rFonts w:ascii="Arial Narrow" w:hAnsi="Arial Narrow" w:cs="Arial"/>
                <w:lang w:eastAsia="es-ES"/>
              </w:rPr>
              <w:t>ISPLN</w:t>
            </w:r>
          </w:p>
        </w:tc>
        <w:tc>
          <w:tcPr>
            <w:tcW w:w="1115" w:type="dxa"/>
            <w:tcBorders>
              <w:top w:val="single" w:sz="2" w:space="0" w:color="auto"/>
              <w:bottom w:val="single" w:sz="4" w:space="0" w:color="auto"/>
            </w:tcBorders>
            <w:vAlign w:val="center"/>
          </w:tcPr>
          <w:p w:rsidR="00F26E91" w:rsidRPr="003E64CF" w:rsidRDefault="00F26E91" w:rsidP="003E64CF">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311.498</w:t>
            </w:r>
          </w:p>
        </w:tc>
        <w:tc>
          <w:tcPr>
            <w:tcW w:w="1175"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881</w:t>
            </w:r>
          </w:p>
        </w:tc>
        <w:tc>
          <w:tcPr>
            <w:tcW w:w="3337" w:type="dxa"/>
            <w:tcBorders>
              <w:top w:val="single" w:sz="2" w:space="0" w:color="auto"/>
              <w:bottom w:val="single" w:sz="4" w:space="0" w:color="auto"/>
            </w:tcBorders>
            <w:vAlign w:val="center"/>
          </w:tcPr>
          <w:p w:rsidR="00F26E91" w:rsidRPr="003E64CF" w:rsidRDefault="00F26E91" w:rsidP="00F26E91">
            <w:pPr>
              <w:tabs>
                <w:tab w:val="left" w:pos="480"/>
              </w:tabs>
              <w:spacing w:after="0"/>
              <w:ind w:firstLine="0"/>
              <w:jc w:val="right"/>
              <w:rPr>
                <w:rFonts w:ascii="Arial Narrow" w:hAnsi="Arial Narrow" w:cs="Arial"/>
                <w:lang w:eastAsia="es-ES"/>
              </w:rPr>
            </w:pPr>
            <w:r w:rsidRPr="003E64CF">
              <w:rPr>
                <w:rFonts w:ascii="Arial Narrow" w:hAnsi="Arial Narrow" w:cs="Arial"/>
                <w:lang w:eastAsia="es-ES"/>
              </w:rPr>
              <w:t xml:space="preserve">Retrasos en la licitación por valoración  cambio tecnología </w:t>
            </w:r>
          </w:p>
        </w:tc>
      </w:tr>
    </w:tbl>
    <w:p w:rsidR="003E64CF" w:rsidRPr="003E64CF" w:rsidRDefault="003E64CF" w:rsidP="003E64CF">
      <w:pPr>
        <w:pStyle w:val="Prrafodelista"/>
        <w:tabs>
          <w:tab w:val="left" w:pos="9720"/>
        </w:tabs>
        <w:spacing w:before="60" w:after="0"/>
        <w:ind w:left="-574" w:firstLine="0"/>
        <w:jc w:val="left"/>
        <w:rPr>
          <w:rFonts w:ascii="Arial" w:hAnsi="Arial" w:cs="Arial"/>
          <w:sz w:val="16"/>
          <w:szCs w:val="16"/>
          <w:lang w:eastAsia="es-ES"/>
        </w:rPr>
      </w:pPr>
      <w:r>
        <w:rPr>
          <w:rFonts w:ascii="Arial" w:hAnsi="Arial" w:cs="Arial"/>
          <w:sz w:val="16"/>
          <w:szCs w:val="16"/>
          <w:lang w:eastAsia="es-ES"/>
        </w:rPr>
        <w:t xml:space="preserve">* </w:t>
      </w:r>
      <w:r w:rsidRPr="003E64CF">
        <w:rPr>
          <w:rFonts w:ascii="Arial" w:hAnsi="Arial" w:cs="Arial"/>
          <w:sz w:val="16"/>
          <w:szCs w:val="16"/>
          <w:lang w:eastAsia="es-ES"/>
        </w:rPr>
        <w:t>Concierto con el Hospital San Juan de Dios.</w:t>
      </w:r>
    </w:p>
    <w:p w:rsidR="00F26E91" w:rsidRPr="00F26E91" w:rsidRDefault="00F26E91" w:rsidP="003E64CF">
      <w:pPr>
        <w:pStyle w:val="texto"/>
        <w:spacing w:before="240"/>
      </w:pPr>
      <w:r w:rsidRPr="00F26E91">
        <w:t>Del análisis de esta información hemos extraído fundamentalmente las s</w:t>
      </w:r>
      <w:r w:rsidRPr="00F26E91">
        <w:t>i</w:t>
      </w:r>
      <w:r w:rsidRPr="00F26E91">
        <w:t>guientes conclusiones:</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rsidRPr="00F26E91">
        <w:t xml:space="preserve">En el 73 por ciento de los contratos (ocho de 11) la causa que ha llevado a esta situación ha sido el retraso en la licitación del expediente por los motivos expuestos anteriormente. </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rsidRPr="00F26E91">
        <w:t>No ha habido cambio de proveedor ni de prestación en ningún caso anal</w:t>
      </w:r>
      <w:r w:rsidRPr="00F26E91">
        <w:t>i</w:t>
      </w:r>
      <w:r w:rsidRPr="00F26E91">
        <w:t>zado.</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rsidRPr="00F26E91">
        <w:t>No ha habido modificación del importe facturado respecto a los contratos preexistentes, salvo en los tres casos relacionados con el transporte sanitario que han visto incrementado este importe. En concreto, se han abonado un total de 114.620 euros más de lo previsto en dichos contratos; este incremento se ha debido a las modificaciones del convenio que regula las condiciones retribut</w:t>
      </w:r>
      <w:r w:rsidRPr="00F26E91">
        <w:t>i</w:t>
      </w:r>
      <w:r w:rsidRPr="00F26E91">
        <w:t>vas del personal que presta este servicio desde enero de 2017, circunstancia que no estaba prevista en los contratos que regulaban con anterioridad estas prest</w:t>
      </w:r>
      <w:r w:rsidRPr="00F26E91">
        <w:t>a</w:t>
      </w:r>
      <w:r w:rsidRPr="00F26E91">
        <w:t xml:space="preserve">ciones. </w:t>
      </w:r>
    </w:p>
    <w:p w:rsidR="00F26E91" w:rsidRPr="00F26E91" w:rsidRDefault="00F26E91" w:rsidP="00860E65">
      <w:pPr>
        <w:pStyle w:val="texto"/>
        <w:numPr>
          <w:ilvl w:val="0"/>
          <w:numId w:val="18"/>
        </w:numPr>
        <w:tabs>
          <w:tab w:val="clear" w:pos="2835"/>
          <w:tab w:val="clear" w:pos="3969"/>
          <w:tab w:val="clear" w:pos="5103"/>
          <w:tab w:val="clear" w:pos="6237"/>
          <w:tab w:val="clear" w:pos="7371"/>
          <w:tab w:val="left" w:pos="567"/>
        </w:tabs>
        <w:ind w:left="0" w:firstLine="284"/>
      </w:pPr>
      <w:r w:rsidRPr="00F26E91">
        <w:t>El pago de los bienes y/o servicios recibidos se ha realizado según el pr</w:t>
      </w:r>
      <w:r w:rsidRPr="00F26E91">
        <w:t>o</w:t>
      </w:r>
      <w:r w:rsidRPr="00F26E91">
        <w:t xml:space="preserve">cedimiento descrito previamente. </w:t>
      </w:r>
    </w:p>
    <w:p w:rsidR="00F26E91" w:rsidRPr="00F26E91" w:rsidRDefault="00F26E91" w:rsidP="00860E65">
      <w:pPr>
        <w:pStyle w:val="texto"/>
      </w:pPr>
      <w:r w:rsidRPr="00F26E91">
        <w:t>Al respecto esta Cámara opina que la normativa de contratación pública no permite continuar la ejecución de un contrato una vez finalizado, pues ello i</w:t>
      </w:r>
      <w:r w:rsidRPr="00F26E91">
        <w:t>m</w:t>
      </w:r>
      <w:r w:rsidRPr="00F26E91">
        <w:lastRenderedPageBreak/>
        <w:t xml:space="preserve">plicaría vulnerar los principios de transparencia, publicidad y competencia además de constituir una vulneración del plazo cierto del contrato. </w:t>
      </w:r>
    </w:p>
    <w:p w:rsidR="00F26E91" w:rsidRPr="00F26E91" w:rsidRDefault="00F26E91" w:rsidP="00860E65">
      <w:pPr>
        <w:pStyle w:val="texto"/>
      </w:pPr>
      <w:r w:rsidRPr="00F26E91">
        <w:t>Sin embargo, la legislación en materia de salud habilita al SNS-O a adoptar una resolución motivada que, en los casos que haya finalizado el contrato y a</w:t>
      </w:r>
      <w:r w:rsidRPr="00F26E91">
        <w:t>n</w:t>
      </w:r>
      <w:r w:rsidRPr="00F26E91">
        <w:t>te riesgo de interrupción del servicio, garantice la prestación de este tipo de servicios obligatorios incluidos en la Cartera de Servicios Sanitarios de Nav</w:t>
      </w:r>
      <w:r w:rsidRPr="00F26E91">
        <w:t>a</w:t>
      </w:r>
      <w:r w:rsidRPr="00F26E91">
        <w:t xml:space="preserve">rra, siempre que cuente con el consentimiento del contratista. </w:t>
      </w:r>
    </w:p>
    <w:p w:rsidR="00F26E91" w:rsidRPr="00F26E91" w:rsidRDefault="00F26E91" w:rsidP="00860E65">
      <w:pPr>
        <w:pStyle w:val="texto"/>
      </w:pPr>
      <w:r w:rsidRPr="00F26E91">
        <w:t>Se trata de una situación que garantiza el interés general y que queda al ma</w:t>
      </w:r>
      <w:r w:rsidRPr="00F26E91">
        <w:t>r</w:t>
      </w:r>
      <w:r w:rsidRPr="00F26E91">
        <w:t>gen de la normativa de contratación pública debido a la inexistencia de un ca</w:t>
      </w:r>
      <w:r w:rsidRPr="00F26E91">
        <w:t>u</w:t>
      </w:r>
      <w:r w:rsidRPr="00F26E91">
        <w:t>ce legal que le dé solución. De ahí que, cuando se trate de estas prestaciones obligatorias de la cartera, para garantizar la continuidad del servicio, pueda r</w:t>
      </w:r>
      <w:r w:rsidRPr="00F26E91">
        <w:t>e</w:t>
      </w:r>
      <w:r w:rsidRPr="00F26E91">
        <w:t>sultar justificado acudir a otras fórmulas derivadas del derecho civil, o de la l</w:t>
      </w:r>
      <w:r w:rsidRPr="00F26E91">
        <w:t>e</w:t>
      </w:r>
      <w:r w:rsidRPr="00F26E91">
        <w:t>gislación sanitaria para alcanzar una solución al problema, pero siempre est</w:t>
      </w:r>
      <w:r w:rsidRPr="00F26E91">
        <w:t>a</w:t>
      </w:r>
      <w:r w:rsidRPr="00F26E91">
        <w:t>bleciendo límites para evitar que la Administración eluda las reglas de licit</w:t>
      </w:r>
      <w:r w:rsidRPr="00F26E91">
        <w:t>a</w:t>
      </w:r>
      <w:r w:rsidRPr="00F26E91">
        <w:t>ción.</w:t>
      </w:r>
    </w:p>
    <w:p w:rsidR="00F26E91" w:rsidRPr="00860E65" w:rsidRDefault="00F26E91" w:rsidP="00860E65">
      <w:pPr>
        <w:pStyle w:val="texto"/>
        <w:rPr>
          <w:i/>
        </w:rPr>
      </w:pPr>
      <w:r w:rsidRPr="00860E65">
        <w:rPr>
          <w:i/>
        </w:rPr>
        <w:t>Recomendamos tramitar los contratos con la antelación suficiente para que el nuevo adjudicatario comience la prestación una vez finalizada la duración total del contrato, evitando que se produzcan situaciones de enriquecimiento injusto.</w:t>
      </w:r>
    </w:p>
    <w:p w:rsidR="004C141F" w:rsidRDefault="004C141F" w:rsidP="004C141F">
      <w:pPr>
        <w:pStyle w:val="texto"/>
        <w:jc w:val="center"/>
      </w:pPr>
    </w:p>
    <w:p w:rsidR="004C141F" w:rsidRPr="00F26E91" w:rsidRDefault="004C141F" w:rsidP="004C141F">
      <w:pPr>
        <w:pStyle w:val="texto"/>
        <w:jc w:val="center"/>
      </w:pPr>
      <w:r w:rsidRPr="00F26E91">
        <w:t xml:space="preserve">Pamplona, </w:t>
      </w:r>
      <w:r w:rsidR="00014092">
        <w:t>1</w:t>
      </w:r>
      <w:r w:rsidR="00A6504A">
        <w:t>6</w:t>
      </w:r>
      <w:r w:rsidR="00E0425E">
        <w:t xml:space="preserve"> de noviembre</w:t>
      </w:r>
      <w:r w:rsidRPr="00F26E91">
        <w:t xml:space="preserve"> de 2017</w:t>
      </w:r>
    </w:p>
    <w:p w:rsidR="004C141F" w:rsidRPr="00F26E91" w:rsidRDefault="004C141F" w:rsidP="004C141F">
      <w:pPr>
        <w:pStyle w:val="texto"/>
        <w:jc w:val="center"/>
        <w:rPr>
          <w:i/>
        </w:rPr>
      </w:pPr>
      <w:r w:rsidRPr="00F26E91">
        <w:t xml:space="preserve">La </w:t>
      </w:r>
      <w:r w:rsidR="006F7B66">
        <w:t>presidenta, Asunción Olaechea Estanga</w:t>
      </w:r>
    </w:p>
    <w:p w:rsidR="00594055" w:rsidRDefault="00594055">
      <w:pPr>
        <w:spacing w:after="0"/>
        <w:ind w:firstLine="0"/>
        <w:jc w:val="left"/>
        <w:rPr>
          <w:rFonts w:cs="Arial"/>
          <w:spacing w:val="6"/>
          <w:sz w:val="26"/>
          <w:szCs w:val="24"/>
        </w:rPr>
        <w:sectPr w:rsidR="00594055" w:rsidSect="005F57CB">
          <w:footerReference w:type="default" r:id="rId19"/>
          <w:type w:val="oddPage"/>
          <w:pgSz w:w="11907" w:h="16840" w:code="9"/>
          <w:pgMar w:top="2109" w:right="1559" w:bottom="1644" w:left="1559" w:header="369" w:footer="136" w:gutter="0"/>
          <w:cols w:space="720"/>
          <w:docGrid w:linePitch="360"/>
        </w:sectPr>
      </w:pPr>
    </w:p>
    <w:p w:rsidR="00594055" w:rsidRDefault="00594055" w:rsidP="00594055">
      <w:pPr>
        <w:pStyle w:val="atitulo1"/>
      </w:pPr>
      <w:bookmarkStart w:id="93" w:name="_Toc463350260"/>
    </w:p>
    <w:p w:rsidR="00F26E91" w:rsidRDefault="00594055" w:rsidP="00594055">
      <w:pPr>
        <w:pStyle w:val="atitulo1"/>
      </w:pPr>
      <w:bookmarkStart w:id="94" w:name="_Toc498515808"/>
      <w:r>
        <w:t>Resumen de la Memoria de la Cuenta General de 201</w:t>
      </w:r>
      <w:bookmarkEnd w:id="93"/>
      <w:r>
        <w:t>6</w:t>
      </w:r>
      <w:bookmarkEnd w:id="94"/>
    </w:p>
    <w:p w:rsidR="00594055" w:rsidRDefault="00594055" w:rsidP="00594055">
      <w:pPr>
        <w:pStyle w:val="atitulo1"/>
      </w:pPr>
    </w:p>
    <w:p w:rsidR="00594055" w:rsidRDefault="00594055" w:rsidP="00594055">
      <w:pPr>
        <w:pStyle w:val="atitulo1"/>
      </w:pPr>
    </w:p>
    <w:sectPr w:rsidR="00594055" w:rsidSect="005F57CB">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41" w:rsidRDefault="00DD6441">
      <w:r>
        <w:separator/>
      </w:r>
    </w:p>
    <w:p w:rsidR="00DD6441" w:rsidRDefault="00DD6441"/>
    <w:p w:rsidR="00DD6441" w:rsidRDefault="00DD6441"/>
    <w:p w:rsidR="00DD6441" w:rsidRDefault="00DD6441"/>
  </w:endnote>
  <w:endnote w:type="continuationSeparator" w:id="0">
    <w:p w:rsidR="00DD6441" w:rsidRDefault="00DD6441">
      <w:r>
        <w:continuationSeparator/>
      </w:r>
    </w:p>
    <w:p w:rsidR="00DD6441" w:rsidRDefault="00DD6441"/>
    <w:p w:rsidR="00DD6441" w:rsidRDefault="00DD6441"/>
    <w:p w:rsidR="00DD6441" w:rsidRDefault="00DD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6441" w:rsidRDefault="00DD644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421EB13" wp14:editId="4443F80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D6441" w:rsidRPr="00F74E38" w:rsidRDefault="00DD6441" w:rsidP="00F03814">
    <w:pPr>
      <w:pStyle w:val="Piedepgina"/>
      <w:tabs>
        <w:tab w:val="clear" w:pos="4252"/>
        <w:tab w:val="clear" w:pos="8504"/>
        <w:tab w:val="center" w:pos="4560"/>
      </w:tabs>
      <w:ind w:right="360"/>
      <w:jc w:val="left"/>
      <w:rPr>
        <w:rStyle w:val="Nmerodepgina"/>
      </w:rPr>
    </w:pPr>
  </w:p>
  <w:p w:rsidR="00DD6441" w:rsidRPr="00C13453" w:rsidRDefault="00DD6441"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202109" wp14:editId="4AA034E7">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51EFF">
      <w:rPr>
        <w:rStyle w:val="Nmerodepgina"/>
        <w:noProof/>
        <w:szCs w:val="24"/>
      </w:rPr>
      <w:t>71</w:t>
    </w:r>
    <w:r w:rsidRPr="001D4F09">
      <w:rPr>
        <w:rStyle w:val="Nmerodepgina"/>
        <w:szCs w:val="24"/>
      </w:rPr>
      <w:fldChar w:fldCharType="end"/>
    </w:r>
    <w:r w:rsidRPr="001D4F09">
      <w:rPr>
        <w:rStyle w:val="Nmerodepgina"/>
        <w:szCs w:val="24"/>
      </w:rPr>
      <w:t xml:space="preserve"> -</w:t>
    </w:r>
  </w:p>
  <w:p w:rsidR="00DD6441" w:rsidRPr="00C13453" w:rsidRDefault="00DD6441" w:rsidP="00D2472C">
    <w:pPr>
      <w:pStyle w:val="BorradorProvisional"/>
      <w:ind w:left="0"/>
      <w:jc w:val="center"/>
    </w:pPr>
    <w:r>
      <w:t xml:space="preserve"> </w:t>
    </w:r>
  </w:p>
  <w:p w:rsidR="00DD6441" w:rsidRDefault="00DD64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68DDCCA" wp14:editId="6B5C3208">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51EFF">
      <w:rPr>
        <w:rStyle w:val="Nmerodepgina"/>
        <w:noProof/>
        <w:szCs w:val="24"/>
      </w:rPr>
      <w:t>80</w:t>
    </w:r>
    <w:r w:rsidRPr="001D4F09">
      <w:rPr>
        <w:rStyle w:val="Nmerodepgina"/>
        <w:szCs w:val="24"/>
      </w:rPr>
      <w:fldChar w:fldCharType="end"/>
    </w:r>
    <w:r w:rsidRPr="001D4F09">
      <w:rPr>
        <w:rStyle w:val="Nmerodepgina"/>
        <w:szCs w:val="24"/>
      </w:rPr>
      <w:t xml:space="preserve"> -</w:t>
    </w:r>
  </w:p>
  <w:p w:rsidR="00DD6441" w:rsidRPr="00C13453" w:rsidRDefault="00DD6441" w:rsidP="00D2472C">
    <w:pPr>
      <w:pStyle w:val="BorradorProvisional"/>
      <w:ind w:left="0"/>
      <w:jc w:val="center"/>
    </w:pPr>
  </w:p>
  <w:p w:rsidR="00DD6441" w:rsidRDefault="00DD64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Pr="00F03814" w:rsidRDefault="00DD644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0D40E6B" wp14:editId="5239F629">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51EFF">
      <w:rPr>
        <w:rStyle w:val="Nmerodepgina"/>
        <w:noProof/>
        <w:szCs w:val="24"/>
      </w:rPr>
      <w:t>87</w:t>
    </w:r>
    <w:r w:rsidRPr="001D4F09">
      <w:rPr>
        <w:rStyle w:val="Nmerodepgina"/>
        <w:szCs w:val="24"/>
      </w:rPr>
      <w:fldChar w:fldCharType="end"/>
    </w:r>
    <w:r w:rsidRPr="001D4F09">
      <w:rPr>
        <w:rStyle w:val="Nmerodepgina"/>
        <w:szCs w:val="24"/>
      </w:rPr>
      <w:t xml:space="preserve"> -</w:t>
    </w:r>
  </w:p>
  <w:p w:rsidR="00DD6441" w:rsidRPr="00C13453" w:rsidRDefault="00DD6441" w:rsidP="00D2472C">
    <w:pPr>
      <w:pStyle w:val="BorradorProvisional"/>
      <w:ind w:left="0"/>
      <w:jc w:val="center"/>
    </w:pPr>
  </w:p>
  <w:p w:rsidR="00DD6441" w:rsidRDefault="00DD6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41" w:rsidRDefault="00DD6441">
      <w:r>
        <w:separator/>
      </w:r>
    </w:p>
  </w:footnote>
  <w:footnote w:type="continuationSeparator" w:id="0">
    <w:p w:rsidR="00DD6441" w:rsidRDefault="00DD6441">
      <w:r>
        <w:continuationSeparator/>
      </w:r>
    </w:p>
    <w:p w:rsidR="00DD6441" w:rsidRDefault="00DD6441"/>
    <w:p w:rsidR="00DD6441" w:rsidRDefault="00DD6441"/>
    <w:p w:rsidR="00DD6441" w:rsidRDefault="00DD6441"/>
  </w:footnote>
  <w:footnote w:id="1">
    <w:p w:rsidR="00DD6441" w:rsidRPr="0082380F" w:rsidRDefault="00DD6441" w:rsidP="002755BE">
      <w:pPr>
        <w:spacing w:after="0"/>
        <w:ind w:firstLine="0"/>
        <w:jc w:val="left"/>
        <w:rPr>
          <w:lang w:val="es-ES"/>
        </w:rPr>
      </w:pPr>
      <w:r>
        <w:rPr>
          <w:rStyle w:val="Refdenotaalpie"/>
        </w:rPr>
        <w:footnoteRef/>
      </w:r>
      <w:r>
        <w:t xml:space="preserve">  </w:t>
      </w:r>
      <w:r w:rsidRPr="0082380F">
        <w:t>PIB de Navarra en 2016 provisional estimado en 19.018 millones (fuente INE).</w:t>
      </w:r>
    </w:p>
  </w:footnote>
  <w:footnote w:id="2">
    <w:p w:rsidR="00DD6441" w:rsidRDefault="00DD6441" w:rsidP="009004D2">
      <w:pPr>
        <w:pStyle w:val="Textonotapie"/>
        <w:ind w:firstLine="0"/>
      </w:pPr>
      <w:r>
        <w:rPr>
          <w:rStyle w:val="Refdenotaalpie"/>
        </w:rPr>
        <w:footnoteRef/>
      </w:r>
      <w:r>
        <w:t xml:space="preserve"> Ahorro Bruto: ingresos corrientes (cap. 1 al 5) menos gastos de funcionamiento (cap.1, 2 y 4).</w:t>
      </w:r>
    </w:p>
  </w:footnote>
  <w:footnote w:id="3">
    <w:p w:rsidR="00DD6441" w:rsidRDefault="00DD6441" w:rsidP="009004D2">
      <w:pPr>
        <w:pStyle w:val="Textonotapie"/>
        <w:ind w:firstLine="0"/>
      </w:pPr>
      <w:r>
        <w:rPr>
          <w:rStyle w:val="Refdenotaalpie"/>
        </w:rPr>
        <w:footnoteRef/>
      </w:r>
      <w:r>
        <w:t xml:space="preserve"> Ahorro Neto: Ahorro bruto menos carga financiera (cap. 3 y 9 de gastos).</w:t>
      </w:r>
    </w:p>
  </w:footnote>
  <w:footnote w:id="4">
    <w:p w:rsidR="00DD6441" w:rsidRDefault="00DD6441" w:rsidP="00F93072">
      <w:pPr>
        <w:pStyle w:val="Textonotapie"/>
        <w:ind w:firstLine="0"/>
      </w:pPr>
      <w:r>
        <w:rPr>
          <w:rStyle w:val="Refdenotaalpie"/>
        </w:rPr>
        <w:footnoteRef/>
      </w:r>
      <w:r>
        <w:t xml:space="preserve"> Se entiende que su cuantía es incierta ya que por ejemplo en 2016 se estimaron unos gastos de 89,73 mill</w:t>
      </w:r>
      <w:r>
        <w:t>o</w:t>
      </w:r>
      <w:r>
        <w:t>nes de euros y la cifra real alcanzó los 75,08 millones.</w:t>
      </w:r>
    </w:p>
  </w:footnote>
  <w:footnote w:id="5">
    <w:p w:rsidR="00DD6441" w:rsidRDefault="00DD6441" w:rsidP="00EB7C97">
      <w:pPr>
        <w:pStyle w:val="Textonotapie"/>
        <w:spacing w:after="0"/>
        <w:ind w:firstLine="0"/>
      </w:pPr>
      <w:r>
        <w:rPr>
          <w:rStyle w:val="Refdenotaalpie"/>
        </w:rPr>
        <w:footnoteRef/>
      </w:r>
      <w:r>
        <w:t xml:space="preserve"> En julio de 2017 se publicó una nueva resolución que deroga la citada de septiembre de 2016, actualizánd</w:t>
      </w:r>
      <w:r>
        <w:t>o</w:t>
      </w:r>
      <w:r>
        <w:t>se los tipos de interés de las operaciones a concertar.</w:t>
      </w:r>
    </w:p>
  </w:footnote>
  <w:footnote w:id="6">
    <w:p w:rsidR="00DD6441" w:rsidRDefault="00DD6441" w:rsidP="00784E54">
      <w:pPr>
        <w:pStyle w:val="Textonotapie"/>
        <w:ind w:firstLine="0"/>
      </w:pPr>
      <w:r>
        <w:rPr>
          <w:rStyle w:val="Refdenotaalpie"/>
        </w:rPr>
        <w:footnoteRef/>
      </w:r>
      <w:r>
        <w:t xml:space="preserve"> Además de estas devoluciones existen las relacionadas con los ajustes con el Estado que han supuesto en 2016 un total de 92,37 millones de euros frente a los 88,82 millones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FE32187" wp14:editId="778A1E3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D6441" w:rsidRPr="0059650E" w:rsidRDefault="00DD6441" w:rsidP="00891D73">
    <w:pPr>
      <w:pStyle w:val="Encabezado"/>
      <w:pBdr>
        <w:bottom w:val="single" w:sz="4" w:space="1" w:color="auto"/>
      </w:pBdr>
      <w:ind w:firstLine="0"/>
      <w:rPr>
        <w:lang w:val="es-ES"/>
      </w:rPr>
    </w:pPr>
    <w:r>
      <w:rPr>
        <w:lang w:val="es-ES"/>
      </w:rPr>
      <w:t>informe de fiscalización SOBRE las cuentas generales de navarra,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rsidP="006A2D41">
    <w:pPr>
      <w:pStyle w:val="Encabezado"/>
      <w:ind w:firstLine="0"/>
      <w:jc w:val="left"/>
    </w:pPr>
    <w:r>
      <w:rPr>
        <w:noProof/>
        <w:lang w:val="es-ES" w:eastAsia="es-ES"/>
      </w:rPr>
      <w:drawing>
        <wp:inline distT="0" distB="0" distL="0" distR="0" wp14:anchorId="15CB293D" wp14:editId="2DF9C3E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41" w:rsidRDefault="00DD6441"/>
  <w:p w:rsidR="00DD6441" w:rsidRDefault="00DD6441"/>
  <w:p w:rsidR="00DD6441" w:rsidRDefault="00DD6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0">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6">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2"/>
  </w:num>
  <w:num w:numId="2">
    <w:abstractNumId w:val="3"/>
  </w:num>
  <w:num w:numId="3">
    <w:abstractNumId w:val="10"/>
  </w:num>
  <w:num w:numId="4">
    <w:abstractNumId w:val="9"/>
  </w:num>
  <w:num w:numId="5">
    <w:abstractNumId w:val="15"/>
  </w:num>
  <w:num w:numId="6">
    <w:abstractNumId w:val="8"/>
  </w:num>
  <w:num w:numId="7">
    <w:abstractNumId w:val="11"/>
  </w:num>
  <w:num w:numId="8">
    <w:abstractNumId w:val="5"/>
  </w:num>
  <w:num w:numId="9">
    <w:abstractNumId w:val="13"/>
  </w:num>
  <w:num w:numId="10">
    <w:abstractNumId w:val="17"/>
  </w:num>
  <w:num w:numId="11">
    <w:abstractNumId w:val="6"/>
  </w:num>
  <w:num w:numId="12">
    <w:abstractNumId w:val="4"/>
  </w:num>
  <w:num w:numId="13">
    <w:abstractNumId w:val="14"/>
  </w:num>
  <w:num w:numId="14">
    <w:abstractNumId w:val="1"/>
  </w:num>
  <w:num w:numId="15">
    <w:abstractNumId w:val="18"/>
  </w:num>
  <w:num w:numId="16">
    <w:abstractNumId w:val="16"/>
  </w:num>
  <w:num w:numId="17">
    <w:abstractNumId w:val="7"/>
  </w:num>
  <w:num w:numId="18">
    <w:abstractNumId w:val="2"/>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79"/>
    <w:rsid w:val="000019D8"/>
    <w:rsid w:val="00006612"/>
    <w:rsid w:val="00006736"/>
    <w:rsid w:val="00006A97"/>
    <w:rsid w:val="0001123B"/>
    <w:rsid w:val="00012A7F"/>
    <w:rsid w:val="00014092"/>
    <w:rsid w:val="00017A3A"/>
    <w:rsid w:val="0002216F"/>
    <w:rsid w:val="0002702D"/>
    <w:rsid w:val="00036B9E"/>
    <w:rsid w:val="00036E42"/>
    <w:rsid w:val="00041818"/>
    <w:rsid w:val="0004373B"/>
    <w:rsid w:val="000448FA"/>
    <w:rsid w:val="00052271"/>
    <w:rsid w:val="00053A42"/>
    <w:rsid w:val="00054885"/>
    <w:rsid w:val="0005517D"/>
    <w:rsid w:val="0006133D"/>
    <w:rsid w:val="00062F89"/>
    <w:rsid w:val="00063585"/>
    <w:rsid w:val="00071CD0"/>
    <w:rsid w:val="0007286F"/>
    <w:rsid w:val="00075692"/>
    <w:rsid w:val="00087B8D"/>
    <w:rsid w:val="00093D67"/>
    <w:rsid w:val="00093E60"/>
    <w:rsid w:val="000A18B7"/>
    <w:rsid w:val="000A20C1"/>
    <w:rsid w:val="000A2C1E"/>
    <w:rsid w:val="000A435A"/>
    <w:rsid w:val="000A4697"/>
    <w:rsid w:val="000B02EF"/>
    <w:rsid w:val="000B2728"/>
    <w:rsid w:val="000B3943"/>
    <w:rsid w:val="000B4477"/>
    <w:rsid w:val="000C0704"/>
    <w:rsid w:val="000C2611"/>
    <w:rsid w:val="000C2B07"/>
    <w:rsid w:val="000C39CC"/>
    <w:rsid w:val="000C7261"/>
    <w:rsid w:val="000C7566"/>
    <w:rsid w:val="000D188E"/>
    <w:rsid w:val="000D5335"/>
    <w:rsid w:val="000D6770"/>
    <w:rsid w:val="000E5DD3"/>
    <w:rsid w:val="000E6665"/>
    <w:rsid w:val="000E7B86"/>
    <w:rsid w:val="000F2B66"/>
    <w:rsid w:val="000F3D83"/>
    <w:rsid w:val="00100F12"/>
    <w:rsid w:val="00103589"/>
    <w:rsid w:val="001045C9"/>
    <w:rsid w:val="0010718F"/>
    <w:rsid w:val="00107CC1"/>
    <w:rsid w:val="00111A92"/>
    <w:rsid w:val="00111BC1"/>
    <w:rsid w:val="001145C3"/>
    <w:rsid w:val="001161D2"/>
    <w:rsid w:val="001258C9"/>
    <w:rsid w:val="00131DF1"/>
    <w:rsid w:val="00132A11"/>
    <w:rsid w:val="00132C38"/>
    <w:rsid w:val="00133984"/>
    <w:rsid w:val="001365C4"/>
    <w:rsid w:val="0014147D"/>
    <w:rsid w:val="00141D29"/>
    <w:rsid w:val="00143735"/>
    <w:rsid w:val="0014506A"/>
    <w:rsid w:val="0014728F"/>
    <w:rsid w:val="001521A2"/>
    <w:rsid w:val="00152358"/>
    <w:rsid w:val="00155BFF"/>
    <w:rsid w:val="00160F66"/>
    <w:rsid w:val="001633AF"/>
    <w:rsid w:val="00163F9B"/>
    <w:rsid w:val="001658D0"/>
    <w:rsid w:val="00166A6C"/>
    <w:rsid w:val="00171CBB"/>
    <w:rsid w:val="00173EDD"/>
    <w:rsid w:val="0017402B"/>
    <w:rsid w:val="001761FC"/>
    <w:rsid w:val="00181D37"/>
    <w:rsid w:val="00182A87"/>
    <w:rsid w:val="001835B7"/>
    <w:rsid w:val="0018426B"/>
    <w:rsid w:val="00185A37"/>
    <w:rsid w:val="00192187"/>
    <w:rsid w:val="001936C1"/>
    <w:rsid w:val="00194309"/>
    <w:rsid w:val="0019660E"/>
    <w:rsid w:val="001A2330"/>
    <w:rsid w:val="001A35E1"/>
    <w:rsid w:val="001B39E2"/>
    <w:rsid w:val="001C000F"/>
    <w:rsid w:val="001C2B26"/>
    <w:rsid w:val="001C3A32"/>
    <w:rsid w:val="001C40C4"/>
    <w:rsid w:val="001D4F09"/>
    <w:rsid w:val="001D647F"/>
    <w:rsid w:val="001F1482"/>
    <w:rsid w:val="001F20D7"/>
    <w:rsid w:val="001F3380"/>
    <w:rsid w:val="001F7744"/>
    <w:rsid w:val="002014EB"/>
    <w:rsid w:val="00202B1A"/>
    <w:rsid w:val="00204979"/>
    <w:rsid w:val="00211B29"/>
    <w:rsid w:val="00211D69"/>
    <w:rsid w:val="00213F22"/>
    <w:rsid w:val="00216F76"/>
    <w:rsid w:val="002179DB"/>
    <w:rsid w:val="00222CA3"/>
    <w:rsid w:val="00227E48"/>
    <w:rsid w:val="00230577"/>
    <w:rsid w:val="0023209D"/>
    <w:rsid w:val="002333F8"/>
    <w:rsid w:val="00233D79"/>
    <w:rsid w:val="00237657"/>
    <w:rsid w:val="00242BA7"/>
    <w:rsid w:val="00242CEF"/>
    <w:rsid w:val="002437B5"/>
    <w:rsid w:val="00244EF1"/>
    <w:rsid w:val="00246F21"/>
    <w:rsid w:val="002475D2"/>
    <w:rsid w:val="002503AF"/>
    <w:rsid w:val="00253E78"/>
    <w:rsid w:val="00257C11"/>
    <w:rsid w:val="00262C3C"/>
    <w:rsid w:val="00264C88"/>
    <w:rsid w:val="0026532C"/>
    <w:rsid w:val="0026575D"/>
    <w:rsid w:val="00266895"/>
    <w:rsid w:val="002676B4"/>
    <w:rsid w:val="002705B0"/>
    <w:rsid w:val="002717A6"/>
    <w:rsid w:val="00272015"/>
    <w:rsid w:val="00273C10"/>
    <w:rsid w:val="00274B4C"/>
    <w:rsid w:val="002755BE"/>
    <w:rsid w:val="002757CA"/>
    <w:rsid w:val="00275E02"/>
    <w:rsid w:val="00276264"/>
    <w:rsid w:val="00281DCA"/>
    <w:rsid w:val="00297B04"/>
    <w:rsid w:val="002A056C"/>
    <w:rsid w:val="002A66A5"/>
    <w:rsid w:val="002A6EBB"/>
    <w:rsid w:val="002B21E9"/>
    <w:rsid w:val="002B2B87"/>
    <w:rsid w:val="002B3EF2"/>
    <w:rsid w:val="002B4E0F"/>
    <w:rsid w:val="002B5641"/>
    <w:rsid w:val="002B5754"/>
    <w:rsid w:val="002C0995"/>
    <w:rsid w:val="002C3230"/>
    <w:rsid w:val="002C7026"/>
    <w:rsid w:val="002C7E08"/>
    <w:rsid w:val="002D089F"/>
    <w:rsid w:val="002D34C1"/>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6C70"/>
    <w:rsid w:val="002F76D6"/>
    <w:rsid w:val="00303506"/>
    <w:rsid w:val="00307057"/>
    <w:rsid w:val="00312819"/>
    <w:rsid w:val="00312E9C"/>
    <w:rsid w:val="00313875"/>
    <w:rsid w:val="003203BF"/>
    <w:rsid w:val="00320D11"/>
    <w:rsid w:val="00321369"/>
    <w:rsid w:val="00330738"/>
    <w:rsid w:val="00330787"/>
    <w:rsid w:val="00333A64"/>
    <w:rsid w:val="00337493"/>
    <w:rsid w:val="0034285F"/>
    <w:rsid w:val="003464A4"/>
    <w:rsid w:val="003503AB"/>
    <w:rsid w:val="00351684"/>
    <w:rsid w:val="0035314C"/>
    <w:rsid w:val="00354458"/>
    <w:rsid w:val="00363653"/>
    <w:rsid w:val="0036509D"/>
    <w:rsid w:val="003674AF"/>
    <w:rsid w:val="0037228C"/>
    <w:rsid w:val="00372955"/>
    <w:rsid w:val="003738FD"/>
    <w:rsid w:val="00373CC9"/>
    <w:rsid w:val="003779FA"/>
    <w:rsid w:val="003804A9"/>
    <w:rsid w:val="003810BE"/>
    <w:rsid w:val="00385819"/>
    <w:rsid w:val="00386F6C"/>
    <w:rsid w:val="00387709"/>
    <w:rsid w:val="00387794"/>
    <w:rsid w:val="00397162"/>
    <w:rsid w:val="003A335E"/>
    <w:rsid w:val="003A3DD2"/>
    <w:rsid w:val="003A5B69"/>
    <w:rsid w:val="003B3573"/>
    <w:rsid w:val="003B3796"/>
    <w:rsid w:val="003B5813"/>
    <w:rsid w:val="003B6734"/>
    <w:rsid w:val="003C03EA"/>
    <w:rsid w:val="003C196B"/>
    <w:rsid w:val="003C5ED9"/>
    <w:rsid w:val="003C6E1D"/>
    <w:rsid w:val="003D058C"/>
    <w:rsid w:val="003D39ED"/>
    <w:rsid w:val="003D76B1"/>
    <w:rsid w:val="003E17A6"/>
    <w:rsid w:val="003E4AA5"/>
    <w:rsid w:val="003E64CF"/>
    <w:rsid w:val="003F1CEC"/>
    <w:rsid w:val="003F43BF"/>
    <w:rsid w:val="003F6BE4"/>
    <w:rsid w:val="00403CF8"/>
    <w:rsid w:val="004051FD"/>
    <w:rsid w:val="00407459"/>
    <w:rsid w:val="00414D01"/>
    <w:rsid w:val="004170FE"/>
    <w:rsid w:val="0041738F"/>
    <w:rsid w:val="004209E6"/>
    <w:rsid w:val="0042324B"/>
    <w:rsid w:val="004234E8"/>
    <w:rsid w:val="00426805"/>
    <w:rsid w:val="00427F34"/>
    <w:rsid w:val="00430150"/>
    <w:rsid w:val="004302F9"/>
    <w:rsid w:val="004309A4"/>
    <w:rsid w:val="0043229B"/>
    <w:rsid w:val="00435287"/>
    <w:rsid w:val="00440A22"/>
    <w:rsid w:val="004475B3"/>
    <w:rsid w:val="00453CCE"/>
    <w:rsid w:val="0045550E"/>
    <w:rsid w:val="00456456"/>
    <w:rsid w:val="00456696"/>
    <w:rsid w:val="00462367"/>
    <w:rsid w:val="0046490C"/>
    <w:rsid w:val="00464995"/>
    <w:rsid w:val="00466FB3"/>
    <w:rsid w:val="00470287"/>
    <w:rsid w:val="00470733"/>
    <w:rsid w:val="00473EF4"/>
    <w:rsid w:val="00477C53"/>
    <w:rsid w:val="00480AAA"/>
    <w:rsid w:val="004827BB"/>
    <w:rsid w:val="00482A18"/>
    <w:rsid w:val="00485380"/>
    <w:rsid w:val="00493D87"/>
    <w:rsid w:val="004950D4"/>
    <w:rsid w:val="004A0506"/>
    <w:rsid w:val="004A2342"/>
    <w:rsid w:val="004A2F62"/>
    <w:rsid w:val="004A7B7A"/>
    <w:rsid w:val="004B1DB8"/>
    <w:rsid w:val="004B2F01"/>
    <w:rsid w:val="004B4182"/>
    <w:rsid w:val="004B4538"/>
    <w:rsid w:val="004B5DDD"/>
    <w:rsid w:val="004B6FB6"/>
    <w:rsid w:val="004C01E5"/>
    <w:rsid w:val="004C141F"/>
    <w:rsid w:val="004C3423"/>
    <w:rsid w:val="004C571D"/>
    <w:rsid w:val="004D35A2"/>
    <w:rsid w:val="004D5FD1"/>
    <w:rsid w:val="004E3969"/>
    <w:rsid w:val="004E68C1"/>
    <w:rsid w:val="004F6517"/>
    <w:rsid w:val="004F6DCC"/>
    <w:rsid w:val="004F7C93"/>
    <w:rsid w:val="00506105"/>
    <w:rsid w:val="005113CF"/>
    <w:rsid w:val="00513162"/>
    <w:rsid w:val="00525809"/>
    <w:rsid w:val="00532865"/>
    <w:rsid w:val="00533BFB"/>
    <w:rsid w:val="00535130"/>
    <w:rsid w:val="00537302"/>
    <w:rsid w:val="00537C14"/>
    <w:rsid w:val="00542528"/>
    <w:rsid w:val="00551EFF"/>
    <w:rsid w:val="005537AF"/>
    <w:rsid w:val="00553C37"/>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47EC"/>
    <w:rsid w:val="00594055"/>
    <w:rsid w:val="005948A7"/>
    <w:rsid w:val="00595E80"/>
    <w:rsid w:val="0059650E"/>
    <w:rsid w:val="00596953"/>
    <w:rsid w:val="005A0CDC"/>
    <w:rsid w:val="005A6030"/>
    <w:rsid w:val="005B05A4"/>
    <w:rsid w:val="005B0D3F"/>
    <w:rsid w:val="005B2BFA"/>
    <w:rsid w:val="005B3355"/>
    <w:rsid w:val="005B57AD"/>
    <w:rsid w:val="005B722E"/>
    <w:rsid w:val="005C02FE"/>
    <w:rsid w:val="005C0FDA"/>
    <w:rsid w:val="005C50AC"/>
    <w:rsid w:val="005C6406"/>
    <w:rsid w:val="005D1F79"/>
    <w:rsid w:val="005D69D1"/>
    <w:rsid w:val="005D7232"/>
    <w:rsid w:val="005E210D"/>
    <w:rsid w:val="005E5317"/>
    <w:rsid w:val="005E5BD3"/>
    <w:rsid w:val="005F2425"/>
    <w:rsid w:val="005F5655"/>
    <w:rsid w:val="005F57CB"/>
    <w:rsid w:val="005F5EC7"/>
    <w:rsid w:val="005F7207"/>
    <w:rsid w:val="005F7FCF"/>
    <w:rsid w:val="006039A8"/>
    <w:rsid w:val="00607691"/>
    <w:rsid w:val="00607D79"/>
    <w:rsid w:val="0061062C"/>
    <w:rsid w:val="00613183"/>
    <w:rsid w:val="006133F0"/>
    <w:rsid w:val="006166A3"/>
    <w:rsid w:val="00616888"/>
    <w:rsid w:val="006176BE"/>
    <w:rsid w:val="006212CB"/>
    <w:rsid w:val="00624779"/>
    <w:rsid w:val="006279F9"/>
    <w:rsid w:val="006369EE"/>
    <w:rsid w:val="0064700E"/>
    <w:rsid w:val="00650183"/>
    <w:rsid w:val="00650677"/>
    <w:rsid w:val="0065108F"/>
    <w:rsid w:val="0065459C"/>
    <w:rsid w:val="006568ED"/>
    <w:rsid w:val="00663FB9"/>
    <w:rsid w:val="00664032"/>
    <w:rsid w:val="006736A9"/>
    <w:rsid w:val="00673BC7"/>
    <w:rsid w:val="00674975"/>
    <w:rsid w:val="00675D39"/>
    <w:rsid w:val="00680DFA"/>
    <w:rsid w:val="0068560B"/>
    <w:rsid w:val="00692078"/>
    <w:rsid w:val="0069297C"/>
    <w:rsid w:val="006A0A2C"/>
    <w:rsid w:val="006A1277"/>
    <w:rsid w:val="006A2602"/>
    <w:rsid w:val="006A2D41"/>
    <w:rsid w:val="006A67E1"/>
    <w:rsid w:val="006B1AB5"/>
    <w:rsid w:val="006C36FB"/>
    <w:rsid w:val="006C5679"/>
    <w:rsid w:val="006C7A74"/>
    <w:rsid w:val="006C7D62"/>
    <w:rsid w:val="006D0B23"/>
    <w:rsid w:val="006D1903"/>
    <w:rsid w:val="006D2ED6"/>
    <w:rsid w:val="006D5685"/>
    <w:rsid w:val="006E1987"/>
    <w:rsid w:val="006E23B2"/>
    <w:rsid w:val="006E5207"/>
    <w:rsid w:val="006F0C61"/>
    <w:rsid w:val="006F5C70"/>
    <w:rsid w:val="006F6A20"/>
    <w:rsid w:val="006F7B66"/>
    <w:rsid w:val="007017B0"/>
    <w:rsid w:val="007047B2"/>
    <w:rsid w:val="00704DE7"/>
    <w:rsid w:val="00706868"/>
    <w:rsid w:val="007078B8"/>
    <w:rsid w:val="007120E2"/>
    <w:rsid w:val="00715E32"/>
    <w:rsid w:val="007162D1"/>
    <w:rsid w:val="00716463"/>
    <w:rsid w:val="0071706E"/>
    <w:rsid w:val="007246EC"/>
    <w:rsid w:val="00724899"/>
    <w:rsid w:val="00727292"/>
    <w:rsid w:val="00737C11"/>
    <w:rsid w:val="00742F6A"/>
    <w:rsid w:val="007446E8"/>
    <w:rsid w:val="00751553"/>
    <w:rsid w:val="0075165E"/>
    <w:rsid w:val="00752F09"/>
    <w:rsid w:val="00754E10"/>
    <w:rsid w:val="00757BC9"/>
    <w:rsid w:val="00762A29"/>
    <w:rsid w:val="0076327D"/>
    <w:rsid w:val="00764BB2"/>
    <w:rsid w:val="007663B8"/>
    <w:rsid w:val="00767745"/>
    <w:rsid w:val="007707FC"/>
    <w:rsid w:val="00770BE3"/>
    <w:rsid w:val="0077177A"/>
    <w:rsid w:val="007728A8"/>
    <w:rsid w:val="00773DBC"/>
    <w:rsid w:val="00780897"/>
    <w:rsid w:val="00781BE6"/>
    <w:rsid w:val="00784E54"/>
    <w:rsid w:val="00785A76"/>
    <w:rsid w:val="00787852"/>
    <w:rsid w:val="007903E7"/>
    <w:rsid w:val="007915BC"/>
    <w:rsid w:val="00792BF7"/>
    <w:rsid w:val="00793162"/>
    <w:rsid w:val="007967FA"/>
    <w:rsid w:val="00797E7A"/>
    <w:rsid w:val="007A0EA6"/>
    <w:rsid w:val="007A2D9E"/>
    <w:rsid w:val="007A2F89"/>
    <w:rsid w:val="007A489E"/>
    <w:rsid w:val="007A6823"/>
    <w:rsid w:val="007B0381"/>
    <w:rsid w:val="007B0F3D"/>
    <w:rsid w:val="007B148D"/>
    <w:rsid w:val="007B18C8"/>
    <w:rsid w:val="007B28DE"/>
    <w:rsid w:val="007B7A5F"/>
    <w:rsid w:val="007C36BE"/>
    <w:rsid w:val="007C550A"/>
    <w:rsid w:val="007D294D"/>
    <w:rsid w:val="007D53ED"/>
    <w:rsid w:val="007D57A9"/>
    <w:rsid w:val="007D6001"/>
    <w:rsid w:val="007D7F94"/>
    <w:rsid w:val="007E1B76"/>
    <w:rsid w:val="007E219A"/>
    <w:rsid w:val="007E37BF"/>
    <w:rsid w:val="007E6593"/>
    <w:rsid w:val="007F1101"/>
    <w:rsid w:val="007F2CB1"/>
    <w:rsid w:val="00803D20"/>
    <w:rsid w:val="008112A0"/>
    <w:rsid w:val="008121DB"/>
    <w:rsid w:val="00814693"/>
    <w:rsid w:val="0081696D"/>
    <w:rsid w:val="00816E01"/>
    <w:rsid w:val="008173D0"/>
    <w:rsid w:val="00823235"/>
    <w:rsid w:val="0082380F"/>
    <w:rsid w:val="008249F1"/>
    <w:rsid w:val="00824AF2"/>
    <w:rsid w:val="00826686"/>
    <w:rsid w:val="00835563"/>
    <w:rsid w:val="00836511"/>
    <w:rsid w:val="00836B02"/>
    <w:rsid w:val="00836EC6"/>
    <w:rsid w:val="0083741E"/>
    <w:rsid w:val="00837985"/>
    <w:rsid w:val="00840E3D"/>
    <w:rsid w:val="00841212"/>
    <w:rsid w:val="00841D8C"/>
    <w:rsid w:val="00842220"/>
    <w:rsid w:val="00844111"/>
    <w:rsid w:val="00844CE2"/>
    <w:rsid w:val="00844F74"/>
    <w:rsid w:val="00846382"/>
    <w:rsid w:val="00850F57"/>
    <w:rsid w:val="008536C2"/>
    <w:rsid w:val="008600C7"/>
    <w:rsid w:val="00860E65"/>
    <w:rsid w:val="008617D0"/>
    <w:rsid w:val="00861A60"/>
    <w:rsid w:val="00862357"/>
    <w:rsid w:val="00862D02"/>
    <w:rsid w:val="008637B9"/>
    <w:rsid w:val="00864194"/>
    <w:rsid w:val="0087005E"/>
    <w:rsid w:val="00870399"/>
    <w:rsid w:val="008711EC"/>
    <w:rsid w:val="008718FE"/>
    <w:rsid w:val="00872946"/>
    <w:rsid w:val="00877FAF"/>
    <w:rsid w:val="00880F43"/>
    <w:rsid w:val="00883928"/>
    <w:rsid w:val="00883DDE"/>
    <w:rsid w:val="00891D73"/>
    <w:rsid w:val="00892833"/>
    <w:rsid w:val="00892A44"/>
    <w:rsid w:val="008A2DE8"/>
    <w:rsid w:val="008A312D"/>
    <w:rsid w:val="008A3E09"/>
    <w:rsid w:val="008A3E57"/>
    <w:rsid w:val="008A77A7"/>
    <w:rsid w:val="008B0269"/>
    <w:rsid w:val="008B3F34"/>
    <w:rsid w:val="008B7A1B"/>
    <w:rsid w:val="008C56B9"/>
    <w:rsid w:val="008D05E0"/>
    <w:rsid w:val="008D2600"/>
    <w:rsid w:val="008D7445"/>
    <w:rsid w:val="008D7D16"/>
    <w:rsid w:val="008E0AC0"/>
    <w:rsid w:val="008E221A"/>
    <w:rsid w:val="008E3284"/>
    <w:rsid w:val="008E3FFE"/>
    <w:rsid w:val="008E60BE"/>
    <w:rsid w:val="008E66FD"/>
    <w:rsid w:val="008E6B74"/>
    <w:rsid w:val="008F0FAF"/>
    <w:rsid w:val="008F243F"/>
    <w:rsid w:val="008F46CD"/>
    <w:rsid w:val="008F54FC"/>
    <w:rsid w:val="008F6390"/>
    <w:rsid w:val="008F6480"/>
    <w:rsid w:val="008F7740"/>
    <w:rsid w:val="009004D2"/>
    <w:rsid w:val="00900CA2"/>
    <w:rsid w:val="00900D86"/>
    <w:rsid w:val="00901DBF"/>
    <w:rsid w:val="00903653"/>
    <w:rsid w:val="00910A52"/>
    <w:rsid w:val="00911479"/>
    <w:rsid w:val="00913008"/>
    <w:rsid w:val="0091484D"/>
    <w:rsid w:val="00916D71"/>
    <w:rsid w:val="00923441"/>
    <w:rsid w:val="00925E71"/>
    <w:rsid w:val="00933143"/>
    <w:rsid w:val="0093329F"/>
    <w:rsid w:val="009343A9"/>
    <w:rsid w:val="00937043"/>
    <w:rsid w:val="009445D3"/>
    <w:rsid w:val="0095399C"/>
    <w:rsid w:val="00955A8A"/>
    <w:rsid w:val="00961CC6"/>
    <w:rsid w:val="0096400D"/>
    <w:rsid w:val="00966600"/>
    <w:rsid w:val="009671D9"/>
    <w:rsid w:val="00971352"/>
    <w:rsid w:val="00975E5B"/>
    <w:rsid w:val="00977C8F"/>
    <w:rsid w:val="00977F94"/>
    <w:rsid w:val="00985627"/>
    <w:rsid w:val="009863E9"/>
    <w:rsid w:val="00992CED"/>
    <w:rsid w:val="00992E20"/>
    <w:rsid w:val="009936FC"/>
    <w:rsid w:val="00993925"/>
    <w:rsid w:val="00993977"/>
    <w:rsid w:val="009A05D1"/>
    <w:rsid w:val="009A28AC"/>
    <w:rsid w:val="009A3A5B"/>
    <w:rsid w:val="009A3F2A"/>
    <w:rsid w:val="009B0DDF"/>
    <w:rsid w:val="009B2AAC"/>
    <w:rsid w:val="009B3521"/>
    <w:rsid w:val="009B541C"/>
    <w:rsid w:val="009C04F5"/>
    <w:rsid w:val="009C4460"/>
    <w:rsid w:val="009D2FB3"/>
    <w:rsid w:val="009D7192"/>
    <w:rsid w:val="009E05E0"/>
    <w:rsid w:val="009E0E38"/>
    <w:rsid w:val="009E1A35"/>
    <w:rsid w:val="009E23C8"/>
    <w:rsid w:val="009E2A2F"/>
    <w:rsid w:val="009E2F8C"/>
    <w:rsid w:val="009F09AA"/>
    <w:rsid w:val="009F2C16"/>
    <w:rsid w:val="009F2C1B"/>
    <w:rsid w:val="009F335C"/>
    <w:rsid w:val="009F49CC"/>
    <w:rsid w:val="00A002B5"/>
    <w:rsid w:val="00A0260C"/>
    <w:rsid w:val="00A041B5"/>
    <w:rsid w:val="00A04F8C"/>
    <w:rsid w:val="00A05158"/>
    <w:rsid w:val="00A11120"/>
    <w:rsid w:val="00A13BF5"/>
    <w:rsid w:val="00A14837"/>
    <w:rsid w:val="00A207B8"/>
    <w:rsid w:val="00A225E3"/>
    <w:rsid w:val="00A23128"/>
    <w:rsid w:val="00A23A26"/>
    <w:rsid w:val="00A24A8F"/>
    <w:rsid w:val="00A25262"/>
    <w:rsid w:val="00A25708"/>
    <w:rsid w:val="00A25BF0"/>
    <w:rsid w:val="00A3026E"/>
    <w:rsid w:val="00A43B17"/>
    <w:rsid w:val="00A4576A"/>
    <w:rsid w:val="00A45AD0"/>
    <w:rsid w:val="00A45EE9"/>
    <w:rsid w:val="00A46310"/>
    <w:rsid w:val="00A529BA"/>
    <w:rsid w:val="00A53C14"/>
    <w:rsid w:val="00A5476B"/>
    <w:rsid w:val="00A61050"/>
    <w:rsid w:val="00A61410"/>
    <w:rsid w:val="00A6198A"/>
    <w:rsid w:val="00A6504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473F"/>
    <w:rsid w:val="00A950A4"/>
    <w:rsid w:val="00A9520D"/>
    <w:rsid w:val="00A9747D"/>
    <w:rsid w:val="00AA00A6"/>
    <w:rsid w:val="00AA3E09"/>
    <w:rsid w:val="00AA6BA8"/>
    <w:rsid w:val="00AA7077"/>
    <w:rsid w:val="00AA7F5A"/>
    <w:rsid w:val="00AB2340"/>
    <w:rsid w:val="00AB5FE4"/>
    <w:rsid w:val="00AB659D"/>
    <w:rsid w:val="00AB6C80"/>
    <w:rsid w:val="00AC229F"/>
    <w:rsid w:val="00AC5B5E"/>
    <w:rsid w:val="00AC6C74"/>
    <w:rsid w:val="00AD4000"/>
    <w:rsid w:val="00AD7671"/>
    <w:rsid w:val="00AE3135"/>
    <w:rsid w:val="00AE52A2"/>
    <w:rsid w:val="00AE53E8"/>
    <w:rsid w:val="00AE6FE4"/>
    <w:rsid w:val="00AE7C30"/>
    <w:rsid w:val="00AF2059"/>
    <w:rsid w:val="00AF3D84"/>
    <w:rsid w:val="00AF4161"/>
    <w:rsid w:val="00AF580B"/>
    <w:rsid w:val="00AF5C1F"/>
    <w:rsid w:val="00AF7F1A"/>
    <w:rsid w:val="00B007C8"/>
    <w:rsid w:val="00B05B8D"/>
    <w:rsid w:val="00B07E0A"/>
    <w:rsid w:val="00B14410"/>
    <w:rsid w:val="00B15C51"/>
    <w:rsid w:val="00B15E61"/>
    <w:rsid w:val="00B24F35"/>
    <w:rsid w:val="00B32729"/>
    <w:rsid w:val="00B32C88"/>
    <w:rsid w:val="00B34747"/>
    <w:rsid w:val="00B42E49"/>
    <w:rsid w:val="00B50903"/>
    <w:rsid w:val="00B62FFE"/>
    <w:rsid w:val="00B643D2"/>
    <w:rsid w:val="00B65013"/>
    <w:rsid w:val="00B6722E"/>
    <w:rsid w:val="00B7123A"/>
    <w:rsid w:val="00B71714"/>
    <w:rsid w:val="00B7435C"/>
    <w:rsid w:val="00B76F38"/>
    <w:rsid w:val="00B8085D"/>
    <w:rsid w:val="00B81EFF"/>
    <w:rsid w:val="00B836BB"/>
    <w:rsid w:val="00B84122"/>
    <w:rsid w:val="00B862B0"/>
    <w:rsid w:val="00BA0678"/>
    <w:rsid w:val="00BA2B7C"/>
    <w:rsid w:val="00BB142A"/>
    <w:rsid w:val="00BB34B9"/>
    <w:rsid w:val="00BB35C2"/>
    <w:rsid w:val="00BB553B"/>
    <w:rsid w:val="00BC28D7"/>
    <w:rsid w:val="00BC3289"/>
    <w:rsid w:val="00BC376C"/>
    <w:rsid w:val="00BC6321"/>
    <w:rsid w:val="00BC7817"/>
    <w:rsid w:val="00BD108F"/>
    <w:rsid w:val="00BD1391"/>
    <w:rsid w:val="00BD3568"/>
    <w:rsid w:val="00BD3819"/>
    <w:rsid w:val="00BD642D"/>
    <w:rsid w:val="00BD6988"/>
    <w:rsid w:val="00BE1A77"/>
    <w:rsid w:val="00BE4742"/>
    <w:rsid w:val="00BE51E6"/>
    <w:rsid w:val="00BE7383"/>
    <w:rsid w:val="00BE754D"/>
    <w:rsid w:val="00BF1DB9"/>
    <w:rsid w:val="00BF3E32"/>
    <w:rsid w:val="00BF6D10"/>
    <w:rsid w:val="00BF6E79"/>
    <w:rsid w:val="00C03F6C"/>
    <w:rsid w:val="00C12108"/>
    <w:rsid w:val="00C121D9"/>
    <w:rsid w:val="00C13453"/>
    <w:rsid w:val="00C220F9"/>
    <w:rsid w:val="00C2541C"/>
    <w:rsid w:val="00C26862"/>
    <w:rsid w:val="00C27313"/>
    <w:rsid w:val="00C30458"/>
    <w:rsid w:val="00C31DA6"/>
    <w:rsid w:val="00C32347"/>
    <w:rsid w:val="00C33260"/>
    <w:rsid w:val="00C33468"/>
    <w:rsid w:val="00C35880"/>
    <w:rsid w:val="00C37192"/>
    <w:rsid w:val="00C42A86"/>
    <w:rsid w:val="00C4598F"/>
    <w:rsid w:val="00C50360"/>
    <w:rsid w:val="00C54E12"/>
    <w:rsid w:val="00C55468"/>
    <w:rsid w:val="00C622C3"/>
    <w:rsid w:val="00C63BD5"/>
    <w:rsid w:val="00C74906"/>
    <w:rsid w:val="00C81B40"/>
    <w:rsid w:val="00C81FEA"/>
    <w:rsid w:val="00C83969"/>
    <w:rsid w:val="00C843EB"/>
    <w:rsid w:val="00C86C95"/>
    <w:rsid w:val="00C91210"/>
    <w:rsid w:val="00CA05EB"/>
    <w:rsid w:val="00CA1437"/>
    <w:rsid w:val="00CA3515"/>
    <w:rsid w:val="00CA3A05"/>
    <w:rsid w:val="00CB057B"/>
    <w:rsid w:val="00CB14E9"/>
    <w:rsid w:val="00CB4C79"/>
    <w:rsid w:val="00CB51BE"/>
    <w:rsid w:val="00CB6D90"/>
    <w:rsid w:val="00CB72C3"/>
    <w:rsid w:val="00CC45E4"/>
    <w:rsid w:val="00CD019F"/>
    <w:rsid w:val="00CD27C5"/>
    <w:rsid w:val="00CE4169"/>
    <w:rsid w:val="00CE7894"/>
    <w:rsid w:val="00CF06A1"/>
    <w:rsid w:val="00CF1467"/>
    <w:rsid w:val="00CF254F"/>
    <w:rsid w:val="00CF48D6"/>
    <w:rsid w:val="00CF57D6"/>
    <w:rsid w:val="00CF591F"/>
    <w:rsid w:val="00CF6C1B"/>
    <w:rsid w:val="00D019D5"/>
    <w:rsid w:val="00D040FE"/>
    <w:rsid w:val="00D105D4"/>
    <w:rsid w:val="00D1584C"/>
    <w:rsid w:val="00D168FD"/>
    <w:rsid w:val="00D16F64"/>
    <w:rsid w:val="00D22D79"/>
    <w:rsid w:val="00D2472C"/>
    <w:rsid w:val="00D279BA"/>
    <w:rsid w:val="00D27FD6"/>
    <w:rsid w:val="00D404B5"/>
    <w:rsid w:val="00D41E85"/>
    <w:rsid w:val="00D447CB"/>
    <w:rsid w:val="00D45336"/>
    <w:rsid w:val="00D47D16"/>
    <w:rsid w:val="00D505F4"/>
    <w:rsid w:val="00D51CE1"/>
    <w:rsid w:val="00D562F2"/>
    <w:rsid w:val="00D61B93"/>
    <w:rsid w:val="00D67E4A"/>
    <w:rsid w:val="00D700C0"/>
    <w:rsid w:val="00D75D14"/>
    <w:rsid w:val="00D763FD"/>
    <w:rsid w:val="00D76979"/>
    <w:rsid w:val="00D77651"/>
    <w:rsid w:val="00D816D1"/>
    <w:rsid w:val="00D90AD1"/>
    <w:rsid w:val="00D941F7"/>
    <w:rsid w:val="00DA0571"/>
    <w:rsid w:val="00DA323B"/>
    <w:rsid w:val="00DA4DDF"/>
    <w:rsid w:val="00DB0804"/>
    <w:rsid w:val="00DB2FC4"/>
    <w:rsid w:val="00DB4CF5"/>
    <w:rsid w:val="00DB687D"/>
    <w:rsid w:val="00DC382A"/>
    <w:rsid w:val="00DD300F"/>
    <w:rsid w:val="00DD6441"/>
    <w:rsid w:val="00DD6EE4"/>
    <w:rsid w:val="00DD7945"/>
    <w:rsid w:val="00DE175A"/>
    <w:rsid w:val="00DE1923"/>
    <w:rsid w:val="00DE2B33"/>
    <w:rsid w:val="00DE638B"/>
    <w:rsid w:val="00DE72EE"/>
    <w:rsid w:val="00DE777D"/>
    <w:rsid w:val="00DF37E5"/>
    <w:rsid w:val="00DF6A11"/>
    <w:rsid w:val="00DF7BDD"/>
    <w:rsid w:val="00E034FE"/>
    <w:rsid w:val="00E041E5"/>
    <w:rsid w:val="00E0425E"/>
    <w:rsid w:val="00E042B5"/>
    <w:rsid w:val="00E04888"/>
    <w:rsid w:val="00E0763B"/>
    <w:rsid w:val="00E10302"/>
    <w:rsid w:val="00E17EC5"/>
    <w:rsid w:val="00E26BFD"/>
    <w:rsid w:val="00E27E90"/>
    <w:rsid w:val="00E31905"/>
    <w:rsid w:val="00E33D02"/>
    <w:rsid w:val="00E342D5"/>
    <w:rsid w:val="00E34F2C"/>
    <w:rsid w:val="00E35D79"/>
    <w:rsid w:val="00E44B9D"/>
    <w:rsid w:val="00E4641E"/>
    <w:rsid w:val="00E467FA"/>
    <w:rsid w:val="00E519AE"/>
    <w:rsid w:val="00E51C6C"/>
    <w:rsid w:val="00E53FAA"/>
    <w:rsid w:val="00E54E8B"/>
    <w:rsid w:val="00E57AF7"/>
    <w:rsid w:val="00E6241B"/>
    <w:rsid w:val="00E64FCC"/>
    <w:rsid w:val="00E703B6"/>
    <w:rsid w:val="00E72200"/>
    <w:rsid w:val="00E72B1B"/>
    <w:rsid w:val="00E7467B"/>
    <w:rsid w:val="00E75D47"/>
    <w:rsid w:val="00E766F5"/>
    <w:rsid w:val="00E8186F"/>
    <w:rsid w:val="00E82948"/>
    <w:rsid w:val="00E85086"/>
    <w:rsid w:val="00E90218"/>
    <w:rsid w:val="00E913BB"/>
    <w:rsid w:val="00E95F2E"/>
    <w:rsid w:val="00EA1508"/>
    <w:rsid w:val="00EA1541"/>
    <w:rsid w:val="00EA32E4"/>
    <w:rsid w:val="00EA5AE4"/>
    <w:rsid w:val="00EA7E36"/>
    <w:rsid w:val="00EB03F8"/>
    <w:rsid w:val="00EB080E"/>
    <w:rsid w:val="00EB0898"/>
    <w:rsid w:val="00EB627B"/>
    <w:rsid w:val="00EB6D94"/>
    <w:rsid w:val="00EB7C97"/>
    <w:rsid w:val="00EC378A"/>
    <w:rsid w:val="00EC4183"/>
    <w:rsid w:val="00EC6468"/>
    <w:rsid w:val="00EC6708"/>
    <w:rsid w:val="00ED207C"/>
    <w:rsid w:val="00ED2E44"/>
    <w:rsid w:val="00ED325A"/>
    <w:rsid w:val="00ED33C2"/>
    <w:rsid w:val="00ED3F41"/>
    <w:rsid w:val="00ED5615"/>
    <w:rsid w:val="00ED692E"/>
    <w:rsid w:val="00ED69AF"/>
    <w:rsid w:val="00EE15F1"/>
    <w:rsid w:val="00EE1847"/>
    <w:rsid w:val="00EE240E"/>
    <w:rsid w:val="00EE34CE"/>
    <w:rsid w:val="00EE60AF"/>
    <w:rsid w:val="00EE688E"/>
    <w:rsid w:val="00EE6A6D"/>
    <w:rsid w:val="00EF03E2"/>
    <w:rsid w:val="00EF7F8B"/>
    <w:rsid w:val="00F03814"/>
    <w:rsid w:val="00F07A09"/>
    <w:rsid w:val="00F135FD"/>
    <w:rsid w:val="00F1390C"/>
    <w:rsid w:val="00F14D98"/>
    <w:rsid w:val="00F20C5E"/>
    <w:rsid w:val="00F26E91"/>
    <w:rsid w:val="00F321CF"/>
    <w:rsid w:val="00F36A1D"/>
    <w:rsid w:val="00F377C9"/>
    <w:rsid w:val="00F44278"/>
    <w:rsid w:val="00F470BE"/>
    <w:rsid w:val="00F50ED7"/>
    <w:rsid w:val="00F51B65"/>
    <w:rsid w:val="00F52AAB"/>
    <w:rsid w:val="00F52EB6"/>
    <w:rsid w:val="00F55260"/>
    <w:rsid w:val="00F6316B"/>
    <w:rsid w:val="00F65AE0"/>
    <w:rsid w:val="00F74E38"/>
    <w:rsid w:val="00F74F37"/>
    <w:rsid w:val="00F76D6F"/>
    <w:rsid w:val="00F778B0"/>
    <w:rsid w:val="00F77904"/>
    <w:rsid w:val="00F82E35"/>
    <w:rsid w:val="00F83BC2"/>
    <w:rsid w:val="00F90896"/>
    <w:rsid w:val="00F91BB4"/>
    <w:rsid w:val="00F92EC1"/>
    <w:rsid w:val="00F93072"/>
    <w:rsid w:val="00F94C47"/>
    <w:rsid w:val="00F9519B"/>
    <w:rsid w:val="00FA0421"/>
    <w:rsid w:val="00FA23A8"/>
    <w:rsid w:val="00FA3389"/>
    <w:rsid w:val="00FA3476"/>
    <w:rsid w:val="00FA495F"/>
    <w:rsid w:val="00FA6780"/>
    <w:rsid w:val="00FB0C10"/>
    <w:rsid w:val="00FB39D4"/>
    <w:rsid w:val="00FB3C36"/>
    <w:rsid w:val="00FB4280"/>
    <w:rsid w:val="00FB7CCE"/>
    <w:rsid w:val="00FC01C8"/>
    <w:rsid w:val="00FC307E"/>
    <w:rsid w:val="00FC5027"/>
    <w:rsid w:val="00FC50C7"/>
    <w:rsid w:val="00FC511D"/>
    <w:rsid w:val="00FC68BC"/>
    <w:rsid w:val="00FD11D4"/>
    <w:rsid w:val="00FD1A1D"/>
    <w:rsid w:val="00FD225D"/>
    <w:rsid w:val="00FD2384"/>
    <w:rsid w:val="00FD758C"/>
    <w:rsid w:val="00FE1E36"/>
    <w:rsid w:val="00FE244C"/>
    <w:rsid w:val="00FE452E"/>
    <w:rsid w:val="00FE545B"/>
    <w:rsid w:val="00FE6FC5"/>
    <w:rsid w:val="00FE768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B7C97"/>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EB7C9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B7C97"/>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EB7C97"/>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EB7C97"/>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DD6441"/>
    <w:pPr>
      <w:tabs>
        <w:tab w:val="right" w:leader="dot" w:pos="8945"/>
      </w:tabs>
      <w:spacing w:before="60" w:after="80"/>
      <w:ind w:right="558"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24779"/>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EB7C97"/>
    <w:rPr>
      <w:b/>
      <w:bCs/>
      <w:sz w:val="28"/>
      <w:szCs w:val="28"/>
      <w:lang w:val="es-ES_tradnl" w:eastAsia="en-US"/>
    </w:rPr>
  </w:style>
  <w:style w:type="character" w:customStyle="1" w:styleId="Ttulo6Car">
    <w:name w:val="Título 6 Car"/>
    <w:basedOn w:val="Fuentedeprrafopredeter"/>
    <w:link w:val="Ttulo6"/>
    <w:rsid w:val="00EB7C97"/>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EB7C97"/>
    <w:rPr>
      <w:sz w:val="52"/>
    </w:rPr>
  </w:style>
  <w:style w:type="character" w:customStyle="1" w:styleId="Ttulo8Car">
    <w:name w:val="Título 8 Car"/>
    <w:basedOn w:val="Fuentedeprrafopredeter"/>
    <w:link w:val="Ttulo8"/>
    <w:uiPriority w:val="99"/>
    <w:semiHidden/>
    <w:rsid w:val="00EB7C97"/>
    <w:rPr>
      <w:rFonts w:ascii="Arial" w:hAnsi="Arial"/>
      <w:color w:val="000000"/>
      <w:sz w:val="16"/>
      <w:u w:val="single"/>
    </w:rPr>
  </w:style>
  <w:style w:type="character" w:customStyle="1" w:styleId="Ttulo9Car">
    <w:name w:val="Título 9 Car"/>
    <w:basedOn w:val="Fuentedeprrafopredeter"/>
    <w:link w:val="Ttulo9"/>
    <w:uiPriority w:val="99"/>
    <w:semiHidden/>
    <w:rsid w:val="00EB7C97"/>
    <w:rPr>
      <w:rFonts w:ascii="Arial" w:hAnsi="Arial"/>
      <w:b/>
      <w:color w:val="000000"/>
    </w:rPr>
  </w:style>
  <w:style w:type="character" w:customStyle="1" w:styleId="Ttulo1Car">
    <w:name w:val="Título 1 Car"/>
    <w:basedOn w:val="Fuentedeprrafopredeter"/>
    <w:link w:val="Ttulo1"/>
    <w:uiPriority w:val="99"/>
    <w:rsid w:val="00EB7C97"/>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EB7C97"/>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EB7C97"/>
    <w:rPr>
      <w:rFonts w:ascii="Arial" w:hAnsi="Arial" w:cs="Arial"/>
      <w:b/>
      <w:bCs/>
      <w:szCs w:val="26"/>
      <w:lang w:val="es-ES_tradnl" w:eastAsia="en-US"/>
    </w:rPr>
  </w:style>
  <w:style w:type="character" w:customStyle="1" w:styleId="Ttulo5Car">
    <w:name w:val="Título 5 Car"/>
    <w:basedOn w:val="Fuentedeprrafopredeter"/>
    <w:link w:val="Ttulo5"/>
    <w:uiPriority w:val="99"/>
    <w:rsid w:val="00EB7C97"/>
    <w:rPr>
      <w:b/>
      <w:sz w:val="28"/>
      <w:lang w:eastAsia="en-US"/>
    </w:rPr>
  </w:style>
  <w:style w:type="paragraph" w:styleId="Ttulo">
    <w:name w:val="Title"/>
    <w:basedOn w:val="Normal"/>
    <w:next w:val="Normal"/>
    <w:link w:val="TtuloCar"/>
    <w:uiPriority w:val="10"/>
    <w:qFormat/>
    <w:rsid w:val="00EB7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7C97"/>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EB7C9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B7C97"/>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EB7C97"/>
    <w:rPr>
      <w:rFonts w:cs="Times New Roman"/>
      <w:b/>
    </w:rPr>
  </w:style>
  <w:style w:type="character" w:styleId="nfasis">
    <w:name w:val="Emphasis"/>
    <w:basedOn w:val="Fuentedeprrafopredeter"/>
    <w:uiPriority w:val="99"/>
    <w:qFormat/>
    <w:rsid w:val="00EB7C97"/>
    <w:rPr>
      <w:rFonts w:cs="Times New Roman"/>
      <w:i/>
      <w:iCs/>
    </w:rPr>
  </w:style>
  <w:style w:type="paragraph" w:styleId="Prrafodelista">
    <w:name w:val="List Paragraph"/>
    <w:basedOn w:val="Normal"/>
    <w:uiPriority w:val="34"/>
    <w:qFormat/>
    <w:rsid w:val="00EB7C97"/>
    <w:pPr>
      <w:ind w:left="720"/>
      <w:contextualSpacing/>
    </w:pPr>
  </w:style>
  <w:style w:type="paragraph" w:styleId="Cita">
    <w:name w:val="Quote"/>
    <w:basedOn w:val="Normal"/>
    <w:next w:val="Normal"/>
    <w:link w:val="CitaCar"/>
    <w:uiPriority w:val="29"/>
    <w:qFormat/>
    <w:rsid w:val="00EB7C97"/>
    <w:rPr>
      <w:i/>
      <w:iCs/>
      <w:color w:val="000000" w:themeColor="text1"/>
    </w:rPr>
  </w:style>
  <w:style w:type="character" w:customStyle="1" w:styleId="CitaCar">
    <w:name w:val="Cita Car"/>
    <w:basedOn w:val="Fuentedeprrafopredeter"/>
    <w:link w:val="Cita"/>
    <w:uiPriority w:val="29"/>
    <w:rsid w:val="00EB7C97"/>
    <w:rPr>
      <w:i/>
      <w:iCs/>
      <w:color w:val="000000" w:themeColor="text1"/>
      <w:lang w:val="es-ES_tradnl" w:eastAsia="en-US"/>
    </w:rPr>
  </w:style>
  <w:style w:type="character" w:styleId="nfasissutil">
    <w:name w:val="Subtle Emphasis"/>
    <w:basedOn w:val="Fuentedeprrafopredeter"/>
    <w:uiPriority w:val="19"/>
    <w:qFormat/>
    <w:rsid w:val="00EB7C97"/>
    <w:rPr>
      <w:i/>
      <w:iCs/>
      <w:color w:val="808080" w:themeColor="text1" w:themeTint="7F"/>
    </w:rPr>
  </w:style>
  <w:style w:type="character" w:styleId="nfasisintenso">
    <w:name w:val="Intense Emphasis"/>
    <w:basedOn w:val="Fuentedeprrafopredeter"/>
    <w:uiPriority w:val="21"/>
    <w:qFormat/>
    <w:rsid w:val="00EB7C97"/>
    <w:rPr>
      <w:b/>
      <w:bCs/>
      <w:i/>
      <w:iCs/>
      <w:color w:val="4F81BD" w:themeColor="accent1"/>
    </w:rPr>
  </w:style>
  <w:style w:type="character" w:styleId="Referenciasutil">
    <w:name w:val="Subtle Reference"/>
    <w:basedOn w:val="Fuentedeprrafopredeter"/>
    <w:uiPriority w:val="31"/>
    <w:qFormat/>
    <w:rsid w:val="00EB7C97"/>
    <w:rPr>
      <w:smallCaps/>
      <w:color w:val="C0504D" w:themeColor="accent2"/>
      <w:u w:val="single"/>
    </w:rPr>
  </w:style>
  <w:style w:type="character" w:styleId="Referenciaintensa">
    <w:name w:val="Intense Reference"/>
    <w:basedOn w:val="Fuentedeprrafopredeter"/>
    <w:uiPriority w:val="32"/>
    <w:qFormat/>
    <w:rsid w:val="00EB7C97"/>
    <w:rPr>
      <w:b/>
      <w:bCs/>
      <w:smallCaps/>
      <w:color w:val="C0504D" w:themeColor="accent2"/>
      <w:spacing w:val="5"/>
      <w:u w:val="single"/>
    </w:rPr>
  </w:style>
  <w:style w:type="character" w:customStyle="1" w:styleId="atitulo2Car">
    <w:name w:val="atitulo2 Car"/>
    <w:link w:val="atitulo2"/>
    <w:locked/>
    <w:rsid w:val="00EB7C97"/>
    <w:rPr>
      <w:rFonts w:ascii="Arial" w:hAnsi="Arial"/>
      <w:bCs/>
      <w:iCs/>
      <w:color w:val="000000"/>
      <w:spacing w:val="10"/>
      <w:kern w:val="28"/>
      <w:sz w:val="25"/>
      <w:szCs w:val="26"/>
      <w:lang w:val="es-ES_tradnl" w:eastAsia="en-US"/>
    </w:rPr>
  </w:style>
  <w:style w:type="character" w:customStyle="1" w:styleId="recomenCar">
    <w:name w:val="recomen Car"/>
    <w:link w:val="recomen"/>
    <w:rsid w:val="00EB7C97"/>
    <w:rPr>
      <w:i/>
      <w:spacing w:val="6"/>
      <w:sz w:val="26"/>
      <w:szCs w:val="24"/>
      <w:lang w:eastAsia="en-US"/>
    </w:rPr>
  </w:style>
  <w:style w:type="paragraph" w:styleId="Textonotapie">
    <w:name w:val="footnote text"/>
    <w:basedOn w:val="Normal"/>
    <w:link w:val="TextonotapieCar"/>
    <w:rsid w:val="00EB7C97"/>
  </w:style>
  <w:style w:type="character" w:customStyle="1" w:styleId="TextonotapieCar">
    <w:name w:val="Texto nota pie Car"/>
    <w:basedOn w:val="Fuentedeprrafopredeter"/>
    <w:link w:val="Textonotapie"/>
    <w:rsid w:val="00EB7C97"/>
    <w:rPr>
      <w:lang w:val="es-ES_tradnl" w:eastAsia="en-US"/>
    </w:rPr>
  </w:style>
  <w:style w:type="character" w:styleId="Refdenotaalpie">
    <w:name w:val="footnote reference"/>
    <w:rsid w:val="00EB7C97"/>
    <w:rPr>
      <w:vertAlign w:val="superscript"/>
    </w:rPr>
  </w:style>
  <w:style w:type="paragraph" w:customStyle="1" w:styleId="cuatitul">
    <w:name w:val="cuatitul"/>
    <w:basedOn w:val="Normal"/>
    <w:rsid w:val="00EB7C97"/>
    <w:pPr>
      <w:spacing w:after="60"/>
      <w:ind w:firstLine="0"/>
      <w:jc w:val="center"/>
    </w:pPr>
    <w:rPr>
      <w:rFonts w:ascii="GillSans" w:hAnsi="GillSans"/>
      <w:sz w:val="22"/>
      <w:lang w:eastAsia="es-ES"/>
    </w:rPr>
  </w:style>
  <w:style w:type="paragraph" w:customStyle="1" w:styleId="Tabla">
    <w:name w:val="Tabla"/>
    <w:basedOn w:val="Normal"/>
    <w:rsid w:val="00EB7C97"/>
    <w:pPr>
      <w:spacing w:after="0"/>
      <w:ind w:firstLine="0"/>
    </w:pPr>
    <w:rPr>
      <w:rFonts w:ascii="Arial" w:hAnsi="Arial"/>
      <w:sz w:val="16"/>
      <w:lang w:eastAsia="es-ES"/>
    </w:rPr>
  </w:style>
  <w:style w:type="table" w:styleId="Tablaelegante">
    <w:name w:val="Table Elegant"/>
    <w:basedOn w:val="Tablanormal"/>
    <w:rsid w:val="00EB7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B7C9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B7C97"/>
    <w:rPr>
      <w:rFonts w:ascii="Arial" w:hAnsi="Arial"/>
      <w:sz w:val="24"/>
      <w:lang w:val="es-ES_tradnl"/>
    </w:rPr>
  </w:style>
  <w:style w:type="paragraph" w:customStyle="1" w:styleId="recomendaciones">
    <w:name w:val="recomendaciones"/>
    <w:rsid w:val="00EB7C97"/>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EB7C97"/>
    <w:pPr>
      <w:spacing w:after="240"/>
      <w:ind w:firstLine="0"/>
    </w:pPr>
    <w:rPr>
      <w:b/>
      <w:bCs/>
      <w:caps/>
      <w:sz w:val="24"/>
      <w:szCs w:val="24"/>
      <w:lang w:val="es-ES" w:eastAsia="es-ES"/>
    </w:rPr>
  </w:style>
  <w:style w:type="paragraph" w:customStyle="1" w:styleId="Default">
    <w:name w:val="Default"/>
    <w:rsid w:val="00EB7C9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B7C97"/>
    <w:pPr>
      <w:spacing w:line="201" w:lineRule="atLeast"/>
    </w:pPr>
    <w:rPr>
      <w:rFonts w:cs="Times New Roman"/>
      <w:color w:val="auto"/>
    </w:rPr>
  </w:style>
  <w:style w:type="character" w:customStyle="1" w:styleId="A5">
    <w:name w:val="A5"/>
    <w:rsid w:val="00EB7C97"/>
    <w:rPr>
      <w:rFonts w:cs="Arial"/>
      <w:color w:val="000000"/>
      <w:sz w:val="16"/>
      <w:szCs w:val="16"/>
    </w:rPr>
  </w:style>
  <w:style w:type="paragraph" w:customStyle="1" w:styleId="Estndar">
    <w:name w:val="Estándar"/>
    <w:rsid w:val="00EB7C97"/>
    <w:pPr>
      <w:snapToGrid w:val="0"/>
    </w:pPr>
    <w:rPr>
      <w:rFonts w:ascii="CG Omega" w:hAnsi="CG Omega"/>
      <w:color w:val="000000"/>
      <w:sz w:val="22"/>
    </w:rPr>
  </w:style>
  <w:style w:type="paragraph" w:styleId="NormalWeb">
    <w:name w:val="Normal (Web)"/>
    <w:basedOn w:val="Normal"/>
    <w:uiPriority w:val="99"/>
    <w:rsid w:val="00EB7C97"/>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EB7C97"/>
    <w:pPr>
      <w:spacing w:line="201" w:lineRule="atLeast"/>
    </w:pPr>
    <w:rPr>
      <w:rFonts w:cs="Times New Roman"/>
      <w:color w:val="auto"/>
    </w:rPr>
  </w:style>
  <w:style w:type="paragraph" w:customStyle="1" w:styleId="foral-f-parrafo-c">
    <w:name w:val="foral-f-parrafo-c"/>
    <w:basedOn w:val="Normal"/>
    <w:uiPriority w:val="99"/>
    <w:rsid w:val="00EB7C97"/>
    <w:pPr>
      <w:spacing w:after="240"/>
      <w:ind w:firstLine="0"/>
      <w:jc w:val="left"/>
    </w:pPr>
    <w:rPr>
      <w:sz w:val="24"/>
      <w:szCs w:val="24"/>
      <w:lang w:val="es-ES" w:eastAsia="es-ES"/>
    </w:rPr>
  </w:style>
  <w:style w:type="paragraph" w:customStyle="1" w:styleId="foral-f-parrafo-3lineas-t5-c">
    <w:name w:val="foral-f-parrafo-3lineas-t5-c"/>
    <w:basedOn w:val="Normal"/>
    <w:rsid w:val="00EB7C97"/>
    <w:pPr>
      <w:spacing w:after="240"/>
      <w:ind w:firstLine="0"/>
      <w:jc w:val="left"/>
    </w:pPr>
    <w:rPr>
      <w:sz w:val="24"/>
      <w:szCs w:val="24"/>
      <w:lang w:val="es-ES" w:eastAsia="es-ES"/>
    </w:rPr>
  </w:style>
  <w:style w:type="paragraph" w:customStyle="1" w:styleId="aaa">
    <w:name w:val="aaa"/>
    <w:basedOn w:val="Normal"/>
    <w:rsid w:val="00EB7C9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B7C9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B7C97"/>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EB7C97"/>
    <w:rPr>
      <w:color w:val="800080"/>
      <w:u w:val="single"/>
    </w:rPr>
  </w:style>
  <w:style w:type="paragraph" w:customStyle="1" w:styleId="xa1">
    <w:name w:val="xa1"/>
    <w:basedOn w:val="Normal"/>
    <w:rsid w:val="00EB7C97"/>
    <w:pPr>
      <w:spacing w:after="240"/>
      <w:ind w:left="200" w:right="50" w:firstLine="0"/>
    </w:pPr>
    <w:rPr>
      <w:sz w:val="24"/>
      <w:szCs w:val="24"/>
      <w:lang w:val="es-ES" w:eastAsia="es-ES"/>
    </w:rPr>
  </w:style>
  <w:style w:type="paragraph" w:customStyle="1" w:styleId="xl1">
    <w:name w:val="xl1"/>
    <w:basedOn w:val="Normal"/>
    <w:rsid w:val="00EB7C97"/>
    <w:pPr>
      <w:spacing w:after="240"/>
      <w:ind w:left="200" w:right="50" w:hanging="150"/>
    </w:pPr>
    <w:rPr>
      <w:sz w:val="24"/>
      <w:szCs w:val="24"/>
      <w:lang w:val="es-ES" w:eastAsia="es-ES"/>
    </w:rPr>
  </w:style>
  <w:style w:type="paragraph" w:customStyle="1" w:styleId="xl2">
    <w:name w:val="xl2"/>
    <w:basedOn w:val="Normal"/>
    <w:rsid w:val="00EB7C97"/>
    <w:pPr>
      <w:spacing w:after="240"/>
      <w:ind w:left="350" w:right="50" w:hanging="150"/>
    </w:pPr>
    <w:rPr>
      <w:sz w:val="24"/>
      <w:szCs w:val="24"/>
      <w:lang w:val="es-ES" w:eastAsia="es-ES"/>
    </w:rPr>
  </w:style>
  <w:style w:type="character" w:customStyle="1" w:styleId="searchterm2">
    <w:name w:val="searchterm2"/>
    <w:rsid w:val="00EB7C97"/>
    <w:rPr>
      <w:b/>
      <w:bCs/>
      <w:color w:val="000000"/>
      <w:shd w:val="clear" w:color="auto" w:fill="FFFFBF"/>
    </w:rPr>
  </w:style>
  <w:style w:type="paragraph" w:customStyle="1" w:styleId="Pa7">
    <w:name w:val="Pa7"/>
    <w:basedOn w:val="Default"/>
    <w:next w:val="Default"/>
    <w:uiPriority w:val="99"/>
    <w:rsid w:val="00EB7C97"/>
    <w:pPr>
      <w:spacing w:line="201" w:lineRule="atLeast"/>
    </w:pPr>
    <w:rPr>
      <w:rFonts w:cs="Times New Roman"/>
      <w:color w:val="auto"/>
    </w:rPr>
  </w:style>
  <w:style w:type="character" w:customStyle="1" w:styleId="PiedepginaCar">
    <w:name w:val="Pie de página Car"/>
    <w:link w:val="Piedepgina"/>
    <w:uiPriority w:val="99"/>
    <w:rsid w:val="00EB7C97"/>
    <w:rPr>
      <w:spacing w:val="6"/>
      <w:lang w:val="es-ES_tradnl" w:eastAsia="en-US"/>
    </w:rPr>
  </w:style>
  <w:style w:type="paragraph" w:customStyle="1" w:styleId="ParrafoClausulas">
    <w:name w:val="ParrafoClausulas"/>
    <w:basedOn w:val="Normal"/>
    <w:rsid w:val="00EB7C9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B7C97"/>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EB7C97"/>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EB7C97"/>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EB7C97"/>
    <w:rPr>
      <w:rFonts w:ascii="Arial" w:hAnsi="Arial" w:cs="Arial"/>
      <w:b/>
      <w:bCs/>
      <w:sz w:val="18"/>
      <w:lang w:val="es-MX"/>
    </w:rPr>
  </w:style>
  <w:style w:type="paragraph" w:customStyle="1" w:styleId="Cuadropequea9izda12">
    <w:name w:val="Cuadro pequeña 9 izda12"/>
    <w:basedOn w:val="Normal"/>
    <w:link w:val="Cuadropequea9izda12Car"/>
    <w:autoRedefine/>
    <w:rsid w:val="00EB7C97"/>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EB7C97"/>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EB7C9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EB7C97"/>
    <w:rPr>
      <w:rFonts w:ascii="Arial" w:hAnsi="Arial" w:cs="Arial" w:hint="default"/>
      <w:b/>
      <w:bCs w:val="0"/>
      <w:snapToGrid/>
      <w:position w:val="6"/>
      <w:sz w:val="18"/>
      <w:lang w:val="es-MX" w:eastAsia="es-ES" w:bidi="ar-SA"/>
    </w:rPr>
  </w:style>
  <w:style w:type="character" w:customStyle="1" w:styleId="atitulo3Car">
    <w:name w:val="atitulo3 Car"/>
    <w:link w:val="atitulo3"/>
    <w:rsid w:val="00EB7C97"/>
    <w:rPr>
      <w:rFonts w:ascii="Arial" w:hAnsi="Arial"/>
      <w:i/>
      <w:iCs/>
      <w:color w:val="000000"/>
      <w:spacing w:val="10"/>
      <w:kern w:val="28"/>
      <w:sz w:val="25"/>
      <w:szCs w:val="26"/>
      <w:lang w:val="es-ES_tradnl" w:eastAsia="en-US"/>
    </w:rPr>
  </w:style>
  <w:style w:type="paragraph" w:customStyle="1" w:styleId="simple">
    <w:name w:val="simple"/>
    <w:basedOn w:val="Normal"/>
    <w:rsid w:val="00EB7C97"/>
    <w:pPr>
      <w:spacing w:before="100" w:beforeAutospacing="1" w:after="100" w:afterAutospacing="1"/>
      <w:ind w:firstLine="0"/>
      <w:jc w:val="left"/>
    </w:pPr>
    <w:rPr>
      <w:sz w:val="24"/>
      <w:szCs w:val="24"/>
      <w:lang w:val="es-ES" w:eastAsia="es-ES"/>
    </w:rPr>
  </w:style>
  <w:style w:type="character" w:customStyle="1" w:styleId="searchterm">
    <w:name w:val="searchterm"/>
    <w:rsid w:val="00EB7C97"/>
  </w:style>
  <w:style w:type="character" w:customStyle="1" w:styleId="EncabezadoCar">
    <w:name w:val="Encabezado Car"/>
    <w:link w:val="Encabezado"/>
    <w:rsid w:val="00EB7C97"/>
    <w:rPr>
      <w:bCs/>
      <w:caps/>
      <w:sz w:val="14"/>
      <w:szCs w:val="12"/>
      <w:lang w:val="es-ES_tradnl" w:eastAsia="en-US"/>
    </w:rPr>
  </w:style>
  <w:style w:type="paragraph" w:styleId="Sangradetextonormal">
    <w:name w:val="Body Text Indent"/>
    <w:basedOn w:val="Normal"/>
    <w:link w:val="SangradetextonormalCar"/>
    <w:uiPriority w:val="99"/>
    <w:unhideWhenUsed/>
    <w:rsid w:val="00EB7C9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EB7C97"/>
    <w:rPr>
      <w:rFonts w:ascii="Arial" w:hAnsi="Arial"/>
      <w:sz w:val="22"/>
      <w:lang w:val="es-ES_tradnl"/>
    </w:rPr>
  </w:style>
  <w:style w:type="paragraph" w:styleId="Textoindependiente2">
    <w:name w:val="Body Text 2"/>
    <w:basedOn w:val="Normal"/>
    <w:link w:val="Textoindependiente2Car"/>
    <w:uiPriority w:val="99"/>
    <w:unhideWhenUsed/>
    <w:rsid w:val="00EB7C9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B7C97"/>
    <w:rPr>
      <w:rFonts w:ascii="Arial" w:hAnsi="Arial"/>
      <w:lang w:val="es-ES_tradnl"/>
    </w:rPr>
  </w:style>
  <w:style w:type="paragraph" w:styleId="Textoindependiente3">
    <w:name w:val="Body Text 3"/>
    <w:basedOn w:val="Normal"/>
    <w:link w:val="Textoindependiente3Car"/>
    <w:unhideWhenUsed/>
    <w:rsid w:val="00EB7C9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B7C97"/>
    <w:rPr>
      <w:sz w:val="18"/>
      <w:lang w:val="es-ES_tradnl"/>
    </w:rPr>
  </w:style>
  <w:style w:type="paragraph" w:styleId="Sangra2detindependiente">
    <w:name w:val="Body Text Indent 2"/>
    <w:basedOn w:val="Normal"/>
    <w:link w:val="Sangra2detindependienteCar"/>
    <w:uiPriority w:val="99"/>
    <w:unhideWhenUsed/>
    <w:rsid w:val="00EB7C9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B7C97"/>
    <w:rPr>
      <w:rFonts w:ascii="Arial" w:hAnsi="Arial"/>
      <w:lang w:val="es-ES_tradnl"/>
    </w:rPr>
  </w:style>
  <w:style w:type="paragraph" w:styleId="Sangra3detindependiente">
    <w:name w:val="Body Text Indent 3"/>
    <w:basedOn w:val="Normal"/>
    <w:link w:val="Sangra3detindependienteCar"/>
    <w:uiPriority w:val="99"/>
    <w:unhideWhenUsed/>
    <w:rsid w:val="00EB7C9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B7C97"/>
    <w:rPr>
      <w:rFonts w:ascii="Arial" w:hAnsi="Arial"/>
      <w:sz w:val="22"/>
      <w:lang w:val="es-ES_tradnl"/>
    </w:rPr>
  </w:style>
  <w:style w:type="paragraph" w:styleId="Mapadeldocumento">
    <w:name w:val="Document Map"/>
    <w:basedOn w:val="Normal"/>
    <w:link w:val="MapadeldocumentoCar"/>
    <w:unhideWhenUsed/>
    <w:rsid w:val="00EB7C9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EB7C97"/>
    <w:rPr>
      <w:rFonts w:ascii="Tahoma" w:hAnsi="Tahoma"/>
      <w:shd w:val="clear" w:color="auto" w:fill="000080"/>
      <w:lang w:val="es-ES_tradnl"/>
    </w:rPr>
  </w:style>
  <w:style w:type="character" w:customStyle="1" w:styleId="TextodegloboCar">
    <w:name w:val="Texto de globo Car"/>
    <w:link w:val="Textodeglobo"/>
    <w:uiPriority w:val="99"/>
    <w:semiHidden/>
    <w:rsid w:val="00EB7C97"/>
    <w:rPr>
      <w:rFonts w:ascii="Tahoma" w:hAnsi="Tahoma" w:cs="Tahoma"/>
      <w:sz w:val="16"/>
      <w:szCs w:val="16"/>
      <w:lang w:val="es-ES_tradnl" w:eastAsia="en-US"/>
    </w:rPr>
  </w:style>
  <w:style w:type="paragraph" w:customStyle="1" w:styleId="ML">
    <w:name w:val="M/L"/>
    <w:basedOn w:val="Normal"/>
    <w:uiPriority w:val="99"/>
    <w:rsid w:val="00EB7C9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B7C97"/>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EB7C97"/>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EB7C97"/>
    <w:pPr>
      <w:spacing w:before="100" w:beforeAutospacing="1" w:after="100" w:afterAutospacing="1"/>
      <w:ind w:firstLine="0"/>
      <w:jc w:val="left"/>
    </w:pPr>
    <w:rPr>
      <w:sz w:val="24"/>
      <w:szCs w:val="24"/>
      <w:lang w:val="es-ES" w:eastAsia="es-ES"/>
    </w:rPr>
  </w:style>
  <w:style w:type="character" w:customStyle="1" w:styleId="rubrica">
    <w:name w:val="rubrica"/>
    <w:rsid w:val="00EB7C97"/>
  </w:style>
  <w:style w:type="character" w:customStyle="1" w:styleId="highlight">
    <w:name w:val="highlight"/>
    <w:rsid w:val="00EB7C97"/>
  </w:style>
  <w:style w:type="paragraph" w:customStyle="1" w:styleId="PARA">
    <w:name w:val="PARA"/>
    <w:basedOn w:val="Normal"/>
    <w:rsid w:val="00EB7C97"/>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EB7C97"/>
  </w:style>
  <w:style w:type="character" w:customStyle="1" w:styleId="TextonotaalfinalCar">
    <w:name w:val="Texto nota al final Car"/>
    <w:basedOn w:val="Fuentedeprrafopredeter"/>
    <w:link w:val="Textonotaalfinal"/>
    <w:rsid w:val="00EB7C97"/>
    <w:rPr>
      <w:lang w:val="es-ES_tradnl" w:eastAsia="en-US"/>
    </w:rPr>
  </w:style>
  <w:style w:type="character" w:styleId="Refdenotaalfinal">
    <w:name w:val="endnote reference"/>
    <w:rsid w:val="00EB7C97"/>
    <w:rPr>
      <w:vertAlign w:val="superscript"/>
    </w:rPr>
  </w:style>
  <w:style w:type="numbering" w:customStyle="1" w:styleId="Sinlista1">
    <w:name w:val="Sin lista1"/>
    <w:next w:val="Sinlista"/>
    <w:uiPriority w:val="99"/>
    <w:semiHidden/>
    <w:unhideWhenUsed/>
    <w:rsid w:val="00EB7C97"/>
  </w:style>
  <w:style w:type="table" w:customStyle="1" w:styleId="Tablaconcuadrcula1">
    <w:name w:val="Tabla con cuadrícula1"/>
    <w:basedOn w:val="Tablanormal"/>
    <w:next w:val="Tablaconcuadrcula"/>
    <w:uiPriority w:val="59"/>
    <w:rsid w:val="00EB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B7C97"/>
    <w:rPr>
      <w:shd w:val="clear" w:color="auto" w:fill="FCFE7C"/>
    </w:rPr>
  </w:style>
  <w:style w:type="paragraph" w:customStyle="1" w:styleId="anadir1">
    <w:name w:val="anadir1"/>
    <w:basedOn w:val="Normal"/>
    <w:rsid w:val="00EB7C97"/>
    <w:pPr>
      <w:spacing w:after="240"/>
      <w:ind w:right="240" w:firstLine="0"/>
      <w:jc w:val="right"/>
    </w:pPr>
    <w:rPr>
      <w:sz w:val="22"/>
      <w:szCs w:val="22"/>
      <w:lang w:val="es-ES" w:eastAsia="es-ES"/>
    </w:rPr>
  </w:style>
  <w:style w:type="character" w:customStyle="1" w:styleId="textoplanoCar">
    <w:name w:val="texto plano Car"/>
    <w:link w:val="textoplano"/>
    <w:locked/>
    <w:rsid w:val="00EB7C97"/>
    <w:rPr>
      <w:rFonts w:ascii="Arial" w:hAnsi="Arial" w:cs="Arial"/>
      <w:color w:val="000000"/>
      <w:sz w:val="19"/>
      <w:lang w:eastAsia="en-US"/>
    </w:rPr>
  </w:style>
  <w:style w:type="paragraph" w:customStyle="1" w:styleId="textoplano">
    <w:name w:val="texto plano"/>
    <w:basedOn w:val="Normal"/>
    <w:link w:val="textoplanoCar"/>
    <w:qFormat/>
    <w:rsid w:val="00EB7C97"/>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EB7C97"/>
    <w:pPr>
      <w:spacing w:after="0"/>
      <w:ind w:firstLine="0"/>
      <w:jc w:val="left"/>
    </w:pPr>
    <w:rPr>
      <w:sz w:val="24"/>
      <w:szCs w:val="24"/>
      <w:lang w:val="es-ES" w:eastAsia="es-ES"/>
    </w:rPr>
  </w:style>
  <w:style w:type="table" w:styleId="Tablaconcolumnas1">
    <w:name w:val="Table Columns 1"/>
    <w:basedOn w:val="Tablanormal"/>
    <w:rsid w:val="00EB7C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B7C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EB7C97"/>
    <w:rPr>
      <w:sz w:val="16"/>
      <w:szCs w:val="16"/>
    </w:rPr>
  </w:style>
  <w:style w:type="paragraph" w:styleId="Textocomentario">
    <w:name w:val="annotation text"/>
    <w:basedOn w:val="Normal"/>
    <w:link w:val="TextocomentarioCar"/>
    <w:rsid w:val="00EB7C97"/>
  </w:style>
  <w:style w:type="character" w:customStyle="1" w:styleId="TextocomentarioCar">
    <w:name w:val="Texto comentario Car"/>
    <w:basedOn w:val="Fuentedeprrafopredeter"/>
    <w:link w:val="Textocomentario"/>
    <w:rsid w:val="00EB7C97"/>
    <w:rPr>
      <w:lang w:val="es-ES_tradnl" w:eastAsia="en-US"/>
    </w:rPr>
  </w:style>
  <w:style w:type="paragraph" w:styleId="Asuntodelcomentario">
    <w:name w:val="annotation subject"/>
    <w:basedOn w:val="Textocomentario"/>
    <w:next w:val="Textocomentario"/>
    <w:link w:val="AsuntodelcomentarioCar"/>
    <w:rsid w:val="00EB7C97"/>
    <w:rPr>
      <w:b/>
      <w:bCs/>
    </w:rPr>
  </w:style>
  <w:style w:type="character" w:customStyle="1" w:styleId="AsuntodelcomentarioCar">
    <w:name w:val="Asunto del comentario Car"/>
    <w:basedOn w:val="TextocomentarioCar"/>
    <w:link w:val="Asuntodelcomentario"/>
    <w:rsid w:val="00EB7C97"/>
    <w:rPr>
      <w:b/>
      <w:bCs/>
      <w:lang w:val="es-ES_tradnl" w:eastAsia="en-US"/>
    </w:rPr>
  </w:style>
  <w:style w:type="paragraph" w:customStyle="1" w:styleId="tabla10">
    <w:name w:val="tabla10"/>
    <w:rsid w:val="00EB7C97"/>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B7C97"/>
    <w:rPr>
      <w:vanish/>
      <w:webHidden w:val="0"/>
      <w:specVanish w:val="0"/>
    </w:rPr>
  </w:style>
  <w:style w:type="table" w:styleId="Sombreadoclaro">
    <w:name w:val="Light Shading"/>
    <w:aliases w:val="tabla informe"/>
    <w:basedOn w:val="Tablanormal"/>
    <w:uiPriority w:val="60"/>
    <w:rsid w:val="00EB7C97"/>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B7C97"/>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EB7C97"/>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B7C9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B7C97"/>
  </w:style>
  <w:style w:type="character" w:customStyle="1" w:styleId="apple-converted-space">
    <w:name w:val="apple-converted-space"/>
    <w:basedOn w:val="Fuentedeprrafopredeter"/>
    <w:rsid w:val="00EB7C97"/>
  </w:style>
  <w:style w:type="table" w:customStyle="1" w:styleId="Tablaconcuadrcula3">
    <w:name w:val="Tabla con cuadrícula3"/>
    <w:basedOn w:val="Tablanormal"/>
    <w:next w:val="Tablaconcuadrcula"/>
    <w:uiPriority w:val="59"/>
    <w:rsid w:val="00CB5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F26E91"/>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B7C97"/>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EB7C9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B7C97"/>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EB7C97"/>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EB7C97"/>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DD6441"/>
    <w:pPr>
      <w:tabs>
        <w:tab w:val="right" w:leader="dot" w:pos="8945"/>
      </w:tabs>
      <w:spacing w:before="60" w:after="80"/>
      <w:ind w:right="558"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624779"/>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EB7C97"/>
    <w:rPr>
      <w:b/>
      <w:bCs/>
      <w:sz w:val="28"/>
      <w:szCs w:val="28"/>
      <w:lang w:val="es-ES_tradnl" w:eastAsia="en-US"/>
    </w:rPr>
  </w:style>
  <w:style w:type="character" w:customStyle="1" w:styleId="Ttulo6Car">
    <w:name w:val="Título 6 Car"/>
    <w:basedOn w:val="Fuentedeprrafopredeter"/>
    <w:link w:val="Ttulo6"/>
    <w:rsid w:val="00EB7C97"/>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EB7C97"/>
    <w:rPr>
      <w:sz w:val="52"/>
    </w:rPr>
  </w:style>
  <w:style w:type="character" w:customStyle="1" w:styleId="Ttulo8Car">
    <w:name w:val="Título 8 Car"/>
    <w:basedOn w:val="Fuentedeprrafopredeter"/>
    <w:link w:val="Ttulo8"/>
    <w:uiPriority w:val="99"/>
    <w:semiHidden/>
    <w:rsid w:val="00EB7C97"/>
    <w:rPr>
      <w:rFonts w:ascii="Arial" w:hAnsi="Arial"/>
      <w:color w:val="000000"/>
      <w:sz w:val="16"/>
      <w:u w:val="single"/>
    </w:rPr>
  </w:style>
  <w:style w:type="character" w:customStyle="1" w:styleId="Ttulo9Car">
    <w:name w:val="Título 9 Car"/>
    <w:basedOn w:val="Fuentedeprrafopredeter"/>
    <w:link w:val="Ttulo9"/>
    <w:uiPriority w:val="99"/>
    <w:semiHidden/>
    <w:rsid w:val="00EB7C97"/>
    <w:rPr>
      <w:rFonts w:ascii="Arial" w:hAnsi="Arial"/>
      <w:b/>
      <w:color w:val="000000"/>
    </w:rPr>
  </w:style>
  <w:style w:type="character" w:customStyle="1" w:styleId="Ttulo1Car">
    <w:name w:val="Título 1 Car"/>
    <w:basedOn w:val="Fuentedeprrafopredeter"/>
    <w:link w:val="Ttulo1"/>
    <w:uiPriority w:val="99"/>
    <w:rsid w:val="00EB7C97"/>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EB7C97"/>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EB7C97"/>
    <w:rPr>
      <w:rFonts w:ascii="Arial" w:hAnsi="Arial" w:cs="Arial"/>
      <w:b/>
      <w:bCs/>
      <w:szCs w:val="26"/>
      <w:lang w:val="es-ES_tradnl" w:eastAsia="en-US"/>
    </w:rPr>
  </w:style>
  <w:style w:type="character" w:customStyle="1" w:styleId="Ttulo5Car">
    <w:name w:val="Título 5 Car"/>
    <w:basedOn w:val="Fuentedeprrafopredeter"/>
    <w:link w:val="Ttulo5"/>
    <w:uiPriority w:val="99"/>
    <w:rsid w:val="00EB7C97"/>
    <w:rPr>
      <w:b/>
      <w:sz w:val="28"/>
      <w:lang w:eastAsia="en-US"/>
    </w:rPr>
  </w:style>
  <w:style w:type="paragraph" w:styleId="Ttulo">
    <w:name w:val="Title"/>
    <w:basedOn w:val="Normal"/>
    <w:next w:val="Normal"/>
    <w:link w:val="TtuloCar"/>
    <w:uiPriority w:val="10"/>
    <w:qFormat/>
    <w:rsid w:val="00EB7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7C97"/>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EB7C9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B7C97"/>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EB7C97"/>
    <w:rPr>
      <w:rFonts w:cs="Times New Roman"/>
      <w:b/>
    </w:rPr>
  </w:style>
  <w:style w:type="character" w:styleId="nfasis">
    <w:name w:val="Emphasis"/>
    <w:basedOn w:val="Fuentedeprrafopredeter"/>
    <w:uiPriority w:val="99"/>
    <w:qFormat/>
    <w:rsid w:val="00EB7C97"/>
    <w:rPr>
      <w:rFonts w:cs="Times New Roman"/>
      <w:i/>
      <w:iCs/>
    </w:rPr>
  </w:style>
  <w:style w:type="paragraph" w:styleId="Prrafodelista">
    <w:name w:val="List Paragraph"/>
    <w:basedOn w:val="Normal"/>
    <w:uiPriority w:val="34"/>
    <w:qFormat/>
    <w:rsid w:val="00EB7C97"/>
    <w:pPr>
      <w:ind w:left="720"/>
      <w:contextualSpacing/>
    </w:pPr>
  </w:style>
  <w:style w:type="paragraph" w:styleId="Cita">
    <w:name w:val="Quote"/>
    <w:basedOn w:val="Normal"/>
    <w:next w:val="Normal"/>
    <w:link w:val="CitaCar"/>
    <w:uiPriority w:val="29"/>
    <w:qFormat/>
    <w:rsid w:val="00EB7C97"/>
    <w:rPr>
      <w:i/>
      <w:iCs/>
      <w:color w:val="000000" w:themeColor="text1"/>
    </w:rPr>
  </w:style>
  <w:style w:type="character" w:customStyle="1" w:styleId="CitaCar">
    <w:name w:val="Cita Car"/>
    <w:basedOn w:val="Fuentedeprrafopredeter"/>
    <w:link w:val="Cita"/>
    <w:uiPriority w:val="29"/>
    <w:rsid w:val="00EB7C97"/>
    <w:rPr>
      <w:i/>
      <w:iCs/>
      <w:color w:val="000000" w:themeColor="text1"/>
      <w:lang w:val="es-ES_tradnl" w:eastAsia="en-US"/>
    </w:rPr>
  </w:style>
  <w:style w:type="character" w:styleId="nfasissutil">
    <w:name w:val="Subtle Emphasis"/>
    <w:basedOn w:val="Fuentedeprrafopredeter"/>
    <w:uiPriority w:val="19"/>
    <w:qFormat/>
    <w:rsid w:val="00EB7C97"/>
    <w:rPr>
      <w:i/>
      <w:iCs/>
      <w:color w:val="808080" w:themeColor="text1" w:themeTint="7F"/>
    </w:rPr>
  </w:style>
  <w:style w:type="character" w:styleId="nfasisintenso">
    <w:name w:val="Intense Emphasis"/>
    <w:basedOn w:val="Fuentedeprrafopredeter"/>
    <w:uiPriority w:val="21"/>
    <w:qFormat/>
    <w:rsid w:val="00EB7C97"/>
    <w:rPr>
      <w:b/>
      <w:bCs/>
      <w:i/>
      <w:iCs/>
      <w:color w:val="4F81BD" w:themeColor="accent1"/>
    </w:rPr>
  </w:style>
  <w:style w:type="character" w:styleId="Referenciasutil">
    <w:name w:val="Subtle Reference"/>
    <w:basedOn w:val="Fuentedeprrafopredeter"/>
    <w:uiPriority w:val="31"/>
    <w:qFormat/>
    <w:rsid w:val="00EB7C97"/>
    <w:rPr>
      <w:smallCaps/>
      <w:color w:val="C0504D" w:themeColor="accent2"/>
      <w:u w:val="single"/>
    </w:rPr>
  </w:style>
  <w:style w:type="character" w:styleId="Referenciaintensa">
    <w:name w:val="Intense Reference"/>
    <w:basedOn w:val="Fuentedeprrafopredeter"/>
    <w:uiPriority w:val="32"/>
    <w:qFormat/>
    <w:rsid w:val="00EB7C97"/>
    <w:rPr>
      <w:b/>
      <w:bCs/>
      <w:smallCaps/>
      <w:color w:val="C0504D" w:themeColor="accent2"/>
      <w:spacing w:val="5"/>
      <w:u w:val="single"/>
    </w:rPr>
  </w:style>
  <w:style w:type="character" w:customStyle="1" w:styleId="atitulo2Car">
    <w:name w:val="atitulo2 Car"/>
    <w:link w:val="atitulo2"/>
    <w:locked/>
    <w:rsid w:val="00EB7C97"/>
    <w:rPr>
      <w:rFonts w:ascii="Arial" w:hAnsi="Arial"/>
      <w:bCs/>
      <w:iCs/>
      <w:color w:val="000000"/>
      <w:spacing w:val="10"/>
      <w:kern w:val="28"/>
      <w:sz w:val="25"/>
      <w:szCs w:val="26"/>
      <w:lang w:val="es-ES_tradnl" w:eastAsia="en-US"/>
    </w:rPr>
  </w:style>
  <w:style w:type="character" w:customStyle="1" w:styleId="recomenCar">
    <w:name w:val="recomen Car"/>
    <w:link w:val="recomen"/>
    <w:rsid w:val="00EB7C97"/>
    <w:rPr>
      <w:i/>
      <w:spacing w:val="6"/>
      <w:sz w:val="26"/>
      <w:szCs w:val="24"/>
      <w:lang w:eastAsia="en-US"/>
    </w:rPr>
  </w:style>
  <w:style w:type="paragraph" w:styleId="Textonotapie">
    <w:name w:val="footnote text"/>
    <w:basedOn w:val="Normal"/>
    <w:link w:val="TextonotapieCar"/>
    <w:rsid w:val="00EB7C97"/>
  </w:style>
  <w:style w:type="character" w:customStyle="1" w:styleId="TextonotapieCar">
    <w:name w:val="Texto nota pie Car"/>
    <w:basedOn w:val="Fuentedeprrafopredeter"/>
    <w:link w:val="Textonotapie"/>
    <w:rsid w:val="00EB7C97"/>
    <w:rPr>
      <w:lang w:val="es-ES_tradnl" w:eastAsia="en-US"/>
    </w:rPr>
  </w:style>
  <w:style w:type="character" w:styleId="Refdenotaalpie">
    <w:name w:val="footnote reference"/>
    <w:rsid w:val="00EB7C97"/>
    <w:rPr>
      <w:vertAlign w:val="superscript"/>
    </w:rPr>
  </w:style>
  <w:style w:type="paragraph" w:customStyle="1" w:styleId="cuatitul">
    <w:name w:val="cuatitul"/>
    <w:basedOn w:val="Normal"/>
    <w:rsid w:val="00EB7C97"/>
    <w:pPr>
      <w:spacing w:after="60"/>
      <w:ind w:firstLine="0"/>
      <w:jc w:val="center"/>
    </w:pPr>
    <w:rPr>
      <w:rFonts w:ascii="GillSans" w:hAnsi="GillSans"/>
      <w:sz w:val="22"/>
      <w:lang w:eastAsia="es-ES"/>
    </w:rPr>
  </w:style>
  <w:style w:type="paragraph" w:customStyle="1" w:styleId="Tabla">
    <w:name w:val="Tabla"/>
    <w:basedOn w:val="Normal"/>
    <w:rsid w:val="00EB7C97"/>
    <w:pPr>
      <w:spacing w:after="0"/>
      <w:ind w:firstLine="0"/>
    </w:pPr>
    <w:rPr>
      <w:rFonts w:ascii="Arial" w:hAnsi="Arial"/>
      <w:sz w:val="16"/>
      <w:lang w:eastAsia="es-ES"/>
    </w:rPr>
  </w:style>
  <w:style w:type="table" w:styleId="Tablaelegante">
    <w:name w:val="Table Elegant"/>
    <w:basedOn w:val="Tablanormal"/>
    <w:rsid w:val="00EB7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B7C9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B7C97"/>
    <w:rPr>
      <w:rFonts w:ascii="Arial" w:hAnsi="Arial"/>
      <w:sz w:val="24"/>
      <w:lang w:val="es-ES_tradnl"/>
    </w:rPr>
  </w:style>
  <w:style w:type="paragraph" w:customStyle="1" w:styleId="recomendaciones">
    <w:name w:val="recomendaciones"/>
    <w:rsid w:val="00EB7C97"/>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EB7C97"/>
    <w:pPr>
      <w:spacing w:after="240"/>
      <w:ind w:firstLine="0"/>
    </w:pPr>
    <w:rPr>
      <w:b/>
      <w:bCs/>
      <w:caps/>
      <w:sz w:val="24"/>
      <w:szCs w:val="24"/>
      <w:lang w:val="es-ES" w:eastAsia="es-ES"/>
    </w:rPr>
  </w:style>
  <w:style w:type="paragraph" w:customStyle="1" w:styleId="Default">
    <w:name w:val="Default"/>
    <w:rsid w:val="00EB7C9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B7C97"/>
    <w:pPr>
      <w:spacing w:line="201" w:lineRule="atLeast"/>
    </w:pPr>
    <w:rPr>
      <w:rFonts w:cs="Times New Roman"/>
      <w:color w:val="auto"/>
    </w:rPr>
  </w:style>
  <w:style w:type="character" w:customStyle="1" w:styleId="A5">
    <w:name w:val="A5"/>
    <w:rsid w:val="00EB7C97"/>
    <w:rPr>
      <w:rFonts w:cs="Arial"/>
      <w:color w:val="000000"/>
      <w:sz w:val="16"/>
      <w:szCs w:val="16"/>
    </w:rPr>
  </w:style>
  <w:style w:type="paragraph" w:customStyle="1" w:styleId="Estndar">
    <w:name w:val="Estándar"/>
    <w:rsid w:val="00EB7C97"/>
    <w:pPr>
      <w:snapToGrid w:val="0"/>
    </w:pPr>
    <w:rPr>
      <w:rFonts w:ascii="CG Omega" w:hAnsi="CG Omega"/>
      <w:color w:val="000000"/>
      <w:sz w:val="22"/>
    </w:rPr>
  </w:style>
  <w:style w:type="paragraph" w:styleId="NormalWeb">
    <w:name w:val="Normal (Web)"/>
    <w:basedOn w:val="Normal"/>
    <w:uiPriority w:val="99"/>
    <w:rsid w:val="00EB7C97"/>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EB7C97"/>
    <w:pPr>
      <w:spacing w:line="201" w:lineRule="atLeast"/>
    </w:pPr>
    <w:rPr>
      <w:rFonts w:cs="Times New Roman"/>
      <w:color w:val="auto"/>
    </w:rPr>
  </w:style>
  <w:style w:type="paragraph" w:customStyle="1" w:styleId="foral-f-parrafo-c">
    <w:name w:val="foral-f-parrafo-c"/>
    <w:basedOn w:val="Normal"/>
    <w:uiPriority w:val="99"/>
    <w:rsid w:val="00EB7C97"/>
    <w:pPr>
      <w:spacing w:after="240"/>
      <w:ind w:firstLine="0"/>
      <w:jc w:val="left"/>
    </w:pPr>
    <w:rPr>
      <w:sz w:val="24"/>
      <w:szCs w:val="24"/>
      <w:lang w:val="es-ES" w:eastAsia="es-ES"/>
    </w:rPr>
  </w:style>
  <w:style w:type="paragraph" w:customStyle="1" w:styleId="foral-f-parrafo-3lineas-t5-c">
    <w:name w:val="foral-f-parrafo-3lineas-t5-c"/>
    <w:basedOn w:val="Normal"/>
    <w:rsid w:val="00EB7C97"/>
    <w:pPr>
      <w:spacing w:after="240"/>
      <w:ind w:firstLine="0"/>
      <w:jc w:val="left"/>
    </w:pPr>
    <w:rPr>
      <w:sz w:val="24"/>
      <w:szCs w:val="24"/>
      <w:lang w:val="es-ES" w:eastAsia="es-ES"/>
    </w:rPr>
  </w:style>
  <w:style w:type="paragraph" w:customStyle="1" w:styleId="aaa">
    <w:name w:val="aaa"/>
    <w:basedOn w:val="Normal"/>
    <w:rsid w:val="00EB7C9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B7C9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B7C97"/>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EB7C97"/>
    <w:rPr>
      <w:color w:val="800080"/>
      <w:u w:val="single"/>
    </w:rPr>
  </w:style>
  <w:style w:type="paragraph" w:customStyle="1" w:styleId="xa1">
    <w:name w:val="xa1"/>
    <w:basedOn w:val="Normal"/>
    <w:rsid w:val="00EB7C97"/>
    <w:pPr>
      <w:spacing w:after="240"/>
      <w:ind w:left="200" w:right="50" w:firstLine="0"/>
    </w:pPr>
    <w:rPr>
      <w:sz w:val="24"/>
      <w:szCs w:val="24"/>
      <w:lang w:val="es-ES" w:eastAsia="es-ES"/>
    </w:rPr>
  </w:style>
  <w:style w:type="paragraph" w:customStyle="1" w:styleId="xl1">
    <w:name w:val="xl1"/>
    <w:basedOn w:val="Normal"/>
    <w:rsid w:val="00EB7C97"/>
    <w:pPr>
      <w:spacing w:after="240"/>
      <w:ind w:left="200" w:right="50" w:hanging="150"/>
    </w:pPr>
    <w:rPr>
      <w:sz w:val="24"/>
      <w:szCs w:val="24"/>
      <w:lang w:val="es-ES" w:eastAsia="es-ES"/>
    </w:rPr>
  </w:style>
  <w:style w:type="paragraph" w:customStyle="1" w:styleId="xl2">
    <w:name w:val="xl2"/>
    <w:basedOn w:val="Normal"/>
    <w:rsid w:val="00EB7C97"/>
    <w:pPr>
      <w:spacing w:after="240"/>
      <w:ind w:left="350" w:right="50" w:hanging="150"/>
    </w:pPr>
    <w:rPr>
      <w:sz w:val="24"/>
      <w:szCs w:val="24"/>
      <w:lang w:val="es-ES" w:eastAsia="es-ES"/>
    </w:rPr>
  </w:style>
  <w:style w:type="character" w:customStyle="1" w:styleId="searchterm2">
    <w:name w:val="searchterm2"/>
    <w:rsid w:val="00EB7C97"/>
    <w:rPr>
      <w:b/>
      <w:bCs/>
      <w:color w:val="000000"/>
      <w:shd w:val="clear" w:color="auto" w:fill="FFFFBF"/>
    </w:rPr>
  </w:style>
  <w:style w:type="paragraph" w:customStyle="1" w:styleId="Pa7">
    <w:name w:val="Pa7"/>
    <w:basedOn w:val="Default"/>
    <w:next w:val="Default"/>
    <w:uiPriority w:val="99"/>
    <w:rsid w:val="00EB7C97"/>
    <w:pPr>
      <w:spacing w:line="201" w:lineRule="atLeast"/>
    </w:pPr>
    <w:rPr>
      <w:rFonts w:cs="Times New Roman"/>
      <w:color w:val="auto"/>
    </w:rPr>
  </w:style>
  <w:style w:type="character" w:customStyle="1" w:styleId="PiedepginaCar">
    <w:name w:val="Pie de página Car"/>
    <w:link w:val="Piedepgina"/>
    <w:uiPriority w:val="99"/>
    <w:rsid w:val="00EB7C97"/>
    <w:rPr>
      <w:spacing w:val="6"/>
      <w:lang w:val="es-ES_tradnl" w:eastAsia="en-US"/>
    </w:rPr>
  </w:style>
  <w:style w:type="paragraph" w:customStyle="1" w:styleId="ParrafoClausulas">
    <w:name w:val="ParrafoClausulas"/>
    <w:basedOn w:val="Normal"/>
    <w:rsid w:val="00EB7C9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B7C97"/>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EB7C97"/>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EB7C97"/>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EB7C97"/>
    <w:rPr>
      <w:rFonts w:ascii="Arial" w:hAnsi="Arial" w:cs="Arial"/>
      <w:b/>
      <w:bCs/>
      <w:sz w:val="18"/>
      <w:lang w:val="es-MX"/>
    </w:rPr>
  </w:style>
  <w:style w:type="paragraph" w:customStyle="1" w:styleId="Cuadropequea9izda12">
    <w:name w:val="Cuadro pequeña 9 izda12"/>
    <w:basedOn w:val="Normal"/>
    <w:link w:val="Cuadropequea9izda12Car"/>
    <w:autoRedefine/>
    <w:rsid w:val="00EB7C97"/>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EB7C97"/>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EB7C9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EB7C97"/>
    <w:rPr>
      <w:rFonts w:ascii="Arial" w:hAnsi="Arial" w:cs="Arial" w:hint="default"/>
      <w:b/>
      <w:bCs w:val="0"/>
      <w:snapToGrid/>
      <w:position w:val="6"/>
      <w:sz w:val="18"/>
      <w:lang w:val="es-MX" w:eastAsia="es-ES" w:bidi="ar-SA"/>
    </w:rPr>
  </w:style>
  <w:style w:type="character" w:customStyle="1" w:styleId="atitulo3Car">
    <w:name w:val="atitulo3 Car"/>
    <w:link w:val="atitulo3"/>
    <w:rsid w:val="00EB7C97"/>
    <w:rPr>
      <w:rFonts w:ascii="Arial" w:hAnsi="Arial"/>
      <w:i/>
      <w:iCs/>
      <w:color w:val="000000"/>
      <w:spacing w:val="10"/>
      <w:kern w:val="28"/>
      <w:sz w:val="25"/>
      <w:szCs w:val="26"/>
      <w:lang w:val="es-ES_tradnl" w:eastAsia="en-US"/>
    </w:rPr>
  </w:style>
  <w:style w:type="paragraph" w:customStyle="1" w:styleId="simple">
    <w:name w:val="simple"/>
    <w:basedOn w:val="Normal"/>
    <w:rsid w:val="00EB7C97"/>
    <w:pPr>
      <w:spacing w:before="100" w:beforeAutospacing="1" w:after="100" w:afterAutospacing="1"/>
      <w:ind w:firstLine="0"/>
      <w:jc w:val="left"/>
    </w:pPr>
    <w:rPr>
      <w:sz w:val="24"/>
      <w:szCs w:val="24"/>
      <w:lang w:val="es-ES" w:eastAsia="es-ES"/>
    </w:rPr>
  </w:style>
  <w:style w:type="character" w:customStyle="1" w:styleId="searchterm">
    <w:name w:val="searchterm"/>
    <w:rsid w:val="00EB7C97"/>
  </w:style>
  <w:style w:type="character" w:customStyle="1" w:styleId="EncabezadoCar">
    <w:name w:val="Encabezado Car"/>
    <w:link w:val="Encabezado"/>
    <w:rsid w:val="00EB7C97"/>
    <w:rPr>
      <w:bCs/>
      <w:caps/>
      <w:sz w:val="14"/>
      <w:szCs w:val="12"/>
      <w:lang w:val="es-ES_tradnl" w:eastAsia="en-US"/>
    </w:rPr>
  </w:style>
  <w:style w:type="paragraph" w:styleId="Sangradetextonormal">
    <w:name w:val="Body Text Indent"/>
    <w:basedOn w:val="Normal"/>
    <w:link w:val="SangradetextonormalCar"/>
    <w:uiPriority w:val="99"/>
    <w:unhideWhenUsed/>
    <w:rsid w:val="00EB7C9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EB7C97"/>
    <w:rPr>
      <w:rFonts w:ascii="Arial" w:hAnsi="Arial"/>
      <w:sz w:val="22"/>
      <w:lang w:val="es-ES_tradnl"/>
    </w:rPr>
  </w:style>
  <w:style w:type="paragraph" w:styleId="Textoindependiente2">
    <w:name w:val="Body Text 2"/>
    <w:basedOn w:val="Normal"/>
    <w:link w:val="Textoindependiente2Car"/>
    <w:uiPriority w:val="99"/>
    <w:unhideWhenUsed/>
    <w:rsid w:val="00EB7C9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B7C97"/>
    <w:rPr>
      <w:rFonts w:ascii="Arial" w:hAnsi="Arial"/>
      <w:lang w:val="es-ES_tradnl"/>
    </w:rPr>
  </w:style>
  <w:style w:type="paragraph" w:styleId="Textoindependiente3">
    <w:name w:val="Body Text 3"/>
    <w:basedOn w:val="Normal"/>
    <w:link w:val="Textoindependiente3Car"/>
    <w:unhideWhenUsed/>
    <w:rsid w:val="00EB7C9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B7C97"/>
    <w:rPr>
      <w:sz w:val="18"/>
      <w:lang w:val="es-ES_tradnl"/>
    </w:rPr>
  </w:style>
  <w:style w:type="paragraph" w:styleId="Sangra2detindependiente">
    <w:name w:val="Body Text Indent 2"/>
    <w:basedOn w:val="Normal"/>
    <w:link w:val="Sangra2detindependienteCar"/>
    <w:uiPriority w:val="99"/>
    <w:unhideWhenUsed/>
    <w:rsid w:val="00EB7C9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B7C97"/>
    <w:rPr>
      <w:rFonts w:ascii="Arial" w:hAnsi="Arial"/>
      <w:lang w:val="es-ES_tradnl"/>
    </w:rPr>
  </w:style>
  <w:style w:type="paragraph" w:styleId="Sangra3detindependiente">
    <w:name w:val="Body Text Indent 3"/>
    <w:basedOn w:val="Normal"/>
    <w:link w:val="Sangra3detindependienteCar"/>
    <w:uiPriority w:val="99"/>
    <w:unhideWhenUsed/>
    <w:rsid w:val="00EB7C9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B7C97"/>
    <w:rPr>
      <w:rFonts w:ascii="Arial" w:hAnsi="Arial"/>
      <w:sz w:val="22"/>
      <w:lang w:val="es-ES_tradnl"/>
    </w:rPr>
  </w:style>
  <w:style w:type="paragraph" w:styleId="Mapadeldocumento">
    <w:name w:val="Document Map"/>
    <w:basedOn w:val="Normal"/>
    <w:link w:val="MapadeldocumentoCar"/>
    <w:unhideWhenUsed/>
    <w:rsid w:val="00EB7C9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EB7C97"/>
    <w:rPr>
      <w:rFonts w:ascii="Tahoma" w:hAnsi="Tahoma"/>
      <w:shd w:val="clear" w:color="auto" w:fill="000080"/>
      <w:lang w:val="es-ES_tradnl"/>
    </w:rPr>
  </w:style>
  <w:style w:type="character" w:customStyle="1" w:styleId="TextodegloboCar">
    <w:name w:val="Texto de globo Car"/>
    <w:link w:val="Textodeglobo"/>
    <w:uiPriority w:val="99"/>
    <w:semiHidden/>
    <w:rsid w:val="00EB7C97"/>
    <w:rPr>
      <w:rFonts w:ascii="Tahoma" w:hAnsi="Tahoma" w:cs="Tahoma"/>
      <w:sz w:val="16"/>
      <w:szCs w:val="16"/>
      <w:lang w:val="es-ES_tradnl" w:eastAsia="en-US"/>
    </w:rPr>
  </w:style>
  <w:style w:type="paragraph" w:customStyle="1" w:styleId="ML">
    <w:name w:val="M/L"/>
    <w:basedOn w:val="Normal"/>
    <w:uiPriority w:val="99"/>
    <w:rsid w:val="00EB7C9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B7C97"/>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EB7C97"/>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EB7C97"/>
    <w:pPr>
      <w:spacing w:before="100" w:beforeAutospacing="1" w:after="100" w:afterAutospacing="1"/>
      <w:ind w:firstLine="0"/>
      <w:jc w:val="left"/>
    </w:pPr>
    <w:rPr>
      <w:sz w:val="24"/>
      <w:szCs w:val="24"/>
      <w:lang w:val="es-ES" w:eastAsia="es-ES"/>
    </w:rPr>
  </w:style>
  <w:style w:type="character" w:customStyle="1" w:styleId="rubrica">
    <w:name w:val="rubrica"/>
    <w:rsid w:val="00EB7C97"/>
  </w:style>
  <w:style w:type="character" w:customStyle="1" w:styleId="highlight">
    <w:name w:val="highlight"/>
    <w:rsid w:val="00EB7C97"/>
  </w:style>
  <w:style w:type="paragraph" w:customStyle="1" w:styleId="PARA">
    <w:name w:val="PARA"/>
    <w:basedOn w:val="Normal"/>
    <w:rsid w:val="00EB7C97"/>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EB7C97"/>
  </w:style>
  <w:style w:type="character" w:customStyle="1" w:styleId="TextonotaalfinalCar">
    <w:name w:val="Texto nota al final Car"/>
    <w:basedOn w:val="Fuentedeprrafopredeter"/>
    <w:link w:val="Textonotaalfinal"/>
    <w:rsid w:val="00EB7C97"/>
    <w:rPr>
      <w:lang w:val="es-ES_tradnl" w:eastAsia="en-US"/>
    </w:rPr>
  </w:style>
  <w:style w:type="character" w:styleId="Refdenotaalfinal">
    <w:name w:val="endnote reference"/>
    <w:rsid w:val="00EB7C97"/>
    <w:rPr>
      <w:vertAlign w:val="superscript"/>
    </w:rPr>
  </w:style>
  <w:style w:type="numbering" w:customStyle="1" w:styleId="Sinlista1">
    <w:name w:val="Sin lista1"/>
    <w:next w:val="Sinlista"/>
    <w:uiPriority w:val="99"/>
    <w:semiHidden/>
    <w:unhideWhenUsed/>
    <w:rsid w:val="00EB7C97"/>
  </w:style>
  <w:style w:type="table" w:customStyle="1" w:styleId="Tablaconcuadrcula1">
    <w:name w:val="Tabla con cuadrícula1"/>
    <w:basedOn w:val="Tablanormal"/>
    <w:next w:val="Tablaconcuadrcula"/>
    <w:uiPriority w:val="59"/>
    <w:rsid w:val="00EB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B7C97"/>
    <w:rPr>
      <w:shd w:val="clear" w:color="auto" w:fill="FCFE7C"/>
    </w:rPr>
  </w:style>
  <w:style w:type="paragraph" w:customStyle="1" w:styleId="anadir1">
    <w:name w:val="anadir1"/>
    <w:basedOn w:val="Normal"/>
    <w:rsid w:val="00EB7C97"/>
    <w:pPr>
      <w:spacing w:after="240"/>
      <w:ind w:right="240" w:firstLine="0"/>
      <w:jc w:val="right"/>
    </w:pPr>
    <w:rPr>
      <w:sz w:val="22"/>
      <w:szCs w:val="22"/>
      <w:lang w:val="es-ES" w:eastAsia="es-ES"/>
    </w:rPr>
  </w:style>
  <w:style w:type="character" w:customStyle="1" w:styleId="textoplanoCar">
    <w:name w:val="texto plano Car"/>
    <w:link w:val="textoplano"/>
    <w:locked/>
    <w:rsid w:val="00EB7C97"/>
    <w:rPr>
      <w:rFonts w:ascii="Arial" w:hAnsi="Arial" w:cs="Arial"/>
      <w:color w:val="000000"/>
      <w:sz w:val="19"/>
      <w:lang w:eastAsia="en-US"/>
    </w:rPr>
  </w:style>
  <w:style w:type="paragraph" w:customStyle="1" w:styleId="textoplano">
    <w:name w:val="texto plano"/>
    <w:basedOn w:val="Normal"/>
    <w:link w:val="textoplanoCar"/>
    <w:qFormat/>
    <w:rsid w:val="00EB7C97"/>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EB7C97"/>
    <w:pPr>
      <w:spacing w:after="0"/>
      <w:ind w:firstLine="0"/>
      <w:jc w:val="left"/>
    </w:pPr>
    <w:rPr>
      <w:sz w:val="24"/>
      <w:szCs w:val="24"/>
      <w:lang w:val="es-ES" w:eastAsia="es-ES"/>
    </w:rPr>
  </w:style>
  <w:style w:type="table" w:styleId="Tablaconcolumnas1">
    <w:name w:val="Table Columns 1"/>
    <w:basedOn w:val="Tablanormal"/>
    <w:rsid w:val="00EB7C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B7C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B7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EB7C97"/>
    <w:rPr>
      <w:sz w:val="16"/>
      <w:szCs w:val="16"/>
    </w:rPr>
  </w:style>
  <w:style w:type="paragraph" w:styleId="Textocomentario">
    <w:name w:val="annotation text"/>
    <w:basedOn w:val="Normal"/>
    <w:link w:val="TextocomentarioCar"/>
    <w:rsid w:val="00EB7C97"/>
  </w:style>
  <w:style w:type="character" w:customStyle="1" w:styleId="TextocomentarioCar">
    <w:name w:val="Texto comentario Car"/>
    <w:basedOn w:val="Fuentedeprrafopredeter"/>
    <w:link w:val="Textocomentario"/>
    <w:rsid w:val="00EB7C97"/>
    <w:rPr>
      <w:lang w:val="es-ES_tradnl" w:eastAsia="en-US"/>
    </w:rPr>
  </w:style>
  <w:style w:type="paragraph" w:styleId="Asuntodelcomentario">
    <w:name w:val="annotation subject"/>
    <w:basedOn w:val="Textocomentario"/>
    <w:next w:val="Textocomentario"/>
    <w:link w:val="AsuntodelcomentarioCar"/>
    <w:rsid w:val="00EB7C97"/>
    <w:rPr>
      <w:b/>
      <w:bCs/>
    </w:rPr>
  </w:style>
  <w:style w:type="character" w:customStyle="1" w:styleId="AsuntodelcomentarioCar">
    <w:name w:val="Asunto del comentario Car"/>
    <w:basedOn w:val="TextocomentarioCar"/>
    <w:link w:val="Asuntodelcomentario"/>
    <w:rsid w:val="00EB7C97"/>
    <w:rPr>
      <w:b/>
      <w:bCs/>
      <w:lang w:val="es-ES_tradnl" w:eastAsia="en-US"/>
    </w:rPr>
  </w:style>
  <w:style w:type="paragraph" w:customStyle="1" w:styleId="tabla10">
    <w:name w:val="tabla10"/>
    <w:rsid w:val="00EB7C97"/>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B7C97"/>
    <w:rPr>
      <w:vanish/>
      <w:webHidden w:val="0"/>
      <w:specVanish w:val="0"/>
    </w:rPr>
  </w:style>
  <w:style w:type="table" w:styleId="Sombreadoclaro">
    <w:name w:val="Light Shading"/>
    <w:aliases w:val="tabla informe"/>
    <w:basedOn w:val="Tablanormal"/>
    <w:uiPriority w:val="60"/>
    <w:rsid w:val="00EB7C97"/>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B7C97"/>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EB7C97"/>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B7C9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B7C97"/>
  </w:style>
  <w:style w:type="character" w:customStyle="1" w:styleId="apple-converted-space">
    <w:name w:val="apple-converted-space"/>
    <w:basedOn w:val="Fuentedeprrafopredeter"/>
    <w:rsid w:val="00EB7C97"/>
  </w:style>
  <w:style w:type="table" w:customStyle="1" w:styleId="Tablaconcuadrcula3">
    <w:name w:val="Tabla con cuadrícula3"/>
    <w:basedOn w:val="Tablanormal"/>
    <w:next w:val="Tablaconcuadrcula"/>
    <w:uiPriority w:val="59"/>
    <w:rsid w:val="00CB5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F26E91"/>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8927">
      <w:bodyDiv w:val="1"/>
      <w:marLeft w:val="0"/>
      <w:marRight w:val="0"/>
      <w:marTop w:val="0"/>
      <w:marBottom w:val="0"/>
      <w:divBdr>
        <w:top w:val="none" w:sz="0" w:space="0" w:color="auto"/>
        <w:left w:val="none" w:sz="0" w:space="0" w:color="auto"/>
        <w:bottom w:val="none" w:sz="0" w:space="0" w:color="auto"/>
        <w:right w:val="none" w:sz="0" w:space="0" w:color="auto"/>
      </w:divBdr>
    </w:div>
    <w:div w:id="1240484368">
      <w:bodyDiv w:val="1"/>
      <w:marLeft w:val="0"/>
      <w:marRight w:val="0"/>
      <w:marTop w:val="0"/>
      <w:marBottom w:val="0"/>
      <w:divBdr>
        <w:top w:val="none" w:sz="0" w:space="0" w:color="auto"/>
        <w:left w:val="none" w:sz="0" w:space="0" w:color="auto"/>
        <w:bottom w:val="none" w:sz="0" w:space="0" w:color="auto"/>
        <w:right w:val="none" w:sz="0" w:space="0" w:color="auto"/>
      </w:divBdr>
    </w:div>
    <w:div w:id="1507793653">
      <w:bodyDiv w:val="1"/>
      <w:marLeft w:val="0"/>
      <w:marRight w:val="0"/>
      <w:marTop w:val="0"/>
      <w:marBottom w:val="0"/>
      <w:divBdr>
        <w:top w:val="none" w:sz="0" w:space="0" w:color="auto"/>
        <w:left w:val="none" w:sz="0" w:space="0" w:color="auto"/>
        <w:bottom w:val="none" w:sz="0" w:space="0" w:color="auto"/>
        <w:right w:val="none" w:sz="0" w:space="0" w:color="auto"/>
      </w:divBdr>
    </w:div>
    <w:div w:id="15998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gobiernoabierto.navarra.es/es/open-data/datos/publicidad-institucional-2016"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varra.es/home_es/Gobierno+de+Navarra/Presupuesto/Cuentas/Cuentas+201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9C0E-7406-4001-A484-56BE576E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27951</Words>
  <Characters>155189</Characters>
  <Application>Microsoft Office Word</Application>
  <DocSecurity>4</DocSecurity>
  <Lines>1293</Lines>
  <Paragraphs>365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182775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cp:revision>
  <cp:lastPrinted>2017-11-16T08:40:00Z</cp:lastPrinted>
  <dcterms:created xsi:type="dcterms:W3CDTF">2017-11-17T10:44:00Z</dcterms:created>
  <dcterms:modified xsi:type="dcterms:W3CDTF">2017-11-17T10:44:00Z</dcterms:modified>
</cp:coreProperties>
</file>