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edida en la que puede afectar la subida del tipo de interés, por parte del Banco Central Europeo, a las emisiones de deuda y contratación de préstamos realizados a lo largo de esta legislatura y a la próxima amortización de 240 millones de euros que Navarra debe afrontar, formulada por la Ilma. Sra. D.ª Laura Lucía Pérez Rua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ra Pérez Ruano, Parlamentaria Foral adscrita al Grupo Podemos-Ahal Dugu, al amparo de lo dispuesto en el Reglamento de esta Cámara presenta la siguiente pregunta, a fin de que sea respondida en el próximo Pleno de la Cámara por parte del Sr. Consejero de Hacienda y Política Financiera de Gobierno de Navarra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Durante estas últimas semanas se están sucediendo una serie de informaciones, en medios de prensa especializada, sobre diferentes análisis de entidades financieras y agencias de calificación, todos ellos coincidentes en que para finales de este año 2018 o principios del 2019 el Banco Central Europeo va a proceder a subir los tipos de interé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medida afectaría está circunstancia a las emisiones de deuda y contratación de préstamos realizados a lo largo de esta legislatura y hasta qué punto estas subidas de tipos de interés condicionarían la estrategia de cara a la próxima amortización de este año, en los meses de junio y octubre, de 240 millones de euros que Navarra debe afronta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8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Laura Pérez Ruan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