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medida en la que puede afectar la subida del tipo de interés, por parte del Banco Central Europeo, a las emisiones de deuda y contratación de préstamos realizados a lo largo de esta legislatura y a la próxima amortización de 240 millones de euros que Navarra debe afrontar, formulada por la Ilma. Sra. D.ª Laura Lucía Pérez Rua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ra Pérez Ruano, Parlamentaria Foral adscrita al Grupo Podemos-Ahal Dugu, al amparo de lo dispuesto en el Reglamento de esta Cámara presenta la siguiente pregunta, a fin de que sea respondida en el próximo Pleno de la Cámara por parte del Sr. Consejero de Hacienda y Política Financiera de Gobierno de Navarra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Durante estas últimas semanas se están sucediendo una serie de informaciones, en medios de prensa especializada, sobre diferentes análisis de entidades financieras y agencias de calificación, todos ellos coincidentes en que para finales de este año 2018 o principios del 2019 el Banco Central Europeo va a proceder a subir los tipos de interé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medida afectaría está circunstancia a las emisiones de deuda y contratación de préstamos realizados a lo largo de esta legislatura y hasta qué punto estas subidas de tipos de interés condicionarían la estrategia de cara a la próxima amortización de este año, en los meses de junio y octubre, de 240 millones de euros que Navarra debe afronta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8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Laura Pérez Ruan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