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cumplir con sus obligaciones internacionales para garantizar el derecho a una vivienda adecuada, presentada por el Ilmo. Sr. D. Mikel Buil García.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12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pacing w:after="113.386" w:before="0" w:line="228" w:lineRule="exact"/>
        <w:suppressAutoHyphens w:val="false"/>
        <w:rPr>
          <w:rStyle w:val="1"/>
        </w:rPr>
      </w:pPr>
      <w:r>
        <w:rPr>
          <w:rStyle w:val="1"/>
        </w:rPr>
        <w:t xml:space="preserve">Mikel Buil García, Parlamentario Foral adscrito al Grupo Podemos-Ahal Dugu, al amparo de lo dispuesto en el Reglamento de esta Cámara, presenta la siguiente moción para su debate y votación en el Pleno. </w:t>
      </w:r>
    </w:p>
    <w:p>
      <w:pPr>
        <w:pStyle w:val="0"/>
        <w:spacing w:after="113.386" w:before="0" w:line="228" w:lineRule="exact"/>
        <w:suppressAutoHyphens w:val="false"/>
        <w:rPr>
          <w:rStyle w:val="1"/>
        </w:rPr>
      </w:pPr>
      <w:r>
        <w:rPr>
          <w:rStyle w:val="1"/>
        </w:rPr>
        <w:t xml:space="preserve">Exposición de motivos </w:t>
      </w:r>
    </w:p>
    <w:p>
      <w:pPr>
        <w:pStyle w:val="0"/>
        <w:spacing w:after="113.386" w:before="0" w:line="228" w:lineRule="exact"/>
        <w:suppressAutoHyphens w:val="false"/>
        <w:rPr>
          <w:rStyle w:val="1"/>
        </w:rPr>
      </w:pPr>
      <w:r>
        <w:rPr>
          <w:rStyle w:val="1"/>
        </w:rPr>
        <w:t xml:space="preserve">Durante las últimas décadas, las políticas públicas en España en materia de vivienda han estado orientadas desde una perspectiva de bien de cambio, en lugar de bien de uso. Los principales cambios legislativos han estado orientados a favorecer la liberalización del sector de la construcción y a promover al crédito hipotecario como el único o más rentable medio de acceso a la vivienda. </w:t>
      </w:r>
    </w:p>
    <w:p>
      <w:pPr>
        <w:pStyle w:val="0"/>
        <w:spacing w:after="113.386" w:before="0" w:line="228" w:lineRule="exact"/>
        <w:suppressAutoHyphens w:val="false"/>
        <w:rPr>
          <w:rStyle w:val="1"/>
        </w:rPr>
      </w:pPr>
      <w:r>
        <w:rPr>
          <w:rStyle w:val="1"/>
        </w:rPr>
        <w:t xml:space="preserve">España cuenta con uno de los porcentajes de vivienda social más bajos de la Unión Europea un 1,1% sólo superado por Grecia y lejos de otros como Holanda (32%), Austria (23%), Reino Unido (18%) o Francia (17%). Así mismo, nuestro país cuenta un porcentaje ínfimo de vivienda asequible (2,5% ), frente a otros países europeos tales como Austria que poseen el 24% de parque público de protección y el Reino Unido o Francia alrededor del 17%, entre otros, según datos de Amnistía Internacional. </w:t>
      </w:r>
    </w:p>
    <w:p>
      <w:pPr>
        <w:pStyle w:val="0"/>
        <w:spacing w:after="113.386" w:before="0" w:line="228" w:lineRule="exact"/>
        <w:suppressAutoHyphens w:val="false"/>
        <w:rPr>
          <w:rStyle w:val="1"/>
        </w:rPr>
      </w:pPr>
      <w:r>
        <w:rPr>
          <w:rStyle w:val="1"/>
        </w:rPr>
        <w:t xml:space="preserve">El problema del acceso a la vivienda se ha agravado adicionalmente con la crisis hipotecaria y la imposibilidad de miles de familias de poder pagar los créditos inmobiliarios, generando cientos de miles de desalojos forzosos, muchos de ellos sin una alternativa habitacional. Actualmente España acumula el 30% de las viviendas vacías de Europa. Según el censo oficial de población y vivienda más reciente, en 2011 había 3,44 millones de casas vacías. </w:t>
      </w:r>
    </w:p>
    <w:p>
      <w:pPr>
        <w:pStyle w:val="0"/>
        <w:spacing w:after="113.386" w:before="0" w:line="228" w:lineRule="exact"/>
        <w:suppressAutoHyphens w:val="false"/>
        <w:rPr>
          <w:rStyle w:val="1"/>
        </w:rPr>
      </w:pPr>
      <w:r>
        <w:rPr>
          <w:rStyle w:val="1"/>
        </w:rPr>
        <w:t xml:space="preserve">La Red Navarra de Lucha contra la Pobreza y la Exclusión Social ha presentado el séptimo informe Arope (noviembre de 2017), donde indica que el 46% de los/las navarros/as tienen dificultades para llegar a fin de mes, y el 13% se encuentran en situación de pobreza o exclusión social, alcanzándose las 83.000 personas, lo que supone 30.000 habitantes más que en 2010. </w:t>
      </w:r>
    </w:p>
    <w:p>
      <w:pPr>
        <w:pStyle w:val="0"/>
        <w:spacing w:after="113.386" w:before="0" w:line="228" w:lineRule="exact"/>
        <w:suppressAutoHyphens w:val="false"/>
        <w:rPr>
          <w:rStyle w:val="1"/>
        </w:rPr>
      </w:pPr>
      <w:r>
        <w:rPr>
          <w:rStyle w:val="1"/>
        </w:rPr>
        <w:t xml:space="preserve">En este contexto, las Administraciones Públicas en nuestro país han desarrollado el acceso a la vivienda como una cuestión de mercado y no de derecho social, acompañada con unas políticas públicas insuficientes, lo cual contrasta claramente con la propia Constitución Española, que establece en su artículo 47 el derecho de los y las </w:t>
      </w:r>
    </w:p>
    <w:p>
      <w:pPr>
        <w:pStyle w:val="0"/>
        <w:spacing w:after="113.386" w:before="0" w:line="228" w:lineRule="exact"/>
        <w:suppressAutoHyphens w:val="false"/>
        <w:rPr>
          <w:rStyle w:val="1"/>
        </w:rPr>
      </w:pPr>
      <w:r>
        <w:rPr>
          <w:rStyle w:val="1"/>
        </w:rPr>
        <w:t xml:space="preserve">Así, a través de diversas fórmulas como la desgravación fiscal por la compra y el acceso generalizado al crédito, la propiedad privada se ha posicionado como el principal régimen de tenencia en detrimento de otras formas más accesibles. Paralelamente, la liberalización de la regulación del alquiler, que ofrecía una estabilidad y protección insuficiente a los y las inquilinas, así como un incremento exponencial de las rentas, ha derivado en un acceso al mercado de alquiler altamente restrictivo. </w:t>
      </w:r>
    </w:p>
    <w:p>
      <w:pPr>
        <w:pStyle w:val="0"/>
        <w:spacing w:after="113.386" w:before="0" w:line="228" w:lineRule="exact"/>
        <w:suppressAutoHyphens w:val="false"/>
        <w:rPr>
          <w:rStyle w:val="1"/>
        </w:rPr>
      </w:pPr>
      <w:r>
        <w:rPr>
          <w:rStyle w:val="1"/>
        </w:rPr>
        <w:t xml:space="preserve">La normativa sobre arrendamientos urbanos, o lo que es lo mismo, sobre el alquiler de un bien de primera necesidad como es la vivienda, ha sufrido desde el año 2009 una serie de recortes sistemáticos de corte claramente regresivos en materia de protección de las personas arrendatarias, que no se detuvo hasta el año 2013. </w:t>
      </w:r>
    </w:p>
    <w:p>
      <w:pPr>
        <w:pStyle w:val="0"/>
        <w:spacing w:after="113.386" w:before="0" w:line="228" w:lineRule="exact"/>
        <w:suppressAutoHyphens w:val="false"/>
        <w:rPr>
          <w:rStyle w:val="1"/>
        </w:rPr>
      </w:pPr>
      <w:r>
        <w:rPr>
          <w:rStyle w:val="1"/>
        </w:rPr>
        <w:t xml:space="preserve">A mayor abundamiento, la falta clamorosa de políticas públicas orientadas a facilitar el acceso a la vivienda a la ciudadanía española ha favorecido la tendencia al sobreendeudamiento y al sobreesfuerzo económico para disponer de un hogar. España tiene un parque de viviendas públicas de alquiler prácticamente inexistentes: el porcentaje de viviendas de alquiler social no alcanza al 2% del total, cuando la media de la UE está entre el 15% y el 18%. </w:t>
      </w:r>
    </w:p>
    <w:p>
      <w:pPr>
        <w:pStyle w:val="0"/>
        <w:spacing w:after="113.386" w:before="0" w:line="228" w:lineRule="exact"/>
        <w:suppressAutoHyphens w:val="false"/>
        <w:rPr>
          <w:rStyle w:val="1"/>
        </w:rPr>
      </w:pPr>
      <w:r>
        <w:rPr>
          <w:rStyle w:val="1"/>
        </w:rPr>
        <w:t xml:space="preserve">A la problemática de las ejecuciones y desahucios hipotecarios se añade la del alquiler, castigado por las consecutivas reformas de la Ley de Alquiler Urbano, que han consagrado la inestabilidad en el proyecto vital de las personas cada 3 años y la posibilidad de establecer subidas indiscriminadas de precio durante cada renovación contractual. </w:t>
      </w:r>
    </w:p>
    <w:p>
      <w:pPr>
        <w:pStyle w:val="0"/>
        <w:spacing w:after="113.386" w:before="0" w:line="228" w:lineRule="exact"/>
        <w:suppressAutoHyphens w:val="false"/>
        <w:rPr>
          <w:rStyle w:val="1"/>
        </w:rPr>
      </w:pPr>
      <w:r>
        <w:rPr>
          <w:rStyle w:val="1"/>
        </w:rPr>
        <w:t xml:space="preserve">La desprotección de las personas inquilinas se manifiesta también por unas ayudas al pago del alquiler concebidas como subvenciones discrecionales de difícil acceso y condicionadas por la disponibilidad presupuestaria. Por ende, justo durante los años más duros de crisis disminuyeron las partidas y se impidió el acceso a las ayudas por parte de nuevas demandantes. Las dificultades para afrontar el pago del alquiler han generado que, según datos judiciales, un 54% de los 67.359 desahucios que se produjeron en 2016 en España estuvieran relacionados con el impago del alquiler, según datos del CGPJ. </w:t>
      </w:r>
    </w:p>
    <w:p>
      <w:pPr>
        <w:pStyle w:val="0"/>
        <w:spacing w:after="113.386" w:before="0" w:line="228" w:lineRule="exact"/>
        <w:suppressAutoHyphens w:val="false"/>
        <w:rPr>
          <w:rStyle w:val="1"/>
        </w:rPr>
      </w:pPr>
      <w:r>
        <w:rPr>
          <w:rStyle w:val="1"/>
        </w:rPr>
        <w:t xml:space="preserve">A pesar de las recomendaciones vinculantes de organismos internacionales, el Gobierno de España sigue incumpliendo sistemáticamente el derecho a la vivienda digna en nuestro país. Los Relatores Especiales sobre la vivienda adecuada de las Naciones Unidas han recalcado la necesidad urgente de realizar políticas e intervenciones más amplias por parte de las Administraciones Públicas competentes, como inversiones públicas en infraestructura y servicios básicos. Y recientemente, el Comité DESC ha recordado que España tiene la obligación de prevenir vulneraciones de derechos similares en el futuro, y de garantizar que en caso de desalojo, el Estado parte realice todos los pasos indispensables, hasta el máximo de sus recursos disponibles, para que las personas desalojadas tengan una vivienda alternativa. El pasado 20 de diciembre de 2017 venció el plazo para que el Gobierno de España presentara alegaciones al dictamen. </w:t>
      </w:r>
    </w:p>
    <w:p>
      <w:pPr>
        <w:pStyle w:val="0"/>
        <w:spacing w:after="113.386" w:before="0" w:line="228" w:lineRule="exact"/>
        <w:suppressAutoHyphens w:val="false"/>
        <w:rPr>
          <w:rStyle w:val="1"/>
        </w:rPr>
      </w:pPr>
      <w:r>
        <w:rPr>
          <w:rStyle w:val="1"/>
        </w:rPr>
        <w:t xml:space="preserve">Propuesta de resolución:</w:t>
      </w:r>
    </w:p>
    <w:p>
      <w:pPr>
        <w:pStyle w:val="0"/>
        <w:spacing w:after="113.386" w:before="0" w:line="228" w:lineRule="exact"/>
        <w:suppressAutoHyphens w:val="false"/>
        <w:rPr>
          <w:rStyle w:val="1"/>
        </w:rPr>
      </w:pPr>
      <w:r>
        <w:rPr>
          <w:rStyle w:val="1"/>
        </w:rPr>
        <w:t xml:space="preserve">El Parlamento de Navarra insta al Gobierno de España a: </w:t>
      </w:r>
    </w:p>
    <w:p>
      <w:pPr>
        <w:pStyle w:val="0"/>
        <w:spacing w:after="113.386" w:before="0" w:line="228" w:lineRule="exact"/>
        <w:suppressAutoHyphens w:val="false"/>
        <w:rPr>
          <w:rStyle w:val="1"/>
        </w:rPr>
      </w:pPr>
      <w:r>
        <w:rPr>
          <w:rStyle w:val="1"/>
        </w:rPr>
        <w:t xml:space="preserve">1. Cumplir con sus obligaciones internacionales para garantizar el derecho a una vivienda adecuada, llevando a cabo el desarrollo legislativo y aumentando las partidas presupuestarias necesarias para hacer efectivas las recomendaciones vinculantes de la Comunicación Nº 5/2015, que incluye el dictamen aprobado por el Comité DESC en su 61° período de sesiones (29 de mayo a 23 de junio de 2017). </w:t>
      </w:r>
    </w:p>
    <w:p>
      <w:pPr>
        <w:pStyle w:val="0"/>
        <w:spacing w:after="113.386" w:before="0" w:line="228" w:lineRule="exact"/>
        <w:suppressAutoHyphens w:val="false"/>
        <w:rPr>
          <w:rStyle w:val="1"/>
        </w:rPr>
      </w:pPr>
      <w:r>
        <w:rPr>
          <w:rStyle w:val="1"/>
        </w:rPr>
        <w:t xml:space="preserve">2. Adoptar medidas legislativas y administrativas pertinentes para garantizar que, en los procesos judiciales de desalojos de personas inquilinas, los y las demandadas puedan oponerse o presentar un recurso con el fin de que el juez o jueza pueda evaluar las situaciones de vulnerabilidad y acceso a la vivienda de las familias demandadas. En especial se insta al Gobierno a modificar la Ley 1/2000, de 7 de enero, de Enjuiciamiento Civil, y la Ley 29/1994, de 24 de noviembre, de Arrendamientos Urbanos, a fin de garantizar los derechos a la tutela judicial efectiva y prohibición de desalojo sin alternativa habitacional. </w:t>
      </w:r>
    </w:p>
    <w:p>
      <w:pPr>
        <w:pStyle w:val="0"/>
        <w:spacing w:after="113.386" w:before="0" w:line="228" w:lineRule="exact"/>
        <w:suppressAutoHyphens w:val="false"/>
        <w:rPr>
          <w:rStyle w:val="1"/>
        </w:rPr>
      </w:pPr>
      <w:r>
        <w:rPr>
          <w:rStyle w:val="1"/>
        </w:rPr>
        <w:t xml:space="preserve">3. Cumplir con las disposiciones contenidas en la Observación General n° 7 del Comité de Derechos Económicos, Sociales y Culturales de las Naciones Unidas y la Convención sobre los Derechos del Niño, con el fin de prohibir y paralizar inmediatamente todos los desahucios a personas y familias en su primera y única vivienda y sin alternativa habitacional. </w:t>
      </w:r>
    </w:p>
    <w:p>
      <w:pPr>
        <w:pStyle w:val="0"/>
        <w:spacing w:after="113.386" w:before="0" w:line="228" w:lineRule="exact"/>
        <w:suppressAutoHyphens w:val="false"/>
        <w:rPr>
          <w:rStyle w:val="1"/>
        </w:rPr>
      </w:pPr>
      <w:r>
        <w:rPr>
          <w:rStyle w:val="1"/>
        </w:rPr>
        <w:t xml:space="preserve">4. Adoptar los mecanismos administrativos para luchar en contra del acaparamiento de viviendas en manos de grandes sociedades o entidades tenedoras de vivienda. Así mismo se insta a adoptar medidas legislativas para obligar a las y los grandes tenedores de vivienda a ceder sus viviendas vacías a las Administraciones Públicas competentes, para hacer frente a la situación de emergencia social de las personas o familias en riesgo de exclusión. </w:t>
      </w:r>
    </w:p>
    <w:p>
      <w:pPr>
        <w:pStyle w:val="0"/>
        <w:spacing w:after="113.386" w:before="0" w:line="228" w:lineRule="exact"/>
        <w:suppressAutoHyphens w:val="false"/>
        <w:rPr>
          <w:rStyle w:val="1"/>
        </w:rPr>
      </w:pPr>
      <w:r>
        <w:rPr>
          <w:rStyle w:val="1"/>
        </w:rPr>
        <w:t xml:space="preserve">5. Promover los acuerdos con la Sociedad de Gestión de Activos procedentes de la Reestructuración Bancaria, S.A. (SAREB) y las entidades bancarias, para la cesión de sus viviendas vacías a las Administraciones autonómicas y locales, con el objeto de destinarlas al alquiler social. </w:t>
      </w:r>
    </w:p>
    <w:p>
      <w:pPr>
        <w:pStyle w:val="0"/>
        <w:spacing w:after="113.386" w:before="0" w:line="228" w:lineRule="exact"/>
        <w:suppressAutoHyphens w:val="false"/>
        <w:rPr>
          <w:rStyle w:val="1"/>
        </w:rPr>
      </w:pPr>
      <w:r>
        <w:rPr>
          <w:rStyle w:val="1"/>
        </w:rPr>
        <w:t xml:space="preserve">6. Establecer mecanismos de control que obliguen a las y los grandes tenedores de vivienda de España a garantizar el alquiler social en favor de familias en situación de vulnerabilidad que no comprometan los ingresos ponderados de la unidad familiar. </w:t>
      </w:r>
    </w:p>
    <w:p>
      <w:pPr>
        <w:pStyle w:val="0"/>
        <w:spacing w:after="113.386" w:before="0" w:line="228" w:lineRule="exact"/>
        <w:suppressAutoHyphens w:val="false"/>
        <w:rPr>
          <w:rStyle w:val="1"/>
        </w:rPr>
      </w:pPr>
      <w:r>
        <w:rPr>
          <w:rStyle w:val="1"/>
        </w:rPr>
        <w:t xml:space="preserve">7. Establecer una línea de crédito dentro del Instituto de Crédito Oficial (ICO) destinada a financiar la construcción o rehabilitación de viviendas con destino al alquiler. </w:t>
      </w:r>
    </w:p>
    <w:p>
      <w:pPr>
        <w:pStyle w:val="0"/>
        <w:spacing w:after="113.386" w:before="0" w:line="228" w:lineRule="exact"/>
        <w:suppressAutoHyphens w:val="false"/>
        <w:rPr>
          <w:rStyle w:val="1"/>
        </w:rPr>
      </w:pPr>
      <w:r>
        <w:rPr>
          <w:rStyle w:val="1"/>
        </w:rPr>
        <w:t xml:space="preserve">En Pamplona-Iruñea, a 6 de marzo de 2018 </w:t>
      </w:r>
    </w:p>
    <w:p>
      <w:pPr>
        <w:pStyle w:val="0"/>
        <w:suppressAutoHyphens w:val="false"/>
        <w:rPr>
          <w:rStyle w:val="1"/>
        </w:rPr>
      </w:pPr>
      <w:r>
        <w:rPr>
          <w:rStyle w:val="1"/>
        </w:rPr>
        <w:t xml:space="preserve">El Parlamentario Foral: Mikel Buil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