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considera conveniente continuar la senda del trabajo en común entre diferentes instituciones (Gobierno de la Comunidad Foral de Navarra y Gobiernos de otras comunidades autónomas, instituciones locales y Gobierno del Estado) con el objetivo de conseguir verdad, justicia y reparación para las víctimas del franquismo.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considera necesario y un paso importante para avanzar en las políticas de memoria que por parte de las Cortes Generales del Estado español se proceda a la reforma de la Ley de Amnistía de 1977 a fin de garantizar que se investiguen los crímenes del franquismo como delitos de lesa humanidad que, como tales, no prescriben”.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