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Irakasleari Laguntzeko Zentroetan bitarteko irakasleek aholkulari lanpostuak betetzeari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maiatzaren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Hezkuntzako kontseilariak ez zuenez erantzun Hezkuntza Batzordearen maiatzaren 22ko –asteartea– bilkuran egindako galdera, Hezkuntza Departamentuari eskatzen diogu galdera hauei idatziz erantzuteko:</w:t>
      </w:r>
    </w:p>
    <w:p>
      <w:pPr>
        <w:pStyle w:val="0"/>
        <w:suppressAutoHyphens w:val="false"/>
        <w:rPr>
          <w:rStyle w:val="1"/>
        </w:rPr>
      </w:pPr>
      <w:r>
        <w:rPr>
          <w:rStyle w:val="1"/>
        </w:rPr>
        <w:t xml:space="preserve">Irakasleari Laguntzeko Zentroetako aholkulari lanpostuen deialdi publikoei buruzko arauak ezartzen du funtzionarioen edo lan-kontratu finkoa dutenen bidez beteko direla lanpostu horiek.</w:t>
      </w:r>
    </w:p>
    <w:p>
      <w:pPr>
        <w:pStyle w:val="0"/>
        <w:suppressAutoHyphens w:val="false"/>
        <w:rPr>
          <w:rStyle w:val="1"/>
        </w:rPr>
      </w:pPr>
      <w:r>
        <w:rPr>
          <w:rStyle w:val="1"/>
        </w:rPr>
        <w:t xml:space="preserve">1.- Egun ba al dago bitarteko irakaslerik, Irakasleari Laguntzeko Zentroetako aholkulari lanposturen bat betetzen ari denik?</w:t>
      </w:r>
    </w:p>
    <w:p>
      <w:pPr>
        <w:pStyle w:val="0"/>
        <w:suppressAutoHyphens w:val="false"/>
        <w:rPr>
          <w:rStyle w:val="1"/>
        </w:rPr>
      </w:pPr>
      <w:r>
        <w:rPr>
          <w:rStyle w:val="1"/>
        </w:rPr>
        <w:t xml:space="preserve">2.- Baiezkoan, zer arrazoi dago araua ez betetzeko?</w:t>
      </w:r>
    </w:p>
    <w:p>
      <w:pPr>
        <w:pStyle w:val="0"/>
        <w:suppressAutoHyphens w:val="false"/>
        <w:rPr>
          <w:rStyle w:val="1"/>
        </w:rPr>
      </w:pPr>
      <w:r>
        <w:rPr>
          <w:rStyle w:val="1"/>
        </w:rPr>
        <w:t xml:space="preserve">3.- Noiztik ari da lanpostu hori betetzen?</w:t>
      </w:r>
    </w:p>
    <w:p>
      <w:pPr>
        <w:pStyle w:val="0"/>
        <w:suppressAutoHyphens w:val="false"/>
        <w:rPr>
          <w:rStyle w:val="1"/>
        </w:rPr>
      </w:pPr>
      <w:r>
        <w:rPr>
          <w:rStyle w:val="1"/>
        </w:rPr>
        <w:t xml:space="preserve">4.- Zer prozeduraren bidez sartu zen lanpostuan?</w:t>
      </w:r>
    </w:p>
    <w:p>
      <w:pPr>
        <w:pStyle w:val="0"/>
        <w:suppressAutoHyphens w:val="false"/>
        <w:rPr>
          <w:rStyle w:val="1"/>
        </w:rPr>
      </w:pPr>
      <w:r>
        <w:rPr>
          <w:rStyle w:val="1"/>
        </w:rPr>
        <w:t xml:space="preserve">5.- Zerk justifikatzen du izendapen hori egitea, funtzionarioak diren edo lan-kontratu finkoa duten irakasleak egonda?</w:t>
      </w:r>
    </w:p>
    <w:p>
      <w:pPr>
        <w:pStyle w:val="0"/>
        <w:suppressAutoHyphens w:val="false"/>
        <w:rPr>
          <w:rStyle w:val="1"/>
        </w:rPr>
      </w:pPr>
      <w:r>
        <w:rPr>
          <w:rStyle w:val="1"/>
        </w:rPr>
        <w:t xml:space="preserve">Corellan, 2018ko maiatzaren 23an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