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 los Gobiernos de España y de Navarra a incorporar en la legislación educativa y laboral, así como en la futura ley foral de igualdad de Navarra, que se garantice la libertad de vestimenta y la no imposición de uniformes diferenciados por sexo, aprobada por el Pleno del Parlamento de Navarra en sesión celebrada el día 14 de junio de 2018, cuyo texto se inserta a continuación:</w:t>
      </w:r>
    </w:p>
    <w:p>
      <w:pPr>
        <w:pStyle w:val="0"/>
        <w:suppressAutoHyphens w:val="false"/>
        <w:rPr>
          <w:rStyle w:val="1"/>
          <w:spacing w:val="-2.88"/>
        </w:rPr>
      </w:pPr>
      <w:r>
        <w:rPr>
          <w:rStyle w:val="1"/>
          <w:spacing w:val="-2.88"/>
        </w:rPr>
        <w:t xml:space="preserve">“1. EI Parlamento de Navarra insta al Gobierno de Navarra, en el ámbito de sus competencias, a incorporar en la futura ley foral de igualdad de Navarra, así como en la legislación educativa y laboral correspondiente, que se garantice la libertad de vestimenta y la no imposición de uniformes diferenciados por sexo en la enseñanza pública, concertada y privada, así como en el ámbito laboral.</w:t>
      </w:r>
    </w:p>
    <w:p>
      <w:pPr>
        <w:pStyle w:val="0"/>
        <w:suppressAutoHyphens w:val="false"/>
        <w:rPr>
          <w:rStyle w:val="1"/>
          <w:spacing w:val="-0.961"/>
        </w:rPr>
      </w:pPr>
      <w:r>
        <w:rPr>
          <w:rStyle w:val="1"/>
          <w:spacing w:val="-0.961"/>
        </w:rPr>
        <w:t xml:space="preserve">2. El Parlamento de Navarra insta al Gobierno de España a iniciar, en el plazo de tiempo más breve posible, los trabajos para la aprobación en la presente legislatura de las modificaciones necesarias en la Ley Orgánica 3/2007, de 22 de marzo, para la igualdad efectiva de mujeres y hombres, así como en la legislación educativa y laboral correspondiente, que garanticen la libertad de vestimenta y la no imposición de uniformes diferenciados por sexo en la enseñanza pública, concertada y privada, así como en el ámbito laboral.</w:t>
      </w:r>
    </w:p>
    <w:p>
      <w:pPr>
        <w:pStyle w:val="0"/>
        <w:suppressAutoHyphens w:val="false"/>
        <w:rPr>
          <w:rStyle w:val="1"/>
        </w:rPr>
      </w:pPr>
      <w:r>
        <w:rPr>
          <w:rStyle w:val="1"/>
        </w:rPr>
        <w:t xml:space="preserve">Pamplona, 19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