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C5F0A" w:rsidRDefault="000C5F0A" w:rsidP="006A6379">
      <w:pPr>
        <w:pStyle w:val="EstiloPortada"/>
        <w:spacing w:before="0"/>
        <w:ind w:left="3839" w:right="-57"/>
        <w:rPr>
          <w:rFonts w:ascii="Arial" w:hAnsi="Arial" w:cs="Arial"/>
          <w:color w:val="A6A6A6" w:themeColor="background1" w:themeShade="A6"/>
          <w:sz w:val="44"/>
          <w:szCs w:val="44"/>
        </w:rPr>
      </w:pPr>
      <w:r w:rsidRPr="00873B7F">
        <w:rPr>
          <w:b w:val="0"/>
          <w:noProof/>
          <w:color w:val="A6A6A6" w:themeColor="background1" w:themeShade="A6"/>
          <w:lang w:val="es-ES" w:eastAsia="es-ES"/>
        </w:rPr>
        <mc:AlternateContent>
          <mc:Choice Requires="wps">
            <w:drawing>
              <wp:anchor distT="0" distB="0" distL="114300" distR="114300" simplePos="0" relativeHeight="251659776" behindDoc="0" locked="0" layoutInCell="1" allowOverlap="1" wp14:anchorId="37CDC507" wp14:editId="6C0C804C">
                <wp:simplePos x="0" y="0"/>
                <wp:positionH relativeFrom="column">
                  <wp:posOffset>-142875</wp:posOffset>
                </wp:positionH>
                <wp:positionV relativeFrom="paragraph">
                  <wp:posOffset>-752475</wp:posOffset>
                </wp:positionV>
                <wp:extent cx="1105535" cy="93726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F46B50" w:rsidRPr="0047739D" w:rsidRDefault="00F46B50" w:rsidP="00AE7658">
                            <w:pPr>
                              <w:spacing w:after="0"/>
                              <w:ind w:firstLine="0"/>
                              <w:jc w:val="center"/>
                              <w:rPr>
                                <w:sz w:val="18"/>
                                <w:szCs w:val="18"/>
                                <w:lang w:val="pt-PT"/>
                              </w:rPr>
                            </w:pPr>
                            <w:r w:rsidRPr="0047739D">
                              <w:rPr>
                                <w:sz w:val="18"/>
                                <w:szCs w:val="18"/>
                                <w:lang w:val="pt-PT"/>
                              </w:rPr>
                              <w:t>CAMARA DE</w:t>
                            </w:r>
                          </w:p>
                          <w:p w:rsidR="00F46B50" w:rsidRPr="0047739D" w:rsidRDefault="00F46B50" w:rsidP="00AE7658">
                            <w:pPr>
                              <w:spacing w:after="0"/>
                              <w:ind w:firstLine="0"/>
                              <w:jc w:val="center"/>
                              <w:rPr>
                                <w:sz w:val="18"/>
                                <w:szCs w:val="18"/>
                                <w:lang w:val="pt-PT"/>
                              </w:rPr>
                            </w:pPr>
                            <w:r w:rsidRPr="0047739D">
                              <w:rPr>
                                <w:sz w:val="18"/>
                                <w:szCs w:val="18"/>
                                <w:lang w:val="pt-PT"/>
                              </w:rPr>
                              <w:t>COMPTOS</w:t>
                            </w:r>
                          </w:p>
                          <w:p w:rsidR="00F46B50" w:rsidRPr="0047739D" w:rsidRDefault="00F46B50" w:rsidP="00AE7658">
                            <w:pPr>
                              <w:spacing w:after="0"/>
                              <w:ind w:firstLine="0"/>
                              <w:jc w:val="center"/>
                              <w:rPr>
                                <w:sz w:val="18"/>
                                <w:szCs w:val="18"/>
                                <w:lang w:val="pt-PT"/>
                              </w:rPr>
                            </w:pPr>
                            <w:r w:rsidRPr="0047739D">
                              <w:rPr>
                                <w:sz w:val="18"/>
                                <w:szCs w:val="18"/>
                                <w:lang w:val="pt-PT"/>
                              </w:rPr>
                              <w:t>DE NAVARRA</w:t>
                            </w:r>
                          </w:p>
                          <w:p w:rsidR="00F46B50" w:rsidRPr="0047739D" w:rsidRDefault="00F46B50" w:rsidP="00AE7658">
                            <w:pPr>
                              <w:spacing w:after="0"/>
                              <w:ind w:firstLine="0"/>
                              <w:jc w:val="center"/>
                              <w:rPr>
                                <w:color w:val="808080"/>
                                <w:sz w:val="18"/>
                                <w:szCs w:val="18"/>
                                <w:lang w:val="pt-PT"/>
                              </w:rPr>
                            </w:pPr>
                            <w:r w:rsidRPr="0047739D">
                              <w:rPr>
                                <w:color w:val="808080"/>
                                <w:sz w:val="18"/>
                                <w:szCs w:val="18"/>
                                <w:lang w:val="pt-PT"/>
                              </w:rPr>
                              <w:t>NAFARROAKO</w:t>
                            </w:r>
                          </w:p>
                          <w:p w:rsidR="00F46B50" w:rsidRPr="0047739D" w:rsidRDefault="00F46B50" w:rsidP="00AE7658">
                            <w:pPr>
                              <w:spacing w:after="0"/>
                              <w:ind w:firstLine="0"/>
                              <w:jc w:val="center"/>
                              <w:rPr>
                                <w:color w:val="808080"/>
                                <w:sz w:val="18"/>
                                <w:szCs w:val="18"/>
                                <w:lang w:val="pt-PT"/>
                              </w:rPr>
                            </w:pPr>
                            <w:r w:rsidRPr="0047739D">
                              <w:rPr>
                                <w:color w:val="808080"/>
                                <w:sz w:val="18"/>
                                <w:szCs w:val="18"/>
                                <w:lang w:val="pt-PT"/>
                              </w:rPr>
                              <w:t>KONTUEN</w:t>
                            </w:r>
                          </w:p>
                          <w:p w:rsidR="00F46B50" w:rsidRPr="003A7956" w:rsidRDefault="00F46B50" w:rsidP="00AE7658">
                            <w:pPr>
                              <w:spacing w:after="0"/>
                              <w:ind w:firstLine="0"/>
                              <w:jc w:val="center"/>
                              <w:rPr>
                                <w:color w:val="808080"/>
                                <w:sz w:val="18"/>
                                <w:szCs w:val="18"/>
                                <w:lang w:val="es-ES"/>
                              </w:rPr>
                            </w:pPr>
                            <w:r w:rsidRPr="003A7956">
                              <w:rPr>
                                <w:color w:val="808080"/>
                                <w:sz w:val="18"/>
                                <w:szCs w:val="18"/>
                                <w:lang w:val="es-ES"/>
                              </w:rPr>
                              <w:t>GANBERA</w:t>
                            </w:r>
                          </w:p>
                          <w:p w:rsidR="00F46B50" w:rsidRPr="002C7026" w:rsidRDefault="00F46B50" w:rsidP="000C5F0A">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1.25pt;margin-top:-59.25pt;width:87.05pt;height:7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IX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" stroked="f" strokecolor="white">
                <v:textbox>
                  <w:txbxContent>
                    <w:p w:rsidR="00F46B50" w:rsidRPr="0047739D" w:rsidRDefault="00F46B50" w:rsidP="00AE7658">
                      <w:pPr>
                        <w:spacing w:after="0"/>
                        <w:ind w:firstLine="0"/>
                        <w:jc w:val="center"/>
                        <w:rPr>
                          <w:sz w:val="18"/>
                          <w:szCs w:val="18"/>
                          <w:lang w:val="pt-PT"/>
                        </w:rPr>
                      </w:pPr>
                      <w:r w:rsidRPr="0047739D">
                        <w:rPr>
                          <w:sz w:val="18"/>
                          <w:szCs w:val="18"/>
                          <w:lang w:val="pt-PT"/>
                        </w:rPr>
                        <w:t>CAMARA DE</w:t>
                      </w:r>
                    </w:p>
                    <w:p w:rsidR="00F46B50" w:rsidRPr="0047739D" w:rsidRDefault="00F46B50" w:rsidP="00AE7658">
                      <w:pPr>
                        <w:spacing w:after="0"/>
                        <w:ind w:firstLine="0"/>
                        <w:jc w:val="center"/>
                        <w:rPr>
                          <w:sz w:val="18"/>
                          <w:szCs w:val="18"/>
                          <w:lang w:val="pt-PT"/>
                        </w:rPr>
                      </w:pPr>
                      <w:r w:rsidRPr="0047739D">
                        <w:rPr>
                          <w:sz w:val="18"/>
                          <w:szCs w:val="18"/>
                          <w:lang w:val="pt-PT"/>
                        </w:rPr>
                        <w:t>COMPTOS</w:t>
                      </w:r>
                    </w:p>
                    <w:p w:rsidR="00F46B50" w:rsidRPr="0047739D" w:rsidRDefault="00F46B50" w:rsidP="00AE7658">
                      <w:pPr>
                        <w:spacing w:after="0"/>
                        <w:ind w:firstLine="0"/>
                        <w:jc w:val="center"/>
                        <w:rPr>
                          <w:sz w:val="18"/>
                          <w:szCs w:val="18"/>
                          <w:lang w:val="pt-PT"/>
                        </w:rPr>
                      </w:pPr>
                      <w:r w:rsidRPr="0047739D">
                        <w:rPr>
                          <w:sz w:val="18"/>
                          <w:szCs w:val="18"/>
                          <w:lang w:val="pt-PT"/>
                        </w:rPr>
                        <w:t>DE NAVARRA</w:t>
                      </w:r>
                    </w:p>
                    <w:p w:rsidR="00F46B50" w:rsidRPr="0047739D" w:rsidRDefault="00F46B50" w:rsidP="00AE7658">
                      <w:pPr>
                        <w:spacing w:after="0"/>
                        <w:ind w:firstLine="0"/>
                        <w:jc w:val="center"/>
                        <w:rPr>
                          <w:color w:val="808080"/>
                          <w:sz w:val="18"/>
                          <w:szCs w:val="18"/>
                          <w:lang w:val="pt-PT"/>
                        </w:rPr>
                      </w:pPr>
                      <w:r w:rsidRPr="0047739D">
                        <w:rPr>
                          <w:color w:val="808080"/>
                          <w:sz w:val="18"/>
                          <w:szCs w:val="18"/>
                          <w:lang w:val="pt-PT"/>
                        </w:rPr>
                        <w:t>NAFARROAKO</w:t>
                      </w:r>
                    </w:p>
                    <w:p w:rsidR="00F46B50" w:rsidRPr="0047739D" w:rsidRDefault="00F46B50" w:rsidP="00AE7658">
                      <w:pPr>
                        <w:spacing w:after="0"/>
                        <w:ind w:firstLine="0"/>
                        <w:jc w:val="center"/>
                        <w:rPr>
                          <w:color w:val="808080"/>
                          <w:sz w:val="18"/>
                          <w:szCs w:val="18"/>
                          <w:lang w:val="pt-PT"/>
                        </w:rPr>
                      </w:pPr>
                      <w:r w:rsidRPr="0047739D">
                        <w:rPr>
                          <w:color w:val="808080"/>
                          <w:sz w:val="18"/>
                          <w:szCs w:val="18"/>
                          <w:lang w:val="pt-PT"/>
                        </w:rPr>
                        <w:t>KONTUEN</w:t>
                      </w:r>
                    </w:p>
                    <w:p w:rsidR="00F46B50" w:rsidRPr="003A7956" w:rsidRDefault="00F46B50" w:rsidP="00AE7658">
                      <w:pPr>
                        <w:spacing w:after="0"/>
                        <w:ind w:firstLine="0"/>
                        <w:jc w:val="center"/>
                        <w:rPr>
                          <w:color w:val="808080"/>
                          <w:sz w:val="18"/>
                          <w:szCs w:val="18"/>
                          <w:lang w:val="es-ES"/>
                        </w:rPr>
                      </w:pPr>
                      <w:r w:rsidRPr="003A7956">
                        <w:rPr>
                          <w:color w:val="808080"/>
                          <w:sz w:val="18"/>
                          <w:szCs w:val="18"/>
                          <w:lang w:val="es-ES"/>
                        </w:rPr>
                        <w:t>GANBERA</w:t>
                      </w:r>
                    </w:p>
                    <w:p w:rsidR="00F46B50" w:rsidRPr="002C7026" w:rsidRDefault="00F46B50" w:rsidP="000C5F0A">
                      <w:pPr>
                        <w:spacing w:after="0"/>
                        <w:ind w:firstLine="0"/>
                        <w:jc w:val="center"/>
                        <w:rPr>
                          <w:rFonts w:ascii="Trajan" w:hAnsi="Trajan"/>
                          <w:color w:val="808080"/>
                          <w:sz w:val="18"/>
                          <w:szCs w:val="18"/>
                          <w:lang w:val="es-ES"/>
                        </w:rPr>
                      </w:pPr>
                    </w:p>
                  </w:txbxContent>
                </v:textbox>
              </v:shape>
            </w:pict>
          </mc:Fallback>
        </mc:AlternateContent>
      </w:r>
    </w:p>
    <w:p w:rsidR="00D6723C" w:rsidRDefault="00D6723C" w:rsidP="00594EAE">
      <w:pPr>
        <w:pStyle w:val="EstiloPortada"/>
        <w:ind w:left="3261" w:right="-58"/>
        <w:jc w:val="right"/>
        <w:rPr>
          <w:rFonts w:ascii="Arial" w:hAnsi="Arial" w:cs="Arial"/>
          <w:color w:val="A6A6A6" w:themeColor="background1" w:themeShade="A6"/>
          <w:sz w:val="44"/>
          <w:szCs w:val="44"/>
        </w:rPr>
      </w:pPr>
    </w:p>
    <w:p w:rsidR="000C5F0A" w:rsidRDefault="000C5F0A" w:rsidP="000C5F0A">
      <w:pPr>
        <w:pStyle w:val="EstiloPortada"/>
        <w:spacing w:before="0"/>
        <w:ind w:left="0" w:right="-425"/>
        <w:rPr>
          <w:sz w:val="48"/>
          <w:szCs w:val="48"/>
        </w:rPr>
      </w:pPr>
    </w:p>
    <w:p w:rsidR="00447C6F" w:rsidRDefault="000C5F0A" w:rsidP="00033721">
      <w:pPr>
        <w:pStyle w:val="EstiloPortada"/>
        <w:ind w:left="3261" w:right="-425"/>
        <w:jc w:val="right"/>
        <w:rPr>
          <w:sz w:val="52"/>
          <w:szCs w:val="52"/>
        </w:rPr>
      </w:pPr>
      <w:r w:rsidRPr="006E7F19">
        <w:rPr>
          <w:sz w:val="52"/>
          <w:szCs w:val="52"/>
        </w:rPr>
        <w:t>C</w:t>
      </w:r>
      <w:r w:rsidR="00D6723C" w:rsidRPr="006E7F19">
        <w:rPr>
          <w:sz w:val="52"/>
          <w:szCs w:val="52"/>
        </w:rPr>
        <w:t>iudad del Transporte</w:t>
      </w:r>
    </w:p>
    <w:p w:rsidR="000C5F0A" w:rsidRPr="006E7F19" w:rsidRDefault="00447C6F" w:rsidP="00447C6F">
      <w:pPr>
        <w:pStyle w:val="EstiloPortada"/>
        <w:ind w:left="2694" w:right="-425"/>
        <w:jc w:val="right"/>
        <w:rPr>
          <w:sz w:val="52"/>
          <w:szCs w:val="52"/>
        </w:rPr>
      </w:pPr>
      <w:r>
        <w:rPr>
          <w:sz w:val="52"/>
          <w:szCs w:val="52"/>
        </w:rPr>
        <w:t>d</w:t>
      </w:r>
      <w:r w:rsidR="00D6723C" w:rsidRPr="006E7F19">
        <w:rPr>
          <w:sz w:val="52"/>
          <w:szCs w:val="52"/>
        </w:rPr>
        <w:t>e</w:t>
      </w:r>
      <w:r w:rsidR="00BD5527" w:rsidRPr="006E7F19">
        <w:rPr>
          <w:sz w:val="52"/>
          <w:szCs w:val="52"/>
        </w:rPr>
        <w:t xml:space="preserve"> la </w:t>
      </w:r>
      <w:r w:rsidR="00082D9E" w:rsidRPr="006E7F19">
        <w:rPr>
          <w:sz w:val="52"/>
          <w:szCs w:val="52"/>
        </w:rPr>
        <w:t>C</w:t>
      </w:r>
      <w:r w:rsidR="00BD5527" w:rsidRPr="006E7F19">
        <w:rPr>
          <w:sz w:val="52"/>
          <w:szCs w:val="52"/>
        </w:rPr>
        <w:t>omarca de</w:t>
      </w:r>
      <w:r w:rsidR="00D6723C" w:rsidRPr="006E7F19">
        <w:rPr>
          <w:sz w:val="52"/>
          <w:szCs w:val="52"/>
        </w:rPr>
        <w:t xml:space="preserve"> Pamplona</w:t>
      </w:r>
      <w:r w:rsidR="000C5F0A" w:rsidRPr="006E7F19">
        <w:rPr>
          <w:sz w:val="52"/>
          <w:szCs w:val="52"/>
        </w:rPr>
        <w:t xml:space="preserve"> </w:t>
      </w:r>
    </w:p>
    <w:p w:rsidR="000C5F0A" w:rsidRPr="006E7F19" w:rsidRDefault="000C5F0A" w:rsidP="00033721">
      <w:pPr>
        <w:pStyle w:val="EstiloPortada"/>
        <w:ind w:left="3261" w:right="-425"/>
        <w:jc w:val="right"/>
        <w:rPr>
          <w:sz w:val="52"/>
          <w:szCs w:val="52"/>
        </w:rPr>
      </w:pPr>
      <w:r w:rsidRPr="006E7F19">
        <w:rPr>
          <w:sz w:val="52"/>
          <w:szCs w:val="52"/>
        </w:rPr>
        <w:t>(</w:t>
      </w:r>
      <w:r w:rsidR="00D6723C" w:rsidRPr="006E7F19">
        <w:rPr>
          <w:sz w:val="52"/>
          <w:szCs w:val="52"/>
        </w:rPr>
        <w:t>1991-2017)</w:t>
      </w:r>
    </w:p>
    <w:p w:rsidR="000C5F0A" w:rsidRDefault="000C5F0A" w:rsidP="000C5F0A">
      <w:pPr>
        <w:pStyle w:val="texto"/>
        <w:ind w:left="1843" w:right="-142"/>
      </w:pPr>
    </w:p>
    <w:p w:rsidR="000C5F0A" w:rsidRDefault="000C5F0A" w:rsidP="000C5F0A">
      <w:pPr>
        <w:pStyle w:val="texto"/>
      </w:pPr>
    </w:p>
    <w:p w:rsidR="000C5F0A" w:rsidRPr="00204979" w:rsidRDefault="000C5F0A" w:rsidP="000C5F0A">
      <w:pPr>
        <w:pStyle w:val="texto"/>
      </w:pPr>
    </w:p>
    <w:p w:rsidR="000C5F0A" w:rsidRPr="00204979" w:rsidRDefault="000C5F0A" w:rsidP="000C5F0A">
      <w:pPr>
        <w:pStyle w:val="texto"/>
      </w:pPr>
    </w:p>
    <w:p w:rsidR="000C5F0A" w:rsidRPr="00204979" w:rsidRDefault="000C5F0A" w:rsidP="000C5F0A">
      <w:pPr>
        <w:pStyle w:val="texto"/>
      </w:pPr>
    </w:p>
    <w:p w:rsidR="000C5F0A" w:rsidRPr="00204979" w:rsidRDefault="000C5F0A" w:rsidP="000C5F0A">
      <w:pPr>
        <w:pStyle w:val="texto"/>
      </w:pPr>
    </w:p>
    <w:p w:rsidR="000C5F0A" w:rsidRPr="00204979" w:rsidRDefault="000C5F0A" w:rsidP="000C5F0A">
      <w:pPr>
        <w:pStyle w:val="texto"/>
      </w:pPr>
    </w:p>
    <w:p w:rsidR="000C5F0A" w:rsidRDefault="000C5F0A" w:rsidP="000C5F0A">
      <w:pPr>
        <w:pStyle w:val="texto"/>
      </w:pPr>
    </w:p>
    <w:p w:rsidR="000C5F0A" w:rsidRDefault="000C5F0A" w:rsidP="000C5F0A">
      <w:pPr>
        <w:pStyle w:val="texto"/>
      </w:pPr>
    </w:p>
    <w:p w:rsidR="000C5F0A" w:rsidRDefault="000C5F0A" w:rsidP="000C5F0A">
      <w:pPr>
        <w:pStyle w:val="texto"/>
      </w:pPr>
    </w:p>
    <w:p w:rsidR="000C5F0A" w:rsidRDefault="000C5F0A" w:rsidP="000C5F0A">
      <w:pPr>
        <w:pStyle w:val="texto"/>
        <w:ind w:firstLine="0"/>
      </w:pPr>
    </w:p>
    <w:p w:rsidR="000C5F0A" w:rsidRPr="00204979" w:rsidRDefault="000C5F0A" w:rsidP="000C5F0A">
      <w:pPr>
        <w:pStyle w:val="texto"/>
        <w:ind w:firstLine="0"/>
      </w:pPr>
    </w:p>
    <w:p w:rsidR="000C5F0A" w:rsidRDefault="000C5F0A" w:rsidP="000C5F0A">
      <w:pPr>
        <w:pStyle w:val="texto"/>
        <w:ind w:firstLine="0"/>
      </w:pPr>
    </w:p>
    <w:p w:rsidR="000C5F0A" w:rsidRPr="00204979" w:rsidRDefault="000C5F0A" w:rsidP="000C5F0A">
      <w:pPr>
        <w:pStyle w:val="texto"/>
      </w:pPr>
    </w:p>
    <w:p w:rsidR="000C5F0A" w:rsidRPr="000839F5" w:rsidRDefault="00001474" w:rsidP="000C5F0A">
      <w:pPr>
        <w:pStyle w:val="Fechaportada"/>
        <w:rPr>
          <w:sz w:val="30"/>
          <w:szCs w:val="30"/>
        </w:rPr>
      </w:pPr>
      <w:r>
        <w:rPr>
          <w:sz w:val="30"/>
          <w:szCs w:val="30"/>
        </w:rPr>
        <w:t xml:space="preserve">Junio </w:t>
      </w:r>
      <w:r w:rsidR="00D6723C">
        <w:rPr>
          <w:sz w:val="30"/>
          <w:szCs w:val="30"/>
        </w:rPr>
        <w:t>de 2018</w:t>
      </w:r>
    </w:p>
    <w:p w:rsidR="000C5F0A" w:rsidRPr="00B52998" w:rsidRDefault="000C5F0A" w:rsidP="000C5F0A">
      <w:pPr>
        <w:pStyle w:val="ndice"/>
        <w:rPr>
          <w:rFonts w:ascii="Times New Roman" w:hAnsi="Times New Roman"/>
          <w:color w:val="auto"/>
        </w:rPr>
        <w:sectPr w:rsidR="000C5F0A" w:rsidRPr="00B52998" w:rsidSect="000C5F0A">
          <w:headerReference w:type="default" r:id="rId9"/>
          <w:footerReference w:type="even" r:id="rId10"/>
          <w:footerReference w:type="default" r:id="rId11"/>
          <w:headerReference w:type="first" r:id="rId12"/>
          <w:footerReference w:type="first" r:id="rId13"/>
          <w:type w:val="oddPage"/>
          <w:pgSz w:w="11907" w:h="16840" w:code="9"/>
          <w:pgMar w:top="2835" w:right="1559" w:bottom="1644" w:left="1559" w:header="369" w:footer="136" w:gutter="0"/>
          <w:pgNumType w:start="1"/>
          <w:cols w:space="720"/>
          <w:titlePg/>
          <w:docGrid w:linePitch="360"/>
        </w:sectPr>
      </w:pPr>
    </w:p>
    <w:p w:rsidR="000C5F0A" w:rsidRDefault="000C5F0A" w:rsidP="000C5F0A">
      <w:pPr>
        <w:pStyle w:val="ndice"/>
      </w:pPr>
      <w:r w:rsidRPr="00891D73">
        <w:lastRenderedPageBreak/>
        <w:t>Índice</w:t>
      </w:r>
    </w:p>
    <w:p w:rsidR="00251E55" w:rsidRDefault="000C5F0A" w:rsidP="000C5F0A">
      <w:pPr>
        <w:pStyle w:val="texto"/>
        <w:ind w:right="-211"/>
        <w:jc w:val="right"/>
        <w:rPr>
          <w:noProof/>
        </w:rPr>
      </w:pPr>
      <w:r>
        <w:tab/>
      </w:r>
      <w:r>
        <w:tab/>
      </w:r>
      <w:r>
        <w:tab/>
      </w:r>
      <w:r>
        <w:tab/>
      </w:r>
      <w:r>
        <w:tab/>
      </w:r>
      <w:r>
        <w:rPr>
          <w:smallCaps/>
          <w:sz w:val="20"/>
          <w:szCs w:val="20"/>
        </w:rPr>
        <w:t>página</w:t>
      </w:r>
      <w:r>
        <w:t xml:space="preserve"> </w:t>
      </w:r>
      <w:r>
        <w:rPr>
          <w:rFonts w:ascii="Arial Narrow" w:hAnsi="Arial Narrow"/>
          <w:smallCaps/>
          <w:spacing w:val="0"/>
          <w:sz w:val="22"/>
          <w:szCs w:val="20"/>
        </w:rPr>
        <w:fldChar w:fldCharType="begin"/>
      </w:r>
      <w:r>
        <w:instrText xml:space="preserve"> TOC \o "1-3" \h \z \t "atitulo1;1;atitulo2;2" </w:instrText>
      </w:r>
      <w:r>
        <w:rPr>
          <w:rFonts w:ascii="Arial Narrow" w:hAnsi="Arial Narrow"/>
          <w:smallCaps/>
          <w:spacing w:val="0"/>
          <w:sz w:val="22"/>
          <w:szCs w:val="20"/>
        </w:rPr>
        <w:fldChar w:fldCharType="separate"/>
      </w:r>
    </w:p>
    <w:p w:rsidR="00251E55" w:rsidRDefault="00D82F07">
      <w:pPr>
        <w:pStyle w:val="TDC1"/>
        <w:rPr>
          <w:rFonts w:asciiTheme="minorHAnsi" w:eastAsiaTheme="minorEastAsia" w:hAnsiTheme="minorHAnsi" w:cstheme="minorBidi"/>
          <w:smallCaps w:val="0"/>
          <w:noProof/>
          <w:szCs w:val="22"/>
          <w:lang w:val="es-ES" w:eastAsia="es-ES"/>
        </w:rPr>
      </w:pPr>
      <w:hyperlink w:anchor="_Toc515531863" w:history="1">
        <w:r w:rsidR="00251E55" w:rsidRPr="002D2ED4">
          <w:rPr>
            <w:rStyle w:val="Hipervnculo"/>
            <w:noProof/>
          </w:rPr>
          <w:t>Resumen ejecutivo</w:t>
        </w:r>
        <w:r w:rsidR="00251E55">
          <w:rPr>
            <w:noProof/>
            <w:webHidden/>
          </w:rPr>
          <w:tab/>
        </w:r>
        <w:r w:rsidR="00251E55">
          <w:rPr>
            <w:noProof/>
            <w:webHidden/>
          </w:rPr>
          <w:fldChar w:fldCharType="begin"/>
        </w:r>
        <w:r w:rsidR="00251E55">
          <w:rPr>
            <w:noProof/>
            <w:webHidden/>
          </w:rPr>
          <w:instrText xml:space="preserve"> PAGEREF _Toc515531863 \h </w:instrText>
        </w:r>
        <w:r w:rsidR="00251E55">
          <w:rPr>
            <w:noProof/>
            <w:webHidden/>
          </w:rPr>
        </w:r>
        <w:r w:rsidR="00251E55">
          <w:rPr>
            <w:noProof/>
            <w:webHidden/>
          </w:rPr>
          <w:fldChar w:fldCharType="separate"/>
        </w:r>
        <w:r w:rsidR="00F46B50">
          <w:rPr>
            <w:noProof/>
            <w:webHidden/>
          </w:rPr>
          <w:t>3</w:t>
        </w:r>
        <w:r w:rsidR="00251E55">
          <w:rPr>
            <w:noProof/>
            <w:webHidden/>
          </w:rPr>
          <w:fldChar w:fldCharType="end"/>
        </w:r>
      </w:hyperlink>
    </w:p>
    <w:p w:rsidR="00251E55" w:rsidRDefault="00D82F07">
      <w:pPr>
        <w:pStyle w:val="TDC1"/>
        <w:rPr>
          <w:rFonts w:asciiTheme="minorHAnsi" w:eastAsiaTheme="minorEastAsia" w:hAnsiTheme="minorHAnsi" w:cstheme="minorBidi"/>
          <w:smallCaps w:val="0"/>
          <w:noProof/>
          <w:szCs w:val="22"/>
          <w:lang w:val="es-ES" w:eastAsia="es-ES"/>
        </w:rPr>
      </w:pPr>
      <w:hyperlink w:anchor="_Toc515531864" w:history="1">
        <w:r w:rsidR="00251E55" w:rsidRPr="002D2ED4">
          <w:rPr>
            <w:rStyle w:val="Hipervnculo"/>
            <w:noProof/>
          </w:rPr>
          <w:t>I. Introducción</w:t>
        </w:r>
        <w:r w:rsidR="00251E55">
          <w:rPr>
            <w:noProof/>
            <w:webHidden/>
          </w:rPr>
          <w:tab/>
        </w:r>
        <w:r w:rsidR="00251E55">
          <w:rPr>
            <w:noProof/>
            <w:webHidden/>
          </w:rPr>
          <w:fldChar w:fldCharType="begin"/>
        </w:r>
        <w:r w:rsidR="00251E55">
          <w:rPr>
            <w:noProof/>
            <w:webHidden/>
          </w:rPr>
          <w:instrText xml:space="preserve"> PAGEREF _Toc515531864 \h </w:instrText>
        </w:r>
        <w:r w:rsidR="00251E55">
          <w:rPr>
            <w:noProof/>
            <w:webHidden/>
          </w:rPr>
        </w:r>
        <w:r w:rsidR="00251E55">
          <w:rPr>
            <w:noProof/>
            <w:webHidden/>
          </w:rPr>
          <w:fldChar w:fldCharType="separate"/>
        </w:r>
        <w:r w:rsidR="00F46B50">
          <w:rPr>
            <w:noProof/>
            <w:webHidden/>
          </w:rPr>
          <w:t>7</w:t>
        </w:r>
        <w:r w:rsidR="00251E55">
          <w:rPr>
            <w:noProof/>
            <w:webHidden/>
          </w:rPr>
          <w:fldChar w:fldCharType="end"/>
        </w:r>
      </w:hyperlink>
    </w:p>
    <w:p w:rsidR="00251E55" w:rsidRDefault="00D82F07">
      <w:pPr>
        <w:pStyle w:val="TDC1"/>
        <w:rPr>
          <w:rFonts w:asciiTheme="minorHAnsi" w:eastAsiaTheme="minorEastAsia" w:hAnsiTheme="minorHAnsi" w:cstheme="minorBidi"/>
          <w:smallCaps w:val="0"/>
          <w:noProof/>
          <w:szCs w:val="22"/>
          <w:lang w:val="es-ES" w:eastAsia="es-ES"/>
        </w:rPr>
      </w:pPr>
      <w:hyperlink w:anchor="_Toc515531865" w:history="1">
        <w:r w:rsidR="00251E55" w:rsidRPr="002D2ED4">
          <w:rPr>
            <w:rStyle w:val="Hipervnculo"/>
            <w:noProof/>
          </w:rPr>
          <w:t>II. Principales hitos del desarrollo histórico del proyecto de la Ciudad del Transporte de la Comarca de Pamplona</w:t>
        </w:r>
        <w:r w:rsidR="00251E55">
          <w:rPr>
            <w:noProof/>
            <w:webHidden/>
          </w:rPr>
          <w:tab/>
        </w:r>
        <w:r w:rsidR="00251E55">
          <w:rPr>
            <w:noProof/>
            <w:webHidden/>
          </w:rPr>
          <w:fldChar w:fldCharType="begin"/>
        </w:r>
        <w:r w:rsidR="00251E55">
          <w:rPr>
            <w:noProof/>
            <w:webHidden/>
          </w:rPr>
          <w:instrText xml:space="preserve"> PAGEREF _Toc515531865 \h </w:instrText>
        </w:r>
        <w:r w:rsidR="00251E55">
          <w:rPr>
            <w:noProof/>
            <w:webHidden/>
          </w:rPr>
        </w:r>
        <w:r w:rsidR="00251E55">
          <w:rPr>
            <w:noProof/>
            <w:webHidden/>
          </w:rPr>
          <w:fldChar w:fldCharType="separate"/>
        </w:r>
        <w:r w:rsidR="00F46B50">
          <w:rPr>
            <w:noProof/>
            <w:webHidden/>
          </w:rPr>
          <w:t>9</w:t>
        </w:r>
        <w:r w:rsidR="00251E55">
          <w:rPr>
            <w:noProof/>
            <w:webHidden/>
          </w:rPr>
          <w:fldChar w:fldCharType="end"/>
        </w:r>
      </w:hyperlink>
    </w:p>
    <w:p w:rsidR="00251E55" w:rsidRDefault="00D82F07">
      <w:pPr>
        <w:pStyle w:val="TDC2"/>
        <w:rPr>
          <w:rFonts w:asciiTheme="minorHAnsi" w:eastAsiaTheme="minorEastAsia" w:hAnsiTheme="minorHAnsi" w:cstheme="minorBidi"/>
          <w:noProof/>
          <w:szCs w:val="22"/>
          <w:lang w:val="es-ES" w:eastAsia="es-ES"/>
        </w:rPr>
      </w:pPr>
      <w:hyperlink w:anchor="_Toc515531866" w:history="1">
        <w:r w:rsidR="00251E55" w:rsidRPr="002D2ED4">
          <w:rPr>
            <w:rStyle w:val="Hipervnculo"/>
            <w:noProof/>
          </w:rPr>
          <w:t>II.1. Fases 1ª y 2ª de la Ciudad del Transporte de la Comarca de Pamplona.</w:t>
        </w:r>
        <w:r w:rsidR="00251E55">
          <w:rPr>
            <w:noProof/>
            <w:webHidden/>
          </w:rPr>
          <w:tab/>
        </w:r>
        <w:r w:rsidR="00251E55">
          <w:rPr>
            <w:noProof/>
            <w:webHidden/>
          </w:rPr>
          <w:fldChar w:fldCharType="begin"/>
        </w:r>
        <w:r w:rsidR="00251E55">
          <w:rPr>
            <w:noProof/>
            <w:webHidden/>
          </w:rPr>
          <w:instrText xml:space="preserve"> PAGEREF _Toc515531866 \h </w:instrText>
        </w:r>
        <w:r w:rsidR="00251E55">
          <w:rPr>
            <w:noProof/>
            <w:webHidden/>
          </w:rPr>
        </w:r>
        <w:r w:rsidR="00251E55">
          <w:rPr>
            <w:noProof/>
            <w:webHidden/>
          </w:rPr>
          <w:fldChar w:fldCharType="separate"/>
        </w:r>
        <w:r w:rsidR="00F46B50">
          <w:rPr>
            <w:noProof/>
            <w:webHidden/>
          </w:rPr>
          <w:t>10</w:t>
        </w:r>
        <w:r w:rsidR="00251E55">
          <w:rPr>
            <w:noProof/>
            <w:webHidden/>
          </w:rPr>
          <w:fldChar w:fldCharType="end"/>
        </w:r>
      </w:hyperlink>
    </w:p>
    <w:p w:rsidR="00251E55" w:rsidRDefault="00D82F07">
      <w:pPr>
        <w:pStyle w:val="TDC2"/>
        <w:rPr>
          <w:rFonts w:asciiTheme="minorHAnsi" w:eastAsiaTheme="minorEastAsia" w:hAnsiTheme="minorHAnsi" w:cstheme="minorBidi"/>
          <w:noProof/>
          <w:szCs w:val="22"/>
          <w:lang w:val="es-ES" w:eastAsia="es-ES"/>
        </w:rPr>
      </w:pPr>
      <w:hyperlink w:anchor="_Toc515531867" w:history="1">
        <w:r w:rsidR="00251E55" w:rsidRPr="002D2ED4">
          <w:rPr>
            <w:rStyle w:val="Hipervnculo"/>
            <w:noProof/>
          </w:rPr>
          <w:t>II.2. Fases 3ª y 4ª de la Ciudad del Transporte de la Comarca de Pamplona</w:t>
        </w:r>
        <w:r w:rsidR="00251E55">
          <w:rPr>
            <w:noProof/>
            <w:webHidden/>
          </w:rPr>
          <w:tab/>
        </w:r>
        <w:r w:rsidR="00251E55">
          <w:rPr>
            <w:noProof/>
            <w:webHidden/>
          </w:rPr>
          <w:fldChar w:fldCharType="begin"/>
        </w:r>
        <w:r w:rsidR="00251E55">
          <w:rPr>
            <w:noProof/>
            <w:webHidden/>
          </w:rPr>
          <w:instrText xml:space="preserve"> PAGEREF _Toc515531867 \h </w:instrText>
        </w:r>
        <w:r w:rsidR="00251E55">
          <w:rPr>
            <w:noProof/>
            <w:webHidden/>
          </w:rPr>
        </w:r>
        <w:r w:rsidR="00251E55">
          <w:rPr>
            <w:noProof/>
            <w:webHidden/>
          </w:rPr>
          <w:fldChar w:fldCharType="separate"/>
        </w:r>
        <w:r w:rsidR="00F46B50">
          <w:rPr>
            <w:noProof/>
            <w:webHidden/>
          </w:rPr>
          <w:t>13</w:t>
        </w:r>
        <w:r w:rsidR="00251E55">
          <w:rPr>
            <w:noProof/>
            <w:webHidden/>
          </w:rPr>
          <w:fldChar w:fldCharType="end"/>
        </w:r>
      </w:hyperlink>
    </w:p>
    <w:p w:rsidR="00251E55" w:rsidRDefault="00D82F07">
      <w:pPr>
        <w:pStyle w:val="TDC1"/>
        <w:rPr>
          <w:rFonts w:asciiTheme="minorHAnsi" w:eastAsiaTheme="minorEastAsia" w:hAnsiTheme="minorHAnsi" w:cstheme="minorBidi"/>
          <w:smallCaps w:val="0"/>
          <w:noProof/>
          <w:szCs w:val="22"/>
          <w:lang w:val="es-ES" w:eastAsia="es-ES"/>
        </w:rPr>
      </w:pPr>
      <w:hyperlink w:anchor="_Toc515531868" w:history="1">
        <w:r w:rsidR="00251E55" w:rsidRPr="002D2ED4">
          <w:rPr>
            <w:rStyle w:val="Hipervnculo"/>
            <w:noProof/>
          </w:rPr>
          <w:t>III. Objetivo, alcance y limitaciones</w:t>
        </w:r>
        <w:r w:rsidR="00251E55">
          <w:rPr>
            <w:noProof/>
            <w:webHidden/>
          </w:rPr>
          <w:tab/>
        </w:r>
        <w:r w:rsidR="00251E55">
          <w:rPr>
            <w:noProof/>
            <w:webHidden/>
          </w:rPr>
          <w:fldChar w:fldCharType="begin"/>
        </w:r>
        <w:r w:rsidR="00251E55">
          <w:rPr>
            <w:noProof/>
            <w:webHidden/>
          </w:rPr>
          <w:instrText xml:space="preserve"> PAGEREF _Toc515531868 \h </w:instrText>
        </w:r>
        <w:r w:rsidR="00251E55">
          <w:rPr>
            <w:noProof/>
            <w:webHidden/>
          </w:rPr>
        </w:r>
        <w:r w:rsidR="00251E55">
          <w:rPr>
            <w:noProof/>
            <w:webHidden/>
          </w:rPr>
          <w:fldChar w:fldCharType="separate"/>
        </w:r>
        <w:r w:rsidR="00F46B50">
          <w:rPr>
            <w:noProof/>
            <w:webHidden/>
          </w:rPr>
          <w:t>20</w:t>
        </w:r>
        <w:r w:rsidR="00251E55">
          <w:rPr>
            <w:noProof/>
            <w:webHidden/>
          </w:rPr>
          <w:fldChar w:fldCharType="end"/>
        </w:r>
      </w:hyperlink>
    </w:p>
    <w:p w:rsidR="00251E55" w:rsidRDefault="00D82F07">
      <w:pPr>
        <w:pStyle w:val="TDC1"/>
        <w:rPr>
          <w:rFonts w:asciiTheme="minorHAnsi" w:eastAsiaTheme="minorEastAsia" w:hAnsiTheme="minorHAnsi" w:cstheme="minorBidi"/>
          <w:smallCaps w:val="0"/>
          <w:noProof/>
          <w:szCs w:val="22"/>
          <w:lang w:val="es-ES" w:eastAsia="es-ES"/>
        </w:rPr>
      </w:pPr>
      <w:hyperlink w:anchor="_Toc515531869" w:history="1">
        <w:r w:rsidR="00251E55" w:rsidRPr="002D2ED4">
          <w:rPr>
            <w:rStyle w:val="Hipervnculo"/>
            <w:noProof/>
          </w:rPr>
          <w:t>IV. Conclusiones y recomendaciones</w:t>
        </w:r>
        <w:r w:rsidR="00251E55">
          <w:rPr>
            <w:noProof/>
            <w:webHidden/>
          </w:rPr>
          <w:tab/>
        </w:r>
        <w:r w:rsidR="00251E55">
          <w:rPr>
            <w:noProof/>
            <w:webHidden/>
          </w:rPr>
          <w:fldChar w:fldCharType="begin"/>
        </w:r>
        <w:r w:rsidR="00251E55">
          <w:rPr>
            <w:noProof/>
            <w:webHidden/>
          </w:rPr>
          <w:instrText xml:space="preserve"> PAGEREF _Toc515531869 \h </w:instrText>
        </w:r>
        <w:r w:rsidR="00251E55">
          <w:rPr>
            <w:noProof/>
            <w:webHidden/>
          </w:rPr>
        </w:r>
        <w:r w:rsidR="00251E55">
          <w:rPr>
            <w:noProof/>
            <w:webHidden/>
          </w:rPr>
          <w:fldChar w:fldCharType="separate"/>
        </w:r>
        <w:r w:rsidR="00F46B50">
          <w:rPr>
            <w:noProof/>
            <w:webHidden/>
          </w:rPr>
          <w:t>22</w:t>
        </w:r>
        <w:r w:rsidR="00251E55">
          <w:rPr>
            <w:noProof/>
            <w:webHidden/>
          </w:rPr>
          <w:fldChar w:fldCharType="end"/>
        </w:r>
      </w:hyperlink>
    </w:p>
    <w:p w:rsidR="00251E55" w:rsidRDefault="00D82F07">
      <w:pPr>
        <w:pStyle w:val="TDC2"/>
        <w:rPr>
          <w:rFonts w:asciiTheme="minorHAnsi" w:eastAsiaTheme="minorEastAsia" w:hAnsiTheme="minorHAnsi" w:cstheme="minorBidi"/>
          <w:noProof/>
          <w:szCs w:val="22"/>
          <w:lang w:val="es-ES" w:eastAsia="es-ES"/>
        </w:rPr>
      </w:pPr>
      <w:hyperlink w:anchor="_Toc515531870" w:history="1">
        <w:r w:rsidR="00251E55" w:rsidRPr="002D2ED4">
          <w:rPr>
            <w:rStyle w:val="Hipervnculo"/>
            <w:noProof/>
          </w:rPr>
          <w:t>IV.1. La Ciudad del Transporte de la Comarca de Pamplona</w:t>
        </w:r>
        <w:r w:rsidR="00251E55">
          <w:rPr>
            <w:noProof/>
            <w:webHidden/>
          </w:rPr>
          <w:tab/>
        </w:r>
        <w:r w:rsidR="00251E55">
          <w:rPr>
            <w:noProof/>
            <w:webHidden/>
          </w:rPr>
          <w:fldChar w:fldCharType="begin"/>
        </w:r>
        <w:r w:rsidR="00251E55">
          <w:rPr>
            <w:noProof/>
            <w:webHidden/>
          </w:rPr>
          <w:instrText xml:space="preserve"> PAGEREF _Toc515531870 \h </w:instrText>
        </w:r>
        <w:r w:rsidR="00251E55">
          <w:rPr>
            <w:noProof/>
            <w:webHidden/>
          </w:rPr>
        </w:r>
        <w:r w:rsidR="00251E55">
          <w:rPr>
            <w:noProof/>
            <w:webHidden/>
          </w:rPr>
          <w:fldChar w:fldCharType="separate"/>
        </w:r>
        <w:r w:rsidR="00F46B50">
          <w:rPr>
            <w:noProof/>
            <w:webHidden/>
          </w:rPr>
          <w:t>22</w:t>
        </w:r>
        <w:r w:rsidR="00251E55">
          <w:rPr>
            <w:noProof/>
            <w:webHidden/>
          </w:rPr>
          <w:fldChar w:fldCharType="end"/>
        </w:r>
      </w:hyperlink>
    </w:p>
    <w:p w:rsidR="00251E55" w:rsidRDefault="00D82F07">
      <w:pPr>
        <w:pStyle w:val="TDC2"/>
        <w:rPr>
          <w:rFonts w:asciiTheme="minorHAnsi" w:eastAsiaTheme="minorEastAsia" w:hAnsiTheme="minorHAnsi" w:cstheme="minorBidi"/>
          <w:noProof/>
          <w:szCs w:val="22"/>
          <w:lang w:val="es-ES" w:eastAsia="es-ES"/>
        </w:rPr>
      </w:pPr>
      <w:hyperlink w:anchor="_Toc515531871" w:history="1">
        <w:r w:rsidR="00251E55" w:rsidRPr="002D2ED4">
          <w:rPr>
            <w:rStyle w:val="Hipervnculo"/>
            <w:noProof/>
          </w:rPr>
          <w:t>IV.2. Los Planes Sectoriales de Incidencia Supramunicipal sobre la Ciudad del Transporte</w:t>
        </w:r>
        <w:r w:rsidR="00251E55">
          <w:rPr>
            <w:noProof/>
            <w:webHidden/>
          </w:rPr>
          <w:tab/>
        </w:r>
        <w:r w:rsidR="00251E55">
          <w:rPr>
            <w:noProof/>
            <w:webHidden/>
          </w:rPr>
          <w:fldChar w:fldCharType="begin"/>
        </w:r>
        <w:r w:rsidR="00251E55">
          <w:rPr>
            <w:noProof/>
            <w:webHidden/>
          </w:rPr>
          <w:instrText xml:space="preserve"> PAGEREF _Toc515531871 \h </w:instrText>
        </w:r>
        <w:r w:rsidR="00251E55">
          <w:rPr>
            <w:noProof/>
            <w:webHidden/>
          </w:rPr>
        </w:r>
        <w:r w:rsidR="00251E55">
          <w:rPr>
            <w:noProof/>
            <w:webHidden/>
          </w:rPr>
          <w:fldChar w:fldCharType="separate"/>
        </w:r>
        <w:r w:rsidR="00F46B50">
          <w:rPr>
            <w:noProof/>
            <w:webHidden/>
          </w:rPr>
          <w:t>25</w:t>
        </w:r>
        <w:r w:rsidR="00251E55">
          <w:rPr>
            <w:noProof/>
            <w:webHidden/>
          </w:rPr>
          <w:fldChar w:fldCharType="end"/>
        </w:r>
      </w:hyperlink>
    </w:p>
    <w:p w:rsidR="00251E55" w:rsidRDefault="00D82F07">
      <w:pPr>
        <w:pStyle w:val="TDC2"/>
        <w:rPr>
          <w:rFonts w:asciiTheme="minorHAnsi" w:eastAsiaTheme="minorEastAsia" w:hAnsiTheme="minorHAnsi" w:cstheme="minorBidi"/>
          <w:noProof/>
          <w:szCs w:val="22"/>
          <w:lang w:val="es-ES" w:eastAsia="es-ES"/>
        </w:rPr>
      </w:pPr>
      <w:hyperlink w:anchor="_Toc515531872" w:history="1">
        <w:r w:rsidR="00251E55" w:rsidRPr="002D2ED4">
          <w:rPr>
            <w:rStyle w:val="Hipervnculo"/>
            <w:noProof/>
            <w:spacing w:val="6"/>
          </w:rPr>
          <w:t>IV.3. El proceso expropiatorio de los terrenos de la Ciudad del Transporte</w:t>
        </w:r>
        <w:r w:rsidR="00251E55">
          <w:rPr>
            <w:noProof/>
            <w:webHidden/>
          </w:rPr>
          <w:tab/>
        </w:r>
        <w:r w:rsidR="00251E55">
          <w:rPr>
            <w:noProof/>
            <w:webHidden/>
          </w:rPr>
          <w:fldChar w:fldCharType="begin"/>
        </w:r>
        <w:r w:rsidR="00251E55">
          <w:rPr>
            <w:noProof/>
            <w:webHidden/>
          </w:rPr>
          <w:instrText xml:space="preserve"> PAGEREF _Toc515531872 \h </w:instrText>
        </w:r>
        <w:r w:rsidR="00251E55">
          <w:rPr>
            <w:noProof/>
            <w:webHidden/>
          </w:rPr>
        </w:r>
        <w:r w:rsidR="00251E55">
          <w:rPr>
            <w:noProof/>
            <w:webHidden/>
          </w:rPr>
          <w:fldChar w:fldCharType="separate"/>
        </w:r>
        <w:r w:rsidR="00F46B50">
          <w:rPr>
            <w:noProof/>
            <w:webHidden/>
          </w:rPr>
          <w:t>28</w:t>
        </w:r>
        <w:r w:rsidR="00251E55">
          <w:rPr>
            <w:noProof/>
            <w:webHidden/>
          </w:rPr>
          <w:fldChar w:fldCharType="end"/>
        </w:r>
      </w:hyperlink>
    </w:p>
    <w:p w:rsidR="00251E55" w:rsidRDefault="00D82F07">
      <w:pPr>
        <w:pStyle w:val="TDC2"/>
        <w:rPr>
          <w:rFonts w:asciiTheme="minorHAnsi" w:eastAsiaTheme="minorEastAsia" w:hAnsiTheme="minorHAnsi" w:cstheme="minorBidi"/>
          <w:noProof/>
          <w:szCs w:val="22"/>
          <w:lang w:val="es-ES" w:eastAsia="es-ES"/>
        </w:rPr>
      </w:pPr>
      <w:hyperlink w:anchor="_Toc515531873" w:history="1">
        <w:r w:rsidR="00251E55" w:rsidRPr="002D2ED4">
          <w:rPr>
            <w:rStyle w:val="Hipervnculo"/>
            <w:noProof/>
          </w:rPr>
          <w:t>IV.4. Modelo de gestión de la Ciudad del Transporte</w:t>
        </w:r>
        <w:r w:rsidR="00251E55">
          <w:rPr>
            <w:noProof/>
            <w:webHidden/>
          </w:rPr>
          <w:tab/>
        </w:r>
        <w:r w:rsidR="00251E55">
          <w:rPr>
            <w:noProof/>
            <w:webHidden/>
          </w:rPr>
          <w:fldChar w:fldCharType="begin"/>
        </w:r>
        <w:r w:rsidR="00251E55">
          <w:rPr>
            <w:noProof/>
            <w:webHidden/>
          </w:rPr>
          <w:instrText xml:space="preserve"> PAGEREF _Toc515531873 \h </w:instrText>
        </w:r>
        <w:r w:rsidR="00251E55">
          <w:rPr>
            <w:noProof/>
            <w:webHidden/>
          </w:rPr>
        </w:r>
        <w:r w:rsidR="00251E55">
          <w:rPr>
            <w:noProof/>
            <w:webHidden/>
          </w:rPr>
          <w:fldChar w:fldCharType="separate"/>
        </w:r>
        <w:r w:rsidR="00F46B50">
          <w:rPr>
            <w:noProof/>
            <w:webHidden/>
          </w:rPr>
          <w:t>32</w:t>
        </w:r>
        <w:r w:rsidR="00251E55">
          <w:rPr>
            <w:noProof/>
            <w:webHidden/>
          </w:rPr>
          <w:fldChar w:fldCharType="end"/>
        </w:r>
      </w:hyperlink>
    </w:p>
    <w:p w:rsidR="00251E55" w:rsidRDefault="00D82F07">
      <w:pPr>
        <w:pStyle w:val="TDC2"/>
        <w:rPr>
          <w:rFonts w:asciiTheme="minorHAnsi" w:eastAsiaTheme="minorEastAsia" w:hAnsiTheme="minorHAnsi" w:cstheme="minorBidi"/>
          <w:noProof/>
          <w:szCs w:val="22"/>
          <w:lang w:val="es-ES" w:eastAsia="es-ES"/>
        </w:rPr>
      </w:pPr>
      <w:hyperlink w:anchor="_Toc515531874" w:history="1">
        <w:r w:rsidR="00251E55" w:rsidRPr="002D2ED4">
          <w:rPr>
            <w:rStyle w:val="Hipervnculo"/>
            <w:noProof/>
          </w:rPr>
          <w:t>IV.5. La sociedad gestora de la Ciudad del Transporte</w:t>
        </w:r>
        <w:r w:rsidR="00251E55">
          <w:rPr>
            <w:noProof/>
            <w:webHidden/>
          </w:rPr>
          <w:tab/>
        </w:r>
        <w:r w:rsidR="00251E55">
          <w:rPr>
            <w:noProof/>
            <w:webHidden/>
          </w:rPr>
          <w:fldChar w:fldCharType="begin"/>
        </w:r>
        <w:r w:rsidR="00251E55">
          <w:rPr>
            <w:noProof/>
            <w:webHidden/>
          </w:rPr>
          <w:instrText xml:space="preserve"> PAGEREF _Toc515531874 \h </w:instrText>
        </w:r>
        <w:r w:rsidR="00251E55">
          <w:rPr>
            <w:noProof/>
            <w:webHidden/>
          </w:rPr>
        </w:r>
        <w:r w:rsidR="00251E55">
          <w:rPr>
            <w:noProof/>
            <w:webHidden/>
          </w:rPr>
          <w:fldChar w:fldCharType="separate"/>
        </w:r>
        <w:r w:rsidR="00F46B50">
          <w:rPr>
            <w:noProof/>
            <w:webHidden/>
          </w:rPr>
          <w:t>34</w:t>
        </w:r>
        <w:r w:rsidR="00251E55">
          <w:rPr>
            <w:noProof/>
            <w:webHidden/>
          </w:rPr>
          <w:fldChar w:fldCharType="end"/>
        </w:r>
      </w:hyperlink>
    </w:p>
    <w:p w:rsidR="00251E55" w:rsidRDefault="00D82F07">
      <w:pPr>
        <w:pStyle w:val="TDC2"/>
        <w:rPr>
          <w:rFonts w:asciiTheme="minorHAnsi" w:eastAsiaTheme="minorEastAsia" w:hAnsiTheme="minorHAnsi" w:cstheme="minorBidi"/>
          <w:noProof/>
          <w:szCs w:val="22"/>
          <w:lang w:val="es-ES" w:eastAsia="es-ES"/>
        </w:rPr>
      </w:pPr>
      <w:hyperlink w:anchor="_Toc515531875" w:history="1">
        <w:r w:rsidR="00251E55" w:rsidRPr="002D2ED4">
          <w:rPr>
            <w:rStyle w:val="Hipervnculo"/>
            <w:noProof/>
          </w:rPr>
          <w:t>IV.6. Contratos de urbanización, explotación y comercialización de la Ciudad del Transporte</w:t>
        </w:r>
        <w:r w:rsidR="00251E55">
          <w:rPr>
            <w:noProof/>
            <w:webHidden/>
          </w:rPr>
          <w:tab/>
        </w:r>
        <w:r w:rsidR="00251E55">
          <w:rPr>
            <w:noProof/>
            <w:webHidden/>
          </w:rPr>
          <w:fldChar w:fldCharType="begin"/>
        </w:r>
        <w:r w:rsidR="00251E55">
          <w:rPr>
            <w:noProof/>
            <w:webHidden/>
          </w:rPr>
          <w:instrText xml:space="preserve"> PAGEREF _Toc515531875 \h </w:instrText>
        </w:r>
        <w:r w:rsidR="00251E55">
          <w:rPr>
            <w:noProof/>
            <w:webHidden/>
          </w:rPr>
        </w:r>
        <w:r w:rsidR="00251E55">
          <w:rPr>
            <w:noProof/>
            <w:webHidden/>
          </w:rPr>
          <w:fldChar w:fldCharType="separate"/>
        </w:r>
        <w:r w:rsidR="00F46B50">
          <w:rPr>
            <w:noProof/>
            <w:webHidden/>
          </w:rPr>
          <w:t>38</w:t>
        </w:r>
        <w:r w:rsidR="00251E55">
          <w:rPr>
            <w:noProof/>
            <w:webHidden/>
          </w:rPr>
          <w:fldChar w:fldCharType="end"/>
        </w:r>
      </w:hyperlink>
    </w:p>
    <w:p w:rsidR="00251E55" w:rsidRDefault="00D82F07">
      <w:pPr>
        <w:pStyle w:val="TDC2"/>
        <w:rPr>
          <w:rFonts w:asciiTheme="minorHAnsi" w:eastAsiaTheme="minorEastAsia" w:hAnsiTheme="minorHAnsi" w:cstheme="minorBidi"/>
          <w:noProof/>
          <w:szCs w:val="22"/>
          <w:lang w:val="es-ES" w:eastAsia="es-ES"/>
        </w:rPr>
      </w:pPr>
      <w:hyperlink w:anchor="_Toc515531876" w:history="1">
        <w:r w:rsidR="00251E55" w:rsidRPr="002D2ED4">
          <w:rPr>
            <w:rStyle w:val="Hipervnculo"/>
            <w:noProof/>
          </w:rPr>
          <w:t>IV.7. Inversiones y financiación pública en la Ciudad del Transporte</w:t>
        </w:r>
        <w:r w:rsidR="00251E55">
          <w:rPr>
            <w:noProof/>
            <w:webHidden/>
          </w:rPr>
          <w:tab/>
        </w:r>
        <w:r w:rsidR="00251E55">
          <w:rPr>
            <w:noProof/>
            <w:webHidden/>
          </w:rPr>
          <w:fldChar w:fldCharType="begin"/>
        </w:r>
        <w:r w:rsidR="00251E55">
          <w:rPr>
            <w:noProof/>
            <w:webHidden/>
          </w:rPr>
          <w:instrText xml:space="preserve"> PAGEREF _Toc515531876 \h </w:instrText>
        </w:r>
        <w:r w:rsidR="00251E55">
          <w:rPr>
            <w:noProof/>
            <w:webHidden/>
          </w:rPr>
        </w:r>
        <w:r w:rsidR="00251E55">
          <w:rPr>
            <w:noProof/>
            <w:webHidden/>
          </w:rPr>
          <w:fldChar w:fldCharType="separate"/>
        </w:r>
        <w:r w:rsidR="00F46B50">
          <w:rPr>
            <w:noProof/>
            <w:webHidden/>
          </w:rPr>
          <w:t>45</w:t>
        </w:r>
        <w:r w:rsidR="00251E55">
          <w:rPr>
            <w:noProof/>
            <w:webHidden/>
          </w:rPr>
          <w:fldChar w:fldCharType="end"/>
        </w:r>
      </w:hyperlink>
    </w:p>
    <w:p w:rsidR="00251E55" w:rsidRDefault="00D82F07">
      <w:pPr>
        <w:pStyle w:val="TDC2"/>
        <w:rPr>
          <w:rFonts w:asciiTheme="minorHAnsi" w:eastAsiaTheme="minorEastAsia" w:hAnsiTheme="minorHAnsi" w:cstheme="minorBidi"/>
          <w:noProof/>
          <w:szCs w:val="22"/>
          <w:lang w:val="es-ES" w:eastAsia="es-ES"/>
        </w:rPr>
      </w:pPr>
      <w:hyperlink w:anchor="_Toc515531877" w:history="1">
        <w:r w:rsidR="00251E55" w:rsidRPr="002D2ED4">
          <w:rPr>
            <w:rStyle w:val="Hipervnculo"/>
            <w:noProof/>
          </w:rPr>
          <w:t>IV.8. Desarrollo de la 4ª fase de la Ciudad del Transporte</w:t>
        </w:r>
        <w:r w:rsidR="00251E55">
          <w:rPr>
            <w:noProof/>
            <w:webHidden/>
          </w:rPr>
          <w:tab/>
        </w:r>
        <w:r w:rsidR="00251E55">
          <w:rPr>
            <w:noProof/>
            <w:webHidden/>
          </w:rPr>
          <w:fldChar w:fldCharType="begin"/>
        </w:r>
        <w:r w:rsidR="00251E55">
          <w:rPr>
            <w:noProof/>
            <w:webHidden/>
          </w:rPr>
          <w:instrText xml:space="preserve"> PAGEREF _Toc515531877 \h </w:instrText>
        </w:r>
        <w:r w:rsidR="00251E55">
          <w:rPr>
            <w:noProof/>
            <w:webHidden/>
          </w:rPr>
        </w:r>
        <w:r w:rsidR="00251E55">
          <w:rPr>
            <w:noProof/>
            <w:webHidden/>
          </w:rPr>
          <w:fldChar w:fldCharType="separate"/>
        </w:r>
        <w:r w:rsidR="00F46B50">
          <w:rPr>
            <w:noProof/>
            <w:webHidden/>
          </w:rPr>
          <w:t>47</w:t>
        </w:r>
        <w:r w:rsidR="00251E55">
          <w:rPr>
            <w:noProof/>
            <w:webHidden/>
          </w:rPr>
          <w:fldChar w:fldCharType="end"/>
        </w:r>
      </w:hyperlink>
    </w:p>
    <w:p w:rsidR="00251E55" w:rsidRDefault="00D82F07">
      <w:pPr>
        <w:pStyle w:val="TDC2"/>
        <w:rPr>
          <w:rFonts w:asciiTheme="minorHAnsi" w:eastAsiaTheme="minorEastAsia" w:hAnsiTheme="minorHAnsi" w:cstheme="minorBidi"/>
          <w:noProof/>
          <w:szCs w:val="22"/>
          <w:lang w:val="es-ES" w:eastAsia="es-ES"/>
        </w:rPr>
      </w:pPr>
      <w:hyperlink w:anchor="_Toc515531878" w:history="1">
        <w:r w:rsidR="00251E55" w:rsidRPr="002D2ED4">
          <w:rPr>
            <w:rStyle w:val="Hipervnculo"/>
            <w:noProof/>
          </w:rPr>
          <w:t>IV.9. Nivel de ocupación de la Ciudad del Transporte</w:t>
        </w:r>
        <w:r w:rsidR="00251E55">
          <w:rPr>
            <w:noProof/>
            <w:webHidden/>
          </w:rPr>
          <w:tab/>
        </w:r>
        <w:r w:rsidR="00251E55">
          <w:rPr>
            <w:noProof/>
            <w:webHidden/>
          </w:rPr>
          <w:fldChar w:fldCharType="begin"/>
        </w:r>
        <w:r w:rsidR="00251E55">
          <w:rPr>
            <w:noProof/>
            <w:webHidden/>
          </w:rPr>
          <w:instrText xml:space="preserve"> PAGEREF _Toc515531878 \h </w:instrText>
        </w:r>
        <w:r w:rsidR="00251E55">
          <w:rPr>
            <w:noProof/>
            <w:webHidden/>
          </w:rPr>
        </w:r>
        <w:r w:rsidR="00251E55">
          <w:rPr>
            <w:noProof/>
            <w:webHidden/>
          </w:rPr>
          <w:fldChar w:fldCharType="separate"/>
        </w:r>
        <w:r w:rsidR="00F46B50">
          <w:rPr>
            <w:noProof/>
            <w:webHidden/>
          </w:rPr>
          <w:t>48</w:t>
        </w:r>
        <w:r w:rsidR="00251E55">
          <w:rPr>
            <w:noProof/>
            <w:webHidden/>
          </w:rPr>
          <w:fldChar w:fldCharType="end"/>
        </w:r>
      </w:hyperlink>
    </w:p>
    <w:p w:rsidR="00251E55" w:rsidRDefault="00D82F07">
      <w:pPr>
        <w:pStyle w:val="TDC2"/>
        <w:rPr>
          <w:rFonts w:asciiTheme="minorHAnsi" w:eastAsiaTheme="minorEastAsia" w:hAnsiTheme="minorHAnsi" w:cstheme="minorBidi"/>
          <w:noProof/>
          <w:szCs w:val="22"/>
          <w:lang w:val="es-ES" w:eastAsia="es-ES"/>
        </w:rPr>
      </w:pPr>
      <w:hyperlink w:anchor="_Toc515531879" w:history="1">
        <w:r w:rsidR="00251E55" w:rsidRPr="002D2ED4">
          <w:rPr>
            <w:rStyle w:val="Hipervnculo"/>
            <w:noProof/>
          </w:rPr>
          <w:t>IV.10. Recomendaciones</w:t>
        </w:r>
        <w:r w:rsidR="00251E55">
          <w:rPr>
            <w:noProof/>
            <w:webHidden/>
          </w:rPr>
          <w:tab/>
        </w:r>
        <w:r w:rsidR="00251E55">
          <w:rPr>
            <w:noProof/>
            <w:webHidden/>
          </w:rPr>
          <w:fldChar w:fldCharType="begin"/>
        </w:r>
        <w:r w:rsidR="00251E55">
          <w:rPr>
            <w:noProof/>
            <w:webHidden/>
          </w:rPr>
          <w:instrText xml:space="preserve"> PAGEREF _Toc515531879 \h </w:instrText>
        </w:r>
        <w:r w:rsidR="00251E55">
          <w:rPr>
            <w:noProof/>
            <w:webHidden/>
          </w:rPr>
        </w:r>
        <w:r w:rsidR="00251E55">
          <w:rPr>
            <w:noProof/>
            <w:webHidden/>
          </w:rPr>
          <w:fldChar w:fldCharType="separate"/>
        </w:r>
        <w:r w:rsidR="00F46B50">
          <w:rPr>
            <w:noProof/>
            <w:webHidden/>
          </w:rPr>
          <w:t>49</w:t>
        </w:r>
        <w:r w:rsidR="00251E55">
          <w:rPr>
            <w:noProof/>
            <w:webHidden/>
          </w:rPr>
          <w:fldChar w:fldCharType="end"/>
        </w:r>
      </w:hyperlink>
    </w:p>
    <w:p w:rsidR="00251E55" w:rsidRDefault="00D82F07">
      <w:pPr>
        <w:pStyle w:val="TDC1"/>
        <w:rPr>
          <w:rFonts w:asciiTheme="minorHAnsi" w:eastAsiaTheme="minorEastAsia" w:hAnsiTheme="minorHAnsi" w:cstheme="minorBidi"/>
          <w:smallCaps w:val="0"/>
          <w:noProof/>
          <w:szCs w:val="22"/>
          <w:lang w:val="es-ES" w:eastAsia="es-ES"/>
        </w:rPr>
      </w:pPr>
      <w:hyperlink w:anchor="_Toc515531880" w:history="1">
        <w:r w:rsidR="00251E55" w:rsidRPr="002D2ED4">
          <w:rPr>
            <w:rStyle w:val="Hipervnculo"/>
            <w:noProof/>
          </w:rPr>
          <w:t>ALEGACIONES FORMULADAS AL INFORME PROVISIONAL</w:t>
        </w:r>
        <w:r w:rsidR="00251E55">
          <w:rPr>
            <w:noProof/>
            <w:webHidden/>
          </w:rPr>
          <w:tab/>
        </w:r>
        <w:r w:rsidR="00251E55">
          <w:rPr>
            <w:noProof/>
            <w:webHidden/>
          </w:rPr>
          <w:fldChar w:fldCharType="begin"/>
        </w:r>
        <w:r w:rsidR="00251E55">
          <w:rPr>
            <w:noProof/>
            <w:webHidden/>
          </w:rPr>
          <w:instrText xml:space="preserve"> PAGEREF _Toc515531880 \h </w:instrText>
        </w:r>
        <w:r w:rsidR="00251E55">
          <w:rPr>
            <w:noProof/>
            <w:webHidden/>
          </w:rPr>
        </w:r>
        <w:r w:rsidR="00251E55">
          <w:rPr>
            <w:noProof/>
            <w:webHidden/>
          </w:rPr>
          <w:fldChar w:fldCharType="separate"/>
        </w:r>
        <w:r w:rsidR="00F46B50">
          <w:rPr>
            <w:noProof/>
            <w:webHidden/>
          </w:rPr>
          <w:t>50</w:t>
        </w:r>
        <w:r w:rsidR="00251E55">
          <w:rPr>
            <w:noProof/>
            <w:webHidden/>
          </w:rPr>
          <w:fldChar w:fldCharType="end"/>
        </w:r>
      </w:hyperlink>
    </w:p>
    <w:p w:rsidR="00251E55" w:rsidRDefault="00D82F07">
      <w:pPr>
        <w:pStyle w:val="TDC1"/>
        <w:rPr>
          <w:rFonts w:asciiTheme="minorHAnsi" w:eastAsiaTheme="minorEastAsia" w:hAnsiTheme="minorHAnsi" w:cstheme="minorBidi"/>
          <w:smallCaps w:val="0"/>
          <w:noProof/>
          <w:szCs w:val="22"/>
          <w:lang w:val="es-ES" w:eastAsia="es-ES"/>
        </w:rPr>
      </w:pPr>
      <w:hyperlink w:anchor="_Toc515531881" w:history="1">
        <w:r w:rsidR="00251E55" w:rsidRPr="002D2ED4">
          <w:rPr>
            <w:rStyle w:val="Hipervnculo"/>
            <w:noProof/>
          </w:rPr>
          <w:t>Contestación de la Cámara de Comptos a las alegaciones presentadas al informe provisional.</w:t>
        </w:r>
      </w:hyperlink>
    </w:p>
    <w:p w:rsidR="000C5F0A" w:rsidRDefault="000C5F0A" w:rsidP="000C5F0A">
      <w:pPr>
        <w:pStyle w:val="texto"/>
      </w:pPr>
      <w:r>
        <w:fldChar w:fldCharType="end"/>
      </w:r>
    </w:p>
    <w:p w:rsidR="000C5F0A" w:rsidRDefault="00966604" w:rsidP="000C5F0A">
      <w:pPr>
        <w:pStyle w:val="texto"/>
        <w:ind w:firstLine="0"/>
        <w:sectPr w:rsidR="000C5F0A" w:rsidSect="00444344">
          <w:type w:val="oddPage"/>
          <w:pgSz w:w="11907" w:h="16840" w:code="9"/>
          <w:pgMar w:top="2109" w:right="1559" w:bottom="1644" w:left="1559" w:header="369" w:footer="402" w:gutter="0"/>
          <w:pgNumType w:start="3"/>
          <w:cols w:space="720"/>
          <w:docGrid w:linePitch="360"/>
        </w:sectPr>
      </w:pPr>
      <w:r>
        <w:t xml:space="preserve"> </w:t>
      </w:r>
    </w:p>
    <w:p w:rsidR="00691F57" w:rsidRDefault="00691F57" w:rsidP="003616B8">
      <w:pPr>
        <w:pStyle w:val="atitulo1"/>
      </w:pPr>
      <w:bookmarkStart w:id="1" w:name="_Toc515531863"/>
      <w:bookmarkStart w:id="2" w:name="_Toc303592528"/>
      <w:bookmarkStart w:id="3" w:name="_Toc309383711"/>
      <w:bookmarkStart w:id="4" w:name="_Toc339016600"/>
      <w:bookmarkStart w:id="5" w:name="_Toc463350236"/>
      <w:bookmarkStart w:id="6" w:name="_Toc463611381"/>
      <w:bookmarkStart w:id="7" w:name="_Toc503967424"/>
      <w:bookmarkStart w:id="8" w:name="_Toc423419507"/>
      <w:bookmarkStart w:id="9" w:name="_Toc414360531"/>
      <w:bookmarkStart w:id="10" w:name="_Toc480357319"/>
      <w:r>
        <w:lastRenderedPageBreak/>
        <w:t>Resumen ejecutivo</w:t>
      </w:r>
      <w:bookmarkEnd w:id="1"/>
    </w:p>
    <w:p w:rsidR="00691F57" w:rsidRDefault="00605602" w:rsidP="00605602">
      <w:pPr>
        <w:pStyle w:val="texto"/>
        <w:rPr>
          <w:szCs w:val="26"/>
          <w:lang w:val="es-ES" w:eastAsia="es-ES"/>
        </w:rPr>
      </w:pPr>
      <w:r w:rsidRPr="00605602">
        <w:rPr>
          <w:szCs w:val="26"/>
          <w:lang w:val="es-ES" w:eastAsia="es-ES"/>
        </w:rPr>
        <w:t xml:space="preserve">La </w:t>
      </w:r>
      <w:r>
        <w:rPr>
          <w:szCs w:val="26"/>
          <w:lang w:val="es-ES" w:eastAsia="es-ES"/>
        </w:rPr>
        <w:t>C</w:t>
      </w:r>
      <w:r w:rsidRPr="00605602">
        <w:rPr>
          <w:szCs w:val="26"/>
          <w:lang w:val="es-ES" w:eastAsia="es-ES"/>
        </w:rPr>
        <w:t>iudad</w:t>
      </w:r>
      <w:r>
        <w:rPr>
          <w:szCs w:val="26"/>
          <w:lang w:val="es-ES" w:eastAsia="es-ES"/>
        </w:rPr>
        <w:t xml:space="preserve"> del Transporte de la Comarca de Pamplona (CT) nace con la pr</w:t>
      </w:r>
      <w:r>
        <w:rPr>
          <w:szCs w:val="26"/>
          <w:lang w:val="es-ES" w:eastAsia="es-ES"/>
        </w:rPr>
        <w:t>e</w:t>
      </w:r>
      <w:r>
        <w:rPr>
          <w:szCs w:val="26"/>
          <w:lang w:val="es-ES" w:eastAsia="es-ES"/>
        </w:rPr>
        <w:t>tensión de centralizar todas las actividades del transporte</w:t>
      </w:r>
      <w:r w:rsidR="008A51FB" w:rsidRPr="008A51FB">
        <w:rPr>
          <w:szCs w:val="26"/>
          <w:lang w:val="es-ES" w:eastAsia="es-ES"/>
        </w:rPr>
        <w:t xml:space="preserve"> </w:t>
      </w:r>
      <w:r w:rsidR="008A51FB">
        <w:rPr>
          <w:szCs w:val="26"/>
          <w:lang w:val="es-ES" w:eastAsia="es-ES"/>
        </w:rPr>
        <w:t>de mercancías, in</w:t>
      </w:r>
      <w:r w:rsidR="008A51FB">
        <w:rPr>
          <w:szCs w:val="26"/>
          <w:lang w:val="es-ES" w:eastAsia="es-ES"/>
        </w:rPr>
        <w:t>i</w:t>
      </w:r>
      <w:r w:rsidR="008A51FB">
        <w:rPr>
          <w:szCs w:val="26"/>
          <w:lang w:val="es-ES" w:eastAsia="es-ES"/>
        </w:rPr>
        <w:t>cialmente</w:t>
      </w:r>
      <w:r>
        <w:rPr>
          <w:szCs w:val="26"/>
          <w:lang w:val="es-ES" w:eastAsia="es-ES"/>
        </w:rPr>
        <w:t xml:space="preserve"> por carretera</w:t>
      </w:r>
      <w:r w:rsidR="00E26D1B">
        <w:rPr>
          <w:szCs w:val="26"/>
          <w:lang w:val="es-ES" w:eastAsia="es-ES"/>
        </w:rPr>
        <w:t>,</w:t>
      </w:r>
      <w:r>
        <w:rPr>
          <w:szCs w:val="26"/>
          <w:lang w:val="es-ES" w:eastAsia="es-ES"/>
        </w:rPr>
        <w:t xml:space="preserve"> al objeto de concentrar esa actividad y disminuir los problemas urbanos y logísticos que tal actividad conlleva en la comarca y la ciudad de Pamplona.</w:t>
      </w:r>
    </w:p>
    <w:p w:rsidR="00605602" w:rsidRDefault="008A51FB" w:rsidP="00605602">
      <w:pPr>
        <w:pStyle w:val="texto"/>
        <w:rPr>
          <w:szCs w:val="26"/>
          <w:lang w:val="es-ES" w:eastAsia="es-ES"/>
        </w:rPr>
      </w:pPr>
      <w:r>
        <w:rPr>
          <w:szCs w:val="26"/>
          <w:lang w:val="es-ES" w:eastAsia="es-ES"/>
        </w:rPr>
        <w:t>Originariamente</w:t>
      </w:r>
      <w:r w:rsidR="00605602">
        <w:rPr>
          <w:szCs w:val="26"/>
          <w:lang w:val="es-ES" w:eastAsia="es-ES"/>
        </w:rPr>
        <w:t xml:space="preserve"> surge a iniciativa del sector privado –especialmente de las patronales del sector- para posteriormente asumir</w:t>
      </w:r>
      <w:r>
        <w:rPr>
          <w:szCs w:val="26"/>
          <w:lang w:val="es-ES" w:eastAsia="es-ES"/>
        </w:rPr>
        <w:t>, desde 1993,</w:t>
      </w:r>
      <w:r w:rsidR="00605602">
        <w:rPr>
          <w:szCs w:val="26"/>
          <w:lang w:val="es-ES" w:eastAsia="es-ES"/>
        </w:rPr>
        <w:t xml:space="preserve"> el Gobierno de Navarra el liderazgo </w:t>
      </w:r>
      <w:r w:rsidR="00131FA5">
        <w:rPr>
          <w:szCs w:val="26"/>
          <w:lang w:val="es-ES" w:eastAsia="es-ES"/>
        </w:rPr>
        <w:t>en la ejecución y financiación del pro</w:t>
      </w:r>
      <w:r w:rsidR="00605602">
        <w:rPr>
          <w:szCs w:val="26"/>
          <w:lang w:val="es-ES" w:eastAsia="es-ES"/>
        </w:rPr>
        <w:t>yecto</w:t>
      </w:r>
      <w:r w:rsidR="00131FA5">
        <w:rPr>
          <w:szCs w:val="26"/>
          <w:lang w:val="es-ES" w:eastAsia="es-ES"/>
        </w:rPr>
        <w:t>.</w:t>
      </w:r>
    </w:p>
    <w:p w:rsidR="00E7275C" w:rsidRDefault="00605602" w:rsidP="00E7275C">
      <w:pPr>
        <w:pStyle w:val="texto"/>
        <w:rPr>
          <w:szCs w:val="26"/>
          <w:lang w:val="es-ES" w:eastAsia="es-ES"/>
        </w:rPr>
      </w:pPr>
      <w:r>
        <w:rPr>
          <w:szCs w:val="26"/>
          <w:lang w:val="es-ES" w:eastAsia="es-ES"/>
        </w:rPr>
        <w:t>Tal proyecto se</w:t>
      </w:r>
      <w:r w:rsidR="00E7275C">
        <w:rPr>
          <w:szCs w:val="26"/>
          <w:lang w:val="es-ES" w:eastAsia="es-ES"/>
        </w:rPr>
        <w:t xml:space="preserve"> diseña </w:t>
      </w:r>
      <w:r>
        <w:rPr>
          <w:szCs w:val="26"/>
          <w:lang w:val="es-ES" w:eastAsia="es-ES"/>
        </w:rPr>
        <w:t>a principios de la década de los años 90 del siglo XX</w:t>
      </w:r>
      <w:r w:rsidR="003E333D">
        <w:rPr>
          <w:szCs w:val="26"/>
          <w:lang w:val="es-ES" w:eastAsia="es-ES"/>
        </w:rPr>
        <w:t>, afectando a una superficie de 608.363 m</w:t>
      </w:r>
      <w:r w:rsidR="003E333D" w:rsidRPr="003E333D">
        <w:rPr>
          <w:szCs w:val="26"/>
          <w:vertAlign w:val="superscript"/>
          <w:lang w:val="es-ES" w:eastAsia="es-ES"/>
        </w:rPr>
        <w:t>2</w:t>
      </w:r>
      <w:r w:rsidR="00E7275C">
        <w:rPr>
          <w:szCs w:val="26"/>
          <w:lang w:val="es-ES" w:eastAsia="es-ES"/>
        </w:rPr>
        <w:t xml:space="preserve">; posteriormente se amplía </w:t>
      </w:r>
      <w:r w:rsidR="003E333D">
        <w:rPr>
          <w:szCs w:val="26"/>
          <w:lang w:val="es-ES" w:eastAsia="es-ES"/>
        </w:rPr>
        <w:t>su</w:t>
      </w:r>
      <w:r w:rsidR="00E7275C">
        <w:rPr>
          <w:szCs w:val="26"/>
          <w:lang w:val="es-ES" w:eastAsia="es-ES"/>
        </w:rPr>
        <w:t xml:space="preserve"> superf</w:t>
      </w:r>
      <w:r w:rsidR="00E7275C">
        <w:rPr>
          <w:szCs w:val="26"/>
          <w:lang w:val="es-ES" w:eastAsia="es-ES"/>
        </w:rPr>
        <w:t>i</w:t>
      </w:r>
      <w:r w:rsidR="003E333D">
        <w:rPr>
          <w:szCs w:val="26"/>
          <w:lang w:val="es-ES" w:eastAsia="es-ES"/>
        </w:rPr>
        <w:t xml:space="preserve">cie </w:t>
      </w:r>
      <w:r w:rsidR="00E7275C">
        <w:rPr>
          <w:szCs w:val="26"/>
          <w:lang w:val="es-ES" w:eastAsia="es-ES"/>
        </w:rPr>
        <w:t>hasta alcanzar un total de 1,62 millones de m</w:t>
      </w:r>
      <w:r w:rsidR="00E7275C" w:rsidRPr="008A51FB">
        <w:rPr>
          <w:szCs w:val="26"/>
          <w:vertAlign w:val="superscript"/>
          <w:lang w:val="es-ES" w:eastAsia="es-ES"/>
        </w:rPr>
        <w:t>2</w:t>
      </w:r>
      <w:r w:rsidR="00E7275C">
        <w:rPr>
          <w:szCs w:val="26"/>
          <w:lang w:val="es-ES" w:eastAsia="es-ES"/>
        </w:rPr>
        <w:t xml:space="preserve">. </w:t>
      </w:r>
      <w:r>
        <w:rPr>
          <w:szCs w:val="26"/>
          <w:lang w:val="es-ES" w:eastAsia="es-ES"/>
        </w:rPr>
        <w:t>Se ha ido desarrollando en diversas fases sucesivas</w:t>
      </w:r>
      <w:r w:rsidR="00E7275C">
        <w:rPr>
          <w:szCs w:val="26"/>
          <w:lang w:val="es-ES" w:eastAsia="es-ES"/>
        </w:rPr>
        <w:t xml:space="preserve"> </w:t>
      </w:r>
      <w:r w:rsidR="00447C6F">
        <w:rPr>
          <w:szCs w:val="26"/>
          <w:lang w:val="es-ES" w:eastAsia="es-ES"/>
        </w:rPr>
        <w:t>–</w:t>
      </w:r>
      <w:r w:rsidR="00E7275C">
        <w:rPr>
          <w:szCs w:val="26"/>
          <w:lang w:val="es-ES" w:eastAsia="es-ES"/>
        </w:rPr>
        <w:t>hasta cuatro</w:t>
      </w:r>
      <w:r w:rsidR="00447C6F">
        <w:rPr>
          <w:szCs w:val="26"/>
          <w:lang w:val="es-ES" w:eastAsia="es-ES"/>
        </w:rPr>
        <w:t>–</w:t>
      </w:r>
      <w:r>
        <w:rPr>
          <w:szCs w:val="26"/>
          <w:lang w:val="es-ES" w:eastAsia="es-ES"/>
        </w:rPr>
        <w:t xml:space="preserve"> estando en la actualidad pendiente de configurarse</w:t>
      </w:r>
      <w:r w:rsidR="003E333D">
        <w:rPr>
          <w:szCs w:val="26"/>
          <w:lang w:val="es-ES" w:eastAsia="es-ES"/>
        </w:rPr>
        <w:t xml:space="preserve"> o redefinirse</w:t>
      </w:r>
      <w:r>
        <w:rPr>
          <w:szCs w:val="26"/>
          <w:lang w:val="es-ES" w:eastAsia="es-ES"/>
        </w:rPr>
        <w:t xml:space="preserve"> la última de ellas o 4ª fase.</w:t>
      </w:r>
      <w:r w:rsidR="00E7275C">
        <w:rPr>
          <w:szCs w:val="26"/>
          <w:lang w:val="es-ES" w:eastAsia="es-ES"/>
        </w:rPr>
        <w:t xml:space="preserve"> </w:t>
      </w:r>
    </w:p>
    <w:p w:rsidR="003E4481" w:rsidRDefault="003E4481" w:rsidP="00605602">
      <w:pPr>
        <w:pStyle w:val="texto"/>
        <w:rPr>
          <w:szCs w:val="26"/>
          <w:lang w:val="es-ES" w:eastAsia="es-ES"/>
        </w:rPr>
      </w:pPr>
      <w:r>
        <w:rPr>
          <w:szCs w:val="26"/>
          <w:lang w:val="es-ES" w:eastAsia="es-ES"/>
        </w:rPr>
        <w:t>Inicialmente el proyecto de CT se limita al tráfico de mercancías por carret</w:t>
      </w:r>
      <w:r>
        <w:rPr>
          <w:szCs w:val="26"/>
          <w:lang w:val="es-ES" w:eastAsia="es-ES"/>
        </w:rPr>
        <w:t>e</w:t>
      </w:r>
      <w:r>
        <w:rPr>
          <w:szCs w:val="26"/>
          <w:lang w:val="es-ES" w:eastAsia="es-ES"/>
        </w:rPr>
        <w:t xml:space="preserve">ra; posteriormente, en </w:t>
      </w:r>
      <w:r w:rsidR="007E152A">
        <w:rPr>
          <w:szCs w:val="26"/>
          <w:lang w:val="es-ES" w:eastAsia="es-ES"/>
        </w:rPr>
        <w:t xml:space="preserve">el PSIS de </w:t>
      </w:r>
      <w:r>
        <w:rPr>
          <w:szCs w:val="26"/>
          <w:lang w:val="es-ES" w:eastAsia="es-ES"/>
        </w:rPr>
        <w:t xml:space="preserve">la ampliación de la misma, se contempla la conexión directa con la red ferroviaria. Opción </w:t>
      </w:r>
      <w:r w:rsidR="002930FB">
        <w:rPr>
          <w:szCs w:val="26"/>
          <w:lang w:val="es-ES" w:eastAsia="es-ES"/>
        </w:rPr>
        <w:t>e</w:t>
      </w:r>
      <w:r>
        <w:rPr>
          <w:szCs w:val="26"/>
          <w:lang w:val="es-ES" w:eastAsia="es-ES"/>
        </w:rPr>
        <w:t xml:space="preserve">sta finalmente descartada, al menos a medio plazo, por razones técnicas del terreno y por </w:t>
      </w:r>
      <w:r w:rsidR="00D73577">
        <w:rPr>
          <w:szCs w:val="26"/>
          <w:lang w:val="es-ES" w:eastAsia="es-ES"/>
        </w:rPr>
        <w:t>la incertidumbre existente sobre el volumen de demanda real.</w:t>
      </w:r>
    </w:p>
    <w:p w:rsidR="00CE2377" w:rsidRDefault="00CE2377" w:rsidP="00CE2377">
      <w:pPr>
        <w:pStyle w:val="texto"/>
        <w:rPr>
          <w:szCs w:val="26"/>
          <w:lang w:val="es-ES" w:eastAsia="es-ES"/>
        </w:rPr>
      </w:pPr>
      <w:r>
        <w:rPr>
          <w:szCs w:val="26"/>
          <w:lang w:val="es-ES" w:eastAsia="es-ES"/>
        </w:rPr>
        <w:t>En la documentación analizada no constan, para la 1ª y 2ª fase de la CT, e</w:t>
      </w:r>
      <w:r>
        <w:rPr>
          <w:szCs w:val="26"/>
          <w:lang w:val="es-ES" w:eastAsia="es-ES"/>
        </w:rPr>
        <w:t>s</w:t>
      </w:r>
      <w:r>
        <w:rPr>
          <w:szCs w:val="26"/>
          <w:lang w:val="es-ES" w:eastAsia="es-ES"/>
        </w:rPr>
        <w:t>tudios sobre las necesidades a satisfacer con esta infraestructura ni sobre su viabilidad económico-social; sí se efectúan tales estudios para la ampliación de la misma o fases 3ª y 4ª.</w:t>
      </w:r>
    </w:p>
    <w:p w:rsidR="00131FA5" w:rsidRDefault="00131FA5" w:rsidP="00605602">
      <w:pPr>
        <w:pStyle w:val="texto"/>
        <w:rPr>
          <w:szCs w:val="26"/>
          <w:lang w:val="es-ES" w:eastAsia="es-ES"/>
        </w:rPr>
      </w:pPr>
      <w:r>
        <w:rPr>
          <w:szCs w:val="26"/>
          <w:lang w:val="es-ES" w:eastAsia="es-ES"/>
        </w:rPr>
        <w:t>Para su concreción y ordenación urbanística, el Gobierno de Navarra</w:t>
      </w:r>
      <w:r w:rsidR="002930FB">
        <w:rPr>
          <w:szCs w:val="26"/>
          <w:lang w:val="es-ES" w:eastAsia="es-ES"/>
        </w:rPr>
        <w:t xml:space="preserve"> aprobó</w:t>
      </w:r>
      <w:r>
        <w:rPr>
          <w:szCs w:val="26"/>
          <w:lang w:val="es-ES" w:eastAsia="es-ES"/>
        </w:rPr>
        <w:t xml:space="preserve"> dos planes sectoriales de incidencia supramunicipal (PSIS) atendiéndose a la utilidad pública, interés social y ámbito supramunicipal del proyecto.</w:t>
      </w:r>
      <w:r w:rsidR="00E7275C">
        <w:rPr>
          <w:szCs w:val="26"/>
          <w:lang w:val="es-ES" w:eastAsia="es-ES"/>
        </w:rPr>
        <w:t xml:space="preserve"> Estos PSIS se tramitan a iniciativa de la sociedad gestora de la CT.</w:t>
      </w:r>
    </w:p>
    <w:p w:rsidR="00C5786E" w:rsidRDefault="00C5786E" w:rsidP="00C5786E">
      <w:pPr>
        <w:pStyle w:val="texto"/>
        <w:tabs>
          <w:tab w:val="clear" w:pos="2835"/>
          <w:tab w:val="clear" w:pos="3969"/>
          <w:tab w:val="clear" w:pos="5103"/>
          <w:tab w:val="clear" w:pos="6237"/>
          <w:tab w:val="clear" w:pos="7371"/>
        </w:tabs>
        <w:rPr>
          <w:szCs w:val="26"/>
        </w:rPr>
      </w:pPr>
      <w:r w:rsidRPr="00080123">
        <w:rPr>
          <w:szCs w:val="26"/>
        </w:rPr>
        <w:t>El p</w:t>
      </w:r>
      <w:r>
        <w:rPr>
          <w:szCs w:val="26"/>
        </w:rPr>
        <w:t>ro</w:t>
      </w:r>
      <w:r w:rsidRPr="00080123">
        <w:rPr>
          <w:szCs w:val="26"/>
        </w:rPr>
        <w:t>c</w:t>
      </w:r>
      <w:r>
        <w:rPr>
          <w:szCs w:val="26"/>
        </w:rPr>
        <w:t>e</w:t>
      </w:r>
      <w:r w:rsidRPr="00080123">
        <w:rPr>
          <w:szCs w:val="26"/>
        </w:rPr>
        <w:t>so exp</w:t>
      </w:r>
      <w:r>
        <w:rPr>
          <w:szCs w:val="26"/>
        </w:rPr>
        <w:t>ropiatorio d</w:t>
      </w:r>
      <w:r w:rsidRPr="00080123">
        <w:rPr>
          <w:szCs w:val="26"/>
        </w:rPr>
        <w:t>e</w:t>
      </w:r>
      <w:r>
        <w:rPr>
          <w:szCs w:val="26"/>
        </w:rPr>
        <w:t xml:space="preserve"> </w:t>
      </w:r>
      <w:r w:rsidRPr="00080123">
        <w:rPr>
          <w:szCs w:val="26"/>
        </w:rPr>
        <w:t>los terrenos de la CT ha sido largo, complejo</w:t>
      </w:r>
      <w:r>
        <w:rPr>
          <w:szCs w:val="26"/>
        </w:rPr>
        <w:t>, con una judicialización relevante y, finalmente, con una importante repercusión sobre los recursos públicos. Así, prácticamente no existieron acuerdos amist</w:t>
      </w:r>
      <w:r>
        <w:rPr>
          <w:szCs w:val="26"/>
        </w:rPr>
        <w:t>o</w:t>
      </w:r>
      <w:r>
        <w:rPr>
          <w:szCs w:val="26"/>
        </w:rPr>
        <w:t xml:space="preserve">sos con los propietarios por lo que hubo de acudirse al Jurado de Expropiación; las resoluciones de </w:t>
      </w:r>
      <w:r w:rsidR="002930FB">
        <w:rPr>
          <w:szCs w:val="26"/>
        </w:rPr>
        <w:t>e</w:t>
      </w:r>
      <w:r>
        <w:rPr>
          <w:szCs w:val="26"/>
        </w:rPr>
        <w:t>ste fuero</w:t>
      </w:r>
      <w:r w:rsidR="00E26D1B">
        <w:rPr>
          <w:szCs w:val="26"/>
        </w:rPr>
        <w:t>n</w:t>
      </w:r>
      <w:r>
        <w:rPr>
          <w:szCs w:val="26"/>
        </w:rPr>
        <w:t xml:space="preserve"> recurridas –bien por los propietarios, bien por el Gobierno de Navarra o por ambos– ante</w:t>
      </w:r>
      <w:r w:rsidR="00E26D1B">
        <w:rPr>
          <w:szCs w:val="26"/>
        </w:rPr>
        <w:t xml:space="preserve"> el</w:t>
      </w:r>
      <w:r>
        <w:rPr>
          <w:szCs w:val="26"/>
        </w:rPr>
        <w:t xml:space="preserve"> Tribunal Superior de Justicia de N</w:t>
      </w:r>
      <w:r>
        <w:rPr>
          <w:szCs w:val="26"/>
        </w:rPr>
        <w:t>a</w:t>
      </w:r>
      <w:r w:rsidR="00E26D1B">
        <w:rPr>
          <w:szCs w:val="26"/>
        </w:rPr>
        <w:t xml:space="preserve">varra </w:t>
      </w:r>
      <w:r>
        <w:rPr>
          <w:szCs w:val="26"/>
        </w:rPr>
        <w:t>y, finalmente, en casación, ante el Tribunal Supremo.</w:t>
      </w:r>
    </w:p>
    <w:p w:rsidR="00131FA5" w:rsidRDefault="00C5786E" w:rsidP="00C5786E">
      <w:pPr>
        <w:pStyle w:val="texto"/>
        <w:rPr>
          <w:szCs w:val="26"/>
        </w:rPr>
      </w:pPr>
      <w:r>
        <w:rPr>
          <w:szCs w:val="26"/>
        </w:rPr>
        <w:t>Todas las expropiaciones de la CT se efectuaron por el procedimiento de u</w:t>
      </w:r>
      <w:r>
        <w:rPr>
          <w:szCs w:val="26"/>
        </w:rPr>
        <w:t>r</w:t>
      </w:r>
      <w:r>
        <w:rPr>
          <w:szCs w:val="26"/>
        </w:rPr>
        <w:t>gencia y su coste total ha ascendido a 91,89 millones de euros, incluido el ju</w:t>
      </w:r>
      <w:r>
        <w:rPr>
          <w:szCs w:val="26"/>
        </w:rPr>
        <w:t>s</w:t>
      </w:r>
      <w:r>
        <w:rPr>
          <w:szCs w:val="26"/>
        </w:rPr>
        <w:t>tiprecio, el premio de afección y los intereses legales de demora –a 25,15 m</w:t>
      </w:r>
      <w:r>
        <w:rPr>
          <w:szCs w:val="26"/>
        </w:rPr>
        <w:t>i</w:t>
      </w:r>
      <w:r>
        <w:rPr>
          <w:szCs w:val="26"/>
        </w:rPr>
        <w:t>llones de euros</w:t>
      </w:r>
      <w:r w:rsidR="002930FB">
        <w:rPr>
          <w:szCs w:val="26"/>
        </w:rPr>
        <w:t>–</w:t>
      </w:r>
      <w:r>
        <w:rPr>
          <w:szCs w:val="26"/>
        </w:rPr>
        <w:t>. El importe de las expropiaciones ha sido satisfecho íntegr</w:t>
      </w:r>
      <w:r>
        <w:rPr>
          <w:szCs w:val="26"/>
        </w:rPr>
        <w:t>a</w:t>
      </w:r>
      <w:r>
        <w:rPr>
          <w:szCs w:val="26"/>
        </w:rPr>
        <w:t>mente por el Gobierno de Nava</w:t>
      </w:r>
      <w:r w:rsidR="000871E6">
        <w:rPr>
          <w:szCs w:val="26"/>
        </w:rPr>
        <w:t>rra a través de la sociedad gest</w:t>
      </w:r>
      <w:r w:rsidR="003F135E">
        <w:rPr>
          <w:szCs w:val="26"/>
        </w:rPr>
        <w:t xml:space="preserve">ora de la CT, la cual está declarada como entidad beneficiaria de los terrenos expropiados. </w:t>
      </w:r>
    </w:p>
    <w:p w:rsidR="0051390D" w:rsidRDefault="00CA52FB" w:rsidP="003C1A22">
      <w:pPr>
        <w:pStyle w:val="texto"/>
        <w:rPr>
          <w:szCs w:val="26"/>
        </w:rPr>
      </w:pPr>
      <w:r>
        <w:rPr>
          <w:szCs w:val="26"/>
        </w:rPr>
        <w:t>Destacamos la importante variación del coste por m</w:t>
      </w:r>
      <w:r w:rsidRPr="00CA52FB">
        <w:rPr>
          <w:szCs w:val="26"/>
          <w:vertAlign w:val="superscript"/>
        </w:rPr>
        <w:t>2</w:t>
      </w:r>
      <w:r>
        <w:rPr>
          <w:szCs w:val="26"/>
        </w:rPr>
        <w:t xml:space="preserve"> de terreno expropiado</w:t>
      </w:r>
      <w:r w:rsidR="0051390D">
        <w:rPr>
          <w:szCs w:val="26"/>
        </w:rPr>
        <w:t xml:space="preserve"> –</w:t>
      </w:r>
      <w:r w:rsidR="00F954CC">
        <w:rPr>
          <w:szCs w:val="26"/>
        </w:rPr>
        <w:t>terrenos de naturaleza muy similar</w:t>
      </w:r>
      <w:r w:rsidR="004D22FC">
        <w:rPr>
          <w:szCs w:val="26"/>
        </w:rPr>
        <w:t>–</w:t>
      </w:r>
      <w:r>
        <w:rPr>
          <w:szCs w:val="26"/>
        </w:rPr>
        <w:t xml:space="preserve"> según </w:t>
      </w:r>
      <w:r w:rsidR="0051390D">
        <w:rPr>
          <w:szCs w:val="26"/>
        </w:rPr>
        <w:t xml:space="preserve">corresponda a las </w:t>
      </w:r>
      <w:r>
        <w:rPr>
          <w:szCs w:val="26"/>
        </w:rPr>
        <w:t xml:space="preserve">dos primeras fases </w:t>
      </w:r>
      <w:r w:rsidR="0051390D">
        <w:rPr>
          <w:szCs w:val="26"/>
        </w:rPr>
        <w:t>o a los dos últimas de la CT</w:t>
      </w:r>
      <w:r>
        <w:rPr>
          <w:szCs w:val="26"/>
        </w:rPr>
        <w:t>; así</w:t>
      </w:r>
      <w:r w:rsidR="00F954CC">
        <w:rPr>
          <w:szCs w:val="26"/>
        </w:rPr>
        <w:t>, para la 1ª y 2ª fase, el precio final pagado (s</w:t>
      </w:r>
      <w:r w:rsidR="00F954CC">
        <w:rPr>
          <w:szCs w:val="26"/>
        </w:rPr>
        <w:t>e</w:t>
      </w:r>
      <w:r w:rsidR="00F954CC">
        <w:rPr>
          <w:szCs w:val="26"/>
        </w:rPr>
        <w:t>gún sentencias de 2002) se ha situado en la horquilla de 12,04 a 19,62 €/m</w:t>
      </w:r>
      <w:r w:rsidR="00F954CC" w:rsidRPr="00F954CC">
        <w:rPr>
          <w:szCs w:val="26"/>
          <w:vertAlign w:val="superscript"/>
        </w:rPr>
        <w:t>2</w:t>
      </w:r>
      <w:r w:rsidR="00F954CC">
        <w:rPr>
          <w:szCs w:val="26"/>
        </w:rPr>
        <w:t>: p</w:t>
      </w:r>
      <w:r w:rsidR="00F954CC">
        <w:rPr>
          <w:szCs w:val="26"/>
        </w:rPr>
        <w:t>a</w:t>
      </w:r>
      <w:r w:rsidR="00F954CC">
        <w:rPr>
          <w:szCs w:val="26"/>
        </w:rPr>
        <w:t>ra la 3ª y 4ª fase, esa horquilla (según sentencias de 2015) fue de 53,06 a 57,09 €/m</w:t>
      </w:r>
      <w:r w:rsidR="00F954CC" w:rsidRPr="00F954CC">
        <w:rPr>
          <w:szCs w:val="26"/>
          <w:vertAlign w:val="superscript"/>
        </w:rPr>
        <w:t>2</w:t>
      </w:r>
      <w:r w:rsidR="00F954CC">
        <w:rPr>
          <w:szCs w:val="26"/>
        </w:rPr>
        <w:t>.</w:t>
      </w:r>
      <w:r w:rsidR="00E26D1B">
        <w:rPr>
          <w:szCs w:val="26"/>
        </w:rPr>
        <w:t xml:space="preserve"> A estos importes habría que añadir el premio de afección y lo</w:t>
      </w:r>
      <w:r w:rsidR="00E7275C">
        <w:rPr>
          <w:szCs w:val="26"/>
        </w:rPr>
        <w:t>s</w:t>
      </w:r>
      <w:r w:rsidR="00E26D1B">
        <w:rPr>
          <w:szCs w:val="26"/>
        </w:rPr>
        <w:t xml:space="preserve"> intereses legales de demora.   </w:t>
      </w:r>
    </w:p>
    <w:p w:rsidR="0051390D" w:rsidRDefault="00CA52FB" w:rsidP="0051390D">
      <w:pPr>
        <w:pStyle w:val="texto"/>
        <w:tabs>
          <w:tab w:val="clear" w:pos="2835"/>
          <w:tab w:val="clear" w:pos="3969"/>
          <w:tab w:val="clear" w:pos="5103"/>
          <w:tab w:val="clear" w:pos="6237"/>
          <w:tab w:val="clear" w:pos="7371"/>
        </w:tabs>
        <w:rPr>
          <w:szCs w:val="26"/>
        </w:rPr>
      </w:pPr>
      <w:r>
        <w:rPr>
          <w:szCs w:val="26"/>
        </w:rPr>
        <w:t>Igualmente</w:t>
      </w:r>
      <w:r w:rsidR="002930FB">
        <w:rPr>
          <w:szCs w:val="26"/>
        </w:rPr>
        <w:t>, destaca</w:t>
      </w:r>
      <w:r>
        <w:rPr>
          <w:szCs w:val="26"/>
        </w:rPr>
        <w:t xml:space="preserve"> en las dos ú</w:t>
      </w:r>
      <w:r w:rsidR="0051390D">
        <w:rPr>
          <w:szCs w:val="26"/>
        </w:rPr>
        <w:t>l</w:t>
      </w:r>
      <w:r>
        <w:rPr>
          <w:szCs w:val="26"/>
        </w:rPr>
        <w:t>timas fases la variación</w:t>
      </w:r>
      <w:r w:rsidR="0051390D">
        <w:rPr>
          <w:szCs w:val="26"/>
        </w:rPr>
        <w:t xml:space="preserve"> existente del precio inicial fijado por la Administración en su hoja de aprecio </w:t>
      </w:r>
      <w:r w:rsidR="004D22FC">
        <w:rPr>
          <w:szCs w:val="26"/>
        </w:rPr>
        <w:t>–</w:t>
      </w:r>
      <w:r w:rsidR="0051390D">
        <w:rPr>
          <w:szCs w:val="26"/>
        </w:rPr>
        <w:t>11,02 €/m</w:t>
      </w:r>
      <w:r w:rsidR="0051390D" w:rsidRPr="007E152A">
        <w:rPr>
          <w:szCs w:val="26"/>
          <w:vertAlign w:val="superscript"/>
        </w:rPr>
        <w:t>2</w:t>
      </w:r>
      <w:r w:rsidR="004D22FC">
        <w:rPr>
          <w:szCs w:val="26"/>
        </w:rPr>
        <w:t>– y el f</w:t>
      </w:r>
      <w:r w:rsidR="004D22FC">
        <w:rPr>
          <w:szCs w:val="26"/>
        </w:rPr>
        <w:t>i</w:t>
      </w:r>
      <w:r w:rsidR="004D22FC">
        <w:rPr>
          <w:szCs w:val="26"/>
        </w:rPr>
        <w:t>nalmente abonado –</w:t>
      </w:r>
      <w:r w:rsidR="0051390D">
        <w:rPr>
          <w:szCs w:val="26"/>
        </w:rPr>
        <w:t xml:space="preserve">de </w:t>
      </w:r>
      <w:r w:rsidR="0051390D" w:rsidRPr="0051390D">
        <w:rPr>
          <w:szCs w:val="26"/>
        </w:rPr>
        <w:t>53,06 a 57,09</w:t>
      </w:r>
      <w:r w:rsidR="0051390D">
        <w:rPr>
          <w:szCs w:val="26"/>
        </w:rPr>
        <w:t xml:space="preserve"> €/m</w:t>
      </w:r>
      <w:r w:rsidR="0051390D" w:rsidRPr="007E152A">
        <w:rPr>
          <w:szCs w:val="26"/>
          <w:vertAlign w:val="superscript"/>
        </w:rPr>
        <w:t>2</w:t>
      </w:r>
      <w:r w:rsidR="004D22FC">
        <w:rPr>
          <w:szCs w:val="26"/>
        </w:rPr>
        <w:t>–</w:t>
      </w:r>
      <w:r w:rsidR="0051390D">
        <w:rPr>
          <w:szCs w:val="26"/>
        </w:rPr>
        <w:t>. Importe</w:t>
      </w:r>
      <w:r w:rsidR="002A394A">
        <w:rPr>
          <w:szCs w:val="26"/>
        </w:rPr>
        <w:t xml:space="preserve">s </w:t>
      </w:r>
      <w:r w:rsidR="0051390D">
        <w:rPr>
          <w:szCs w:val="26"/>
        </w:rPr>
        <w:t>est</w:t>
      </w:r>
      <w:r w:rsidR="002A394A">
        <w:rPr>
          <w:szCs w:val="26"/>
        </w:rPr>
        <w:t>os</w:t>
      </w:r>
      <w:r w:rsidR="0051390D">
        <w:rPr>
          <w:szCs w:val="26"/>
        </w:rPr>
        <w:t xml:space="preserve"> último</w:t>
      </w:r>
      <w:r w:rsidR="002A394A">
        <w:rPr>
          <w:szCs w:val="26"/>
        </w:rPr>
        <w:t>s</w:t>
      </w:r>
      <w:r w:rsidR="0051390D">
        <w:rPr>
          <w:szCs w:val="26"/>
        </w:rPr>
        <w:t xml:space="preserve"> que</w:t>
      </w:r>
      <w:r w:rsidR="002A394A">
        <w:rPr>
          <w:szCs w:val="26"/>
        </w:rPr>
        <w:t xml:space="preserve"> son</w:t>
      </w:r>
      <w:r w:rsidR="0051390D">
        <w:rPr>
          <w:szCs w:val="26"/>
        </w:rPr>
        <w:t xml:space="preserve"> coincidente</w:t>
      </w:r>
      <w:r w:rsidR="002A394A">
        <w:rPr>
          <w:szCs w:val="26"/>
        </w:rPr>
        <w:t>s</w:t>
      </w:r>
      <w:r w:rsidR="0051390D">
        <w:rPr>
          <w:szCs w:val="26"/>
        </w:rPr>
        <w:t xml:space="preserve"> con </w:t>
      </w:r>
      <w:r w:rsidR="002A394A">
        <w:rPr>
          <w:szCs w:val="26"/>
        </w:rPr>
        <w:t>los</w:t>
      </w:r>
      <w:r w:rsidR="00383480">
        <w:rPr>
          <w:szCs w:val="26"/>
        </w:rPr>
        <w:t xml:space="preserve"> </w:t>
      </w:r>
      <w:r w:rsidR="0051390D">
        <w:rPr>
          <w:szCs w:val="26"/>
        </w:rPr>
        <w:t>que solicitaban los propietarios en su correspondiente hoja de aprecio.</w:t>
      </w:r>
    </w:p>
    <w:p w:rsidR="0008294C" w:rsidRDefault="0008294C" w:rsidP="0051390D">
      <w:pPr>
        <w:pStyle w:val="texto"/>
        <w:tabs>
          <w:tab w:val="clear" w:pos="2835"/>
          <w:tab w:val="clear" w:pos="3969"/>
          <w:tab w:val="clear" w:pos="5103"/>
          <w:tab w:val="clear" w:pos="6237"/>
          <w:tab w:val="clear" w:pos="7371"/>
        </w:tabs>
        <w:rPr>
          <w:szCs w:val="26"/>
        </w:rPr>
      </w:pPr>
      <w:r>
        <w:rPr>
          <w:szCs w:val="26"/>
        </w:rPr>
        <w:t>Además de las expropiaciones anteriores, el Gobierno de Navarra ha ejec</w:t>
      </w:r>
      <w:r>
        <w:rPr>
          <w:szCs w:val="26"/>
        </w:rPr>
        <w:t>u</w:t>
      </w:r>
      <w:r>
        <w:rPr>
          <w:szCs w:val="26"/>
        </w:rPr>
        <w:t>tado y financiado directamente un conjunto de infraestructuras fuera del ámbito físico de la CT pero necesarias para dotarla de servicios públicos precisos; igualmente se incluye la construcción del edificio de Aduanas dentro de la pr</w:t>
      </w:r>
      <w:r>
        <w:rPr>
          <w:szCs w:val="26"/>
        </w:rPr>
        <w:t>o</w:t>
      </w:r>
      <w:r>
        <w:rPr>
          <w:szCs w:val="26"/>
        </w:rPr>
        <w:t>pia CT. Estas inversiones han supuesto un gasto total de 11,11</w:t>
      </w:r>
      <w:r w:rsidRPr="0051390D">
        <w:rPr>
          <w:szCs w:val="26"/>
        </w:rPr>
        <w:t xml:space="preserve"> </w:t>
      </w:r>
      <w:r w:rsidRPr="00CC5EB1">
        <w:rPr>
          <w:szCs w:val="26"/>
        </w:rPr>
        <w:t>millones</w:t>
      </w:r>
      <w:r>
        <w:rPr>
          <w:szCs w:val="26"/>
        </w:rPr>
        <w:t xml:space="preserve"> de e</w:t>
      </w:r>
      <w:r>
        <w:rPr>
          <w:szCs w:val="26"/>
        </w:rPr>
        <w:t>u</w:t>
      </w:r>
      <w:r>
        <w:rPr>
          <w:szCs w:val="26"/>
        </w:rPr>
        <w:t>ros.</w:t>
      </w:r>
    </w:p>
    <w:p w:rsidR="00F93698" w:rsidRPr="004D22FC" w:rsidRDefault="0008294C" w:rsidP="00F93698">
      <w:pPr>
        <w:pStyle w:val="texto"/>
        <w:tabs>
          <w:tab w:val="clear" w:pos="2835"/>
          <w:tab w:val="clear" w:pos="3969"/>
          <w:tab w:val="clear" w:pos="5103"/>
          <w:tab w:val="clear" w:pos="6237"/>
          <w:tab w:val="clear" w:pos="7371"/>
        </w:tabs>
        <w:rPr>
          <w:spacing w:val="4"/>
          <w:szCs w:val="26"/>
        </w:rPr>
      </w:pPr>
      <w:r w:rsidRPr="004D22FC">
        <w:rPr>
          <w:spacing w:val="4"/>
          <w:szCs w:val="26"/>
        </w:rPr>
        <w:t>El modelo de gestión que se implanta en la CT se apoya en una sociedad ge</w:t>
      </w:r>
      <w:r w:rsidRPr="004D22FC">
        <w:rPr>
          <w:spacing w:val="4"/>
          <w:szCs w:val="26"/>
        </w:rPr>
        <w:t>s</w:t>
      </w:r>
      <w:r w:rsidRPr="004D22FC">
        <w:rPr>
          <w:spacing w:val="4"/>
          <w:szCs w:val="26"/>
        </w:rPr>
        <w:t>tora –inicialmente privada, pero desde 1995, de naturaleza pública– que prestará un servicio público de explotación privada mediante</w:t>
      </w:r>
      <w:r w:rsidR="00D5157B" w:rsidRPr="004D22FC">
        <w:rPr>
          <w:spacing w:val="4"/>
          <w:szCs w:val="26"/>
        </w:rPr>
        <w:t xml:space="preserve"> un concesionario o adjud</w:t>
      </w:r>
      <w:r w:rsidR="00D5157B" w:rsidRPr="004D22FC">
        <w:rPr>
          <w:spacing w:val="4"/>
          <w:szCs w:val="26"/>
        </w:rPr>
        <w:t>i</w:t>
      </w:r>
      <w:r w:rsidR="00D5157B" w:rsidRPr="004D22FC">
        <w:rPr>
          <w:spacing w:val="4"/>
          <w:szCs w:val="26"/>
        </w:rPr>
        <w:t xml:space="preserve">catario. Para la selección de </w:t>
      </w:r>
      <w:r w:rsidR="002930FB">
        <w:rPr>
          <w:spacing w:val="4"/>
          <w:szCs w:val="26"/>
        </w:rPr>
        <w:t>e</w:t>
      </w:r>
      <w:r w:rsidR="00D5157B" w:rsidRPr="004D22FC">
        <w:rPr>
          <w:spacing w:val="4"/>
          <w:szCs w:val="26"/>
        </w:rPr>
        <w:t>ste, se efectúan</w:t>
      </w:r>
      <w:r w:rsidR="00F93698" w:rsidRPr="004D22FC">
        <w:rPr>
          <w:spacing w:val="4"/>
          <w:szCs w:val="26"/>
        </w:rPr>
        <w:t xml:space="preserve"> dos concursos públicos –uno para las fases 1ª y 2ª, y, otro, para la 3ª fase</w:t>
      </w:r>
      <w:r w:rsidR="004D22FC" w:rsidRPr="004D22FC">
        <w:rPr>
          <w:spacing w:val="4"/>
          <w:szCs w:val="26"/>
        </w:rPr>
        <w:t>–</w:t>
      </w:r>
      <w:r w:rsidR="00D5157B" w:rsidRPr="004D22FC">
        <w:rPr>
          <w:spacing w:val="4"/>
          <w:szCs w:val="26"/>
        </w:rPr>
        <w:t>, que</w:t>
      </w:r>
      <w:r w:rsidR="00F93698" w:rsidRPr="004D22FC">
        <w:rPr>
          <w:spacing w:val="4"/>
          <w:szCs w:val="26"/>
        </w:rPr>
        <w:t xml:space="preserve"> se adjudican al mismo ofertante</w:t>
      </w:r>
      <w:r w:rsidR="003F135E" w:rsidRPr="004D22FC">
        <w:rPr>
          <w:spacing w:val="4"/>
          <w:szCs w:val="26"/>
        </w:rPr>
        <w:t xml:space="preserve"> –una UTE, constituida por las sociedad</w:t>
      </w:r>
      <w:r w:rsidR="00180702" w:rsidRPr="004D22FC">
        <w:rPr>
          <w:spacing w:val="4"/>
          <w:szCs w:val="26"/>
        </w:rPr>
        <w:t>es</w:t>
      </w:r>
      <w:r w:rsidR="003F135E" w:rsidRPr="004D22FC">
        <w:rPr>
          <w:spacing w:val="4"/>
          <w:szCs w:val="26"/>
        </w:rPr>
        <w:t xml:space="preserve"> SANCO y Construcciones GM</w:t>
      </w:r>
      <w:r w:rsidR="004D22FC" w:rsidRPr="004D22FC">
        <w:rPr>
          <w:spacing w:val="4"/>
          <w:szCs w:val="26"/>
        </w:rPr>
        <w:t>–</w:t>
      </w:r>
      <w:r w:rsidR="00F93698" w:rsidRPr="004D22FC">
        <w:rPr>
          <w:spacing w:val="4"/>
          <w:szCs w:val="26"/>
        </w:rPr>
        <w:t>, único que se presenta a ambos proceso</w:t>
      </w:r>
      <w:r w:rsidR="00D5157B" w:rsidRPr="004D22FC">
        <w:rPr>
          <w:spacing w:val="4"/>
          <w:szCs w:val="26"/>
        </w:rPr>
        <w:t>s</w:t>
      </w:r>
      <w:r w:rsidR="00F93698" w:rsidRPr="004D22FC">
        <w:rPr>
          <w:spacing w:val="4"/>
          <w:szCs w:val="26"/>
        </w:rPr>
        <w:t xml:space="preserve"> selectivo</w:t>
      </w:r>
      <w:r w:rsidR="00D5157B" w:rsidRPr="004D22FC">
        <w:rPr>
          <w:spacing w:val="4"/>
          <w:szCs w:val="26"/>
        </w:rPr>
        <w:t>s</w:t>
      </w:r>
      <w:r w:rsidR="00F93698" w:rsidRPr="004D22FC">
        <w:rPr>
          <w:spacing w:val="4"/>
          <w:szCs w:val="26"/>
        </w:rPr>
        <w:t xml:space="preserve">. </w:t>
      </w:r>
    </w:p>
    <w:p w:rsidR="00313169" w:rsidRPr="00313169" w:rsidRDefault="0008294C" w:rsidP="00A934BF">
      <w:pPr>
        <w:pStyle w:val="texto"/>
        <w:tabs>
          <w:tab w:val="clear" w:pos="2835"/>
          <w:tab w:val="clear" w:pos="3969"/>
          <w:tab w:val="clear" w:pos="5103"/>
          <w:tab w:val="clear" w:pos="6237"/>
          <w:tab w:val="clear" w:pos="7371"/>
        </w:tabs>
        <w:rPr>
          <w:szCs w:val="26"/>
        </w:rPr>
      </w:pPr>
      <w:r>
        <w:rPr>
          <w:szCs w:val="26"/>
        </w:rPr>
        <w:t>Este adjudicatario asume</w:t>
      </w:r>
      <w:r w:rsidR="00F93698">
        <w:rPr>
          <w:szCs w:val="26"/>
        </w:rPr>
        <w:t>, a su riego y ventura,</w:t>
      </w:r>
      <w:r>
        <w:rPr>
          <w:szCs w:val="26"/>
        </w:rPr>
        <w:t xml:space="preserve"> las obras de urbanización y construcción de naves y edificios así como la explotación y comercialización de la CT</w:t>
      </w:r>
      <w:r w:rsidR="00F93698">
        <w:rPr>
          <w:szCs w:val="26"/>
        </w:rPr>
        <w:t>, calificándose tales operaciones como de “llave en mano”</w:t>
      </w:r>
      <w:r w:rsidR="00F83C7A">
        <w:rPr>
          <w:szCs w:val="26"/>
        </w:rPr>
        <w:t>; p</w:t>
      </w:r>
      <w:r w:rsidR="003F135E">
        <w:rPr>
          <w:szCs w:val="26"/>
        </w:rPr>
        <w:t>ara la m</w:t>
      </w:r>
      <w:r w:rsidR="003F135E">
        <w:rPr>
          <w:szCs w:val="26"/>
        </w:rPr>
        <w:t>a</w:t>
      </w:r>
      <w:r w:rsidR="003F135E">
        <w:rPr>
          <w:szCs w:val="26"/>
        </w:rPr>
        <w:t>terialización de tales obras, la sociedad gestora pone</w:t>
      </w:r>
      <w:r w:rsidRPr="00313169">
        <w:rPr>
          <w:szCs w:val="26"/>
        </w:rPr>
        <w:t xml:space="preserve"> </w:t>
      </w:r>
      <w:r w:rsidR="00313169" w:rsidRPr="00313169">
        <w:rPr>
          <w:szCs w:val="26"/>
        </w:rPr>
        <w:t>a disposici</w:t>
      </w:r>
      <w:r w:rsidR="00313169">
        <w:rPr>
          <w:szCs w:val="26"/>
        </w:rPr>
        <w:t>ón d</w:t>
      </w:r>
      <w:r w:rsidR="00313169" w:rsidRPr="00313169">
        <w:rPr>
          <w:szCs w:val="26"/>
        </w:rPr>
        <w:t>e</w:t>
      </w:r>
      <w:r w:rsidR="00313169">
        <w:rPr>
          <w:szCs w:val="26"/>
        </w:rPr>
        <w:t xml:space="preserve"> </w:t>
      </w:r>
      <w:r w:rsidR="00313169" w:rsidRPr="00313169">
        <w:rPr>
          <w:szCs w:val="26"/>
        </w:rPr>
        <w:t>la citada UTE</w:t>
      </w:r>
      <w:r w:rsidR="00313169">
        <w:rPr>
          <w:szCs w:val="26"/>
        </w:rPr>
        <w:t xml:space="preserve"> los terrenos </w:t>
      </w:r>
      <w:r w:rsidR="00FE2CB8">
        <w:rPr>
          <w:szCs w:val="26"/>
        </w:rPr>
        <w:t>mediante la constitución de un derecho de superficie cuya v</w:t>
      </w:r>
      <w:r w:rsidR="00FE2CB8">
        <w:rPr>
          <w:szCs w:val="26"/>
        </w:rPr>
        <w:t>i</w:t>
      </w:r>
      <w:r w:rsidR="00FE2CB8">
        <w:rPr>
          <w:szCs w:val="26"/>
        </w:rPr>
        <w:t>gencia, para la 1ª y 2ª fase, fue hasta diciembre de 2003 y para la 3ª fase abarca hasta diciembre de 2021.</w:t>
      </w:r>
      <w:r w:rsidR="007E152A">
        <w:rPr>
          <w:szCs w:val="26"/>
        </w:rPr>
        <w:t xml:space="preserve"> Según la información disponible, las inversiones ej</w:t>
      </w:r>
      <w:r w:rsidR="007E152A">
        <w:rPr>
          <w:szCs w:val="26"/>
        </w:rPr>
        <w:t>e</w:t>
      </w:r>
      <w:r w:rsidR="007E152A">
        <w:rPr>
          <w:szCs w:val="26"/>
        </w:rPr>
        <w:t>cutadas por la UTE ascienden a 87,50 millones de euros, de los que el 40 por ciento corresponden a gastos de urbanización y el 60 por ciento restante, a construcción de naves.</w:t>
      </w:r>
    </w:p>
    <w:p w:rsidR="00FE2CB8" w:rsidRDefault="00FE2CB8" w:rsidP="00FE2CB8">
      <w:pPr>
        <w:pStyle w:val="texto"/>
        <w:tabs>
          <w:tab w:val="clear" w:pos="2835"/>
          <w:tab w:val="clear" w:pos="3969"/>
          <w:tab w:val="clear" w:pos="5103"/>
          <w:tab w:val="clear" w:pos="6237"/>
          <w:tab w:val="clear" w:pos="7371"/>
        </w:tabs>
        <w:rPr>
          <w:szCs w:val="26"/>
        </w:rPr>
      </w:pPr>
      <w:r w:rsidRPr="00FE2CB8">
        <w:rPr>
          <w:szCs w:val="26"/>
        </w:rPr>
        <w:t>Sobre la sociedad gestora de la CT</w:t>
      </w:r>
      <w:r>
        <w:rPr>
          <w:szCs w:val="26"/>
        </w:rPr>
        <w:t xml:space="preserve"> señalamos que</w:t>
      </w:r>
      <w:r w:rsidR="00F83C7A">
        <w:rPr>
          <w:szCs w:val="26"/>
        </w:rPr>
        <w:t>,</w:t>
      </w:r>
      <w:r w:rsidRPr="00FE2CB8">
        <w:rPr>
          <w:szCs w:val="26"/>
        </w:rPr>
        <w:t xml:space="preserve"> </w:t>
      </w:r>
      <w:r w:rsidRPr="00372251">
        <w:rPr>
          <w:szCs w:val="26"/>
        </w:rPr>
        <w:t>desde su in</w:t>
      </w:r>
      <w:r>
        <w:rPr>
          <w:szCs w:val="26"/>
        </w:rPr>
        <w:t>i</w:t>
      </w:r>
      <w:r w:rsidRPr="00372251">
        <w:rPr>
          <w:szCs w:val="26"/>
        </w:rPr>
        <w:t>cio hasta</w:t>
      </w:r>
      <w:r>
        <w:rPr>
          <w:szCs w:val="26"/>
        </w:rPr>
        <w:t xml:space="preserve"> la actualidad</w:t>
      </w:r>
      <w:r w:rsidR="00F83C7A">
        <w:rPr>
          <w:szCs w:val="26"/>
        </w:rPr>
        <w:t>,</w:t>
      </w:r>
      <w:r>
        <w:rPr>
          <w:szCs w:val="26"/>
        </w:rPr>
        <w:t xml:space="preserve"> ha tenido diversas denominaciones y propietarios de su capital s</w:t>
      </w:r>
      <w:r>
        <w:rPr>
          <w:szCs w:val="26"/>
        </w:rPr>
        <w:t>o</w:t>
      </w:r>
      <w:r>
        <w:rPr>
          <w:szCs w:val="26"/>
        </w:rPr>
        <w:t>cial.</w:t>
      </w:r>
      <w:r w:rsidRPr="00FE2CB8">
        <w:rPr>
          <w:szCs w:val="26"/>
        </w:rPr>
        <w:t xml:space="preserve"> </w:t>
      </w:r>
      <w:r>
        <w:rPr>
          <w:szCs w:val="26"/>
        </w:rPr>
        <w:t xml:space="preserve">Así, </w:t>
      </w:r>
      <w:r w:rsidR="00DC17D9">
        <w:rPr>
          <w:szCs w:val="26"/>
        </w:rPr>
        <w:t xml:space="preserve">en 1991 se constituye la sociedad </w:t>
      </w:r>
      <w:r w:rsidR="00DC17D9" w:rsidRPr="00DD1C06">
        <w:rPr>
          <w:szCs w:val="26"/>
        </w:rPr>
        <w:t>Terminal de Transportes de la C</w:t>
      </w:r>
      <w:r w:rsidR="00DC17D9" w:rsidRPr="00DD1C06">
        <w:rPr>
          <w:szCs w:val="26"/>
        </w:rPr>
        <w:t>o</w:t>
      </w:r>
      <w:r w:rsidR="00DC17D9" w:rsidRPr="00DD1C06">
        <w:rPr>
          <w:szCs w:val="26"/>
        </w:rPr>
        <w:t>marca de Pamplona, SA</w:t>
      </w:r>
      <w:r w:rsidR="00DC17D9">
        <w:rPr>
          <w:szCs w:val="26"/>
        </w:rPr>
        <w:t xml:space="preserve"> que e</w:t>
      </w:r>
      <w:r>
        <w:rPr>
          <w:szCs w:val="26"/>
        </w:rPr>
        <w:t>n una primera etapa –hasta 1995- no tiene part</w:t>
      </w:r>
      <w:r>
        <w:rPr>
          <w:szCs w:val="26"/>
        </w:rPr>
        <w:t>i</w:t>
      </w:r>
      <w:r>
        <w:rPr>
          <w:szCs w:val="26"/>
        </w:rPr>
        <w:t>cipación pública en su capital</w:t>
      </w:r>
      <w:r w:rsidR="002930FB">
        <w:rPr>
          <w:szCs w:val="26"/>
        </w:rPr>
        <w:t>, siendo e</w:t>
      </w:r>
      <w:r w:rsidR="003C006B">
        <w:rPr>
          <w:szCs w:val="26"/>
        </w:rPr>
        <w:t>ste propiedad cien por cien de los s</w:t>
      </w:r>
      <w:r w:rsidR="003C006B">
        <w:rPr>
          <w:szCs w:val="26"/>
        </w:rPr>
        <w:t>i</w:t>
      </w:r>
      <w:r w:rsidR="003C006B">
        <w:rPr>
          <w:szCs w:val="26"/>
        </w:rPr>
        <w:t>guientes entidades:</w:t>
      </w:r>
      <w:r w:rsidR="003C006B" w:rsidRPr="003C006B">
        <w:rPr>
          <w:szCs w:val="26"/>
        </w:rPr>
        <w:t xml:space="preserve"> </w:t>
      </w:r>
      <w:r w:rsidR="003C006B" w:rsidRPr="00B05F68">
        <w:rPr>
          <w:szCs w:val="26"/>
        </w:rPr>
        <w:t>Anet, Tradisna, Cámara de Comercio e Industria de Navarra y Audenasa</w:t>
      </w:r>
      <w:r w:rsidR="003C006B">
        <w:rPr>
          <w:szCs w:val="26"/>
        </w:rPr>
        <w:t>. P</w:t>
      </w:r>
      <w:r>
        <w:rPr>
          <w:szCs w:val="26"/>
        </w:rPr>
        <w:t>rogresivamente</w:t>
      </w:r>
      <w:r w:rsidR="00DC17D9">
        <w:rPr>
          <w:szCs w:val="26"/>
        </w:rPr>
        <w:t>,</w:t>
      </w:r>
      <w:r w:rsidR="00DC17D9" w:rsidRPr="00DC17D9">
        <w:rPr>
          <w:szCs w:val="26"/>
        </w:rPr>
        <w:t xml:space="preserve"> </w:t>
      </w:r>
      <w:r w:rsidR="00DC17D9">
        <w:rPr>
          <w:szCs w:val="26"/>
        </w:rPr>
        <w:t>vía ampliaciones de capital a las que no acuden los anteriores socios privados,</w:t>
      </w:r>
      <w:r>
        <w:rPr>
          <w:szCs w:val="26"/>
        </w:rPr>
        <w:t xml:space="preserve"> la presencia de la Administración resulta muy mayoritaria para, finalmente, poseer el cien por cien de su capital social. </w:t>
      </w:r>
    </w:p>
    <w:p w:rsidR="009231D2" w:rsidRDefault="00DC17D9" w:rsidP="009231D2">
      <w:pPr>
        <w:pStyle w:val="texto"/>
        <w:tabs>
          <w:tab w:val="clear" w:pos="2835"/>
          <w:tab w:val="clear" w:pos="3969"/>
          <w:tab w:val="clear" w:pos="5103"/>
          <w:tab w:val="clear" w:pos="6237"/>
          <w:tab w:val="clear" w:pos="7371"/>
        </w:tabs>
        <w:rPr>
          <w:szCs w:val="26"/>
        </w:rPr>
      </w:pPr>
      <w:r>
        <w:rPr>
          <w:szCs w:val="26"/>
        </w:rPr>
        <w:t xml:space="preserve">En 1997, la citada sociedad </w:t>
      </w:r>
      <w:r w:rsidRPr="00DD1C06">
        <w:rPr>
          <w:szCs w:val="26"/>
        </w:rPr>
        <w:t>Terminal de Transportes de la Comarca de Pa</w:t>
      </w:r>
      <w:r w:rsidRPr="00DD1C06">
        <w:rPr>
          <w:szCs w:val="26"/>
        </w:rPr>
        <w:t>m</w:t>
      </w:r>
      <w:r w:rsidRPr="00DD1C06">
        <w:rPr>
          <w:szCs w:val="26"/>
        </w:rPr>
        <w:t>plona, SA cambia su denominación por “Ciudad del Transporte de Pamplona, SA.” (en adelante CTP, SA). Esta denominación se mantiene hasta 2011 en que, mediante una operación de fusión por absorción, la Ciudad del Transporte absorbe a la Agencia Navarra del Transporte y Logística SA, denominándose la nueva sociedad “Agencia Navarra del Transporte y la Logística, SAU”</w:t>
      </w:r>
      <w:r>
        <w:rPr>
          <w:szCs w:val="26"/>
        </w:rPr>
        <w:t xml:space="preserve"> (ANL)</w:t>
      </w:r>
      <w:r w:rsidRPr="00DD1C06">
        <w:rPr>
          <w:szCs w:val="26"/>
        </w:rPr>
        <w:t>; posteriormente, en 2014, esta última sociedad es absorbida a su vez por Nav</w:t>
      </w:r>
      <w:r w:rsidRPr="00DD1C06">
        <w:rPr>
          <w:szCs w:val="26"/>
        </w:rPr>
        <w:t>a</w:t>
      </w:r>
      <w:r w:rsidRPr="00DD1C06">
        <w:rPr>
          <w:szCs w:val="26"/>
        </w:rPr>
        <w:t>rra de Suelo y Vivienda SAU (Nasuvinsa).</w:t>
      </w:r>
    </w:p>
    <w:p w:rsidR="009231D2" w:rsidRDefault="00FE2CB8" w:rsidP="009231D2">
      <w:pPr>
        <w:pStyle w:val="texto"/>
        <w:tabs>
          <w:tab w:val="clear" w:pos="2835"/>
          <w:tab w:val="clear" w:pos="3969"/>
          <w:tab w:val="clear" w:pos="5103"/>
          <w:tab w:val="clear" w:pos="6237"/>
          <w:tab w:val="clear" w:pos="7371"/>
        </w:tabs>
        <w:rPr>
          <w:szCs w:val="26"/>
        </w:rPr>
      </w:pPr>
      <w:r>
        <w:rPr>
          <w:szCs w:val="26"/>
        </w:rPr>
        <w:t>L</w:t>
      </w:r>
      <w:r w:rsidRPr="001B6768">
        <w:rPr>
          <w:szCs w:val="26"/>
        </w:rPr>
        <w:t xml:space="preserve">as funciones </w:t>
      </w:r>
      <w:r>
        <w:rPr>
          <w:szCs w:val="26"/>
        </w:rPr>
        <w:t>desarrolladas por la</w:t>
      </w:r>
      <w:r w:rsidRPr="001B6768">
        <w:rPr>
          <w:szCs w:val="26"/>
        </w:rPr>
        <w:t xml:space="preserve"> sociedad gestora </w:t>
      </w:r>
      <w:r>
        <w:rPr>
          <w:szCs w:val="26"/>
        </w:rPr>
        <w:t xml:space="preserve">de la CT </w:t>
      </w:r>
      <w:r w:rsidR="009231D2">
        <w:rPr>
          <w:szCs w:val="26"/>
        </w:rPr>
        <w:t>se</w:t>
      </w:r>
      <w:r>
        <w:rPr>
          <w:szCs w:val="26"/>
        </w:rPr>
        <w:t xml:space="preserve"> resumen</w:t>
      </w:r>
      <w:r w:rsidR="009231D2">
        <w:rPr>
          <w:szCs w:val="26"/>
        </w:rPr>
        <w:t xml:space="preserve"> en las siguientes: </w:t>
      </w:r>
      <w:r>
        <w:rPr>
          <w:szCs w:val="26"/>
        </w:rPr>
        <w:t>Promoción de los PSIS que desarrollan la CT</w:t>
      </w:r>
      <w:r w:rsidR="009231D2">
        <w:rPr>
          <w:szCs w:val="26"/>
        </w:rPr>
        <w:t>,</w:t>
      </w:r>
      <w:r w:rsidRPr="001B6768">
        <w:rPr>
          <w:szCs w:val="26"/>
        </w:rPr>
        <w:t xml:space="preserve"> </w:t>
      </w:r>
      <w:r w:rsidR="009231D2">
        <w:rPr>
          <w:szCs w:val="26"/>
        </w:rPr>
        <w:t>c</w:t>
      </w:r>
      <w:r w:rsidRPr="001B6768">
        <w:rPr>
          <w:szCs w:val="26"/>
        </w:rPr>
        <w:t xml:space="preserve">onvocatoria </w:t>
      </w:r>
      <w:r>
        <w:rPr>
          <w:szCs w:val="26"/>
        </w:rPr>
        <w:t xml:space="preserve">y tramitación </w:t>
      </w:r>
      <w:r w:rsidRPr="001B6768">
        <w:rPr>
          <w:szCs w:val="26"/>
        </w:rPr>
        <w:t xml:space="preserve">de los </w:t>
      </w:r>
      <w:r>
        <w:rPr>
          <w:szCs w:val="26"/>
        </w:rPr>
        <w:t xml:space="preserve">dos </w:t>
      </w:r>
      <w:r w:rsidRPr="001B6768">
        <w:rPr>
          <w:szCs w:val="26"/>
        </w:rPr>
        <w:t>concursos para la adjudicación de la realización y des</w:t>
      </w:r>
      <w:r w:rsidRPr="001B6768">
        <w:rPr>
          <w:szCs w:val="26"/>
        </w:rPr>
        <w:t>a</w:t>
      </w:r>
      <w:r w:rsidRPr="001B6768">
        <w:rPr>
          <w:szCs w:val="26"/>
        </w:rPr>
        <w:t>rrollo de la C</w:t>
      </w:r>
      <w:r w:rsidR="009231D2">
        <w:rPr>
          <w:szCs w:val="26"/>
        </w:rPr>
        <w:t>T,</w:t>
      </w:r>
      <w:r w:rsidRPr="001B6768">
        <w:rPr>
          <w:szCs w:val="26"/>
        </w:rPr>
        <w:t xml:space="preserve"> </w:t>
      </w:r>
      <w:r w:rsidR="009231D2">
        <w:rPr>
          <w:szCs w:val="26"/>
        </w:rPr>
        <w:t>c</w:t>
      </w:r>
      <w:r w:rsidRPr="009231D2">
        <w:rPr>
          <w:szCs w:val="26"/>
        </w:rPr>
        <w:t>ontrol de las obras de urbaniza</w:t>
      </w:r>
      <w:r w:rsidR="009231D2">
        <w:rPr>
          <w:szCs w:val="26"/>
        </w:rPr>
        <w:t>ción y c</w:t>
      </w:r>
      <w:r w:rsidRPr="00F431A8">
        <w:rPr>
          <w:szCs w:val="26"/>
        </w:rPr>
        <w:t>ontrol y seguimiento d</w:t>
      </w:r>
      <w:r>
        <w:rPr>
          <w:szCs w:val="26"/>
        </w:rPr>
        <w:t>e</w:t>
      </w:r>
      <w:r w:rsidRPr="00F431A8">
        <w:rPr>
          <w:szCs w:val="26"/>
        </w:rPr>
        <w:t xml:space="preserve"> la fase de comercialización y explotación</w:t>
      </w:r>
      <w:r w:rsidR="009231D2">
        <w:rPr>
          <w:szCs w:val="26"/>
        </w:rPr>
        <w:t>.</w:t>
      </w:r>
      <w:r w:rsidRPr="00F431A8">
        <w:rPr>
          <w:szCs w:val="26"/>
        </w:rPr>
        <w:t xml:space="preserve"> </w:t>
      </w:r>
    </w:p>
    <w:p w:rsidR="00FE2CB8" w:rsidRPr="00E56FD3" w:rsidRDefault="00FE2CB8" w:rsidP="009231D2">
      <w:pPr>
        <w:pStyle w:val="texto"/>
        <w:tabs>
          <w:tab w:val="clear" w:pos="2835"/>
          <w:tab w:val="clear" w:pos="3969"/>
          <w:tab w:val="clear" w:pos="5103"/>
          <w:tab w:val="clear" w:pos="6237"/>
          <w:tab w:val="clear" w:pos="7371"/>
        </w:tabs>
        <w:rPr>
          <w:szCs w:val="26"/>
        </w:rPr>
      </w:pPr>
      <w:r w:rsidRPr="009231D2">
        <w:rPr>
          <w:szCs w:val="26"/>
        </w:rPr>
        <w:t>De acuerdo con los contratos firmados</w:t>
      </w:r>
      <w:r w:rsidR="002930FB">
        <w:rPr>
          <w:szCs w:val="26"/>
        </w:rPr>
        <w:t xml:space="preserve"> con la UTE, de cada venta que e</w:t>
      </w:r>
      <w:r w:rsidRPr="009231D2">
        <w:rPr>
          <w:szCs w:val="26"/>
        </w:rPr>
        <w:t>sta efectúa, la sociedad gestora percibe un porcentaje sobre el precio de venta, c</w:t>
      </w:r>
      <w:r w:rsidRPr="009231D2">
        <w:rPr>
          <w:szCs w:val="26"/>
        </w:rPr>
        <w:t>u</w:t>
      </w:r>
      <w:r w:rsidRPr="009231D2">
        <w:rPr>
          <w:szCs w:val="26"/>
        </w:rPr>
        <w:t>ya cuantía no incrementa tal precio.</w:t>
      </w:r>
      <w:r w:rsidR="009231D2">
        <w:rPr>
          <w:szCs w:val="26"/>
        </w:rPr>
        <w:t xml:space="preserve"> </w:t>
      </w:r>
      <w:r>
        <w:rPr>
          <w:szCs w:val="26"/>
        </w:rPr>
        <w:t>Hasta el</w:t>
      </w:r>
      <w:r w:rsidRPr="009975EB">
        <w:rPr>
          <w:szCs w:val="26"/>
        </w:rPr>
        <w:t xml:space="preserve"> 31 de diciembre de 2017 </w:t>
      </w:r>
      <w:r w:rsidRPr="00B7755E">
        <w:rPr>
          <w:szCs w:val="26"/>
        </w:rPr>
        <w:t>ha perc</w:t>
      </w:r>
      <w:r w:rsidRPr="00B7755E">
        <w:rPr>
          <w:szCs w:val="26"/>
        </w:rPr>
        <w:t>i</w:t>
      </w:r>
      <w:r w:rsidRPr="00B7755E">
        <w:rPr>
          <w:szCs w:val="26"/>
        </w:rPr>
        <w:t xml:space="preserve">bido un total de </w:t>
      </w:r>
      <w:r w:rsidRPr="00E56FD3">
        <w:rPr>
          <w:szCs w:val="26"/>
        </w:rPr>
        <w:t>10,64 millones de euros</w:t>
      </w:r>
      <w:r w:rsidR="009231D2">
        <w:rPr>
          <w:szCs w:val="26"/>
        </w:rPr>
        <w:t>.</w:t>
      </w:r>
    </w:p>
    <w:p w:rsidR="00304C3A" w:rsidRDefault="00F650A3" w:rsidP="00304C3A">
      <w:pPr>
        <w:pStyle w:val="texto"/>
        <w:tabs>
          <w:tab w:val="clear" w:pos="2835"/>
          <w:tab w:val="clear" w:pos="3969"/>
          <w:tab w:val="clear" w:pos="5103"/>
          <w:tab w:val="clear" w:pos="6237"/>
          <w:tab w:val="clear" w:pos="7371"/>
        </w:tabs>
        <w:rPr>
          <w:szCs w:val="26"/>
        </w:rPr>
      </w:pPr>
      <w:r>
        <w:rPr>
          <w:szCs w:val="26"/>
        </w:rPr>
        <w:t>Además, para la 3ª fase, la sociedad gestora, c</w:t>
      </w:r>
      <w:r w:rsidRPr="00B7755E">
        <w:rPr>
          <w:szCs w:val="26"/>
        </w:rPr>
        <w:t>onforme al contrato de adjud</w:t>
      </w:r>
      <w:r w:rsidRPr="00B7755E">
        <w:rPr>
          <w:szCs w:val="26"/>
        </w:rPr>
        <w:t>i</w:t>
      </w:r>
      <w:r w:rsidRPr="00B7755E">
        <w:rPr>
          <w:szCs w:val="26"/>
        </w:rPr>
        <w:t>cación</w:t>
      </w:r>
      <w:r>
        <w:rPr>
          <w:szCs w:val="26"/>
        </w:rPr>
        <w:t xml:space="preserve"> firmado </w:t>
      </w:r>
      <w:r w:rsidRPr="00B7755E">
        <w:rPr>
          <w:szCs w:val="26"/>
        </w:rPr>
        <w:t xml:space="preserve">con la UTE, </w:t>
      </w:r>
      <w:r w:rsidR="002930FB">
        <w:rPr>
          <w:szCs w:val="26"/>
        </w:rPr>
        <w:t>percibiría de e</w:t>
      </w:r>
      <w:r>
        <w:rPr>
          <w:szCs w:val="26"/>
        </w:rPr>
        <w:t>sta</w:t>
      </w:r>
      <w:r w:rsidRPr="00B7755E">
        <w:rPr>
          <w:szCs w:val="26"/>
        </w:rPr>
        <w:t xml:space="preserve"> un canon total de 15 millones de euros, que se devengará con una periodicidad anual, por un importe de 1,5 m</w:t>
      </w:r>
      <w:r w:rsidRPr="00B7755E">
        <w:rPr>
          <w:szCs w:val="26"/>
        </w:rPr>
        <w:t>i</w:t>
      </w:r>
      <w:r w:rsidRPr="00B7755E">
        <w:rPr>
          <w:szCs w:val="26"/>
        </w:rPr>
        <w:t>llones de euros y una duración de diez años</w:t>
      </w:r>
      <w:r>
        <w:rPr>
          <w:szCs w:val="26"/>
        </w:rPr>
        <w:t xml:space="preserve"> –es decir, hasta 2015–</w:t>
      </w:r>
      <w:r w:rsidRPr="00B7755E">
        <w:rPr>
          <w:szCs w:val="26"/>
        </w:rPr>
        <w:t>.</w:t>
      </w:r>
      <w:r>
        <w:rPr>
          <w:szCs w:val="26"/>
        </w:rPr>
        <w:t xml:space="preserve"> Sin emba</w:t>
      </w:r>
      <w:r>
        <w:rPr>
          <w:szCs w:val="26"/>
        </w:rPr>
        <w:t>r</w:t>
      </w:r>
      <w:r>
        <w:rPr>
          <w:szCs w:val="26"/>
        </w:rPr>
        <w:t>go, a 31 de diciembre de 2017, el canon devengado (IVA incluido) asciende a 19,58 millones, de los que queda pendiente de cobro un total de 8,79 millones</w:t>
      </w:r>
      <w:r w:rsidRPr="00B7755E">
        <w:rPr>
          <w:szCs w:val="26"/>
        </w:rPr>
        <w:t>, incluidos los intereses a un tipo de interés nominal anual del cinco por ciento.</w:t>
      </w:r>
    </w:p>
    <w:p w:rsidR="00304C3A" w:rsidRDefault="00304C3A" w:rsidP="00FE2CB8">
      <w:pPr>
        <w:pStyle w:val="texto"/>
        <w:tabs>
          <w:tab w:val="clear" w:pos="2835"/>
          <w:tab w:val="clear" w:pos="3969"/>
          <w:tab w:val="clear" w:pos="5103"/>
          <w:tab w:val="clear" w:pos="6237"/>
          <w:tab w:val="clear" w:pos="7371"/>
        </w:tabs>
        <w:rPr>
          <w:szCs w:val="26"/>
        </w:rPr>
      </w:pPr>
      <w:r>
        <w:rPr>
          <w:szCs w:val="26"/>
        </w:rPr>
        <w:t>El proyecto de la CT</w:t>
      </w:r>
      <w:r w:rsidR="002930FB">
        <w:rPr>
          <w:szCs w:val="26"/>
        </w:rPr>
        <w:t>,</w:t>
      </w:r>
      <w:r>
        <w:rPr>
          <w:szCs w:val="26"/>
        </w:rPr>
        <w:t xml:space="preserve"> como toda infraestructura de esta naturaleza y enve</w:t>
      </w:r>
      <w:r>
        <w:rPr>
          <w:szCs w:val="26"/>
        </w:rPr>
        <w:t>r</w:t>
      </w:r>
      <w:r>
        <w:rPr>
          <w:szCs w:val="26"/>
        </w:rPr>
        <w:t>gadura</w:t>
      </w:r>
      <w:r w:rsidR="002930FB">
        <w:rPr>
          <w:szCs w:val="26"/>
        </w:rPr>
        <w:t>,</w:t>
      </w:r>
      <w:r>
        <w:rPr>
          <w:szCs w:val="26"/>
        </w:rPr>
        <w:t xml:space="preserve"> requiere de un amplio plazo de funcionamiento para concluir sobre su rentabilidad</w:t>
      </w:r>
      <w:r w:rsidR="00BC29AC">
        <w:rPr>
          <w:szCs w:val="26"/>
        </w:rPr>
        <w:t xml:space="preserve"> económico-social</w:t>
      </w:r>
      <w:r w:rsidR="00E26D1B">
        <w:rPr>
          <w:szCs w:val="26"/>
        </w:rPr>
        <w:t xml:space="preserve"> y el retorno de la inversión realizada</w:t>
      </w:r>
      <w:r>
        <w:rPr>
          <w:szCs w:val="26"/>
        </w:rPr>
        <w:t>; actualme</w:t>
      </w:r>
      <w:r>
        <w:rPr>
          <w:szCs w:val="26"/>
        </w:rPr>
        <w:t>n</w:t>
      </w:r>
      <w:r>
        <w:rPr>
          <w:szCs w:val="26"/>
        </w:rPr>
        <w:t>te aún no puede darse como definitivamente configurado</w:t>
      </w:r>
      <w:r w:rsidR="00BC29AC">
        <w:rPr>
          <w:szCs w:val="26"/>
        </w:rPr>
        <w:t xml:space="preserve"> tal proyecto</w:t>
      </w:r>
      <w:r w:rsidR="009E2B01">
        <w:rPr>
          <w:szCs w:val="26"/>
        </w:rPr>
        <w:t xml:space="preserve"> ni existe aún un horizonte temporal suficiente de gestión</w:t>
      </w:r>
      <w:r>
        <w:rPr>
          <w:szCs w:val="26"/>
        </w:rPr>
        <w:t>, por lo que no podemos pr</w:t>
      </w:r>
      <w:r>
        <w:rPr>
          <w:szCs w:val="26"/>
        </w:rPr>
        <w:t>o</w:t>
      </w:r>
      <w:r>
        <w:rPr>
          <w:szCs w:val="26"/>
        </w:rPr>
        <w:t>nunciarnos sobre esta</w:t>
      </w:r>
      <w:r w:rsidR="00E26D1B">
        <w:rPr>
          <w:szCs w:val="26"/>
        </w:rPr>
        <w:t>s</w:t>
      </w:r>
      <w:r>
        <w:rPr>
          <w:szCs w:val="26"/>
        </w:rPr>
        <w:t xml:space="preserve"> cuesti</w:t>
      </w:r>
      <w:r w:rsidR="00E26D1B">
        <w:rPr>
          <w:szCs w:val="26"/>
        </w:rPr>
        <w:t>ones</w:t>
      </w:r>
      <w:r>
        <w:rPr>
          <w:szCs w:val="26"/>
        </w:rPr>
        <w:t>.</w:t>
      </w:r>
      <w:r w:rsidR="0027035B">
        <w:rPr>
          <w:szCs w:val="26"/>
        </w:rPr>
        <w:t xml:space="preserve"> No obstante, </w:t>
      </w:r>
      <w:r w:rsidR="00AA1B2D">
        <w:rPr>
          <w:szCs w:val="26"/>
        </w:rPr>
        <w:t>s</w:t>
      </w:r>
      <w:r w:rsidR="002930FB">
        <w:rPr>
          <w:szCs w:val="26"/>
        </w:rPr>
        <w:t>í</w:t>
      </w:r>
      <w:r w:rsidR="00AA1B2D">
        <w:rPr>
          <w:szCs w:val="26"/>
        </w:rPr>
        <w:t xml:space="preserve"> </w:t>
      </w:r>
      <w:r w:rsidR="0027035B">
        <w:rPr>
          <w:szCs w:val="26"/>
        </w:rPr>
        <w:t>destacamos</w:t>
      </w:r>
      <w:r w:rsidR="00BC29AC">
        <w:rPr>
          <w:szCs w:val="26"/>
        </w:rPr>
        <w:t>,</w:t>
      </w:r>
      <w:r w:rsidR="008A3217">
        <w:rPr>
          <w:szCs w:val="26"/>
        </w:rPr>
        <w:t xml:space="preserve"> a 31 de dicie</w:t>
      </w:r>
      <w:r w:rsidR="008A3217">
        <w:rPr>
          <w:szCs w:val="26"/>
        </w:rPr>
        <w:t>m</w:t>
      </w:r>
      <w:r w:rsidR="008A3217">
        <w:rPr>
          <w:szCs w:val="26"/>
        </w:rPr>
        <w:t>bre de 2017,</w:t>
      </w:r>
      <w:r w:rsidR="0027035B">
        <w:rPr>
          <w:szCs w:val="26"/>
        </w:rPr>
        <w:t xml:space="preserve"> los siguientes aspectos:</w:t>
      </w:r>
    </w:p>
    <w:p w:rsidR="0027035B" w:rsidRDefault="008A3217" w:rsidP="008A3217">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L</w:t>
      </w:r>
      <w:r w:rsidR="00304C3A">
        <w:rPr>
          <w:szCs w:val="26"/>
        </w:rPr>
        <w:t>as inversiones públicas en la CT han ascendido a 113,29 millones de e</w:t>
      </w:r>
      <w:r w:rsidR="00304C3A">
        <w:rPr>
          <w:szCs w:val="26"/>
        </w:rPr>
        <w:t>u</w:t>
      </w:r>
      <w:r w:rsidR="00304C3A">
        <w:rPr>
          <w:szCs w:val="26"/>
        </w:rPr>
        <w:t>ros; de este importe, el 81 por ciento se ha destinado a financiar las expropi</w:t>
      </w:r>
      <w:r w:rsidR="00304C3A">
        <w:rPr>
          <w:szCs w:val="26"/>
        </w:rPr>
        <w:t>a</w:t>
      </w:r>
      <w:r w:rsidR="00304C3A">
        <w:rPr>
          <w:szCs w:val="26"/>
        </w:rPr>
        <w:t>ciones de los terrenos</w:t>
      </w:r>
      <w:r w:rsidR="0027035B">
        <w:rPr>
          <w:szCs w:val="26"/>
        </w:rPr>
        <w:t>, un 10 por ciento a</w:t>
      </w:r>
      <w:r w:rsidR="00304C3A">
        <w:rPr>
          <w:szCs w:val="26"/>
        </w:rPr>
        <w:t xml:space="preserve"> </w:t>
      </w:r>
      <w:r w:rsidR="0027035B">
        <w:rPr>
          <w:szCs w:val="26"/>
        </w:rPr>
        <w:t>infraestructuras externas ejecutadas directamente por el Gobierno de Navarra, un seis por ciento corresponde a la adquisición de inmuebles dentro de la CT por la sociedad gestora (edificios y aparcamiento de vehículos pesados) y, el resto, a otras inversiones fundame</w:t>
      </w:r>
      <w:r w:rsidR="0027035B">
        <w:rPr>
          <w:szCs w:val="26"/>
        </w:rPr>
        <w:t>n</w:t>
      </w:r>
      <w:r w:rsidR="0027035B">
        <w:rPr>
          <w:szCs w:val="26"/>
        </w:rPr>
        <w:t>talmente en sistemas generales.</w:t>
      </w:r>
    </w:p>
    <w:p w:rsidR="0027035B" w:rsidRPr="008A3217" w:rsidRDefault="008A3217" w:rsidP="008A3217">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L</w:t>
      </w:r>
      <w:r w:rsidR="0027035B">
        <w:rPr>
          <w:szCs w:val="26"/>
        </w:rPr>
        <w:t>a fin</w:t>
      </w:r>
      <w:r>
        <w:rPr>
          <w:szCs w:val="26"/>
        </w:rPr>
        <w:t xml:space="preserve">anciación obtenida </w:t>
      </w:r>
      <w:r w:rsidR="002A78F7">
        <w:rPr>
          <w:szCs w:val="26"/>
        </w:rPr>
        <w:t xml:space="preserve">por la CT </w:t>
      </w:r>
      <w:r w:rsidR="0027035B">
        <w:rPr>
          <w:szCs w:val="26"/>
        </w:rPr>
        <w:t>ha ascendido a 105,18 millones de e</w:t>
      </w:r>
      <w:r w:rsidR="0027035B">
        <w:rPr>
          <w:szCs w:val="26"/>
        </w:rPr>
        <w:t>u</w:t>
      </w:r>
      <w:r w:rsidR="0027035B">
        <w:rPr>
          <w:szCs w:val="26"/>
        </w:rPr>
        <w:t>ros. De este importe total, el 54 por ciento procede de subvenciones concedidas por el Gobierno de Navarra, el 29 por ciento de la propia actividad comercial de la sociedad gestora y el 17 por ciento de ampliaciones de capital desembo</w:t>
      </w:r>
      <w:r w:rsidR="0027035B">
        <w:rPr>
          <w:szCs w:val="26"/>
        </w:rPr>
        <w:t>l</w:t>
      </w:r>
      <w:r w:rsidR="0027035B">
        <w:rPr>
          <w:szCs w:val="26"/>
        </w:rPr>
        <w:t>sados por el Gobierno de Navarra y de aportaciones del socio único de la s</w:t>
      </w:r>
      <w:r w:rsidR="0027035B">
        <w:rPr>
          <w:szCs w:val="26"/>
        </w:rPr>
        <w:t>o</w:t>
      </w:r>
      <w:r w:rsidR="0027035B">
        <w:rPr>
          <w:szCs w:val="26"/>
        </w:rPr>
        <w:t xml:space="preserve">ciedad gestora (CPEN). </w:t>
      </w:r>
    </w:p>
    <w:p w:rsidR="008A3217" w:rsidRDefault="008A3217" w:rsidP="008A3217">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Sobre la 4ª fase, se ha descartado, al menos a medio plazo, la conexión d</w:t>
      </w:r>
      <w:r>
        <w:rPr>
          <w:szCs w:val="26"/>
        </w:rPr>
        <w:t>i</w:t>
      </w:r>
      <w:r>
        <w:rPr>
          <w:szCs w:val="26"/>
        </w:rPr>
        <w:t>recta con la red ferroviaria, estando actualmente en tramitación de una modif</w:t>
      </w:r>
      <w:r>
        <w:rPr>
          <w:szCs w:val="26"/>
        </w:rPr>
        <w:t>i</w:t>
      </w:r>
      <w:r>
        <w:rPr>
          <w:szCs w:val="26"/>
        </w:rPr>
        <w:t>cación del PSIS que permita ampliar los usos autorizados en la misma para i</w:t>
      </w:r>
      <w:r>
        <w:rPr>
          <w:szCs w:val="26"/>
        </w:rPr>
        <w:t>n</w:t>
      </w:r>
      <w:r>
        <w:rPr>
          <w:szCs w:val="26"/>
        </w:rPr>
        <w:t>cluir los usos industriales.</w:t>
      </w:r>
    </w:p>
    <w:p w:rsidR="000871E6" w:rsidRDefault="008A3217" w:rsidP="008A3217">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Nivel de ocupación. La 1ª y 2ª fase de la CT está</w:t>
      </w:r>
      <w:r w:rsidR="008656C7">
        <w:rPr>
          <w:szCs w:val="26"/>
        </w:rPr>
        <w:t xml:space="preserve">n ocupadas </w:t>
      </w:r>
      <w:r>
        <w:rPr>
          <w:szCs w:val="26"/>
        </w:rPr>
        <w:t>en su total</w:t>
      </w:r>
      <w:r>
        <w:rPr>
          <w:szCs w:val="26"/>
        </w:rPr>
        <w:t>i</w:t>
      </w:r>
      <w:r>
        <w:rPr>
          <w:szCs w:val="26"/>
        </w:rPr>
        <w:t>dad; la 3ª se encuentra en torno al 54 por ciento de ocupación; la 4ª está en fase de nueva configuración.</w:t>
      </w:r>
    </w:p>
    <w:p w:rsidR="00387906" w:rsidRDefault="00387906" w:rsidP="00AA1B2D">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Además, la construcción y gestión de esta infraestructura ha estado cond</w:t>
      </w:r>
      <w:r>
        <w:rPr>
          <w:szCs w:val="26"/>
        </w:rPr>
        <w:t>i</w:t>
      </w:r>
      <w:r>
        <w:rPr>
          <w:szCs w:val="26"/>
        </w:rPr>
        <w:t>cionada por:</w:t>
      </w:r>
    </w:p>
    <w:p w:rsidR="00387906" w:rsidRPr="00700BE1" w:rsidRDefault="00AA1B2D" w:rsidP="00AA1B2D">
      <w:pPr>
        <w:pStyle w:val="texto"/>
        <w:tabs>
          <w:tab w:val="clear" w:pos="2835"/>
          <w:tab w:val="clear" w:pos="3969"/>
          <w:tab w:val="clear" w:pos="5103"/>
          <w:tab w:val="clear" w:pos="6237"/>
          <w:tab w:val="clear" w:pos="7371"/>
        </w:tabs>
        <w:rPr>
          <w:spacing w:val="4"/>
          <w:szCs w:val="26"/>
        </w:rPr>
      </w:pPr>
      <w:r>
        <w:rPr>
          <w:szCs w:val="26"/>
        </w:rPr>
        <w:t xml:space="preserve">a) </w:t>
      </w:r>
      <w:r w:rsidR="00387906" w:rsidRPr="00700BE1">
        <w:rPr>
          <w:spacing w:val="4"/>
          <w:szCs w:val="26"/>
        </w:rPr>
        <w:t>Su largo proceso de definición, gestación y construcción, prácticamente 30 años y actualmente, aún se encuentra pendiente de confi</w:t>
      </w:r>
      <w:r w:rsidR="002A78F7" w:rsidRPr="00700BE1">
        <w:rPr>
          <w:spacing w:val="4"/>
          <w:szCs w:val="26"/>
        </w:rPr>
        <w:t>gurar definitivamente</w:t>
      </w:r>
      <w:r w:rsidR="00387906" w:rsidRPr="00700BE1">
        <w:rPr>
          <w:spacing w:val="4"/>
          <w:szCs w:val="26"/>
        </w:rPr>
        <w:t>.</w:t>
      </w:r>
    </w:p>
    <w:p w:rsidR="009E2B01" w:rsidRDefault="009E2B01" w:rsidP="009E2B01">
      <w:pPr>
        <w:pStyle w:val="texto"/>
        <w:tabs>
          <w:tab w:val="clear" w:pos="2835"/>
          <w:tab w:val="clear" w:pos="3969"/>
          <w:tab w:val="clear" w:pos="5103"/>
          <w:tab w:val="clear" w:pos="6237"/>
          <w:tab w:val="clear" w:pos="7371"/>
        </w:tabs>
        <w:rPr>
          <w:szCs w:val="26"/>
        </w:rPr>
      </w:pPr>
      <w:r>
        <w:rPr>
          <w:szCs w:val="26"/>
        </w:rPr>
        <w:t>b) La ampliación de la CT se diseñó y gestionó previsiblemente con unas h</w:t>
      </w:r>
      <w:r>
        <w:rPr>
          <w:szCs w:val="26"/>
        </w:rPr>
        <w:t>i</w:t>
      </w:r>
      <w:r>
        <w:rPr>
          <w:szCs w:val="26"/>
        </w:rPr>
        <w:t>pótesis optimistas –a la vista del alto nivel de ocupación observado en las fases anteriores</w:t>
      </w:r>
      <w:r w:rsidR="004D22FC">
        <w:rPr>
          <w:szCs w:val="26"/>
        </w:rPr>
        <w:t>–</w:t>
      </w:r>
      <w:r>
        <w:rPr>
          <w:szCs w:val="26"/>
        </w:rPr>
        <w:t xml:space="preserve"> y </w:t>
      </w:r>
      <w:r w:rsidR="00903796">
        <w:rPr>
          <w:szCs w:val="26"/>
        </w:rPr>
        <w:t xml:space="preserve">el inicio de </w:t>
      </w:r>
      <w:r>
        <w:rPr>
          <w:szCs w:val="26"/>
        </w:rPr>
        <w:t>su ejecución material</w:t>
      </w:r>
      <w:r w:rsidR="00903796">
        <w:rPr>
          <w:szCs w:val="26"/>
        </w:rPr>
        <w:t xml:space="preserve"> –año 2007</w:t>
      </w:r>
      <w:r w:rsidR="004D22FC">
        <w:rPr>
          <w:szCs w:val="26"/>
        </w:rPr>
        <w:t>–</w:t>
      </w:r>
      <w:r w:rsidR="00903796">
        <w:rPr>
          <w:szCs w:val="26"/>
        </w:rPr>
        <w:t xml:space="preserve"> coincidió con los primeros indicadores </w:t>
      </w:r>
      <w:r>
        <w:rPr>
          <w:szCs w:val="26"/>
        </w:rPr>
        <w:t xml:space="preserve">de la crisis económica. Tal situación ha afectado </w:t>
      </w:r>
      <w:r w:rsidR="00903796">
        <w:rPr>
          <w:szCs w:val="26"/>
        </w:rPr>
        <w:t>de f</w:t>
      </w:r>
      <w:r>
        <w:rPr>
          <w:szCs w:val="26"/>
        </w:rPr>
        <w:t>o</w:t>
      </w:r>
      <w:r w:rsidR="00903796">
        <w:rPr>
          <w:szCs w:val="26"/>
        </w:rPr>
        <w:t>r</w:t>
      </w:r>
      <w:r>
        <w:rPr>
          <w:szCs w:val="26"/>
        </w:rPr>
        <w:t xml:space="preserve">ma relevante a </w:t>
      </w:r>
      <w:r w:rsidR="00903796">
        <w:rPr>
          <w:szCs w:val="26"/>
        </w:rPr>
        <w:t>la</w:t>
      </w:r>
      <w:r>
        <w:rPr>
          <w:szCs w:val="26"/>
        </w:rPr>
        <w:t xml:space="preserve"> comercialización</w:t>
      </w:r>
      <w:r w:rsidR="00903796">
        <w:rPr>
          <w:szCs w:val="26"/>
        </w:rPr>
        <w:t xml:space="preserve"> de esos terrenos</w:t>
      </w:r>
      <w:r>
        <w:rPr>
          <w:szCs w:val="26"/>
        </w:rPr>
        <w:t>.</w:t>
      </w:r>
    </w:p>
    <w:p w:rsidR="00387906" w:rsidRDefault="009E2B01" w:rsidP="00AA1B2D">
      <w:pPr>
        <w:pStyle w:val="texto"/>
        <w:tabs>
          <w:tab w:val="clear" w:pos="2835"/>
          <w:tab w:val="clear" w:pos="3969"/>
          <w:tab w:val="clear" w:pos="5103"/>
          <w:tab w:val="clear" w:pos="6237"/>
          <w:tab w:val="clear" w:pos="7371"/>
        </w:tabs>
        <w:rPr>
          <w:szCs w:val="26"/>
        </w:rPr>
      </w:pPr>
      <w:r>
        <w:rPr>
          <w:szCs w:val="26"/>
        </w:rPr>
        <w:t>c</w:t>
      </w:r>
      <w:r w:rsidR="00AA1B2D">
        <w:rPr>
          <w:szCs w:val="26"/>
        </w:rPr>
        <w:t xml:space="preserve">) </w:t>
      </w:r>
      <w:r w:rsidR="00387906">
        <w:rPr>
          <w:szCs w:val="26"/>
        </w:rPr>
        <w:t>El elevado coste de recursos públicos que ha supuesto el pago de la e</w:t>
      </w:r>
      <w:r w:rsidR="00387906">
        <w:rPr>
          <w:szCs w:val="26"/>
        </w:rPr>
        <w:t>x</w:t>
      </w:r>
      <w:r w:rsidR="00387906">
        <w:rPr>
          <w:szCs w:val="26"/>
        </w:rPr>
        <w:t>propiación de sus terrenos.</w:t>
      </w:r>
    </w:p>
    <w:p w:rsidR="00387906" w:rsidRPr="00BB36CE" w:rsidRDefault="009E2B01" w:rsidP="00AA1B2D">
      <w:pPr>
        <w:pStyle w:val="texto"/>
        <w:tabs>
          <w:tab w:val="clear" w:pos="2835"/>
          <w:tab w:val="clear" w:pos="3969"/>
          <w:tab w:val="clear" w:pos="5103"/>
          <w:tab w:val="clear" w:pos="6237"/>
          <w:tab w:val="clear" w:pos="7371"/>
        </w:tabs>
        <w:rPr>
          <w:szCs w:val="26"/>
        </w:rPr>
      </w:pPr>
      <w:r w:rsidRPr="00BB36CE">
        <w:rPr>
          <w:szCs w:val="26"/>
        </w:rPr>
        <w:t>d</w:t>
      </w:r>
      <w:r w:rsidR="00AA1B2D" w:rsidRPr="00BB36CE">
        <w:rPr>
          <w:szCs w:val="26"/>
        </w:rPr>
        <w:t xml:space="preserve">) </w:t>
      </w:r>
      <w:r w:rsidR="00387906" w:rsidRPr="00BB36CE">
        <w:rPr>
          <w:szCs w:val="26"/>
        </w:rPr>
        <w:t>A pesar de que se publicitaron ampliamente los dos procesos selectivos para la ejecución de las obras de urbanización y explotación de la CT</w:t>
      </w:r>
      <w:r w:rsidR="002A394A" w:rsidRPr="00BB36CE">
        <w:rPr>
          <w:szCs w:val="26"/>
        </w:rPr>
        <w:t xml:space="preserve"> –especialmente el segundo-</w:t>
      </w:r>
      <w:r w:rsidR="00387906" w:rsidRPr="00BB36CE">
        <w:rPr>
          <w:szCs w:val="26"/>
        </w:rPr>
        <w:t>, solo un ofertante se presentó a los mismos, oferta</w:t>
      </w:r>
      <w:r w:rsidR="00387906" w:rsidRPr="00BB36CE">
        <w:rPr>
          <w:szCs w:val="26"/>
        </w:rPr>
        <w:t>n</w:t>
      </w:r>
      <w:r w:rsidR="00387906" w:rsidRPr="00BB36CE">
        <w:rPr>
          <w:szCs w:val="26"/>
        </w:rPr>
        <w:t xml:space="preserve">te que finalmente resultó adjudicatario. </w:t>
      </w:r>
    </w:p>
    <w:p w:rsidR="00605602" w:rsidRPr="00387906" w:rsidRDefault="007677A7" w:rsidP="00605602">
      <w:pPr>
        <w:pStyle w:val="texto"/>
        <w:rPr>
          <w:szCs w:val="26"/>
          <w:lang w:eastAsia="es-ES"/>
        </w:rPr>
      </w:pPr>
      <w:r>
        <w:rPr>
          <w:szCs w:val="26"/>
          <w:lang w:eastAsia="es-ES"/>
        </w:rPr>
        <w:t xml:space="preserve">Finalmente hemos efectuado una revisión del cumplimiento de normativa </w:t>
      </w:r>
      <w:r w:rsidR="00A90821">
        <w:rPr>
          <w:szCs w:val="26"/>
          <w:lang w:eastAsia="es-ES"/>
        </w:rPr>
        <w:t>aplicable relativa a las siguientes áreas: contenido y tramitación de los PSIS, contrataciones de obras y asistencias adjudicadas, expedientes de expropiaci</w:t>
      </w:r>
      <w:r w:rsidR="00A90821">
        <w:rPr>
          <w:szCs w:val="26"/>
          <w:lang w:eastAsia="es-ES"/>
        </w:rPr>
        <w:t>o</w:t>
      </w:r>
      <w:r w:rsidR="00A90821">
        <w:rPr>
          <w:szCs w:val="26"/>
          <w:lang w:eastAsia="es-ES"/>
        </w:rPr>
        <w:t>nes y expedientes de ventas de parcelas. Como conclusión, las operaciones r</w:t>
      </w:r>
      <w:r w:rsidR="00A90821">
        <w:rPr>
          <w:szCs w:val="26"/>
          <w:lang w:eastAsia="es-ES"/>
        </w:rPr>
        <w:t>e</w:t>
      </w:r>
      <w:r w:rsidR="00A90821">
        <w:rPr>
          <w:szCs w:val="26"/>
          <w:lang w:eastAsia="es-ES"/>
        </w:rPr>
        <w:t>visadas se han ajustado, en términos generales, a la</w:t>
      </w:r>
      <w:r w:rsidR="00375975">
        <w:rPr>
          <w:szCs w:val="26"/>
          <w:lang w:eastAsia="es-ES"/>
        </w:rPr>
        <w:t>s normas reguladoras de las mismas.</w:t>
      </w:r>
    </w:p>
    <w:p w:rsidR="003616B8" w:rsidRPr="003616B8" w:rsidRDefault="003616B8" w:rsidP="003616B8">
      <w:pPr>
        <w:pStyle w:val="atitulo1"/>
      </w:pPr>
      <w:bookmarkStart w:id="11" w:name="_Toc515531864"/>
      <w:r w:rsidRPr="003616B8">
        <w:t>I. Introducción</w:t>
      </w:r>
      <w:bookmarkEnd w:id="2"/>
      <w:bookmarkEnd w:id="3"/>
      <w:bookmarkEnd w:id="4"/>
      <w:bookmarkEnd w:id="5"/>
      <w:bookmarkEnd w:id="6"/>
      <w:bookmarkEnd w:id="7"/>
      <w:bookmarkEnd w:id="11"/>
      <w:r w:rsidRPr="003616B8">
        <w:t xml:space="preserve"> </w:t>
      </w:r>
    </w:p>
    <w:p w:rsidR="00D6723C" w:rsidRPr="004D22FC" w:rsidRDefault="00C443C5" w:rsidP="00D6723C">
      <w:pPr>
        <w:pStyle w:val="texto"/>
        <w:rPr>
          <w:szCs w:val="26"/>
          <w:lang w:val="es-ES" w:eastAsia="es-ES"/>
        </w:rPr>
      </w:pPr>
      <w:bookmarkStart w:id="12" w:name="_Toc480357318"/>
      <w:r>
        <w:rPr>
          <w:szCs w:val="26"/>
          <w:lang w:val="es-ES" w:eastAsia="es-ES"/>
        </w:rPr>
        <w:t>A</w:t>
      </w:r>
      <w:r w:rsidR="00D6723C" w:rsidRPr="00D27A0C">
        <w:rPr>
          <w:szCs w:val="26"/>
          <w:lang w:val="es-ES" w:eastAsia="es-ES"/>
        </w:rPr>
        <w:t xml:space="preserve"> petición del grupo parlamentario de Podemos-Ahal Dugu, la Junta de Po</w:t>
      </w:r>
      <w:r w:rsidR="00D6723C" w:rsidRPr="00D27A0C">
        <w:rPr>
          <w:szCs w:val="26"/>
          <w:lang w:val="es-ES" w:eastAsia="es-ES"/>
        </w:rPr>
        <w:t>r</w:t>
      </w:r>
      <w:r w:rsidR="00D6723C" w:rsidRPr="00D27A0C">
        <w:rPr>
          <w:szCs w:val="26"/>
          <w:lang w:val="es-ES" w:eastAsia="es-ES"/>
        </w:rPr>
        <w:t>tavoces del Parlamento de Navarra acordó</w:t>
      </w:r>
      <w:r>
        <w:rPr>
          <w:szCs w:val="26"/>
          <w:lang w:val="es-ES" w:eastAsia="es-ES"/>
        </w:rPr>
        <w:t>, en febrero de 2017,</w:t>
      </w:r>
      <w:r w:rsidR="00D6723C" w:rsidRPr="00D27A0C">
        <w:rPr>
          <w:szCs w:val="26"/>
          <w:lang w:val="es-ES" w:eastAsia="es-ES"/>
        </w:rPr>
        <w:t xml:space="preserve"> solicitar a la Cámara de Comptos un informe de fiscalización sobre el proyecto </w:t>
      </w:r>
      <w:r w:rsidR="00D6723C" w:rsidRPr="004D22FC">
        <w:rPr>
          <w:szCs w:val="26"/>
          <w:lang w:val="es-ES" w:eastAsia="es-ES"/>
        </w:rPr>
        <w:t>“Ciudad del Transporte de</w:t>
      </w:r>
      <w:r w:rsidR="00BD5527" w:rsidRPr="004D22FC">
        <w:rPr>
          <w:szCs w:val="26"/>
          <w:lang w:val="es-ES" w:eastAsia="es-ES"/>
        </w:rPr>
        <w:t xml:space="preserve"> la </w:t>
      </w:r>
      <w:r w:rsidR="000D10FC" w:rsidRPr="004D22FC">
        <w:rPr>
          <w:szCs w:val="26"/>
          <w:lang w:val="es-ES" w:eastAsia="es-ES"/>
        </w:rPr>
        <w:t>C</w:t>
      </w:r>
      <w:r w:rsidR="00BD5527" w:rsidRPr="004D22FC">
        <w:rPr>
          <w:szCs w:val="26"/>
          <w:lang w:val="es-ES" w:eastAsia="es-ES"/>
        </w:rPr>
        <w:t>omarca de</w:t>
      </w:r>
      <w:r w:rsidR="00D6723C" w:rsidRPr="004D22FC">
        <w:rPr>
          <w:szCs w:val="26"/>
          <w:lang w:val="es-ES" w:eastAsia="es-ES"/>
        </w:rPr>
        <w:t xml:space="preserve"> Pamplona”. </w:t>
      </w:r>
    </w:p>
    <w:p w:rsidR="00D6723C" w:rsidRPr="00D27A0C" w:rsidRDefault="00C443C5" w:rsidP="00D6723C">
      <w:pPr>
        <w:pStyle w:val="texto"/>
        <w:rPr>
          <w:szCs w:val="26"/>
          <w:lang w:val="es-ES" w:eastAsia="es-ES"/>
        </w:rPr>
      </w:pPr>
      <w:r>
        <w:rPr>
          <w:szCs w:val="26"/>
          <w:lang w:val="es-ES" w:eastAsia="es-ES"/>
        </w:rPr>
        <w:t>L</w:t>
      </w:r>
      <w:r w:rsidR="00D6723C" w:rsidRPr="00D27A0C">
        <w:rPr>
          <w:szCs w:val="26"/>
          <w:lang w:val="es-ES" w:eastAsia="es-ES"/>
        </w:rPr>
        <w:t xml:space="preserve">a petición del citado grupo parlamentario </w:t>
      </w:r>
      <w:r w:rsidR="0087679E">
        <w:rPr>
          <w:szCs w:val="26"/>
          <w:lang w:val="es-ES" w:eastAsia="es-ES"/>
        </w:rPr>
        <w:t>solicitaba expresamente</w:t>
      </w:r>
      <w:r w:rsidR="00D6723C" w:rsidRPr="00D27A0C">
        <w:rPr>
          <w:szCs w:val="26"/>
          <w:lang w:val="es-ES" w:eastAsia="es-ES"/>
        </w:rPr>
        <w:t>:</w:t>
      </w:r>
    </w:p>
    <w:p w:rsidR="00D6723C" w:rsidRPr="00447C6F" w:rsidRDefault="00D6723C" w:rsidP="00D6723C">
      <w:pPr>
        <w:pStyle w:val="texto"/>
        <w:rPr>
          <w:i/>
          <w:sz w:val="22"/>
          <w:szCs w:val="22"/>
          <w:lang w:val="es-ES" w:eastAsia="es-ES"/>
        </w:rPr>
      </w:pPr>
      <w:r w:rsidRPr="00447C6F">
        <w:rPr>
          <w:i/>
          <w:sz w:val="22"/>
          <w:szCs w:val="22"/>
          <w:lang w:val="es-ES" w:eastAsia="es-ES"/>
        </w:rPr>
        <w:t>“La realización de un informe de auditoría del proyecto de la Ciudad del Transporte, que abarque el análisis de todo lo hecho desde su planteamiento inicial hasta la actualidad (las cuatro fases), abarcando los aspectos financieros, jurídicos, inmobiliarios y otros que p</w:t>
      </w:r>
      <w:r w:rsidRPr="00447C6F">
        <w:rPr>
          <w:i/>
          <w:sz w:val="22"/>
          <w:szCs w:val="22"/>
          <w:lang w:val="es-ES" w:eastAsia="es-ES"/>
        </w:rPr>
        <w:t>u</w:t>
      </w:r>
      <w:r w:rsidRPr="00447C6F">
        <w:rPr>
          <w:i/>
          <w:sz w:val="22"/>
          <w:szCs w:val="22"/>
          <w:lang w:val="es-ES" w:eastAsia="es-ES"/>
        </w:rPr>
        <w:t>dieran afectar al estado de las cuentas de dicho proyecto e igualmente las operaciones que haya podido desarrollar en este proyecto la empresa Nasuvinsa.”</w:t>
      </w:r>
    </w:p>
    <w:p w:rsidR="00C443C5" w:rsidRPr="00AC2ADD" w:rsidRDefault="00C443C5" w:rsidP="00C443C5">
      <w:pPr>
        <w:pStyle w:val="texto"/>
        <w:rPr>
          <w:szCs w:val="26"/>
          <w:lang w:val="es-ES" w:eastAsia="es-ES"/>
        </w:rPr>
      </w:pPr>
      <w:r w:rsidRPr="00AC2ADD">
        <w:rPr>
          <w:szCs w:val="26"/>
          <w:lang w:val="es-ES" w:eastAsia="es-ES"/>
        </w:rPr>
        <w:t>De acuerdo con la Ley Foral 19/1984, de 20 de diciembre, reguladora de la Cámara de Comptos de Navarra-Nafarroako Kontuen Ganbera y teniendo en cuenta la anterior petición, se incluyó este trabajo de fiscalización sobre el p</w:t>
      </w:r>
      <w:r w:rsidR="00660BBE" w:rsidRPr="00AC2ADD">
        <w:rPr>
          <w:szCs w:val="26"/>
          <w:lang w:val="es-ES" w:eastAsia="es-ES"/>
        </w:rPr>
        <w:t>r</w:t>
      </w:r>
      <w:r w:rsidR="00660BBE" w:rsidRPr="00AC2ADD">
        <w:rPr>
          <w:szCs w:val="26"/>
          <w:lang w:val="es-ES" w:eastAsia="es-ES"/>
        </w:rPr>
        <w:t>o</w:t>
      </w:r>
      <w:r w:rsidRPr="00AC2ADD">
        <w:rPr>
          <w:szCs w:val="26"/>
          <w:lang w:val="es-ES" w:eastAsia="es-ES"/>
        </w:rPr>
        <w:t xml:space="preserve">yecto de la Ciudad de Transporte de </w:t>
      </w:r>
      <w:r w:rsidR="000D10FC" w:rsidRPr="00AC2ADD">
        <w:rPr>
          <w:szCs w:val="26"/>
          <w:lang w:val="es-ES" w:eastAsia="es-ES"/>
        </w:rPr>
        <w:t xml:space="preserve">la Comarca de </w:t>
      </w:r>
      <w:r w:rsidRPr="00AC2ADD">
        <w:rPr>
          <w:szCs w:val="26"/>
          <w:lang w:val="es-ES" w:eastAsia="es-ES"/>
        </w:rPr>
        <w:t>Pamplona</w:t>
      </w:r>
      <w:r w:rsidR="00442A29" w:rsidRPr="00AC2ADD">
        <w:rPr>
          <w:szCs w:val="26"/>
          <w:lang w:val="es-ES" w:eastAsia="es-ES"/>
        </w:rPr>
        <w:t xml:space="preserve"> (en adelante, CT)</w:t>
      </w:r>
      <w:r w:rsidRPr="00AC2ADD">
        <w:rPr>
          <w:szCs w:val="26"/>
          <w:lang w:val="es-ES" w:eastAsia="es-ES"/>
        </w:rPr>
        <w:t xml:space="preserve"> en el Programa de Actuación de la Cámara de Comptos para el ejercicio de 2017.</w:t>
      </w:r>
    </w:p>
    <w:p w:rsidR="00330B8D" w:rsidRDefault="003616B8" w:rsidP="00D6723C">
      <w:pPr>
        <w:pStyle w:val="texto"/>
        <w:rPr>
          <w:szCs w:val="26"/>
          <w:lang w:val="es-ES" w:eastAsia="es-ES"/>
        </w:rPr>
      </w:pPr>
      <w:r w:rsidRPr="00A417A6">
        <w:rPr>
          <w:szCs w:val="26"/>
          <w:lang w:val="es-ES" w:eastAsia="es-ES"/>
        </w:rPr>
        <w:t xml:space="preserve">El ámbito temporal </w:t>
      </w:r>
      <w:r w:rsidR="00A576EE">
        <w:rPr>
          <w:szCs w:val="26"/>
          <w:lang w:val="es-ES" w:eastAsia="es-ES"/>
        </w:rPr>
        <w:t>de</w:t>
      </w:r>
      <w:r w:rsidRPr="00A417A6">
        <w:rPr>
          <w:szCs w:val="26"/>
          <w:lang w:val="es-ES" w:eastAsia="es-ES"/>
        </w:rPr>
        <w:t xml:space="preserve"> nuestr</w:t>
      </w:r>
      <w:r w:rsidR="00A576EE">
        <w:rPr>
          <w:szCs w:val="26"/>
          <w:lang w:val="es-ES" w:eastAsia="es-ES"/>
        </w:rPr>
        <w:t>o trabajo</w:t>
      </w:r>
      <w:r w:rsidRPr="00A417A6">
        <w:rPr>
          <w:szCs w:val="26"/>
          <w:lang w:val="es-ES" w:eastAsia="es-ES"/>
        </w:rPr>
        <w:t xml:space="preserve"> se</w:t>
      </w:r>
      <w:r w:rsidR="00A576EE">
        <w:rPr>
          <w:szCs w:val="26"/>
          <w:lang w:val="es-ES" w:eastAsia="es-ES"/>
        </w:rPr>
        <w:t xml:space="preserve"> ha extendido </w:t>
      </w:r>
      <w:r w:rsidR="00691F57">
        <w:rPr>
          <w:szCs w:val="26"/>
          <w:lang w:val="es-ES" w:eastAsia="es-ES"/>
        </w:rPr>
        <w:t xml:space="preserve">fundamentalmente </w:t>
      </w:r>
      <w:r w:rsidRPr="00A417A6">
        <w:rPr>
          <w:szCs w:val="26"/>
          <w:lang w:val="es-ES" w:eastAsia="es-ES"/>
        </w:rPr>
        <w:t xml:space="preserve">desde </w:t>
      </w:r>
      <w:r w:rsidR="00D6723C">
        <w:rPr>
          <w:szCs w:val="26"/>
          <w:lang w:val="es-ES" w:eastAsia="es-ES"/>
        </w:rPr>
        <w:t>1991</w:t>
      </w:r>
      <w:r w:rsidR="00A576EE">
        <w:rPr>
          <w:szCs w:val="26"/>
          <w:lang w:val="es-ES" w:eastAsia="es-ES"/>
        </w:rPr>
        <w:t xml:space="preserve"> –ejercicio en que el Gobierno de Navarra aprueba el Plan de Sect</w:t>
      </w:r>
      <w:r w:rsidR="00A576EE">
        <w:rPr>
          <w:szCs w:val="26"/>
          <w:lang w:val="es-ES" w:eastAsia="es-ES"/>
        </w:rPr>
        <w:t>o</w:t>
      </w:r>
      <w:r w:rsidR="00A576EE">
        <w:rPr>
          <w:szCs w:val="26"/>
          <w:lang w:val="es-ES" w:eastAsia="es-ES"/>
        </w:rPr>
        <w:t>rial de Incidencia Supramunicipal</w:t>
      </w:r>
      <w:r w:rsidR="0087679E">
        <w:rPr>
          <w:szCs w:val="26"/>
          <w:lang w:val="es-ES" w:eastAsia="es-ES"/>
        </w:rPr>
        <w:t xml:space="preserve"> (PSIS)</w:t>
      </w:r>
      <w:r w:rsidR="00A576EE">
        <w:rPr>
          <w:szCs w:val="26"/>
          <w:lang w:val="es-ES" w:eastAsia="es-ES"/>
        </w:rPr>
        <w:t xml:space="preserve"> de la Ciudad del Transporte</w:t>
      </w:r>
      <w:r w:rsidR="006E7F19">
        <w:rPr>
          <w:szCs w:val="26"/>
          <w:lang w:val="es-ES" w:eastAsia="es-ES"/>
        </w:rPr>
        <w:t>–</w:t>
      </w:r>
      <w:r w:rsidR="00A576EE">
        <w:rPr>
          <w:szCs w:val="26"/>
          <w:lang w:val="es-ES" w:eastAsia="es-ES"/>
        </w:rPr>
        <w:t xml:space="preserve"> hasta diciembre de 2017.</w:t>
      </w:r>
      <w:r w:rsidR="00E436EF">
        <w:rPr>
          <w:szCs w:val="26"/>
          <w:lang w:val="es-ES" w:eastAsia="es-ES"/>
        </w:rPr>
        <w:t xml:space="preserve"> Dentro de este ámbito temporal se </w:t>
      </w:r>
      <w:r w:rsidR="00180702">
        <w:rPr>
          <w:szCs w:val="26"/>
          <w:lang w:val="es-ES" w:eastAsia="es-ES"/>
        </w:rPr>
        <w:t>han utilizado</w:t>
      </w:r>
      <w:r w:rsidR="00E436EF">
        <w:rPr>
          <w:szCs w:val="26"/>
          <w:lang w:val="es-ES" w:eastAsia="es-ES"/>
        </w:rPr>
        <w:t xml:space="preserve"> importes monetarios tanto en pesetas como en euros; </w:t>
      </w:r>
      <w:r w:rsidR="00180702">
        <w:rPr>
          <w:szCs w:val="26"/>
          <w:lang w:val="es-ES" w:eastAsia="es-ES"/>
        </w:rPr>
        <w:t>sin embargo, en el texto del info</w:t>
      </w:r>
      <w:r w:rsidR="00180702">
        <w:rPr>
          <w:szCs w:val="26"/>
          <w:lang w:val="es-ES" w:eastAsia="es-ES"/>
        </w:rPr>
        <w:t>r</w:t>
      </w:r>
      <w:r w:rsidR="00180702">
        <w:rPr>
          <w:szCs w:val="26"/>
          <w:lang w:val="es-ES" w:eastAsia="es-ES"/>
        </w:rPr>
        <w:t>me, se han reconvertido todos ellos a euros.</w:t>
      </w:r>
    </w:p>
    <w:p w:rsidR="00B90CEE" w:rsidRPr="001D4564" w:rsidRDefault="003616B8" w:rsidP="00DE0937">
      <w:pPr>
        <w:pStyle w:val="texto"/>
        <w:rPr>
          <w:szCs w:val="26"/>
          <w:lang w:val="es-ES" w:eastAsia="es-ES"/>
        </w:rPr>
      </w:pPr>
      <w:r w:rsidRPr="003E7B7A">
        <w:rPr>
          <w:szCs w:val="26"/>
          <w:lang w:val="es-ES" w:eastAsia="es-ES"/>
        </w:rPr>
        <w:t>Conviene precisar que nuestra actuación se ha efectuado exclusivamente desde la óptica de</w:t>
      </w:r>
      <w:r w:rsidR="00FB036E" w:rsidRPr="003E7B7A">
        <w:rPr>
          <w:szCs w:val="26"/>
          <w:lang w:val="es-ES" w:eastAsia="es-ES"/>
        </w:rPr>
        <w:t xml:space="preserve"> control de la gestión económico-financiera</w:t>
      </w:r>
      <w:r w:rsidRPr="003E7B7A">
        <w:rPr>
          <w:szCs w:val="26"/>
          <w:lang w:val="es-ES" w:eastAsia="es-ES"/>
        </w:rPr>
        <w:t xml:space="preserve"> </w:t>
      </w:r>
      <w:r w:rsidR="00B035A1">
        <w:rPr>
          <w:szCs w:val="26"/>
          <w:lang w:val="es-ES" w:eastAsia="es-ES"/>
        </w:rPr>
        <w:t>del proyecto de la Ciudad del Transporte</w:t>
      </w:r>
      <w:r w:rsidR="002930FB">
        <w:rPr>
          <w:szCs w:val="26"/>
          <w:lang w:val="es-ES" w:eastAsia="es-ES"/>
        </w:rPr>
        <w:t>,</w:t>
      </w:r>
      <w:r w:rsidR="00B035A1" w:rsidRPr="003E7B7A">
        <w:rPr>
          <w:szCs w:val="26"/>
          <w:lang w:val="es-ES" w:eastAsia="es-ES"/>
        </w:rPr>
        <w:t xml:space="preserve"> </w:t>
      </w:r>
      <w:r w:rsidRPr="003E7B7A">
        <w:rPr>
          <w:szCs w:val="26"/>
          <w:lang w:val="es-ES" w:eastAsia="es-ES"/>
        </w:rPr>
        <w:t>centrad</w:t>
      </w:r>
      <w:r w:rsidR="00FB036E" w:rsidRPr="003E7B7A">
        <w:rPr>
          <w:szCs w:val="26"/>
          <w:lang w:val="es-ES" w:eastAsia="es-ES"/>
        </w:rPr>
        <w:t>o</w:t>
      </w:r>
      <w:r w:rsidR="00ED4A41" w:rsidRPr="003E7B7A">
        <w:rPr>
          <w:szCs w:val="26"/>
          <w:lang w:val="es-ES" w:eastAsia="es-ES"/>
        </w:rPr>
        <w:t xml:space="preserve"> tanto</w:t>
      </w:r>
      <w:r w:rsidRPr="003E7B7A">
        <w:rPr>
          <w:szCs w:val="26"/>
          <w:lang w:val="es-ES" w:eastAsia="es-ES"/>
        </w:rPr>
        <w:t xml:space="preserve"> en </w:t>
      </w:r>
      <w:r w:rsidR="00124E2C">
        <w:rPr>
          <w:szCs w:val="26"/>
          <w:lang w:val="es-ES" w:eastAsia="es-ES"/>
        </w:rPr>
        <w:t>el análisis de</w:t>
      </w:r>
      <w:r w:rsidRPr="003E7B7A">
        <w:rPr>
          <w:szCs w:val="26"/>
          <w:lang w:val="es-ES" w:eastAsia="es-ES"/>
        </w:rPr>
        <w:t xml:space="preserve"> los </w:t>
      </w:r>
      <w:r w:rsidR="00A576EE">
        <w:rPr>
          <w:szCs w:val="26"/>
          <w:lang w:val="es-ES" w:eastAsia="es-ES"/>
        </w:rPr>
        <w:t>instrumentos de pl</w:t>
      </w:r>
      <w:r w:rsidR="00A576EE">
        <w:rPr>
          <w:szCs w:val="26"/>
          <w:lang w:val="es-ES" w:eastAsia="es-ES"/>
        </w:rPr>
        <w:t>a</w:t>
      </w:r>
      <w:r w:rsidR="00A576EE">
        <w:rPr>
          <w:szCs w:val="26"/>
          <w:lang w:val="es-ES" w:eastAsia="es-ES"/>
        </w:rPr>
        <w:t>neamiento</w:t>
      </w:r>
      <w:r w:rsidR="00124E2C">
        <w:rPr>
          <w:szCs w:val="26"/>
          <w:lang w:val="es-ES" w:eastAsia="es-ES"/>
        </w:rPr>
        <w:t xml:space="preserve"> urbanístic</w:t>
      </w:r>
      <w:r w:rsidR="00691F57">
        <w:rPr>
          <w:szCs w:val="26"/>
          <w:lang w:val="es-ES" w:eastAsia="es-ES"/>
        </w:rPr>
        <w:t>o utilizados y en la gestión de</w:t>
      </w:r>
      <w:r w:rsidR="00124E2C">
        <w:rPr>
          <w:szCs w:val="26"/>
          <w:lang w:val="es-ES" w:eastAsia="es-ES"/>
        </w:rPr>
        <w:t>l</w:t>
      </w:r>
      <w:r w:rsidR="00B035A1">
        <w:rPr>
          <w:szCs w:val="26"/>
          <w:lang w:val="es-ES" w:eastAsia="es-ES"/>
        </w:rPr>
        <w:t xml:space="preserve"> mism</w:t>
      </w:r>
      <w:r w:rsidR="00691F57">
        <w:rPr>
          <w:szCs w:val="26"/>
          <w:lang w:val="es-ES" w:eastAsia="es-ES"/>
        </w:rPr>
        <w:t>o,</w:t>
      </w:r>
      <w:r w:rsidR="00124E2C">
        <w:rPr>
          <w:szCs w:val="26"/>
          <w:lang w:val="es-ES" w:eastAsia="es-ES"/>
        </w:rPr>
        <w:t xml:space="preserve"> </w:t>
      </w:r>
      <w:r w:rsidR="00ED4A41" w:rsidRPr="003E7B7A">
        <w:rPr>
          <w:szCs w:val="26"/>
          <w:lang w:val="es-ES" w:eastAsia="es-ES"/>
        </w:rPr>
        <w:t xml:space="preserve">como </w:t>
      </w:r>
      <w:r w:rsidR="00C6696A">
        <w:rPr>
          <w:szCs w:val="26"/>
          <w:lang w:val="es-ES" w:eastAsia="es-ES"/>
        </w:rPr>
        <w:t xml:space="preserve">en </w:t>
      </w:r>
      <w:r w:rsidR="002D5511">
        <w:rPr>
          <w:szCs w:val="26"/>
          <w:lang w:val="es-ES" w:eastAsia="es-ES"/>
        </w:rPr>
        <w:t>verificar</w:t>
      </w:r>
      <w:r w:rsidR="00124E2C">
        <w:rPr>
          <w:szCs w:val="26"/>
          <w:lang w:val="es-ES" w:eastAsia="es-ES"/>
        </w:rPr>
        <w:t xml:space="preserve"> </w:t>
      </w:r>
      <w:r w:rsidR="002B7F37">
        <w:rPr>
          <w:szCs w:val="26"/>
          <w:lang w:val="es-ES" w:eastAsia="es-ES"/>
        </w:rPr>
        <w:t>su</w:t>
      </w:r>
      <w:r w:rsidR="00124E2C">
        <w:rPr>
          <w:szCs w:val="26"/>
          <w:lang w:val="es-ES" w:eastAsia="es-ES"/>
        </w:rPr>
        <w:t xml:space="preserve"> situación actual y su repercusión financiera sobre los </w:t>
      </w:r>
      <w:r w:rsidR="00CE3627">
        <w:rPr>
          <w:szCs w:val="26"/>
          <w:lang w:val="es-ES" w:eastAsia="es-ES"/>
        </w:rPr>
        <w:t>fondos públicos</w:t>
      </w:r>
      <w:r w:rsidR="002930FB">
        <w:rPr>
          <w:szCs w:val="26"/>
          <w:lang w:val="es-ES" w:eastAsia="es-ES"/>
        </w:rPr>
        <w:t>.</w:t>
      </w:r>
      <w:r w:rsidR="00B035A1">
        <w:rPr>
          <w:szCs w:val="26"/>
          <w:lang w:val="es-ES" w:eastAsia="es-ES"/>
        </w:rPr>
        <w:t xml:space="preserve"> </w:t>
      </w:r>
      <w:r w:rsidR="002930FB">
        <w:rPr>
          <w:szCs w:val="26"/>
          <w:lang w:val="es-ES" w:eastAsia="es-ES"/>
        </w:rPr>
        <w:t>S</w:t>
      </w:r>
      <w:r w:rsidR="00B035A1" w:rsidRPr="003E7B7A">
        <w:rPr>
          <w:szCs w:val="26"/>
          <w:lang w:val="es-ES" w:eastAsia="es-ES"/>
        </w:rPr>
        <w:t>in entrar</w:t>
      </w:r>
      <w:r w:rsidR="002930FB">
        <w:rPr>
          <w:szCs w:val="26"/>
          <w:lang w:val="es-ES" w:eastAsia="es-ES"/>
        </w:rPr>
        <w:t>, por tanto,</w:t>
      </w:r>
      <w:r w:rsidR="00B035A1" w:rsidRPr="003E7B7A">
        <w:rPr>
          <w:szCs w:val="26"/>
          <w:lang w:val="es-ES" w:eastAsia="es-ES"/>
        </w:rPr>
        <w:t xml:space="preserve"> a realizar calificaciones jurídicas sobre los expedientes </w:t>
      </w:r>
      <w:r w:rsidR="004D22FC">
        <w:rPr>
          <w:szCs w:val="26"/>
          <w:lang w:val="es-ES" w:eastAsia="es-ES"/>
        </w:rPr>
        <w:t>–</w:t>
      </w:r>
      <w:r w:rsidR="002D5511">
        <w:rPr>
          <w:szCs w:val="26"/>
          <w:lang w:val="es-ES" w:eastAsia="es-ES"/>
        </w:rPr>
        <w:t>especialmente en materia de expropiaciones de terrenos</w:t>
      </w:r>
      <w:r w:rsidR="004D22FC">
        <w:rPr>
          <w:szCs w:val="26"/>
          <w:lang w:val="es-ES" w:eastAsia="es-ES"/>
        </w:rPr>
        <w:t>–</w:t>
      </w:r>
      <w:r w:rsidR="00B035A1" w:rsidRPr="003E7B7A">
        <w:rPr>
          <w:szCs w:val="26"/>
          <w:lang w:val="es-ES" w:eastAsia="es-ES"/>
        </w:rPr>
        <w:t xml:space="preserve"> </w:t>
      </w:r>
      <w:r w:rsidR="00CD41C1" w:rsidRPr="003E7B7A">
        <w:rPr>
          <w:szCs w:val="26"/>
          <w:lang w:val="es-ES" w:eastAsia="es-ES"/>
        </w:rPr>
        <w:t xml:space="preserve">que </w:t>
      </w:r>
      <w:r w:rsidR="00E57088">
        <w:rPr>
          <w:szCs w:val="26"/>
          <w:lang w:val="es-ES" w:eastAsia="es-ES"/>
        </w:rPr>
        <w:t xml:space="preserve">han </w:t>
      </w:r>
      <w:r w:rsidR="00E57088" w:rsidRPr="001D4564">
        <w:rPr>
          <w:szCs w:val="26"/>
          <w:lang w:val="es-ES" w:eastAsia="es-ES"/>
        </w:rPr>
        <w:t>sido</w:t>
      </w:r>
      <w:r w:rsidR="00B035A1" w:rsidRPr="001D4564">
        <w:rPr>
          <w:szCs w:val="26"/>
          <w:lang w:val="es-ES" w:eastAsia="es-ES"/>
        </w:rPr>
        <w:t xml:space="preserve"> dictam</w:t>
      </w:r>
      <w:r w:rsidR="00B035A1" w:rsidRPr="001D4564">
        <w:rPr>
          <w:szCs w:val="26"/>
          <w:lang w:val="es-ES" w:eastAsia="es-ES"/>
        </w:rPr>
        <w:t>i</w:t>
      </w:r>
      <w:r w:rsidR="00E57088" w:rsidRPr="001D4564">
        <w:rPr>
          <w:szCs w:val="26"/>
          <w:lang w:val="es-ES" w:eastAsia="es-ES"/>
        </w:rPr>
        <w:t>nados</w:t>
      </w:r>
      <w:r w:rsidR="00B035A1" w:rsidRPr="001D4564">
        <w:rPr>
          <w:szCs w:val="26"/>
          <w:lang w:val="es-ES" w:eastAsia="es-ES"/>
        </w:rPr>
        <w:t xml:space="preserve"> por los correspondientes órganos jurisdiccionales</w:t>
      </w:r>
      <w:r w:rsidR="002D5511" w:rsidRPr="001D4564">
        <w:rPr>
          <w:szCs w:val="26"/>
          <w:lang w:val="es-ES" w:eastAsia="es-ES"/>
        </w:rPr>
        <w:t>.</w:t>
      </w:r>
      <w:r w:rsidR="00B90CEE" w:rsidRPr="001D4564">
        <w:rPr>
          <w:szCs w:val="26"/>
          <w:lang w:val="es-ES" w:eastAsia="es-ES"/>
        </w:rPr>
        <w:t xml:space="preserve"> </w:t>
      </w:r>
    </w:p>
    <w:p w:rsidR="003616B8" w:rsidRPr="00700BE1" w:rsidRDefault="003616B8" w:rsidP="003616B8">
      <w:pPr>
        <w:pStyle w:val="texto"/>
        <w:tabs>
          <w:tab w:val="clear" w:pos="2835"/>
          <w:tab w:val="clear" w:pos="3969"/>
          <w:tab w:val="clear" w:pos="5103"/>
          <w:tab w:val="clear" w:pos="6237"/>
          <w:tab w:val="clear" w:pos="7371"/>
        </w:tabs>
        <w:rPr>
          <w:szCs w:val="26"/>
        </w:rPr>
      </w:pPr>
      <w:r w:rsidRPr="00124E2C">
        <w:rPr>
          <w:szCs w:val="26"/>
        </w:rPr>
        <w:t>El informe se estructura</w:t>
      </w:r>
      <w:r w:rsidR="005A773A">
        <w:rPr>
          <w:szCs w:val="26"/>
        </w:rPr>
        <w:t>, además del resumen ejecutivo,</w:t>
      </w:r>
      <w:r w:rsidRPr="00124E2C">
        <w:rPr>
          <w:szCs w:val="26"/>
        </w:rPr>
        <w:t xml:space="preserve"> en </w:t>
      </w:r>
      <w:r w:rsidR="00AC5A74">
        <w:rPr>
          <w:szCs w:val="26"/>
        </w:rPr>
        <w:t>cuatro</w:t>
      </w:r>
      <w:r w:rsidRPr="00124E2C">
        <w:rPr>
          <w:szCs w:val="26"/>
        </w:rPr>
        <w:t xml:space="preserve"> epígrafes, incluyendo esta introducción. En el segundo, se </w:t>
      </w:r>
      <w:r w:rsidR="00B11A69" w:rsidRPr="00124E2C">
        <w:rPr>
          <w:szCs w:val="26"/>
        </w:rPr>
        <w:t>presenta una descripción</w:t>
      </w:r>
      <w:r w:rsidR="00124E2C" w:rsidRPr="00124E2C">
        <w:rPr>
          <w:szCs w:val="26"/>
        </w:rPr>
        <w:t xml:space="preserve"> cr</w:t>
      </w:r>
      <w:r w:rsidR="00124E2C" w:rsidRPr="00124E2C">
        <w:rPr>
          <w:szCs w:val="26"/>
        </w:rPr>
        <w:t>o</w:t>
      </w:r>
      <w:r w:rsidR="00124E2C" w:rsidRPr="00124E2C">
        <w:rPr>
          <w:szCs w:val="26"/>
        </w:rPr>
        <w:t>nológica</w:t>
      </w:r>
      <w:r w:rsidR="00B11A69" w:rsidRPr="00124E2C">
        <w:rPr>
          <w:szCs w:val="26"/>
        </w:rPr>
        <w:t xml:space="preserve"> de </w:t>
      </w:r>
      <w:r w:rsidRPr="00124E2C">
        <w:rPr>
          <w:szCs w:val="26"/>
        </w:rPr>
        <w:t xml:space="preserve">los principales </w:t>
      </w:r>
      <w:r w:rsidR="002930FB">
        <w:rPr>
          <w:szCs w:val="26"/>
        </w:rPr>
        <w:t>hechos</w:t>
      </w:r>
      <w:r w:rsidRPr="00124E2C">
        <w:rPr>
          <w:szCs w:val="26"/>
        </w:rPr>
        <w:t xml:space="preserve"> en relación a</w:t>
      </w:r>
      <w:r w:rsidR="00124E2C" w:rsidRPr="00124E2C">
        <w:rPr>
          <w:szCs w:val="26"/>
        </w:rPr>
        <w:t xml:space="preserve">l </w:t>
      </w:r>
      <w:r w:rsidR="00CE3627">
        <w:rPr>
          <w:szCs w:val="26"/>
        </w:rPr>
        <w:t xml:space="preserve">desarrollo y ejecución del </w:t>
      </w:r>
      <w:r w:rsidR="00124E2C" w:rsidRPr="00124E2C">
        <w:rPr>
          <w:szCs w:val="26"/>
        </w:rPr>
        <w:t>proyecto de la Ciudad del Transporte de</w:t>
      </w:r>
      <w:r w:rsidR="00BD5527">
        <w:rPr>
          <w:szCs w:val="26"/>
        </w:rPr>
        <w:t xml:space="preserve"> la Comarca de</w:t>
      </w:r>
      <w:r w:rsidR="00124E2C" w:rsidRPr="00124E2C">
        <w:rPr>
          <w:szCs w:val="26"/>
        </w:rPr>
        <w:t xml:space="preserve"> Pamplona; en el terc</w:t>
      </w:r>
      <w:r w:rsidR="00124E2C" w:rsidRPr="00124E2C">
        <w:rPr>
          <w:szCs w:val="26"/>
        </w:rPr>
        <w:t>e</w:t>
      </w:r>
      <w:r w:rsidR="00124E2C" w:rsidRPr="00124E2C">
        <w:rPr>
          <w:szCs w:val="26"/>
        </w:rPr>
        <w:t>ro, se describen los objetivos</w:t>
      </w:r>
      <w:r w:rsidR="00691F57">
        <w:rPr>
          <w:szCs w:val="26"/>
        </w:rPr>
        <w:t>, a</w:t>
      </w:r>
      <w:r w:rsidR="00124E2C" w:rsidRPr="00124E2C">
        <w:rPr>
          <w:szCs w:val="26"/>
        </w:rPr>
        <w:t>lcance</w:t>
      </w:r>
      <w:r w:rsidR="00691F57">
        <w:rPr>
          <w:szCs w:val="26"/>
        </w:rPr>
        <w:t xml:space="preserve"> y limitaciones</w:t>
      </w:r>
      <w:r w:rsidR="00124E2C" w:rsidRPr="00124E2C">
        <w:rPr>
          <w:szCs w:val="26"/>
        </w:rPr>
        <w:t xml:space="preserve"> del trabajo realizado por esta Cámara. En el cuarto</w:t>
      </w:r>
      <w:r w:rsidR="00AC5A74">
        <w:rPr>
          <w:szCs w:val="26"/>
        </w:rPr>
        <w:t xml:space="preserve"> y último</w:t>
      </w:r>
      <w:r w:rsidR="00124E2C" w:rsidRPr="00124E2C">
        <w:rPr>
          <w:szCs w:val="26"/>
        </w:rPr>
        <w:t>, se exponen las conclusiones</w:t>
      </w:r>
      <w:r w:rsidR="00A70A27">
        <w:rPr>
          <w:szCs w:val="26"/>
        </w:rPr>
        <w:t xml:space="preserve"> </w:t>
      </w:r>
      <w:r w:rsidR="00124E2C" w:rsidRPr="00124E2C">
        <w:rPr>
          <w:szCs w:val="26"/>
        </w:rPr>
        <w:t xml:space="preserve">obtenidas de nuestro trabajo así como las recomendaciones emitidas. </w:t>
      </w:r>
    </w:p>
    <w:p w:rsidR="00447C6F" w:rsidRDefault="00447C6F" w:rsidP="003616B8">
      <w:pPr>
        <w:pStyle w:val="texto"/>
        <w:tabs>
          <w:tab w:val="clear" w:pos="2835"/>
          <w:tab w:val="clear" w:pos="3969"/>
          <w:tab w:val="clear" w:pos="5103"/>
          <w:tab w:val="clear" w:pos="6237"/>
          <w:tab w:val="clear" w:pos="7371"/>
        </w:tabs>
        <w:rPr>
          <w:szCs w:val="26"/>
        </w:rPr>
      </w:pPr>
    </w:p>
    <w:p w:rsidR="003616B8" w:rsidRDefault="003616B8" w:rsidP="003616B8">
      <w:pPr>
        <w:pStyle w:val="texto"/>
        <w:tabs>
          <w:tab w:val="clear" w:pos="2835"/>
          <w:tab w:val="clear" w:pos="3969"/>
          <w:tab w:val="clear" w:pos="5103"/>
          <w:tab w:val="clear" w:pos="6237"/>
          <w:tab w:val="clear" w:pos="7371"/>
        </w:tabs>
        <w:rPr>
          <w:szCs w:val="26"/>
        </w:rPr>
      </w:pPr>
      <w:r w:rsidRPr="00274513">
        <w:rPr>
          <w:szCs w:val="26"/>
        </w:rPr>
        <w:t xml:space="preserve">El trabajo de campo </w:t>
      </w:r>
      <w:r w:rsidR="00A576EE">
        <w:rPr>
          <w:szCs w:val="26"/>
        </w:rPr>
        <w:t xml:space="preserve">se ha </w:t>
      </w:r>
      <w:r w:rsidR="003B2DAE">
        <w:rPr>
          <w:szCs w:val="26"/>
        </w:rPr>
        <w:t>efectuado</w:t>
      </w:r>
      <w:r w:rsidR="00A576EE">
        <w:rPr>
          <w:szCs w:val="26"/>
        </w:rPr>
        <w:t xml:space="preserve"> </w:t>
      </w:r>
      <w:r w:rsidR="00691F57">
        <w:rPr>
          <w:szCs w:val="26"/>
        </w:rPr>
        <w:t xml:space="preserve">durante </w:t>
      </w:r>
      <w:r w:rsidR="00AC5A74">
        <w:rPr>
          <w:szCs w:val="26"/>
        </w:rPr>
        <w:t>cinco</w:t>
      </w:r>
      <w:r w:rsidR="00691F57">
        <w:rPr>
          <w:szCs w:val="26"/>
        </w:rPr>
        <w:t xml:space="preserve"> meses de los ejercicios de 2017 y 2018</w:t>
      </w:r>
      <w:r w:rsidR="00A576EE">
        <w:rPr>
          <w:szCs w:val="26"/>
        </w:rPr>
        <w:t xml:space="preserve">. </w:t>
      </w:r>
      <w:r w:rsidR="002930FB">
        <w:rPr>
          <w:szCs w:val="26"/>
        </w:rPr>
        <w:t>F</w:t>
      </w:r>
      <w:r w:rsidR="00A576EE">
        <w:rPr>
          <w:szCs w:val="26"/>
        </w:rPr>
        <w:t>ue realizado por</w:t>
      </w:r>
      <w:r w:rsidRPr="00274513">
        <w:rPr>
          <w:szCs w:val="26"/>
        </w:rPr>
        <w:t xml:space="preserve"> un equipo integrado por un</w:t>
      </w:r>
      <w:r w:rsidR="00A576EE">
        <w:rPr>
          <w:szCs w:val="26"/>
        </w:rPr>
        <w:t>a técnica de audit</w:t>
      </w:r>
      <w:r w:rsidR="00A576EE">
        <w:rPr>
          <w:szCs w:val="26"/>
        </w:rPr>
        <w:t>o</w:t>
      </w:r>
      <w:r w:rsidR="00A576EE">
        <w:rPr>
          <w:szCs w:val="26"/>
        </w:rPr>
        <w:t>ría, una letrada y un auditor, contando</w:t>
      </w:r>
      <w:r w:rsidRPr="00274513">
        <w:rPr>
          <w:szCs w:val="26"/>
        </w:rPr>
        <w:t xml:space="preserve"> con la colaboración de los servicios i</w:t>
      </w:r>
      <w:r w:rsidRPr="00274513">
        <w:rPr>
          <w:szCs w:val="26"/>
        </w:rPr>
        <w:t>n</w:t>
      </w:r>
      <w:r w:rsidRPr="00274513">
        <w:rPr>
          <w:szCs w:val="26"/>
        </w:rPr>
        <w:t>formáticos y administrativos de la Cámara de Comptos.</w:t>
      </w:r>
      <w:r>
        <w:rPr>
          <w:szCs w:val="26"/>
        </w:rPr>
        <w:t xml:space="preserve"> </w:t>
      </w:r>
    </w:p>
    <w:p w:rsidR="004E0E3A" w:rsidRPr="00F46B50" w:rsidRDefault="004E0E3A" w:rsidP="003616B8">
      <w:pPr>
        <w:pStyle w:val="texto"/>
        <w:tabs>
          <w:tab w:val="clear" w:pos="2835"/>
          <w:tab w:val="clear" w:pos="3969"/>
          <w:tab w:val="clear" w:pos="5103"/>
          <w:tab w:val="clear" w:pos="6237"/>
          <w:tab w:val="clear" w:pos="7371"/>
        </w:tabs>
        <w:rPr>
          <w:szCs w:val="26"/>
        </w:rPr>
      </w:pPr>
      <w:r w:rsidRPr="00143EEB">
        <w:rPr>
          <w:szCs w:val="26"/>
        </w:rPr>
        <w:t xml:space="preserve">Los resultados de esta actuación se pusieron de manifiesto al consejero </w:t>
      </w:r>
      <w:r w:rsidR="00143EEB">
        <w:rPr>
          <w:szCs w:val="26"/>
        </w:rPr>
        <w:t>de</w:t>
      </w:r>
      <w:r w:rsidRPr="00143EEB">
        <w:rPr>
          <w:szCs w:val="26"/>
        </w:rPr>
        <w:t xml:space="preserve"> Desarrollo Económico del Gobierno de Navarra, a la </w:t>
      </w:r>
      <w:r w:rsidR="00DA68E2" w:rsidRPr="00143EEB">
        <w:rPr>
          <w:szCs w:val="26"/>
        </w:rPr>
        <w:t>c</w:t>
      </w:r>
      <w:r w:rsidRPr="00143EEB">
        <w:rPr>
          <w:szCs w:val="26"/>
        </w:rPr>
        <w:t xml:space="preserve">onsejera de Desarrollo Rural, Medio Ambiente y Administración Local del Gobierno de Navarra, al </w:t>
      </w:r>
      <w:r w:rsidR="00DA68E2" w:rsidRPr="00143EEB">
        <w:rPr>
          <w:szCs w:val="26"/>
        </w:rPr>
        <w:t>d</w:t>
      </w:r>
      <w:r w:rsidRPr="00143EEB">
        <w:rPr>
          <w:szCs w:val="26"/>
        </w:rPr>
        <w:t xml:space="preserve">irector </w:t>
      </w:r>
      <w:r w:rsidR="00DA68E2" w:rsidRPr="00143EEB">
        <w:rPr>
          <w:szCs w:val="26"/>
        </w:rPr>
        <w:t>g</w:t>
      </w:r>
      <w:r w:rsidRPr="00143EEB">
        <w:rPr>
          <w:szCs w:val="26"/>
        </w:rPr>
        <w:t>erente</w:t>
      </w:r>
      <w:r w:rsidR="00DA68E2" w:rsidRPr="00143EEB">
        <w:rPr>
          <w:szCs w:val="26"/>
        </w:rPr>
        <w:t xml:space="preserve"> de la Sociedad Nasuvinsa</w:t>
      </w:r>
      <w:r w:rsidR="00143EEB" w:rsidRPr="00143EEB">
        <w:rPr>
          <w:szCs w:val="26"/>
        </w:rPr>
        <w:t>,</w:t>
      </w:r>
      <w:r w:rsidR="00DA68E2" w:rsidRPr="00143EEB">
        <w:rPr>
          <w:szCs w:val="26"/>
        </w:rPr>
        <w:t xml:space="preserve"> al gerente de la UTE SANCO-GM</w:t>
      </w:r>
      <w:r w:rsidRPr="00143EEB">
        <w:rPr>
          <w:szCs w:val="26"/>
        </w:rPr>
        <w:t xml:space="preserve"> </w:t>
      </w:r>
      <w:r w:rsidR="00143EEB" w:rsidRPr="00143EEB">
        <w:rPr>
          <w:szCs w:val="26"/>
        </w:rPr>
        <w:t xml:space="preserve">y al ex consejero de Fomento del Gobierno de Navarra </w:t>
      </w:r>
      <w:r w:rsidRPr="00143EEB">
        <w:rPr>
          <w:szCs w:val="26"/>
        </w:rPr>
        <w:t>para que formulase</w:t>
      </w:r>
      <w:r w:rsidR="00DA68E2" w:rsidRPr="00143EEB">
        <w:rPr>
          <w:szCs w:val="26"/>
        </w:rPr>
        <w:t>n</w:t>
      </w:r>
      <w:r w:rsidRPr="00143EEB">
        <w:rPr>
          <w:szCs w:val="26"/>
        </w:rPr>
        <w:t>, en su caso, las alegaciones que estimase</w:t>
      </w:r>
      <w:r w:rsidR="00DA68E2" w:rsidRPr="00143EEB">
        <w:rPr>
          <w:szCs w:val="26"/>
        </w:rPr>
        <w:t>n</w:t>
      </w:r>
      <w:r w:rsidRPr="00143EEB">
        <w:rPr>
          <w:szCs w:val="26"/>
        </w:rPr>
        <w:t xml:space="preserve"> oportunas, de conformidad con lo pr</w:t>
      </w:r>
      <w:r w:rsidRPr="00143EEB">
        <w:rPr>
          <w:szCs w:val="26"/>
        </w:rPr>
        <w:t>e</w:t>
      </w:r>
      <w:r w:rsidRPr="00143EEB">
        <w:rPr>
          <w:szCs w:val="26"/>
        </w:rPr>
        <w:t>visto en el art. 11.2 de la Ley Foral 19/1984, reguladora de la Cámara de Co</w:t>
      </w:r>
      <w:r w:rsidRPr="00143EEB">
        <w:rPr>
          <w:szCs w:val="26"/>
        </w:rPr>
        <w:t>m</w:t>
      </w:r>
      <w:r w:rsidRPr="00143EEB">
        <w:rPr>
          <w:szCs w:val="26"/>
        </w:rPr>
        <w:t>ptos de Navarra.</w:t>
      </w:r>
      <w:r w:rsidR="00001474">
        <w:rPr>
          <w:szCs w:val="26"/>
        </w:rPr>
        <w:t xml:space="preserve"> </w:t>
      </w:r>
      <w:r w:rsidR="00001474" w:rsidRPr="00F46B50">
        <w:rPr>
          <w:szCs w:val="26"/>
        </w:rPr>
        <w:t>Transcurrido el plazo</w:t>
      </w:r>
      <w:r w:rsidR="00F46B50">
        <w:rPr>
          <w:szCs w:val="26"/>
        </w:rPr>
        <w:t xml:space="preserve">, se han presentado alegaciones por parte de D. José María </w:t>
      </w:r>
      <w:proofErr w:type="spellStart"/>
      <w:r w:rsidR="00F46B50">
        <w:rPr>
          <w:szCs w:val="26"/>
        </w:rPr>
        <w:t>Aierdi</w:t>
      </w:r>
      <w:proofErr w:type="spellEnd"/>
      <w:r w:rsidR="00F46B50">
        <w:rPr>
          <w:szCs w:val="26"/>
        </w:rPr>
        <w:t xml:space="preserve"> Fernández de Barrena –</w:t>
      </w:r>
      <w:proofErr w:type="spellStart"/>
      <w:r w:rsidR="00F46B50">
        <w:rPr>
          <w:szCs w:val="26"/>
        </w:rPr>
        <w:t>Nasuvinsa</w:t>
      </w:r>
      <w:proofErr w:type="spellEnd"/>
      <w:r w:rsidR="00F46B50">
        <w:rPr>
          <w:szCs w:val="26"/>
        </w:rPr>
        <w:t xml:space="preserve">-, D. Luis </w:t>
      </w:r>
      <w:proofErr w:type="spellStart"/>
      <w:r w:rsidR="00F46B50">
        <w:rPr>
          <w:szCs w:val="26"/>
        </w:rPr>
        <w:t>Zarraluqui</w:t>
      </w:r>
      <w:proofErr w:type="spellEnd"/>
      <w:r w:rsidR="00F46B50">
        <w:rPr>
          <w:szCs w:val="26"/>
        </w:rPr>
        <w:t xml:space="preserve"> </w:t>
      </w:r>
      <w:proofErr w:type="spellStart"/>
      <w:r w:rsidR="00F46B50">
        <w:rPr>
          <w:szCs w:val="26"/>
        </w:rPr>
        <w:t>Ortigosa</w:t>
      </w:r>
      <w:proofErr w:type="spellEnd"/>
      <w:r w:rsidR="00F46B50">
        <w:rPr>
          <w:szCs w:val="26"/>
        </w:rPr>
        <w:t xml:space="preserve"> –exconsejero de Fomento</w:t>
      </w:r>
      <w:r w:rsidR="00F93209">
        <w:rPr>
          <w:szCs w:val="26"/>
        </w:rPr>
        <w:t xml:space="preserve"> del gobierno de Navarra- y D. Angel María García Clavijo –en representación de la UTE SANCO-GM.</w:t>
      </w:r>
    </w:p>
    <w:p w:rsidR="003616B8" w:rsidRDefault="003616B8" w:rsidP="003616B8">
      <w:pPr>
        <w:pStyle w:val="texto"/>
        <w:tabs>
          <w:tab w:val="clear" w:pos="2835"/>
          <w:tab w:val="clear" w:pos="3969"/>
          <w:tab w:val="clear" w:pos="5103"/>
          <w:tab w:val="clear" w:pos="6237"/>
          <w:tab w:val="clear" w:pos="7371"/>
        </w:tabs>
        <w:rPr>
          <w:szCs w:val="26"/>
        </w:rPr>
      </w:pPr>
      <w:r>
        <w:rPr>
          <w:szCs w:val="26"/>
        </w:rPr>
        <w:t>Agradecemos al personal de</w:t>
      </w:r>
      <w:r w:rsidR="003B2DAE">
        <w:rPr>
          <w:szCs w:val="26"/>
        </w:rPr>
        <w:t xml:space="preserve"> la empresa N</w:t>
      </w:r>
      <w:r w:rsidR="00124E2C">
        <w:rPr>
          <w:szCs w:val="26"/>
        </w:rPr>
        <w:t>asuvinsa</w:t>
      </w:r>
      <w:r>
        <w:rPr>
          <w:szCs w:val="26"/>
        </w:rPr>
        <w:t xml:space="preserve"> la colaboración prestada en la realización del presente trabajo. </w:t>
      </w:r>
    </w:p>
    <w:p w:rsidR="00BD5527" w:rsidRDefault="00BD5527">
      <w:pPr>
        <w:spacing w:after="0"/>
        <w:ind w:firstLine="0"/>
        <w:jc w:val="left"/>
      </w:pPr>
      <w:bookmarkStart w:id="13" w:name="_Toc503967425"/>
      <w:bookmarkStart w:id="14" w:name="_Toc468085242"/>
      <w:bookmarkStart w:id="15" w:name="_Toc468085591"/>
      <w:bookmarkStart w:id="16" w:name="_Toc468085904"/>
      <w:bookmarkStart w:id="17" w:name="_Toc468085970"/>
      <w:bookmarkStart w:id="18" w:name="_Toc468086028"/>
      <w:bookmarkStart w:id="19" w:name="_Toc468087830"/>
      <w:bookmarkStart w:id="20" w:name="_Toc469726194"/>
      <w:bookmarkStart w:id="21" w:name="_Toc287259145"/>
      <w:bookmarkStart w:id="22" w:name="_Toc477161311"/>
      <w:bookmarkStart w:id="23" w:name="_Toc503967427"/>
      <w:bookmarkEnd w:id="12"/>
      <w:r>
        <w:br w:type="page"/>
      </w:r>
    </w:p>
    <w:p w:rsidR="003616B8" w:rsidRDefault="003616B8" w:rsidP="003616B8">
      <w:pPr>
        <w:pStyle w:val="atitulo1"/>
      </w:pPr>
      <w:bookmarkStart w:id="24" w:name="_Toc515531865"/>
      <w:r>
        <w:t xml:space="preserve">II. </w:t>
      </w:r>
      <w:r w:rsidR="00867F9B">
        <w:t>Principales hitos del desarrollo histórico del</w:t>
      </w:r>
      <w:r w:rsidR="00C40120">
        <w:t xml:space="preserve"> proyecto de la Ciudad del Transporte de</w:t>
      </w:r>
      <w:r w:rsidR="00BD5527">
        <w:t xml:space="preserve"> la Comarca de</w:t>
      </w:r>
      <w:r w:rsidR="00C40120">
        <w:t xml:space="preserve"> Pamplona</w:t>
      </w:r>
      <w:bookmarkEnd w:id="13"/>
      <w:bookmarkEnd w:id="24"/>
    </w:p>
    <w:p w:rsidR="001E462B" w:rsidRDefault="001E462B" w:rsidP="001E462B">
      <w:pPr>
        <w:pStyle w:val="texto"/>
        <w:tabs>
          <w:tab w:val="clear" w:pos="2835"/>
          <w:tab w:val="clear" w:pos="3969"/>
          <w:tab w:val="clear" w:pos="5103"/>
          <w:tab w:val="clear" w:pos="6237"/>
          <w:tab w:val="clear" w:pos="7371"/>
        </w:tabs>
      </w:pPr>
      <w:bookmarkStart w:id="25" w:name="_Toc503967426"/>
      <w:r>
        <w:t xml:space="preserve">De acuerdo con la asociación europea </w:t>
      </w:r>
      <w:r w:rsidR="009A637B">
        <w:t>“</w:t>
      </w:r>
      <w:r>
        <w:t>Europlatforms</w:t>
      </w:r>
      <w:r w:rsidR="009A637B">
        <w:t>”</w:t>
      </w:r>
      <w:r>
        <w:t xml:space="preserve"> se define un centro o ciudad de transporte como: </w:t>
      </w:r>
    </w:p>
    <w:p w:rsidR="001E462B" w:rsidRPr="001E462B" w:rsidRDefault="001E462B" w:rsidP="001E462B">
      <w:pPr>
        <w:pStyle w:val="texto"/>
        <w:tabs>
          <w:tab w:val="clear" w:pos="2835"/>
          <w:tab w:val="clear" w:pos="3969"/>
          <w:tab w:val="clear" w:pos="5103"/>
          <w:tab w:val="clear" w:pos="6237"/>
          <w:tab w:val="clear" w:pos="7371"/>
        </w:tabs>
        <w:rPr>
          <w:i/>
          <w:sz w:val="22"/>
          <w:szCs w:val="22"/>
        </w:rPr>
      </w:pPr>
      <w:r>
        <w:t>"</w:t>
      </w:r>
      <w:r w:rsidRPr="001E462B">
        <w:rPr>
          <w:i/>
          <w:sz w:val="22"/>
          <w:szCs w:val="22"/>
        </w:rPr>
        <w:t xml:space="preserve">Es un área definida dentro de la cual están todas las actividades relativas al transporte, logística y la distribución de mercancías, tanto para tránsito nacional como internacional, pudiendo intervenir varias empresas del sector </w:t>
      </w:r>
      <w:r>
        <w:rPr>
          <w:i/>
          <w:sz w:val="22"/>
          <w:szCs w:val="22"/>
        </w:rPr>
        <w:t>t</w:t>
      </w:r>
      <w:r w:rsidRPr="001E462B">
        <w:rPr>
          <w:i/>
          <w:sz w:val="22"/>
          <w:szCs w:val="22"/>
        </w:rPr>
        <w:t>ransporte.</w:t>
      </w:r>
    </w:p>
    <w:p w:rsidR="001E462B" w:rsidRPr="001E462B" w:rsidRDefault="001E462B" w:rsidP="001E462B">
      <w:pPr>
        <w:pStyle w:val="texto"/>
        <w:tabs>
          <w:tab w:val="clear" w:pos="2835"/>
          <w:tab w:val="clear" w:pos="3969"/>
          <w:tab w:val="clear" w:pos="5103"/>
          <w:tab w:val="clear" w:pos="6237"/>
          <w:tab w:val="clear" w:pos="7371"/>
        </w:tabs>
        <w:rPr>
          <w:i/>
          <w:sz w:val="22"/>
          <w:szCs w:val="22"/>
        </w:rPr>
      </w:pPr>
      <w:r w:rsidRPr="001E462B">
        <w:rPr>
          <w:i/>
          <w:sz w:val="22"/>
          <w:szCs w:val="22"/>
        </w:rPr>
        <w:t>Estos operarios pueden, tanto ser propietarios como arrendadores de los edificios y n</w:t>
      </w:r>
      <w:r w:rsidRPr="001E462B">
        <w:rPr>
          <w:i/>
          <w:sz w:val="22"/>
          <w:szCs w:val="22"/>
        </w:rPr>
        <w:t>a</w:t>
      </w:r>
      <w:r w:rsidRPr="001E462B">
        <w:rPr>
          <w:i/>
          <w:sz w:val="22"/>
          <w:szCs w:val="22"/>
        </w:rPr>
        <w:t>ves (almacenes, centros de grandes cargas, zonas de almacenaje, oficinas, aparcamientos, etc.) que hayan sido construidos allí.</w:t>
      </w:r>
    </w:p>
    <w:p w:rsidR="001E462B" w:rsidRPr="001E462B" w:rsidRDefault="001E462B" w:rsidP="001E462B">
      <w:pPr>
        <w:pStyle w:val="texto"/>
        <w:tabs>
          <w:tab w:val="clear" w:pos="2835"/>
          <w:tab w:val="clear" w:pos="3969"/>
          <w:tab w:val="clear" w:pos="5103"/>
          <w:tab w:val="clear" w:pos="6237"/>
          <w:tab w:val="clear" w:pos="7371"/>
        </w:tabs>
        <w:rPr>
          <w:i/>
          <w:sz w:val="22"/>
          <w:szCs w:val="22"/>
        </w:rPr>
      </w:pPr>
      <w:r w:rsidRPr="001E462B">
        <w:rPr>
          <w:i/>
          <w:sz w:val="22"/>
          <w:szCs w:val="22"/>
        </w:rPr>
        <w:t>Además, para ajustarnos a las normas de la libre competencia, un centro o Ciudad del Transporte debe permitir el acceso a todas las empresas que desarrollen las actividades a</w:t>
      </w:r>
      <w:r w:rsidRPr="001E462B">
        <w:rPr>
          <w:i/>
          <w:sz w:val="22"/>
          <w:szCs w:val="22"/>
        </w:rPr>
        <w:t>n</w:t>
      </w:r>
      <w:r w:rsidRPr="001E462B">
        <w:rPr>
          <w:i/>
          <w:sz w:val="22"/>
          <w:szCs w:val="22"/>
        </w:rPr>
        <w:t>tes expuestas y, además, estar equipado con todas las facilidades públicas para llevar a c</w:t>
      </w:r>
      <w:r w:rsidRPr="001E462B">
        <w:rPr>
          <w:i/>
          <w:sz w:val="22"/>
          <w:szCs w:val="22"/>
        </w:rPr>
        <w:t>a</w:t>
      </w:r>
      <w:r w:rsidRPr="001E462B">
        <w:rPr>
          <w:i/>
          <w:sz w:val="22"/>
          <w:szCs w:val="22"/>
        </w:rPr>
        <w:t>bo las operaciones antes mencionadas.</w:t>
      </w:r>
    </w:p>
    <w:p w:rsidR="001E462B" w:rsidRPr="001E462B" w:rsidRDefault="001E462B" w:rsidP="001E462B">
      <w:pPr>
        <w:pStyle w:val="texto"/>
        <w:tabs>
          <w:tab w:val="clear" w:pos="2835"/>
          <w:tab w:val="clear" w:pos="3969"/>
          <w:tab w:val="clear" w:pos="5103"/>
          <w:tab w:val="clear" w:pos="6237"/>
          <w:tab w:val="clear" w:pos="7371"/>
        </w:tabs>
        <w:rPr>
          <w:i/>
          <w:sz w:val="22"/>
          <w:szCs w:val="22"/>
        </w:rPr>
      </w:pPr>
      <w:r w:rsidRPr="001E462B">
        <w:rPr>
          <w:i/>
          <w:sz w:val="22"/>
          <w:szCs w:val="22"/>
        </w:rPr>
        <w:t>Si es posible, debe incluir además diferentes servicios para las personas y equipamiento de los usuarios.</w:t>
      </w:r>
    </w:p>
    <w:p w:rsidR="001E462B" w:rsidRPr="001E462B" w:rsidRDefault="001E462B" w:rsidP="001E462B">
      <w:pPr>
        <w:pStyle w:val="texto"/>
        <w:tabs>
          <w:tab w:val="clear" w:pos="2835"/>
          <w:tab w:val="clear" w:pos="3969"/>
          <w:tab w:val="clear" w:pos="5103"/>
          <w:tab w:val="clear" w:pos="6237"/>
          <w:tab w:val="clear" w:pos="7371"/>
        </w:tabs>
        <w:rPr>
          <w:i/>
          <w:sz w:val="22"/>
          <w:szCs w:val="22"/>
        </w:rPr>
      </w:pPr>
      <w:r w:rsidRPr="001E462B">
        <w:rPr>
          <w:i/>
          <w:sz w:val="22"/>
          <w:szCs w:val="22"/>
        </w:rPr>
        <w:t>Para fortalecer el transporte intermodal para el manejo de mercancías, un centro o Ci</w:t>
      </w:r>
      <w:r w:rsidRPr="001E462B">
        <w:rPr>
          <w:i/>
          <w:sz w:val="22"/>
          <w:szCs w:val="22"/>
        </w:rPr>
        <w:t>u</w:t>
      </w:r>
      <w:r w:rsidRPr="001E462B">
        <w:rPr>
          <w:i/>
          <w:sz w:val="22"/>
          <w:szCs w:val="22"/>
        </w:rPr>
        <w:t>dad del Transporte puede estar concebido para una multiplicidad de formas de transporte (carretera, ferrocarril, marítimo, fluvial, aire).</w:t>
      </w:r>
    </w:p>
    <w:p w:rsidR="001E462B" w:rsidRDefault="001E462B" w:rsidP="001E462B">
      <w:pPr>
        <w:pStyle w:val="texto"/>
        <w:tabs>
          <w:tab w:val="clear" w:pos="2835"/>
          <w:tab w:val="clear" w:pos="3969"/>
          <w:tab w:val="clear" w:pos="5103"/>
          <w:tab w:val="clear" w:pos="6237"/>
          <w:tab w:val="clear" w:pos="7371"/>
        </w:tabs>
      </w:pPr>
      <w:r w:rsidRPr="001E462B">
        <w:rPr>
          <w:i/>
          <w:sz w:val="22"/>
          <w:szCs w:val="22"/>
        </w:rPr>
        <w:t>Finalmente, es imperativo que un centro o Ciudad del Transporte sea llevado por un solo organismo gestor, público o privado</w:t>
      </w:r>
      <w:r>
        <w:t>.”</w:t>
      </w:r>
    </w:p>
    <w:p w:rsidR="001E462B" w:rsidRDefault="003C5760" w:rsidP="003C5760">
      <w:pPr>
        <w:pStyle w:val="texto"/>
        <w:tabs>
          <w:tab w:val="clear" w:pos="2835"/>
          <w:tab w:val="clear" w:pos="3969"/>
          <w:tab w:val="clear" w:pos="5103"/>
          <w:tab w:val="clear" w:pos="6237"/>
          <w:tab w:val="clear" w:pos="7371"/>
        </w:tabs>
      </w:pPr>
      <w:r>
        <w:t xml:space="preserve">Inicialmente estos centros se </w:t>
      </w:r>
      <w:r w:rsidR="00691F57">
        <w:t>orientaban</w:t>
      </w:r>
      <w:r>
        <w:t xml:space="preserve"> </w:t>
      </w:r>
      <w:r w:rsidR="00F6032D">
        <w:t>hacia</w:t>
      </w:r>
      <w:r>
        <w:t xml:space="preserve"> un</w:t>
      </w:r>
      <w:r w:rsidR="00C40B00">
        <w:t xml:space="preserve"> único</w:t>
      </w:r>
      <w:r>
        <w:t xml:space="preserve"> medio de transporte</w:t>
      </w:r>
      <w:r w:rsidR="001130EE">
        <w:t xml:space="preserve"> de mercancías</w:t>
      </w:r>
      <w:r>
        <w:t>; posteriormente surgen las plataformas logísticas de “segunda generación” o complejos integrados con intermodalidad y multimodalidad</w:t>
      </w:r>
      <w:r w:rsidR="000A26C6">
        <w:t>, es decir, incluye la interconexión de varios medios de transporte</w:t>
      </w:r>
      <w:r>
        <w:t xml:space="preserve">. </w:t>
      </w:r>
      <w:r w:rsidR="001E462B">
        <w:t>En los últimos años se está desarrollando el modelo de áreas logísticas de “tercera gener</w:t>
      </w:r>
      <w:r w:rsidR="001E462B">
        <w:t>a</w:t>
      </w:r>
      <w:r w:rsidR="001E462B">
        <w:t>ción”, en las que se amplían las tradicionales funciones de los centros de tran</w:t>
      </w:r>
      <w:r w:rsidR="001E462B">
        <w:t>s</w:t>
      </w:r>
      <w:r w:rsidR="001E462B">
        <w:t>porte, con zonas dedicadas a actividades industriales y comerciales de todo t</w:t>
      </w:r>
      <w:r w:rsidR="001E462B">
        <w:t>i</w:t>
      </w:r>
      <w:r w:rsidR="001E462B">
        <w:t>po, constituyendo lo que se viene</w:t>
      </w:r>
      <w:r w:rsidR="00691F57">
        <w:t>n</w:t>
      </w:r>
      <w:r w:rsidR="001E462B">
        <w:t xml:space="preserve"> a denominar “complejos de actividades ec</w:t>
      </w:r>
      <w:r w:rsidR="001E462B">
        <w:t>o</w:t>
      </w:r>
      <w:r w:rsidR="001E462B">
        <w:t>nómicas”</w:t>
      </w:r>
      <w:r w:rsidR="00C6696A">
        <w:t>.</w:t>
      </w:r>
    </w:p>
    <w:p w:rsidR="00C6696A" w:rsidRDefault="00C6696A" w:rsidP="00377ADC">
      <w:pPr>
        <w:pStyle w:val="texto"/>
        <w:tabs>
          <w:tab w:val="clear" w:pos="2835"/>
          <w:tab w:val="clear" w:pos="3969"/>
          <w:tab w:val="clear" w:pos="5103"/>
          <w:tab w:val="clear" w:pos="6237"/>
          <w:tab w:val="clear" w:pos="7371"/>
        </w:tabs>
      </w:pPr>
      <w:r>
        <w:t>El proyecto de la Ciudad de Transporte de</w:t>
      </w:r>
      <w:r w:rsidR="00BD5527">
        <w:t xml:space="preserve"> la comarca de</w:t>
      </w:r>
      <w:r>
        <w:t xml:space="preserve"> Pamplona se ha ido desarrollando en cuatro fases sucesivas, cuyos principales acontecimientos de forma cronológica se describe</w:t>
      </w:r>
      <w:r w:rsidR="00691F57">
        <w:t>n</w:t>
      </w:r>
      <w:r>
        <w:t xml:space="preserve"> a continuación.</w:t>
      </w:r>
    </w:p>
    <w:p w:rsidR="00BD1386" w:rsidRDefault="00BD1386">
      <w:pPr>
        <w:spacing w:after="0"/>
        <w:ind w:firstLine="0"/>
        <w:jc w:val="left"/>
        <w:rPr>
          <w:rFonts w:ascii="Arial" w:hAnsi="Arial"/>
          <w:bCs/>
          <w:iCs/>
          <w:color w:val="000000"/>
          <w:spacing w:val="10"/>
          <w:kern w:val="28"/>
          <w:sz w:val="25"/>
          <w:szCs w:val="26"/>
        </w:rPr>
      </w:pPr>
      <w:r>
        <w:br w:type="page"/>
      </w:r>
    </w:p>
    <w:p w:rsidR="00B42C7A" w:rsidRDefault="003616B8" w:rsidP="00B42C7A">
      <w:pPr>
        <w:pStyle w:val="atitulo2"/>
      </w:pPr>
      <w:bookmarkStart w:id="26" w:name="_Toc515531866"/>
      <w:r>
        <w:t xml:space="preserve">II.1. </w:t>
      </w:r>
      <w:r w:rsidR="00867F9B">
        <w:t xml:space="preserve">Fases 1ª y 2ª </w:t>
      </w:r>
      <w:r w:rsidR="00442A29">
        <w:t>de la Ciudad del Transporte de</w:t>
      </w:r>
      <w:r w:rsidR="00BD5527">
        <w:t xml:space="preserve"> la </w:t>
      </w:r>
      <w:r w:rsidR="006E4E3B">
        <w:t>C</w:t>
      </w:r>
      <w:r w:rsidR="00BD5527">
        <w:t>omarca de</w:t>
      </w:r>
      <w:r w:rsidR="00442A29">
        <w:t xml:space="preserve"> Pa</w:t>
      </w:r>
      <w:r w:rsidR="00442A29">
        <w:t>m</w:t>
      </w:r>
      <w:r w:rsidR="00442A29">
        <w:t>plona.</w:t>
      </w:r>
      <w:bookmarkEnd w:id="26"/>
      <w:r w:rsidR="00442A29">
        <w:t xml:space="preserve"> </w:t>
      </w:r>
      <w:bookmarkEnd w:id="25"/>
    </w:p>
    <w:p w:rsidR="00442A29" w:rsidRPr="00447C6F" w:rsidRDefault="00442A29" w:rsidP="00B42C7A">
      <w:pPr>
        <w:pStyle w:val="texto"/>
        <w:tabs>
          <w:tab w:val="clear" w:pos="2835"/>
          <w:tab w:val="clear" w:pos="3969"/>
          <w:tab w:val="clear" w:pos="5103"/>
          <w:tab w:val="clear" w:pos="6237"/>
          <w:tab w:val="clear" w:pos="7371"/>
        </w:tabs>
        <w:rPr>
          <w:rFonts w:ascii="Times New (W1)" w:hAnsi="Times New (W1)"/>
          <w:b/>
          <w:szCs w:val="26"/>
        </w:rPr>
      </w:pPr>
      <w:r w:rsidRPr="00447C6F">
        <w:rPr>
          <w:rFonts w:ascii="Times New (W1)" w:hAnsi="Times New (W1)"/>
          <w:b/>
          <w:szCs w:val="26"/>
        </w:rPr>
        <w:t>1985 a 1990</w:t>
      </w:r>
    </w:p>
    <w:p w:rsidR="00442A29" w:rsidRPr="00A9150B" w:rsidRDefault="00442A29" w:rsidP="001319A7">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sidRPr="00A9150B">
        <w:rPr>
          <w:szCs w:val="26"/>
        </w:rPr>
        <w:t>En este periodo</w:t>
      </w:r>
      <w:r w:rsidR="00157405">
        <w:rPr>
          <w:szCs w:val="26"/>
        </w:rPr>
        <w:t>, según se desprende de la información analizada,</w:t>
      </w:r>
      <w:r w:rsidRPr="00A9150B">
        <w:rPr>
          <w:szCs w:val="26"/>
        </w:rPr>
        <w:t xml:space="preserve"> se real</w:t>
      </w:r>
      <w:r w:rsidRPr="00A9150B">
        <w:rPr>
          <w:szCs w:val="26"/>
        </w:rPr>
        <w:t>i</w:t>
      </w:r>
      <w:r w:rsidRPr="00A9150B">
        <w:rPr>
          <w:szCs w:val="26"/>
        </w:rPr>
        <w:t>zan visitas, informes y estudios so</w:t>
      </w:r>
      <w:r w:rsidR="00157405">
        <w:rPr>
          <w:szCs w:val="26"/>
        </w:rPr>
        <w:t xml:space="preserve">bre </w:t>
      </w:r>
      <w:r w:rsidRPr="00A9150B">
        <w:rPr>
          <w:szCs w:val="26"/>
        </w:rPr>
        <w:t>tal infraestructura</w:t>
      </w:r>
      <w:r w:rsidR="00157405">
        <w:rPr>
          <w:szCs w:val="26"/>
        </w:rPr>
        <w:t xml:space="preserve"> y su</w:t>
      </w:r>
      <w:r w:rsidR="005C3FA9">
        <w:rPr>
          <w:szCs w:val="26"/>
        </w:rPr>
        <w:t>s características</w:t>
      </w:r>
      <w:r w:rsidRPr="00A9150B">
        <w:rPr>
          <w:szCs w:val="26"/>
        </w:rPr>
        <w:t>.</w:t>
      </w:r>
      <w:r w:rsidR="00423D68" w:rsidRPr="00A9150B">
        <w:rPr>
          <w:szCs w:val="26"/>
        </w:rPr>
        <w:t xml:space="preserve"> Destaca que en 1989 se crea una comisión para impulsar su creación, partic</w:t>
      </w:r>
      <w:r w:rsidR="00423D68" w:rsidRPr="00A9150B">
        <w:rPr>
          <w:szCs w:val="26"/>
        </w:rPr>
        <w:t>i</w:t>
      </w:r>
      <w:r w:rsidR="00423D68" w:rsidRPr="00A9150B">
        <w:rPr>
          <w:szCs w:val="26"/>
        </w:rPr>
        <w:t xml:space="preserve">pando en la misma tanto el propio Gobierno de Navarra como las asociaciones de transportistas de Navarra </w:t>
      </w:r>
      <w:r w:rsidR="00BD1386">
        <w:rPr>
          <w:szCs w:val="26"/>
        </w:rPr>
        <w:t>–</w:t>
      </w:r>
      <w:r w:rsidR="00C91F81">
        <w:rPr>
          <w:szCs w:val="26"/>
        </w:rPr>
        <w:t>Asociación Navarra de Empresarios del Transpo</w:t>
      </w:r>
      <w:r w:rsidR="00C91F81">
        <w:rPr>
          <w:szCs w:val="26"/>
        </w:rPr>
        <w:t>r</w:t>
      </w:r>
      <w:r w:rsidR="00C91F81">
        <w:rPr>
          <w:szCs w:val="26"/>
        </w:rPr>
        <w:t>te por Carretera (Anet) y Asociación de Transporte Discrecional de Merca</w:t>
      </w:r>
      <w:r w:rsidR="00C91F81">
        <w:rPr>
          <w:szCs w:val="26"/>
        </w:rPr>
        <w:t>n</w:t>
      </w:r>
      <w:r w:rsidR="00C91F81">
        <w:rPr>
          <w:szCs w:val="26"/>
        </w:rPr>
        <w:t>cías, Autopatronos, Pequeña y Mediana Empresa (</w:t>
      </w:r>
      <w:r w:rsidR="00423D68" w:rsidRPr="00A9150B">
        <w:rPr>
          <w:szCs w:val="26"/>
        </w:rPr>
        <w:t>Tradisna</w:t>
      </w:r>
      <w:r w:rsidR="00E02575" w:rsidRPr="00A9150B">
        <w:rPr>
          <w:szCs w:val="26"/>
        </w:rPr>
        <w:t>)</w:t>
      </w:r>
      <w:r w:rsidR="00E02575">
        <w:rPr>
          <w:szCs w:val="26"/>
        </w:rPr>
        <w:t xml:space="preserve"> –</w:t>
      </w:r>
      <w:r w:rsidR="00423D68" w:rsidRPr="00A9150B">
        <w:rPr>
          <w:szCs w:val="26"/>
        </w:rPr>
        <w:t>, la Cámara de Comercio e Industria de Navarra y Audenasa.</w:t>
      </w:r>
    </w:p>
    <w:p w:rsidR="00442A29" w:rsidRPr="00A9150B" w:rsidRDefault="00442A29" w:rsidP="001319A7">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sidRPr="00A9150B">
        <w:rPr>
          <w:szCs w:val="26"/>
        </w:rPr>
        <w:t>Se decide el emplazamiento de la CT en</w:t>
      </w:r>
      <w:r w:rsidR="00423D68" w:rsidRPr="00A9150B">
        <w:rPr>
          <w:szCs w:val="26"/>
        </w:rPr>
        <w:t xml:space="preserve"> el término de</w:t>
      </w:r>
      <w:r w:rsidRPr="00A9150B">
        <w:rPr>
          <w:szCs w:val="26"/>
        </w:rPr>
        <w:t xml:space="preserve"> Imarcoáin</w:t>
      </w:r>
      <w:r w:rsidR="00173254" w:rsidRPr="00A9150B">
        <w:rPr>
          <w:szCs w:val="26"/>
        </w:rPr>
        <w:t xml:space="preserve"> (</w:t>
      </w:r>
      <w:r w:rsidR="000F3C39" w:rsidRPr="00A9150B">
        <w:rPr>
          <w:szCs w:val="26"/>
        </w:rPr>
        <w:t>Ayunt</w:t>
      </w:r>
      <w:r w:rsidR="000F3C39" w:rsidRPr="00A9150B">
        <w:rPr>
          <w:szCs w:val="26"/>
        </w:rPr>
        <w:t>a</w:t>
      </w:r>
      <w:r w:rsidR="000F3C39" w:rsidRPr="00A9150B">
        <w:rPr>
          <w:szCs w:val="26"/>
        </w:rPr>
        <w:t xml:space="preserve">miento de </w:t>
      </w:r>
      <w:r w:rsidR="00173254" w:rsidRPr="00A9150B">
        <w:rPr>
          <w:szCs w:val="26"/>
        </w:rPr>
        <w:t>No</w:t>
      </w:r>
      <w:r w:rsidR="000F3C39" w:rsidRPr="00A9150B">
        <w:rPr>
          <w:szCs w:val="26"/>
        </w:rPr>
        <w:t>ái</w:t>
      </w:r>
      <w:r w:rsidR="00173254" w:rsidRPr="00A9150B">
        <w:rPr>
          <w:szCs w:val="26"/>
        </w:rPr>
        <w:t>n-Valle de Elorz)</w:t>
      </w:r>
      <w:r w:rsidRPr="00A9150B">
        <w:rPr>
          <w:szCs w:val="26"/>
        </w:rPr>
        <w:t>.</w:t>
      </w:r>
    </w:p>
    <w:p w:rsidR="00442A29" w:rsidRPr="00447C6F" w:rsidRDefault="00442A29" w:rsidP="003616B8">
      <w:pPr>
        <w:pStyle w:val="texto"/>
        <w:tabs>
          <w:tab w:val="clear" w:pos="2835"/>
          <w:tab w:val="clear" w:pos="3969"/>
          <w:tab w:val="clear" w:pos="5103"/>
          <w:tab w:val="clear" w:pos="6237"/>
          <w:tab w:val="clear" w:pos="7371"/>
        </w:tabs>
        <w:rPr>
          <w:rFonts w:ascii="Times New (W1)" w:hAnsi="Times New (W1)"/>
          <w:b/>
          <w:szCs w:val="26"/>
        </w:rPr>
      </w:pPr>
      <w:r w:rsidRPr="00447C6F">
        <w:rPr>
          <w:rFonts w:ascii="Times New (W1)" w:hAnsi="Times New (W1)"/>
          <w:b/>
          <w:szCs w:val="26"/>
        </w:rPr>
        <w:t>1991</w:t>
      </w:r>
    </w:p>
    <w:p w:rsidR="00B817E2" w:rsidRPr="00B05F68" w:rsidRDefault="00423D68" w:rsidP="00B05F68">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sidRPr="00A9150B">
        <w:rPr>
          <w:szCs w:val="26"/>
        </w:rPr>
        <w:t xml:space="preserve">Como </w:t>
      </w:r>
      <w:r w:rsidR="009A637B" w:rsidRPr="00A9150B">
        <w:rPr>
          <w:szCs w:val="26"/>
        </w:rPr>
        <w:t>resultado</w:t>
      </w:r>
      <w:r w:rsidRPr="00A9150B">
        <w:rPr>
          <w:szCs w:val="26"/>
        </w:rPr>
        <w:t xml:space="preserve"> de las conclusiones de la citada comisión, s</w:t>
      </w:r>
      <w:r w:rsidR="00B817E2" w:rsidRPr="00A9150B">
        <w:rPr>
          <w:szCs w:val="26"/>
        </w:rPr>
        <w:t xml:space="preserve">e </w:t>
      </w:r>
      <w:r w:rsidR="00B05F68">
        <w:rPr>
          <w:szCs w:val="26"/>
        </w:rPr>
        <w:t xml:space="preserve">constituye la sociedad </w:t>
      </w:r>
      <w:r w:rsidR="00FD7993" w:rsidRPr="00A9150B">
        <w:rPr>
          <w:szCs w:val="26"/>
        </w:rPr>
        <w:t>“</w:t>
      </w:r>
      <w:r w:rsidR="00B817E2" w:rsidRPr="00A9150B">
        <w:rPr>
          <w:szCs w:val="26"/>
        </w:rPr>
        <w:t>Terminal de Transpo</w:t>
      </w:r>
      <w:r w:rsidR="00B05F68">
        <w:rPr>
          <w:szCs w:val="26"/>
        </w:rPr>
        <w:t xml:space="preserve">rtes de la Comarca de Pamplona, </w:t>
      </w:r>
      <w:r w:rsidR="00B817E2" w:rsidRPr="00B05F68">
        <w:rPr>
          <w:szCs w:val="26"/>
        </w:rPr>
        <w:t>S</w:t>
      </w:r>
      <w:r w:rsidR="00B05F68">
        <w:rPr>
          <w:szCs w:val="26"/>
        </w:rPr>
        <w:t>A</w:t>
      </w:r>
      <w:r w:rsidR="00ED6B2F" w:rsidRPr="00B05F68">
        <w:rPr>
          <w:szCs w:val="26"/>
        </w:rPr>
        <w:t xml:space="preserve"> (TTCP</w:t>
      </w:r>
      <w:r w:rsidR="00A340A0" w:rsidRPr="00B05F68">
        <w:rPr>
          <w:szCs w:val="26"/>
        </w:rPr>
        <w:t>, SA</w:t>
      </w:r>
      <w:r w:rsidR="00ED6B2F" w:rsidRPr="00B05F68">
        <w:rPr>
          <w:szCs w:val="26"/>
        </w:rPr>
        <w:t>)</w:t>
      </w:r>
      <w:r w:rsidR="00FD7993" w:rsidRPr="00B05F68">
        <w:rPr>
          <w:szCs w:val="26"/>
        </w:rPr>
        <w:t>”</w:t>
      </w:r>
      <w:r w:rsidR="00B817E2" w:rsidRPr="00B05F68">
        <w:rPr>
          <w:szCs w:val="26"/>
        </w:rPr>
        <w:t xml:space="preserve"> por las entidades A</w:t>
      </w:r>
      <w:r w:rsidRPr="00B05F68">
        <w:rPr>
          <w:szCs w:val="26"/>
        </w:rPr>
        <w:t>net</w:t>
      </w:r>
      <w:r w:rsidR="00B817E2" w:rsidRPr="00B05F68">
        <w:rPr>
          <w:szCs w:val="26"/>
        </w:rPr>
        <w:t>, T</w:t>
      </w:r>
      <w:r w:rsidRPr="00B05F68">
        <w:rPr>
          <w:szCs w:val="26"/>
        </w:rPr>
        <w:t>radisna</w:t>
      </w:r>
      <w:r w:rsidR="00B817E2" w:rsidRPr="00B05F68">
        <w:rPr>
          <w:szCs w:val="26"/>
        </w:rPr>
        <w:t>, Cámara de Comercio e Industria de N</w:t>
      </w:r>
      <w:r w:rsidR="00B817E2" w:rsidRPr="00B05F68">
        <w:rPr>
          <w:szCs w:val="26"/>
        </w:rPr>
        <w:t>a</w:t>
      </w:r>
      <w:r w:rsidR="00B817E2" w:rsidRPr="00B05F68">
        <w:rPr>
          <w:szCs w:val="26"/>
        </w:rPr>
        <w:t>varra y A</w:t>
      </w:r>
      <w:r w:rsidRPr="00B05F68">
        <w:rPr>
          <w:szCs w:val="26"/>
        </w:rPr>
        <w:t>udenasa</w:t>
      </w:r>
      <w:r w:rsidR="00B817E2" w:rsidRPr="00B05F68">
        <w:rPr>
          <w:szCs w:val="26"/>
        </w:rPr>
        <w:t>, con un capit</w:t>
      </w:r>
      <w:r w:rsidR="003074C5">
        <w:rPr>
          <w:szCs w:val="26"/>
        </w:rPr>
        <w:t xml:space="preserve">al social de </w:t>
      </w:r>
      <w:r w:rsidR="00B817E2" w:rsidRPr="00B05F68">
        <w:rPr>
          <w:szCs w:val="26"/>
        </w:rPr>
        <w:t xml:space="preserve">60.101 </w:t>
      </w:r>
      <w:r w:rsidR="00A2334F" w:rsidRPr="00B05F68">
        <w:rPr>
          <w:szCs w:val="26"/>
        </w:rPr>
        <w:t>euros</w:t>
      </w:r>
      <w:r w:rsidR="00B817E2" w:rsidRPr="00B05F68">
        <w:rPr>
          <w:szCs w:val="26"/>
        </w:rPr>
        <w:t xml:space="preserve"> suscrito a partes igu</w:t>
      </w:r>
      <w:r w:rsidR="00B817E2" w:rsidRPr="00B05F68">
        <w:rPr>
          <w:szCs w:val="26"/>
        </w:rPr>
        <w:t>a</w:t>
      </w:r>
      <w:r w:rsidR="00B817E2" w:rsidRPr="00B05F68">
        <w:rPr>
          <w:szCs w:val="26"/>
        </w:rPr>
        <w:t>les</w:t>
      </w:r>
      <w:r w:rsidR="00AA1426" w:rsidRPr="00B05F68">
        <w:rPr>
          <w:szCs w:val="26"/>
        </w:rPr>
        <w:t xml:space="preserve"> entre los anteriores socios citados</w:t>
      </w:r>
      <w:r w:rsidR="00B817E2" w:rsidRPr="00B05F68">
        <w:rPr>
          <w:szCs w:val="26"/>
        </w:rPr>
        <w:t>.</w:t>
      </w:r>
    </w:p>
    <w:p w:rsidR="00A12E16" w:rsidRPr="00A9150B" w:rsidRDefault="00044A42" w:rsidP="001319A7">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sidRPr="00A9150B">
        <w:rPr>
          <w:szCs w:val="26"/>
        </w:rPr>
        <w:t>A iniciativa de</w:t>
      </w:r>
      <w:r w:rsidR="00AC2ADD">
        <w:rPr>
          <w:szCs w:val="26"/>
        </w:rPr>
        <w:t xml:space="preserve"> la </w:t>
      </w:r>
      <w:r w:rsidRPr="00A9150B">
        <w:rPr>
          <w:szCs w:val="26"/>
        </w:rPr>
        <w:t>empresa</w:t>
      </w:r>
      <w:r w:rsidR="00AC2ADD">
        <w:rPr>
          <w:szCs w:val="26"/>
        </w:rPr>
        <w:t xml:space="preserve"> TTCP,</w:t>
      </w:r>
      <w:r w:rsidR="002930FB">
        <w:rPr>
          <w:szCs w:val="26"/>
        </w:rPr>
        <w:t xml:space="preserve"> </w:t>
      </w:r>
      <w:r w:rsidR="00AC2ADD">
        <w:rPr>
          <w:szCs w:val="26"/>
        </w:rPr>
        <w:t>SA</w:t>
      </w:r>
      <w:r w:rsidRPr="00A9150B">
        <w:rPr>
          <w:szCs w:val="26"/>
        </w:rPr>
        <w:t xml:space="preserve"> –que actúa de promotor</w:t>
      </w:r>
      <w:r w:rsidR="00BD1386">
        <w:rPr>
          <w:szCs w:val="26"/>
        </w:rPr>
        <w:t>–</w:t>
      </w:r>
      <w:r w:rsidRPr="00A9150B">
        <w:rPr>
          <w:szCs w:val="26"/>
        </w:rPr>
        <w:t>, s</w:t>
      </w:r>
      <w:r w:rsidR="00A12E16" w:rsidRPr="00A9150B">
        <w:rPr>
          <w:szCs w:val="26"/>
        </w:rPr>
        <w:t>e redacta y tramita el Plan Sectorial de Incidencia Supramunicipal</w:t>
      </w:r>
      <w:r w:rsidR="00951BD0" w:rsidRPr="00A9150B">
        <w:rPr>
          <w:szCs w:val="26"/>
        </w:rPr>
        <w:t xml:space="preserve"> (PSIS)</w:t>
      </w:r>
      <w:r w:rsidR="00A12E16" w:rsidRPr="00A9150B">
        <w:rPr>
          <w:szCs w:val="26"/>
        </w:rPr>
        <w:t xml:space="preserve"> </w:t>
      </w:r>
      <w:r w:rsidR="00AA1426">
        <w:rPr>
          <w:szCs w:val="26"/>
        </w:rPr>
        <w:t>de la Terminal de Transporte de la Comarca de Pamplona</w:t>
      </w:r>
      <w:r w:rsidR="00A12E16" w:rsidRPr="00A9150B">
        <w:rPr>
          <w:szCs w:val="26"/>
        </w:rPr>
        <w:t xml:space="preserve">, ordenando una superficie </w:t>
      </w:r>
      <w:r w:rsidR="00C500BF" w:rsidRPr="00A9150B">
        <w:rPr>
          <w:szCs w:val="26"/>
        </w:rPr>
        <w:t>en</w:t>
      </w:r>
      <w:r w:rsidR="002930FB">
        <w:rPr>
          <w:szCs w:val="26"/>
        </w:rPr>
        <w:t xml:space="preserve"> </w:t>
      </w:r>
      <w:r w:rsidR="00C500BF" w:rsidRPr="00A9150B">
        <w:rPr>
          <w:szCs w:val="26"/>
        </w:rPr>
        <w:t>torno a los 6</w:t>
      </w:r>
      <w:r w:rsidR="00AC2ADD">
        <w:rPr>
          <w:szCs w:val="26"/>
        </w:rPr>
        <w:t>0</w:t>
      </w:r>
      <w:r w:rsidR="00C500BF" w:rsidRPr="00A9150B">
        <w:rPr>
          <w:szCs w:val="26"/>
        </w:rPr>
        <w:t>0.000</w:t>
      </w:r>
      <w:r w:rsidR="00A12E16" w:rsidRPr="00A9150B">
        <w:rPr>
          <w:szCs w:val="26"/>
        </w:rPr>
        <w:t xml:space="preserve"> m</w:t>
      </w:r>
      <w:r w:rsidR="00A12E16" w:rsidRPr="00A2334F">
        <w:rPr>
          <w:szCs w:val="26"/>
          <w:vertAlign w:val="superscript"/>
        </w:rPr>
        <w:t>2</w:t>
      </w:r>
      <w:r w:rsidR="00A12E16" w:rsidRPr="00A9150B">
        <w:rPr>
          <w:szCs w:val="26"/>
        </w:rPr>
        <w:t>. Fue aprobado definitivamente por acuerdo del Gobierno de Navarra adoptado en sesión de 23 de diciembre de 1991, declarándolo de util</w:t>
      </w:r>
      <w:r w:rsidR="00A12E16" w:rsidRPr="00A9150B">
        <w:rPr>
          <w:szCs w:val="26"/>
        </w:rPr>
        <w:t>i</w:t>
      </w:r>
      <w:r w:rsidR="00A12E16" w:rsidRPr="00A9150B">
        <w:rPr>
          <w:szCs w:val="26"/>
        </w:rPr>
        <w:t>dad pública</w:t>
      </w:r>
      <w:r w:rsidR="00EF4BD0" w:rsidRPr="00A9150B">
        <w:rPr>
          <w:szCs w:val="26"/>
        </w:rPr>
        <w:t>,</w:t>
      </w:r>
      <w:r w:rsidR="00A12E16" w:rsidRPr="00A9150B">
        <w:rPr>
          <w:szCs w:val="26"/>
        </w:rPr>
        <w:t xml:space="preserve"> interés social</w:t>
      </w:r>
      <w:r w:rsidR="00EF4BD0" w:rsidRPr="00A9150B">
        <w:rPr>
          <w:szCs w:val="26"/>
        </w:rPr>
        <w:t xml:space="preserve"> y de ámbito supramunicipal</w:t>
      </w:r>
      <w:r w:rsidR="00A12E16" w:rsidRPr="00A9150B">
        <w:rPr>
          <w:szCs w:val="26"/>
        </w:rPr>
        <w:t>.</w:t>
      </w:r>
    </w:p>
    <w:p w:rsidR="00442A29" w:rsidRPr="00BD1386" w:rsidRDefault="00951BD0" w:rsidP="003616B8">
      <w:pPr>
        <w:pStyle w:val="texto"/>
        <w:tabs>
          <w:tab w:val="clear" w:pos="2835"/>
          <w:tab w:val="clear" w:pos="3969"/>
          <w:tab w:val="clear" w:pos="5103"/>
          <w:tab w:val="clear" w:pos="6237"/>
          <w:tab w:val="clear" w:pos="7371"/>
        </w:tabs>
        <w:rPr>
          <w:rFonts w:ascii="Times New (W1)" w:hAnsi="Times New (W1)"/>
          <w:sz w:val="22"/>
          <w:szCs w:val="22"/>
        </w:rPr>
      </w:pPr>
      <w:r>
        <w:t xml:space="preserve">El objeto de este plan es </w:t>
      </w:r>
      <w:r w:rsidRPr="00BD1386">
        <w:rPr>
          <w:sz w:val="22"/>
          <w:szCs w:val="22"/>
        </w:rPr>
        <w:t>“</w:t>
      </w:r>
      <w:r w:rsidRPr="00BD1386">
        <w:rPr>
          <w:i/>
          <w:sz w:val="22"/>
          <w:szCs w:val="22"/>
        </w:rPr>
        <w:t xml:space="preserve">centralizar todas las actividades relacionadas con el Transporte de mercancías por carretera, concentrando el tráfico y las actividades de carga y descarga en una zona acotada, disminuyendo los problemas urbanos y logísticos en los que actualmente se desarrolla esta actividad </w:t>
      </w:r>
      <w:r w:rsidR="00AC2ADD">
        <w:rPr>
          <w:i/>
          <w:sz w:val="22"/>
          <w:szCs w:val="22"/>
        </w:rPr>
        <w:t xml:space="preserve">en </w:t>
      </w:r>
      <w:r w:rsidRPr="00BD1386">
        <w:rPr>
          <w:i/>
          <w:sz w:val="22"/>
          <w:szCs w:val="22"/>
        </w:rPr>
        <w:t>la Comarca de Pamplona</w:t>
      </w:r>
      <w:r w:rsidRPr="00BD1386">
        <w:rPr>
          <w:sz w:val="22"/>
          <w:szCs w:val="22"/>
        </w:rPr>
        <w:t>”.</w:t>
      </w:r>
    </w:p>
    <w:p w:rsidR="00146A60" w:rsidRDefault="00951BD0" w:rsidP="00951BD0">
      <w:pPr>
        <w:pStyle w:val="texto"/>
        <w:tabs>
          <w:tab w:val="clear" w:pos="2835"/>
          <w:tab w:val="clear" w:pos="3969"/>
          <w:tab w:val="clear" w:pos="5103"/>
          <w:tab w:val="clear" w:pos="6237"/>
          <w:tab w:val="clear" w:pos="7371"/>
        </w:tabs>
      </w:pPr>
      <w:r>
        <w:t>El PSIS desarrolla la Ciudad del Transporte sobre una superficie de 388.655m</w:t>
      </w:r>
      <w:r w:rsidRPr="00951BD0">
        <w:rPr>
          <w:vertAlign w:val="superscript"/>
        </w:rPr>
        <w:t>2</w:t>
      </w:r>
      <w:r w:rsidR="0085177C">
        <w:t xml:space="preserve"> </w:t>
      </w:r>
      <w:r w:rsidR="004B1641">
        <w:t>ó</w:t>
      </w:r>
      <w:r w:rsidR="0085177C">
        <w:t xml:space="preserve"> 1ª fase, </w:t>
      </w:r>
      <w:r w:rsidR="009A637B">
        <w:t>calificando como zona de reserva</w:t>
      </w:r>
      <w:r>
        <w:t xml:space="preserve"> el resto</w:t>
      </w:r>
      <w:r w:rsidR="00C40B00">
        <w:t xml:space="preserve"> o 2ª fase</w:t>
      </w:r>
      <w:r>
        <w:t>, 219.708 m</w:t>
      </w:r>
      <w:r w:rsidRPr="00951BD0">
        <w:rPr>
          <w:vertAlign w:val="superscript"/>
        </w:rPr>
        <w:t>2</w:t>
      </w:r>
      <w:r>
        <w:t xml:space="preserve">, abierta a usos relacionados con el transporte, </w:t>
      </w:r>
      <w:r w:rsidR="00EB50F4">
        <w:t>almacenamiento</w:t>
      </w:r>
      <w:r>
        <w:t xml:space="preserve"> o de formación</w:t>
      </w:r>
      <w:r w:rsidR="00EB50F4">
        <w:t xml:space="preserve"> y dejando su ordenación al pertinente instrumento urbanístico</w:t>
      </w:r>
      <w:r>
        <w:t>.</w:t>
      </w:r>
      <w:r w:rsidR="0095685C">
        <w:t xml:space="preserve"> </w:t>
      </w:r>
    </w:p>
    <w:p w:rsidR="00F66EBF" w:rsidRPr="00447C6F" w:rsidRDefault="00F66EBF" w:rsidP="00F66EBF">
      <w:pPr>
        <w:pStyle w:val="texto"/>
        <w:tabs>
          <w:tab w:val="clear" w:pos="2835"/>
          <w:tab w:val="clear" w:pos="3969"/>
          <w:tab w:val="clear" w:pos="5103"/>
          <w:tab w:val="clear" w:pos="6237"/>
          <w:tab w:val="clear" w:pos="7371"/>
        </w:tabs>
        <w:rPr>
          <w:rFonts w:ascii="Times New (W1)" w:hAnsi="Times New (W1)"/>
          <w:b/>
          <w:szCs w:val="26"/>
        </w:rPr>
      </w:pPr>
      <w:r w:rsidRPr="00447C6F">
        <w:rPr>
          <w:rFonts w:ascii="Times New (W1)" w:hAnsi="Times New (W1)"/>
          <w:b/>
          <w:szCs w:val="26"/>
        </w:rPr>
        <w:t>1993 y 1994</w:t>
      </w:r>
    </w:p>
    <w:p w:rsidR="0057131F" w:rsidRPr="0087560A" w:rsidRDefault="007D14ED" w:rsidP="0087560A">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sidRPr="00A9150B">
        <w:rPr>
          <w:szCs w:val="26"/>
        </w:rPr>
        <w:t xml:space="preserve">Desde </w:t>
      </w:r>
      <w:r w:rsidR="001D4564">
        <w:rPr>
          <w:szCs w:val="26"/>
        </w:rPr>
        <w:t>los inicios,</w:t>
      </w:r>
      <w:r w:rsidRPr="00A9150B">
        <w:rPr>
          <w:szCs w:val="26"/>
        </w:rPr>
        <w:t xml:space="preserve"> se con</w:t>
      </w:r>
      <w:r w:rsidR="005660D2" w:rsidRPr="00A9150B">
        <w:rPr>
          <w:szCs w:val="26"/>
        </w:rPr>
        <w:t>templó</w:t>
      </w:r>
      <w:r w:rsidRPr="00A9150B">
        <w:rPr>
          <w:szCs w:val="26"/>
        </w:rPr>
        <w:t xml:space="preserve"> la necesidad de que el Gobierno de Nav</w:t>
      </w:r>
      <w:r w:rsidRPr="00A9150B">
        <w:rPr>
          <w:szCs w:val="26"/>
        </w:rPr>
        <w:t>a</w:t>
      </w:r>
      <w:r w:rsidRPr="00A9150B">
        <w:rPr>
          <w:szCs w:val="26"/>
        </w:rPr>
        <w:t>rra participara activamente en el desarrollo</w:t>
      </w:r>
      <w:r w:rsidR="000A26C6" w:rsidRPr="00A9150B">
        <w:rPr>
          <w:szCs w:val="26"/>
        </w:rPr>
        <w:t>,</w:t>
      </w:r>
      <w:r w:rsidRPr="00A9150B">
        <w:rPr>
          <w:szCs w:val="26"/>
        </w:rPr>
        <w:t xml:space="preserve"> ejecución</w:t>
      </w:r>
      <w:r w:rsidR="000A26C6" w:rsidRPr="00A9150B">
        <w:rPr>
          <w:szCs w:val="26"/>
        </w:rPr>
        <w:t xml:space="preserve"> y financiación</w:t>
      </w:r>
      <w:r w:rsidRPr="00A9150B">
        <w:rPr>
          <w:szCs w:val="26"/>
        </w:rPr>
        <w:t xml:space="preserve"> del pr</w:t>
      </w:r>
      <w:r w:rsidRPr="00A9150B">
        <w:rPr>
          <w:szCs w:val="26"/>
        </w:rPr>
        <w:t>o</w:t>
      </w:r>
      <w:r w:rsidRPr="00A9150B">
        <w:rPr>
          <w:szCs w:val="26"/>
        </w:rPr>
        <w:t xml:space="preserve">yecto. </w:t>
      </w:r>
      <w:r w:rsidR="009B6FCB" w:rsidRPr="00A9150B">
        <w:rPr>
          <w:szCs w:val="26"/>
        </w:rPr>
        <w:t>Esta pretensión se plasma en un convenio de cooperación entre el G</w:t>
      </w:r>
      <w:r w:rsidR="009B6FCB" w:rsidRPr="00A9150B">
        <w:rPr>
          <w:szCs w:val="26"/>
        </w:rPr>
        <w:t>o</w:t>
      </w:r>
      <w:r w:rsidR="009B6FCB" w:rsidRPr="00A9150B">
        <w:rPr>
          <w:szCs w:val="26"/>
        </w:rPr>
        <w:t>bierno de Navarra y la sociedad TTCP,</w:t>
      </w:r>
      <w:r w:rsidR="009B6FCB">
        <w:rPr>
          <w:szCs w:val="26"/>
        </w:rPr>
        <w:t xml:space="preserve"> </w:t>
      </w:r>
      <w:r w:rsidR="0087560A">
        <w:rPr>
          <w:szCs w:val="26"/>
        </w:rPr>
        <w:t>SA firmado el 29 de octubre de 1993</w:t>
      </w:r>
      <w:r w:rsidR="002930FB">
        <w:rPr>
          <w:szCs w:val="26"/>
        </w:rPr>
        <w:t>. E</w:t>
      </w:r>
      <w:r w:rsidR="0057131F" w:rsidRPr="0087560A">
        <w:rPr>
          <w:szCs w:val="26"/>
        </w:rPr>
        <w:t>ntre los compromisos adquiridos por el Gobierno de Navarra citamos los s</w:t>
      </w:r>
      <w:r w:rsidR="0057131F" w:rsidRPr="0087560A">
        <w:rPr>
          <w:szCs w:val="26"/>
        </w:rPr>
        <w:t>i</w:t>
      </w:r>
      <w:r w:rsidR="0057131F" w:rsidRPr="0087560A">
        <w:rPr>
          <w:szCs w:val="26"/>
        </w:rPr>
        <w:t>guientes:</w:t>
      </w:r>
    </w:p>
    <w:p w:rsidR="00D636E4" w:rsidRPr="0052139D" w:rsidRDefault="0052139D" w:rsidP="00E1331F">
      <w:pPr>
        <w:pStyle w:val="texto"/>
        <w:tabs>
          <w:tab w:val="clear" w:pos="2835"/>
          <w:tab w:val="clear" w:pos="3969"/>
          <w:tab w:val="clear" w:pos="5103"/>
          <w:tab w:val="clear" w:pos="6237"/>
          <w:tab w:val="clear" w:pos="7371"/>
        </w:tabs>
        <w:rPr>
          <w:szCs w:val="26"/>
        </w:rPr>
      </w:pPr>
      <w:r>
        <w:rPr>
          <w:szCs w:val="26"/>
        </w:rPr>
        <w:t xml:space="preserve">a) </w:t>
      </w:r>
      <w:r w:rsidR="0057131F" w:rsidRPr="0052139D">
        <w:rPr>
          <w:szCs w:val="26"/>
        </w:rPr>
        <w:t>Expropiar por la vía de urgencia los terrenos necesarios, declarando como beneficiaria de la expropiación a la sociedad promotora.</w:t>
      </w:r>
      <w:r w:rsidRPr="0052139D">
        <w:rPr>
          <w:szCs w:val="26"/>
        </w:rPr>
        <w:t xml:space="preserve"> </w:t>
      </w:r>
    </w:p>
    <w:p w:rsidR="001E3970" w:rsidRDefault="00E1331F" w:rsidP="004F6231">
      <w:pPr>
        <w:pStyle w:val="texto"/>
        <w:tabs>
          <w:tab w:val="clear" w:pos="2835"/>
          <w:tab w:val="clear" w:pos="3969"/>
          <w:tab w:val="clear" w:pos="5103"/>
          <w:tab w:val="clear" w:pos="6237"/>
          <w:tab w:val="clear" w:pos="7371"/>
        </w:tabs>
        <w:rPr>
          <w:szCs w:val="26"/>
        </w:rPr>
      </w:pPr>
      <w:r>
        <w:rPr>
          <w:szCs w:val="26"/>
        </w:rPr>
        <w:t xml:space="preserve">b) </w:t>
      </w:r>
      <w:r w:rsidRPr="0052139D">
        <w:rPr>
          <w:szCs w:val="26"/>
        </w:rPr>
        <w:t xml:space="preserve">Financiar a la sociedad promotora </w:t>
      </w:r>
      <w:r w:rsidR="00036752">
        <w:rPr>
          <w:szCs w:val="26"/>
        </w:rPr>
        <w:t>la totalidad d</w:t>
      </w:r>
      <w:r w:rsidRPr="0052139D">
        <w:rPr>
          <w:szCs w:val="26"/>
        </w:rPr>
        <w:t>el coste de adquisición de los terrenos.</w:t>
      </w:r>
      <w:r w:rsidRPr="00E1331F">
        <w:rPr>
          <w:szCs w:val="26"/>
        </w:rPr>
        <w:t xml:space="preserve"> </w:t>
      </w:r>
      <w:r w:rsidR="00036752">
        <w:rPr>
          <w:szCs w:val="26"/>
        </w:rPr>
        <w:t xml:space="preserve">En el acuerdo del Gobierno por el que se aprueba este </w:t>
      </w:r>
      <w:r w:rsidR="002930FB">
        <w:rPr>
          <w:szCs w:val="26"/>
        </w:rPr>
        <w:t>c</w:t>
      </w:r>
      <w:r w:rsidR="00036752">
        <w:rPr>
          <w:szCs w:val="26"/>
        </w:rPr>
        <w:t>onvenio, 18 de octubre de 1993, s</w:t>
      </w:r>
      <w:r w:rsidRPr="0052139D">
        <w:rPr>
          <w:szCs w:val="26"/>
        </w:rPr>
        <w:t xml:space="preserve">e </w:t>
      </w:r>
      <w:r w:rsidR="00BA0E4B">
        <w:rPr>
          <w:szCs w:val="26"/>
        </w:rPr>
        <w:t>recoge</w:t>
      </w:r>
      <w:r w:rsidR="003060D4">
        <w:rPr>
          <w:szCs w:val="26"/>
        </w:rPr>
        <w:t xml:space="preserve"> para el presupuesto de 1994</w:t>
      </w:r>
      <w:r w:rsidR="00036752">
        <w:rPr>
          <w:szCs w:val="26"/>
        </w:rPr>
        <w:t xml:space="preserve"> un gasto</w:t>
      </w:r>
      <w:r w:rsidR="006235AC">
        <w:rPr>
          <w:szCs w:val="26"/>
        </w:rPr>
        <w:t xml:space="preserve"> </w:t>
      </w:r>
      <w:r w:rsidR="00036752">
        <w:rPr>
          <w:szCs w:val="26"/>
        </w:rPr>
        <w:t>de</w:t>
      </w:r>
      <w:r w:rsidR="003074C5">
        <w:rPr>
          <w:szCs w:val="26"/>
        </w:rPr>
        <w:t xml:space="preserve"> </w:t>
      </w:r>
      <w:r w:rsidR="001E3970">
        <w:rPr>
          <w:szCs w:val="26"/>
        </w:rPr>
        <w:t>1</w:t>
      </w:r>
      <w:r w:rsidR="00E436EF">
        <w:rPr>
          <w:szCs w:val="26"/>
        </w:rPr>
        <w:t>,80 millones de euros</w:t>
      </w:r>
      <w:r w:rsidR="00036752">
        <w:rPr>
          <w:szCs w:val="26"/>
        </w:rPr>
        <w:t xml:space="preserve"> para financiar tales terrenos</w:t>
      </w:r>
      <w:r w:rsidR="004F6231">
        <w:rPr>
          <w:szCs w:val="26"/>
        </w:rPr>
        <w:t>.</w:t>
      </w:r>
      <w:r w:rsidRPr="0052139D">
        <w:rPr>
          <w:szCs w:val="26"/>
        </w:rPr>
        <w:t xml:space="preserve"> </w:t>
      </w:r>
    </w:p>
    <w:p w:rsidR="0057131F" w:rsidRPr="0052139D" w:rsidRDefault="00B00DE2" w:rsidP="0052139D">
      <w:pPr>
        <w:pStyle w:val="texto"/>
        <w:tabs>
          <w:tab w:val="clear" w:pos="2835"/>
          <w:tab w:val="clear" w:pos="3969"/>
          <w:tab w:val="clear" w:pos="5103"/>
          <w:tab w:val="clear" w:pos="6237"/>
          <w:tab w:val="clear" w:pos="7371"/>
        </w:tabs>
        <w:rPr>
          <w:szCs w:val="26"/>
        </w:rPr>
      </w:pPr>
      <w:r>
        <w:rPr>
          <w:szCs w:val="26"/>
        </w:rPr>
        <w:t>c</w:t>
      </w:r>
      <w:r w:rsidR="0052139D">
        <w:rPr>
          <w:szCs w:val="26"/>
        </w:rPr>
        <w:t xml:space="preserve">) </w:t>
      </w:r>
      <w:r w:rsidR="0057131F" w:rsidRPr="0052139D">
        <w:rPr>
          <w:szCs w:val="26"/>
        </w:rPr>
        <w:t>Integrarse en el capital de la sociedad T</w:t>
      </w:r>
      <w:r w:rsidR="00ED6B2F">
        <w:rPr>
          <w:szCs w:val="26"/>
        </w:rPr>
        <w:t>TCP,</w:t>
      </w:r>
      <w:r w:rsidR="00E436EF">
        <w:rPr>
          <w:szCs w:val="26"/>
        </w:rPr>
        <w:t xml:space="preserve"> </w:t>
      </w:r>
      <w:r w:rsidR="00ED6B2F">
        <w:rPr>
          <w:szCs w:val="26"/>
        </w:rPr>
        <w:t>SA</w:t>
      </w:r>
      <w:r w:rsidR="0057131F" w:rsidRPr="0052139D">
        <w:rPr>
          <w:szCs w:val="26"/>
        </w:rPr>
        <w:t>, suscribiendo, en el plazo de seis meses una ampliación de capital cuya participación será igual que la de resto de los socios.</w:t>
      </w:r>
      <w:r w:rsidR="006E6168">
        <w:rPr>
          <w:szCs w:val="26"/>
        </w:rPr>
        <w:t xml:space="preserve"> Esta cláusula, como se comenta a continuación, no se cu</w:t>
      </w:r>
      <w:r w:rsidR="006E6168">
        <w:rPr>
          <w:szCs w:val="26"/>
        </w:rPr>
        <w:t>m</w:t>
      </w:r>
      <w:r w:rsidR="006E6168">
        <w:rPr>
          <w:szCs w:val="26"/>
        </w:rPr>
        <w:t>plió en</w:t>
      </w:r>
      <w:r w:rsidR="003060D4">
        <w:rPr>
          <w:szCs w:val="26"/>
        </w:rPr>
        <w:t xml:space="preserve"> sus </w:t>
      </w:r>
      <w:r w:rsidR="006E6168">
        <w:rPr>
          <w:szCs w:val="26"/>
        </w:rPr>
        <w:t>términos</w:t>
      </w:r>
      <w:r w:rsidR="003060D4">
        <w:rPr>
          <w:szCs w:val="26"/>
        </w:rPr>
        <w:t xml:space="preserve"> literales</w:t>
      </w:r>
      <w:r w:rsidR="006E6168">
        <w:rPr>
          <w:szCs w:val="26"/>
        </w:rPr>
        <w:t>.</w:t>
      </w:r>
    </w:p>
    <w:p w:rsidR="0057131F" w:rsidRPr="00DD1C06" w:rsidRDefault="002022DA" w:rsidP="001319A7">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sidRPr="00DD1C06">
        <w:rPr>
          <w:szCs w:val="26"/>
        </w:rPr>
        <w:t>En septiembre de 1994, se suscribe entre ambas partes un convenio de m</w:t>
      </w:r>
      <w:r w:rsidRPr="00DD1C06">
        <w:rPr>
          <w:szCs w:val="26"/>
        </w:rPr>
        <w:t>o</w:t>
      </w:r>
      <w:r w:rsidRPr="00DD1C06">
        <w:rPr>
          <w:szCs w:val="26"/>
        </w:rPr>
        <w:t xml:space="preserve">dificación del anterior </w:t>
      </w:r>
      <w:r w:rsidR="003060D4" w:rsidRPr="00DD1C06">
        <w:rPr>
          <w:szCs w:val="26"/>
        </w:rPr>
        <w:t>en los siguientes términos</w:t>
      </w:r>
      <w:r w:rsidRPr="00DD1C06">
        <w:rPr>
          <w:szCs w:val="26"/>
        </w:rPr>
        <w:t>:</w:t>
      </w:r>
    </w:p>
    <w:p w:rsidR="002022DA" w:rsidRPr="0052139D" w:rsidRDefault="0052139D" w:rsidP="0052139D">
      <w:pPr>
        <w:pStyle w:val="texto"/>
        <w:tabs>
          <w:tab w:val="clear" w:pos="2835"/>
          <w:tab w:val="clear" w:pos="3969"/>
          <w:tab w:val="clear" w:pos="5103"/>
          <w:tab w:val="clear" w:pos="6237"/>
          <w:tab w:val="clear" w:pos="7371"/>
        </w:tabs>
        <w:rPr>
          <w:szCs w:val="26"/>
        </w:rPr>
      </w:pPr>
      <w:r>
        <w:rPr>
          <w:szCs w:val="26"/>
        </w:rPr>
        <w:t xml:space="preserve">a) </w:t>
      </w:r>
      <w:r w:rsidR="002022DA" w:rsidRPr="0052139D">
        <w:rPr>
          <w:szCs w:val="26"/>
        </w:rPr>
        <w:t>La subvención para la adquisición del suelo expropiado se cuantifica hasta un importe máx</w:t>
      </w:r>
      <w:r w:rsidR="003074C5">
        <w:rPr>
          <w:szCs w:val="26"/>
        </w:rPr>
        <w:t xml:space="preserve">imo de </w:t>
      </w:r>
      <w:r w:rsidR="002022DA" w:rsidRPr="0052139D">
        <w:rPr>
          <w:szCs w:val="26"/>
        </w:rPr>
        <w:t>1</w:t>
      </w:r>
      <w:r w:rsidR="00E436EF">
        <w:rPr>
          <w:szCs w:val="26"/>
        </w:rPr>
        <w:t>,71 millones de</w:t>
      </w:r>
      <w:r w:rsidR="003074C5">
        <w:rPr>
          <w:szCs w:val="26"/>
        </w:rPr>
        <w:t xml:space="preserve"> euros</w:t>
      </w:r>
      <w:r w:rsidR="002022DA" w:rsidRPr="0052139D">
        <w:rPr>
          <w:szCs w:val="26"/>
        </w:rPr>
        <w:t>.</w:t>
      </w:r>
    </w:p>
    <w:p w:rsidR="00B00DE2" w:rsidRDefault="0052139D" w:rsidP="00B00DE2">
      <w:pPr>
        <w:pStyle w:val="texto"/>
        <w:tabs>
          <w:tab w:val="clear" w:pos="2835"/>
          <w:tab w:val="clear" w:pos="3969"/>
          <w:tab w:val="clear" w:pos="5103"/>
          <w:tab w:val="clear" w:pos="6237"/>
          <w:tab w:val="clear" w:pos="7371"/>
        </w:tabs>
        <w:rPr>
          <w:szCs w:val="26"/>
        </w:rPr>
      </w:pPr>
      <w:r>
        <w:rPr>
          <w:szCs w:val="26"/>
        </w:rPr>
        <w:t xml:space="preserve">b) </w:t>
      </w:r>
      <w:r w:rsidR="002022DA" w:rsidRPr="0052139D">
        <w:rPr>
          <w:szCs w:val="26"/>
        </w:rPr>
        <w:t>El Gobierno de Navarra, a través de la sociedad pública Obras Públicas de Navarra SA, participará en el capital social de T</w:t>
      </w:r>
      <w:r w:rsidR="00ED6B2F">
        <w:rPr>
          <w:szCs w:val="26"/>
        </w:rPr>
        <w:t>TCP,</w:t>
      </w:r>
      <w:r w:rsidR="00B00DE2">
        <w:rPr>
          <w:szCs w:val="26"/>
        </w:rPr>
        <w:t xml:space="preserve"> </w:t>
      </w:r>
      <w:r w:rsidR="00ED6B2F">
        <w:rPr>
          <w:szCs w:val="26"/>
        </w:rPr>
        <w:t>SA</w:t>
      </w:r>
      <w:r w:rsidR="003074C5">
        <w:rPr>
          <w:szCs w:val="26"/>
        </w:rPr>
        <w:t xml:space="preserve"> con un total de </w:t>
      </w:r>
      <w:r w:rsidR="002022DA" w:rsidRPr="0052139D">
        <w:rPr>
          <w:szCs w:val="26"/>
        </w:rPr>
        <w:t>240.405 euros que le garantizará la mayoría absoluta de</w:t>
      </w:r>
      <w:r w:rsidR="00ED6B2F">
        <w:rPr>
          <w:szCs w:val="26"/>
        </w:rPr>
        <w:t xml:space="preserve"> su</w:t>
      </w:r>
      <w:r w:rsidR="002022DA" w:rsidRPr="0052139D">
        <w:rPr>
          <w:szCs w:val="26"/>
        </w:rPr>
        <w:t xml:space="preserve"> ca</w:t>
      </w:r>
      <w:r w:rsidR="00ED6B2F">
        <w:rPr>
          <w:szCs w:val="26"/>
        </w:rPr>
        <w:t>pital social</w:t>
      </w:r>
      <w:r w:rsidR="002022DA" w:rsidRPr="0052139D">
        <w:rPr>
          <w:szCs w:val="26"/>
        </w:rPr>
        <w:t>.</w:t>
      </w:r>
      <w:r w:rsidR="005B3CA8" w:rsidRPr="0052139D">
        <w:rPr>
          <w:szCs w:val="26"/>
        </w:rPr>
        <w:t xml:space="preserve"> </w:t>
      </w:r>
      <w:r w:rsidR="00BA0E4B" w:rsidRPr="00CC5EB1">
        <w:rPr>
          <w:szCs w:val="26"/>
        </w:rPr>
        <w:t>Esta participación se materializa efectivamente</w:t>
      </w:r>
      <w:r w:rsidR="00F47C6A" w:rsidRPr="00CC5EB1">
        <w:rPr>
          <w:szCs w:val="26"/>
        </w:rPr>
        <w:t xml:space="preserve"> a finales de 1995.</w:t>
      </w:r>
    </w:p>
    <w:p w:rsidR="00851363" w:rsidRPr="00DD1C06" w:rsidRDefault="00851363" w:rsidP="00B00DE2">
      <w:pPr>
        <w:pStyle w:val="texto"/>
        <w:tabs>
          <w:tab w:val="clear" w:pos="2835"/>
          <w:tab w:val="clear" w:pos="3969"/>
          <w:tab w:val="clear" w:pos="5103"/>
          <w:tab w:val="clear" w:pos="6237"/>
          <w:tab w:val="clear" w:pos="7371"/>
          <w:tab w:val="num" w:pos="600"/>
        </w:tabs>
        <w:rPr>
          <w:szCs w:val="26"/>
        </w:rPr>
      </w:pPr>
      <w:r w:rsidRPr="00DD1C06">
        <w:rPr>
          <w:szCs w:val="26"/>
        </w:rPr>
        <w:t xml:space="preserve">Con la aplicación de estos convenios, se pone de </w:t>
      </w:r>
      <w:r w:rsidR="0095685C" w:rsidRPr="00DD1C06">
        <w:rPr>
          <w:szCs w:val="26"/>
        </w:rPr>
        <w:t>manifiesto</w:t>
      </w:r>
      <w:r w:rsidRPr="00DD1C06">
        <w:rPr>
          <w:szCs w:val="26"/>
        </w:rPr>
        <w:t xml:space="preserve"> que el Gobierno de Navarra asume el liderazgo en la ejecución del proyecto así como </w:t>
      </w:r>
      <w:r w:rsidR="00B00DE2">
        <w:rPr>
          <w:szCs w:val="26"/>
        </w:rPr>
        <w:t>su</w:t>
      </w:r>
      <w:r w:rsidRPr="00DD1C06">
        <w:rPr>
          <w:szCs w:val="26"/>
        </w:rPr>
        <w:t xml:space="preserve"> fina</w:t>
      </w:r>
      <w:r w:rsidRPr="00DD1C06">
        <w:rPr>
          <w:szCs w:val="26"/>
        </w:rPr>
        <w:t>n</w:t>
      </w:r>
      <w:r w:rsidRPr="00DD1C06">
        <w:rPr>
          <w:szCs w:val="26"/>
        </w:rPr>
        <w:t>ciación.</w:t>
      </w:r>
      <w:r w:rsidR="003060D4" w:rsidRPr="00DD1C06">
        <w:rPr>
          <w:szCs w:val="26"/>
        </w:rPr>
        <w:t xml:space="preserve"> Igualmente asume la presidencia del consejo de administración de la sociedad T</w:t>
      </w:r>
      <w:r w:rsidR="00B05F68">
        <w:rPr>
          <w:szCs w:val="26"/>
        </w:rPr>
        <w:t>TCP, SA</w:t>
      </w:r>
      <w:r w:rsidR="003060D4" w:rsidRPr="00DD1C06">
        <w:rPr>
          <w:szCs w:val="26"/>
        </w:rPr>
        <w:t>.</w:t>
      </w:r>
    </w:p>
    <w:p w:rsidR="005660D2" w:rsidRPr="00DD1C06" w:rsidRDefault="005660D2" w:rsidP="00B00DE2">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sidRPr="00DD1C06">
        <w:rPr>
          <w:szCs w:val="26"/>
        </w:rPr>
        <w:t>Por Decreto Foral 12/1994, de 17 de enero, se declaró urgente, a efectos de la expropiación forzosa, la ocupación de bienes y derechos afectados por el c</w:t>
      </w:r>
      <w:r w:rsidRPr="00DD1C06">
        <w:rPr>
          <w:szCs w:val="26"/>
        </w:rPr>
        <w:t>i</w:t>
      </w:r>
      <w:r w:rsidRPr="00DD1C06">
        <w:rPr>
          <w:szCs w:val="26"/>
        </w:rPr>
        <w:t>tado PSIS.</w:t>
      </w:r>
    </w:p>
    <w:p w:rsidR="005660D2" w:rsidRPr="00DD1C06" w:rsidRDefault="005660D2" w:rsidP="00DD1C06">
      <w:pPr>
        <w:pStyle w:val="texto"/>
        <w:tabs>
          <w:tab w:val="clear" w:pos="2835"/>
          <w:tab w:val="clear" w:pos="3969"/>
          <w:tab w:val="clear" w:pos="5103"/>
          <w:tab w:val="clear" w:pos="6237"/>
          <w:tab w:val="clear" w:pos="7371"/>
          <w:tab w:val="num" w:pos="600"/>
        </w:tabs>
        <w:rPr>
          <w:szCs w:val="26"/>
        </w:rPr>
      </w:pPr>
      <w:r w:rsidRPr="00DD1C06">
        <w:rPr>
          <w:szCs w:val="26"/>
        </w:rPr>
        <w:t xml:space="preserve">Mediante Orden Foral 96/1994, de 28 de febrero, del </w:t>
      </w:r>
      <w:r w:rsidR="002930FB">
        <w:rPr>
          <w:szCs w:val="26"/>
        </w:rPr>
        <w:t>c</w:t>
      </w:r>
      <w:r w:rsidRPr="00DD1C06">
        <w:rPr>
          <w:szCs w:val="26"/>
        </w:rPr>
        <w:t>onsejero de Obras P</w:t>
      </w:r>
      <w:r w:rsidRPr="00DD1C06">
        <w:rPr>
          <w:szCs w:val="26"/>
        </w:rPr>
        <w:t>ú</w:t>
      </w:r>
      <w:r w:rsidRPr="00DD1C06">
        <w:rPr>
          <w:szCs w:val="26"/>
        </w:rPr>
        <w:t>blicas, se inició la tramitación del procedimiento de expropiación forzosa de los citados bienes y derechos.</w:t>
      </w:r>
    </w:p>
    <w:p w:rsidR="00B00DE2" w:rsidRDefault="00572525" w:rsidP="001130EE">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sidRPr="00DD1C06">
        <w:rPr>
          <w:szCs w:val="26"/>
        </w:rPr>
        <w:t xml:space="preserve">En septiembre de 1994, la </w:t>
      </w:r>
      <w:r w:rsidR="00BA0E4B">
        <w:rPr>
          <w:szCs w:val="26"/>
        </w:rPr>
        <w:t>empresa</w:t>
      </w:r>
      <w:r w:rsidRPr="00DD1C06">
        <w:rPr>
          <w:szCs w:val="26"/>
        </w:rPr>
        <w:t xml:space="preserve"> T</w:t>
      </w:r>
      <w:r w:rsidR="00ED6B2F" w:rsidRPr="00DD1C06">
        <w:rPr>
          <w:szCs w:val="26"/>
        </w:rPr>
        <w:t>TCP,</w:t>
      </w:r>
      <w:r w:rsidR="00E436EF">
        <w:rPr>
          <w:szCs w:val="26"/>
        </w:rPr>
        <w:t xml:space="preserve"> </w:t>
      </w:r>
      <w:r w:rsidR="00ED6B2F" w:rsidRPr="00DD1C06">
        <w:rPr>
          <w:szCs w:val="26"/>
        </w:rPr>
        <w:t>SA</w:t>
      </w:r>
      <w:r w:rsidR="00BA0E4B">
        <w:rPr>
          <w:szCs w:val="26"/>
        </w:rPr>
        <w:t xml:space="preserve"> –sociedad privada en dicha fecha</w:t>
      </w:r>
      <w:r w:rsidR="00BD1386">
        <w:rPr>
          <w:szCs w:val="26"/>
        </w:rPr>
        <w:t>–</w:t>
      </w:r>
      <w:r w:rsidR="00BA0E4B">
        <w:rPr>
          <w:szCs w:val="26"/>
        </w:rPr>
        <w:t xml:space="preserve"> </w:t>
      </w:r>
      <w:r w:rsidRPr="00DD1C06">
        <w:rPr>
          <w:szCs w:val="26"/>
        </w:rPr>
        <w:t>acordó convocar un concurso entre promotores-constructores para la a</w:t>
      </w:r>
      <w:r w:rsidRPr="00DD1C06">
        <w:rPr>
          <w:szCs w:val="26"/>
        </w:rPr>
        <w:t>d</w:t>
      </w:r>
      <w:r w:rsidRPr="00DD1C06">
        <w:rPr>
          <w:szCs w:val="26"/>
        </w:rPr>
        <w:t>judicación de la realización y desarrollo de la Ciudad del Transporte, aproba</w:t>
      </w:r>
      <w:r w:rsidRPr="00DD1C06">
        <w:rPr>
          <w:szCs w:val="26"/>
        </w:rPr>
        <w:t>n</w:t>
      </w:r>
      <w:r w:rsidRPr="00DD1C06">
        <w:rPr>
          <w:szCs w:val="26"/>
        </w:rPr>
        <w:t xml:space="preserve">do las </w:t>
      </w:r>
      <w:r w:rsidR="000D4364" w:rsidRPr="00DD1C06">
        <w:rPr>
          <w:szCs w:val="26"/>
        </w:rPr>
        <w:t>b</w:t>
      </w:r>
      <w:r w:rsidRPr="00DD1C06">
        <w:rPr>
          <w:szCs w:val="26"/>
        </w:rPr>
        <w:t>ases correspondientes</w:t>
      </w:r>
      <w:r w:rsidR="00B8183B" w:rsidRPr="00DD1C06">
        <w:rPr>
          <w:szCs w:val="26"/>
        </w:rPr>
        <w:t>, las cuales incluyen el modelo de gestión y des</w:t>
      </w:r>
      <w:r w:rsidR="00B8183B" w:rsidRPr="00DD1C06">
        <w:rPr>
          <w:szCs w:val="26"/>
        </w:rPr>
        <w:t>a</w:t>
      </w:r>
      <w:r w:rsidR="00B8183B" w:rsidRPr="00DD1C06">
        <w:rPr>
          <w:szCs w:val="26"/>
        </w:rPr>
        <w:t>rrollo del proyecto</w:t>
      </w:r>
      <w:r w:rsidRPr="00DD1C06">
        <w:rPr>
          <w:szCs w:val="26"/>
        </w:rPr>
        <w:t>.</w:t>
      </w:r>
      <w:r w:rsidR="006A131F" w:rsidRPr="00DD1C06">
        <w:rPr>
          <w:szCs w:val="26"/>
        </w:rPr>
        <w:t xml:space="preserve"> Este concurso se limita</w:t>
      </w:r>
      <w:r w:rsidR="001130EE">
        <w:rPr>
          <w:szCs w:val="26"/>
        </w:rPr>
        <w:t xml:space="preserve"> inicialmente</w:t>
      </w:r>
      <w:r w:rsidR="006A131F" w:rsidRPr="00DD1C06">
        <w:rPr>
          <w:szCs w:val="26"/>
        </w:rPr>
        <w:t xml:space="preserve"> a la</w:t>
      </w:r>
      <w:r w:rsidR="00B05F68">
        <w:rPr>
          <w:szCs w:val="26"/>
        </w:rPr>
        <w:t>s obras de la</w:t>
      </w:r>
      <w:r w:rsidR="00B67BB5">
        <w:rPr>
          <w:szCs w:val="26"/>
        </w:rPr>
        <w:t xml:space="preserve"> </w:t>
      </w:r>
      <w:r w:rsidR="006A131F" w:rsidRPr="00DD1C06">
        <w:rPr>
          <w:szCs w:val="26"/>
        </w:rPr>
        <w:t>1ª f</w:t>
      </w:r>
      <w:r w:rsidR="006A131F" w:rsidRPr="00DD1C06">
        <w:rPr>
          <w:szCs w:val="26"/>
        </w:rPr>
        <w:t>a</w:t>
      </w:r>
      <w:r w:rsidR="006A131F" w:rsidRPr="00DD1C06">
        <w:rPr>
          <w:szCs w:val="26"/>
        </w:rPr>
        <w:t>se de la CT.</w:t>
      </w:r>
      <w:r w:rsidR="00C762FB" w:rsidRPr="00DD1C06">
        <w:rPr>
          <w:szCs w:val="26"/>
        </w:rPr>
        <w:t xml:space="preserve"> </w:t>
      </w:r>
    </w:p>
    <w:p w:rsidR="00BD1386" w:rsidRDefault="00BD1386" w:rsidP="00BD1386">
      <w:pPr>
        <w:pStyle w:val="texto"/>
        <w:tabs>
          <w:tab w:val="clear" w:pos="2835"/>
          <w:tab w:val="clear" w:pos="3969"/>
          <w:tab w:val="clear" w:pos="5103"/>
          <w:tab w:val="clear" w:pos="6237"/>
          <w:tab w:val="clear" w:pos="7371"/>
          <w:tab w:val="left" w:pos="480"/>
          <w:tab w:val="num" w:pos="600"/>
        </w:tabs>
        <w:rPr>
          <w:szCs w:val="26"/>
        </w:rPr>
      </w:pPr>
    </w:p>
    <w:p w:rsidR="00BD1386" w:rsidRPr="001130EE" w:rsidRDefault="00BD1386" w:rsidP="00BD1386">
      <w:pPr>
        <w:pStyle w:val="texto"/>
        <w:tabs>
          <w:tab w:val="clear" w:pos="2835"/>
          <w:tab w:val="clear" w:pos="3969"/>
          <w:tab w:val="clear" w:pos="5103"/>
          <w:tab w:val="clear" w:pos="6237"/>
          <w:tab w:val="clear" w:pos="7371"/>
          <w:tab w:val="left" w:pos="480"/>
          <w:tab w:val="num" w:pos="600"/>
        </w:tabs>
        <w:rPr>
          <w:szCs w:val="26"/>
        </w:rPr>
      </w:pPr>
    </w:p>
    <w:p w:rsidR="00572525" w:rsidRPr="00447C6F" w:rsidRDefault="004F3088" w:rsidP="004F3088">
      <w:pPr>
        <w:pStyle w:val="texto"/>
        <w:tabs>
          <w:tab w:val="clear" w:pos="2835"/>
          <w:tab w:val="clear" w:pos="3969"/>
          <w:tab w:val="clear" w:pos="5103"/>
          <w:tab w:val="clear" w:pos="6237"/>
          <w:tab w:val="clear" w:pos="7371"/>
        </w:tabs>
        <w:rPr>
          <w:rFonts w:ascii="Times New (W1)" w:hAnsi="Times New (W1)"/>
          <w:b/>
          <w:szCs w:val="26"/>
        </w:rPr>
      </w:pPr>
      <w:r w:rsidRPr="00447C6F">
        <w:rPr>
          <w:rFonts w:ascii="Times New (W1)" w:hAnsi="Times New (W1)"/>
          <w:b/>
          <w:szCs w:val="26"/>
        </w:rPr>
        <w:t xml:space="preserve">1995 </w:t>
      </w:r>
      <w:r w:rsidR="00423D68" w:rsidRPr="00447C6F">
        <w:rPr>
          <w:rFonts w:ascii="Times New (W1)" w:hAnsi="Times New (W1)"/>
          <w:b/>
          <w:szCs w:val="26"/>
        </w:rPr>
        <w:t>a</w:t>
      </w:r>
      <w:r w:rsidRPr="00447C6F">
        <w:rPr>
          <w:rFonts w:ascii="Times New (W1)" w:hAnsi="Times New (W1)"/>
          <w:b/>
          <w:szCs w:val="26"/>
        </w:rPr>
        <w:t xml:space="preserve"> 199</w:t>
      </w:r>
      <w:r w:rsidR="00423D68" w:rsidRPr="00447C6F">
        <w:rPr>
          <w:rFonts w:ascii="Times New (W1)" w:hAnsi="Times New (W1)"/>
          <w:b/>
          <w:szCs w:val="26"/>
        </w:rPr>
        <w:t>9</w:t>
      </w:r>
    </w:p>
    <w:p w:rsidR="007A0126" w:rsidRPr="00986C8C" w:rsidRDefault="007A0126" w:rsidP="001319A7">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pacing w:val="4"/>
          <w:szCs w:val="26"/>
        </w:rPr>
      </w:pPr>
      <w:r w:rsidRPr="00986C8C">
        <w:rPr>
          <w:spacing w:val="4"/>
          <w:szCs w:val="26"/>
        </w:rPr>
        <w:t xml:space="preserve">En noviembre de 1995 y mediante Resolución 706/1995, del </w:t>
      </w:r>
      <w:r w:rsidR="001E10E0">
        <w:rPr>
          <w:spacing w:val="4"/>
          <w:szCs w:val="26"/>
        </w:rPr>
        <w:t>d</w:t>
      </w:r>
      <w:r w:rsidRPr="00986C8C">
        <w:rPr>
          <w:spacing w:val="4"/>
          <w:szCs w:val="26"/>
        </w:rPr>
        <w:t xml:space="preserve">irector </w:t>
      </w:r>
      <w:r w:rsidR="001E10E0">
        <w:rPr>
          <w:spacing w:val="4"/>
          <w:szCs w:val="26"/>
        </w:rPr>
        <w:t>g</w:t>
      </w:r>
      <w:r w:rsidRPr="00986C8C">
        <w:rPr>
          <w:spacing w:val="4"/>
          <w:szCs w:val="26"/>
        </w:rPr>
        <w:t>eneral de Obras Públicas, se consigna</w:t>
      </w:r>
      <w:r w:rsidR="001E10E0">
        <w:rPr>
          <w:spacing w:val="4"/>
          <w:szCs w:val="26"/>
        </w:rPr>
        <w:t>ron</w:t>
      </w:r>
      <w:r w:rsidRPr="00986C8C">
        <w:rPr>
          <w:spacing w:val="4"/>
          <w:szCs w:val="26"/>
        </w:rPr>
        <w:t xml:space="preserve"> y pag</w:t>
      </w:r>
      <w:r w:rsidR="001E10E0">
        <w:rPr>
          <w:spacing w:val="4"/>
          <w:szCs w:val="26"/>
        </w:rPr>
        <w:t>aron</w:t>
      </w:r>
      <w:r w:rsidRPr="00986C8C">
        <w:rPr>
          <w:spacing w:val="4"/>
          <w:szCs w:val="26"/>
        </w:rPr>
        <w:t xml:space="preserve"> los depósitos previos y perjuicios por la rápida ocupación por un importe total </w:t>
      </w:r>
      <w:r w:rsidR="004B1641" w:rsidRPr="00986C8C">
        <w:rPr>
          <w:spacing w:val="4"/>
          <w:szCs w:val="26"/>
        </w:rPr>
        <w:t>d</w:t>
      </w:r>
      <w:r w:rsidR="003074C5">
        <w:rPr>
          <w:spacing w:val="4"/>
          <w:szCs w:val="26"/>
        </w:rPr>
        <w:t xml:space="preserve">e </w:t>
      </w:r>
      <w:r w:rsidRPr="00986C8C">
        <w:rPr>
          <w:spacing w:val="4"/>
          <w:szCs w:val="26"/>
        </w:rPr>
        <w:t xml:space="preserve">141.542 </w:t>
      </w:r>
      <w:r w:rsidR="00E436EF" w:rsidRPr="00986C8C">
        <w:rPr>
          <w:spacing w:val="4"/>
          <w:szCs w:val="26"/>
        </w:rPr>
        <w:t>euros</w:t>
      </w:r>
      <w:r w:rsidRPr="00986C8C">
        <w:rPr>
          <w:spacing w:val="4"/>
          <w:szCs w:val="26"/>
        </w:rPr>
        <w:t xml:space="preserve"> y se elevan a def</w:t>
      </w:r>
      <w:r w:rsidRPr="00986C8C">
        <w:rPr>
          <w:spacing w:val="4"/>
          <w:szCs w:val="26"/>
        </w:rPr>
        <w:t>i</w:t>
      </w:r>
      <w:r w:rsidRPr="00986C8C">
        <w:rPr>
          <w:spacing w:val="4"/>
          <w:szCs w:val="26"/>
        </w:rPr>
        <w:t>nitivas las actas de ocupación.</w:t>
      </w:r>
    </w:p>
    <w:p w:rsidR="00A0647E" w:rsidRDefault="004B1641" w:rsidP="00DD1C06">
      <w:pPr>
        <w:pStyle w:val="texto"/>
        <w:tabs>
          <w:tab w:val="clear" w:pos="2835"/>
          <w:tab w:val="clear" w:pos="3969"/>
          <w:tab w:val="clear" w:pos="5103"/>
          <w:tab w:val="clear" w:pos="6237"/>
          <w:tab w:val="clear" w:pos="7371"/>
        </w:tabs>
        <w:rPr>
          <w:szCs w:val="26"/>
        </w:rPr>
      </w:pPr>
      <w:r w:rsidRPr="00DD1C06">
        <w:rPr>
          <w:szCs w:val="26"/>
        </w:rPr>
        <w:t>No habiéndose logrado acuerdos amistosos con los propietarios de los terr</w:t>
      </w:r>
      <w:r w:rsidRPr="00DD1C06">
        <w:rPr>
          <w:szCs w:val="26"/>
        </w:rPr>
        <w:t>e</w:t>
      </w:r>
      <w:r w:rsidRPr="00DD1C06">
        <w:rPr>
          <w:szCs w:val="26"/>
        </w:rPr>
        <w:t>nos, se acude al Jurado de Expropiación de Navarra, el cual mediante resol</w:t>
      </w:r>
      <w:r w:rsidRPr="00DD1C06">
        <w:rPr>
          <w:szCs w:val="26"/>
        </w:rPr>
        <w:t>u</w:t>
      </w:r>
      <w:r w:rsidRPr="00DD1C06">
        <w:rPr>
          <w:szCs w:val="26"/>
        </w:rPr>
        <w:t>ción de noviembre de 1</w:t>
      </w:r>
      <w:r w:rsidR="003074C5">
        <w:rPr>
          <w:szCs w:val="26"/>
        </w:rPr>
        <w:t xml:space="preserve">997, fija el justiprecio en </w:t>
      </w:r>
      <w:r w:rsidRPr="00DD1C06">
        <w:rPr>
          <w:szCs w:val="26"/>
        </w:rPr>
        <w:t>1,77 €/m</w:t>
      </w:r>
      <w:r w:rsidRPr="00E436EF">
        <w:rPr>
          <w:szCs w:val="26"/>
          <w:vertAlign w:val="superscript"/>
        </w:rPr>
        <w:t>2</w:t>
      </w:r>
      <w:r w:rsidR="003074C5">
        <w:rPr>
          <w:szCs w:val="26"/>
        </w:rPr>
        <w:t xml:space="preserve"> </w:t>
      </w:r>
      <w:r w:rsidRPr="00DD1C06">
        <w:rPr>
          <w:szCs w:val="26"/>
        </w:rPr>
        <w:t>más el cinco por ciento de premio de afección</w:t>
      </w:r>
      <w:r w:rsidR="0079679B" w:rsidRPr="00DD1C06">
        <w:rPr>
          <w:szCs w:val="26"/>
        </w:rPr>
        <w:t xml:space="preserve"> –es decir, un total de 1,86</w:t>
      </w:r>
      <w:r w:rsidR="00986C8C">
        <w:rPr>
          <w:szCs w:val="26"/>
        </w:rPr>
        <w:t xml:space="preserve"> </w:t>
      </w:r>
      <w:r w:rsidR="0079679B" w:rsidRPr="00DD1C06">
        <w:rPr>
          <w:szCs w:val="26"/>
        </w:rPr>
        <w:t>€/m</w:t>
      </w:r>
      <w:r w:rsidR="0079679B" w:rsidRPr="00E436EF">
        <w:rPr>
          <w:szCs w:val="26"/>
          <w:vertAlign w:val="superscript"/>
        </w:rPr>
        <w:t>2</w:t>
      </w:r>
      <w:r w:rsidR="00986C8C">
        <w:rPr>
          <w:szCs w:val="26"/>
        </w:rPr>
        <w:t>–</w:t>
      </w:r>
      <w:r w:rsidR="0079679B" w:rsidRPr="00DD1C06">
        <w:rPr>
          <w:szCs w:val="26"/>
        </w:rPr>
        <w:t xml:space="preserve"> </w:t>
      </w:r>
      <w:r w:rsidRPr="00DD1C06">
        <w:rPr>
          <w:szCs w:val="26"/>
        </w:rPr>
        <w:t xml:space="preserve">y los intereses legales de demora. </w:t>
      </w:r>
    </w:p>
    <w:p w:rsidR="00146A60" w:rsidRPr="00DD1C06" w:rsidRDefault="00146A60" w:rsidP="00DD1C06">
      <w:pPr>
        <w:pStyle w:val="texto"/>
        <w:tabs>
          <w:tab w:val="clear" w:pos="2835"/>
          <w:tab w:val="clear" w:pos="3969"/>
          <w:tab w:val="clear" w:pos="5103"/>
          <w:tab w:val="clear" w:pos="6237"/>
          <w:tab w:val="clear" w:pos="7371"/>
        </w:tabs>
        <w:rPr>
          <w:szCs w:val="26"/>
        </w:rPr>
      </w:pPr>
      <w:r w:rsidRPr="00DD1C06">
        <w:rPr>
          <w:szCs w:val="26"/>
        </w:rPr>
        <w:t xml:space="preserve">Los propietarios </w:t>
      </w:r>
      <w:r w:rsidR="00A60957">
        <w:rPr>
          <w:szCs w:val="26"/>
        </w:rPr>
        <w:t>disconformes</w:t>
      </w:r>
      <w:r w:rsidRPr="00DD1C06">
        <w:rPr>
          <w:szCs w:val="26"/>
        </w:rPr>
        <w:t xml:space="preserve"> recurrieron la resolución del Jurado de E</w:t>
      </w:r>
      <w:r w:rsidRPr="00DD1C06">
        <w:rPr>
          <w:szCs w:val="26"/>
        </w:rPr>
        <w:t>x</w:t>
      </w:r>
      <w:r w:rsidRPr="00DD1C06">
        <w:rPr>
          <w:szCs w:val="26"/>
        </w:rPr>
        <w:t>propiación, presentando un total de cinco recursos ante la Sala de la Contenci</w:t>
      </w:r>
      <w:r w:rsidRPr="00DD1C06">
        <w:rPr>
          <w:szCs w:val="26"/>
        </w:rPr>
        <w:t>o</w:t>
      </w:r>
      <w:r w:rsidRPr="00DD1C06">
        <w:rPr>
          <w:szCs w:val="26"/>
        </w:rPr>
        <w:t>so-Administrativo del Tribunal Superior de Justicia de Navarra</w:t>
      </w:r>
      <w:r w:rsidR="00A11703">
        <w:rPr>
          <w:szCs w:val="26"/>
        </w:rPr>
        <w:t xml:space="preserve"> (TSJN)</w:t>
      </w:r>
      <w:r w:rsidRPr="00DD1C06">
        <w:rPr>
          <w:szCs w:val="26"/>
        </w:rPr>
        <w:t>.</w:t>
      </w:r>
    </w:p>
    <w:p w:rsidR="00B00DE2" w:rsidRDefault="004F3088" w:rsidP="00B00DE2">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sidRPr="00DD1C06">
        <w:rPr>
          <w:szCs w:val="26"/>
        </w:rPr>
        <w:t>Por acuerdo adoptado en sesión del consejo de administración de T</w:t>
      </w:r>
      <w:r w:rsidR="00ED6B2F" w:rsidRPr="00DD1C06">
        <w:rPr>
          <w:szCs w:val="26"/>
        </w:rPr>
        <w:t>TCP,SA</w:t>
      </w:r>
      <w:r w:rsidRPr="00DD1C06">
        <w:rPr>
          <w:szCs w:val="26"/>
        </w:rPr>
        <w:t xml:space="preserve"> de 30 de marzo de 1995, se adjudicó el citado concurso</w:t>
      </w:r>
      <w:r w:rsidR="006A131F" w:rsidRPr="00DD1C06">
        <w:rPr>
          <w:szCs w:val="26"/>
        </w:rPr>
        <w:t xml:space="preserve"> de la 1ª fase</w:t>
      </w:r>
      <w:r w:rsidRPr="00DD1C06">
        <w:rPr>
          <w:szCs w:val="26"/>
        </w:rPr>
        <w:t xml:space="preserve"> a la UTE formada por las empresas Sanco y </w:t>
      </w:r>
      <w:r w:rsidR="00A5724B" w:rsidRPr="00DD1C06">
        <w:rPr>
          <w:szCs w:val="26"/>
        </w:rPr>
        <w:t xml:space="preserve">Construcciones </w:t>
      </w:r>
      <w:r w:rsidRPr="00DD1C06">
        <w:rPr>
          <w:szCs w:val="26"/>
        </w:rPr>
        <w:t>G.M., única oferta present</w:t>
      </w:r>
      <w:r w:rsidRPr="00DD1C06">
        <w:rPr>
          <w:szCs w:val="26"/>
        </w:rPr>
        <w:t>a</w:t>
      </w:r>
      <w:r w:rsidRPr="00DD1C06">
        <w:rPr>
          <w:szCs w:val="26"/>
        </w:rPr>
        <w:t>da, formalizándose el correspondiente contrato con fecha 23 de junio de 1995.</w:t>
      </w:r>
      <w:r w:rsidR="0087560A">
        <w:rPr>
          <w:szCs w:val="26"/>
        </w:rPr>
        <w:t xml:space="preserve"> En mayo de 1999 se modifica este contrato para, entre otras cuestiones, incluir el desarrollo de la 2ª fase de la CT.</w:t>
      </w:r>
      <w:r w:rsidR="00C762FB" w:rsidRPr="00DD1C06">
        <w:rPr>
          <w:szCs w:val="26"/>
        </w:rPr>
        <w:t xml:space="preserve"> </w:t>
      </w:r>
    </w:p>
    <w:p w:rsidR="004F3088" w:rsidRPr="00DD1C06" w:rsidRDefault="004F3088" w:rsidP="001319A7">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sidRPr="00DD1C06">
        <w:rPr>
          <w:szCs w:val="26"/>
        </w:rPr>
        <w:t xml:space="preserve">Paralelamente, </w:t>
      </w:r>
      <w:r w:rsidR="009273DB" w:rsidRPr="00DD1C06">
        <w:rPr>
          <w:szCs w:val="26"/>
        </w:rPr>
        <w:t>y a la vez que se aceleró</w:t>
      </w:r>
      <w:r w:rsidRPr="00DD1C06">
        <w:rPr>
          <w:szCs w:val="26"/>
        </w:rPr>
        <w:t xml:space="preserve"> el expediente expropiatorio </w:t>
      </w:r>
      <w:r w:rsidR="001E10E0">
        <w:rPr>
          <w:szCs w:val="26"/>
        </w:rPr>
        <w:t>para</w:t>
      </w:r>
      <w:r w:rsidRPr="00DD1C06">
        <w:rPr>
          <w:szCs w:val="26"/>
        </w:rPr>
        <w:t xml:space="preserve"> poder ocupar las fincas correspon</w:t>
      </w:r>
      <w:r w:rsidR="009273DB" w:rsidRPr="00DD1C06">
        <w:rPr>
          <w:szCs w:val="26"/>
        </w:rPr>
        <w:t xml:space="preserve">dientes, </w:t>
      </w:r>
      <w:r w:rsidRPr="00DD1C06">
        <w:rPr>
          <w:szCs w:val="26"/>
        </w:rPr>
        <w:t xml:space="preserve">se redacta y tramita el proyecto de urbanización de la 1ª </w:t>
      </w:r>
      <w:r w:rsidR="0085177C" w:rsidRPr="00DD1C06">
        <w:rPr>
          <w:szCs w:val="26"/>
        </w:rPr>
        <w:t>f</w:t>
      </w:r>
      <w:r w:rsidRPr="00DD1C06">
        <w:rPr>
          <w:szCs w:val="26"/>
        </w:rPr>
        <w:t>ase, aprobado definitivamente por Orden Foral  398/1996, de 8 de mayo, del Consejero de Medio Ambiente, Ordenación del Territorio y Vivienda.</w:t>
      </w:r>
    </w:p>
    <w:p w:rsidR="004F3088" w:rsidRPr="00DD1C06" w:rsidRDefault="006A131F" w:rsidP="001319A7">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sidRPr="00DD1C06">
        <w:rPr>
          <w:szCs w:val="26"/>
        </w:rPr>
        <w:t>E</w:t>
      </w:r>
      <w:r w:rsidR="004F3088" w:rsidRPr="00DD1C06">
        <w:rPr>
          <w:szCs w:val="26"/>
        </w:rPr>
        <w:t xml:space="preserve">n mayo de 1996 dieron comienzo las obras de urbanización de la 1ª </w:t>
      </w:r>
      <w:r w:rsidR="0085177C" w:rsidRPr="00DD1C06">
        <w:rPr>
          <w:szCs w:val="26"/>
        </w:rPr>
        <w:t>f</w:t>
      </w:r>
      <w:r w:rsidR="004F3088" w:rsidRPr="00DD1C06">
        <w:rPr>
          <w:szCs w:val="26"/>
        </w:rPr>
        <w:t>ase, que finalizaron en 1998.</w:t>
      </w:r>
    </w:p>
    <w:p w:rsidR="00423D68" w:rsidRPr="00DD1C06" w:rsidRDefault="00095C35" w:rsidP="001319A7">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 xml:space="preserve">En 1997, la sociedad </w:t>
      </w:r>
      <w:r w:rsidR="00423D68" w:rsidRPr="00DD1C06">
        <w:rPr>
          <w:szCs w:val="26"/>
        </w:rPr>
        <w:t>Terminal de Transportes de la Comarca de Pamplona, SA cambia su denominación por “Ciudad del Transporte de Pamplona, SA.”</w:t>
      </w:r>
      <w:r w:rsidR="00C124B2" w:rsidRPr="00DD1C06">
        <w:rPr>
          <w:szCs w:val="26"/>
        </w:rPr>
        <w:t xml:space="preserve"> (en adelante CTP, SA)</w:t>
      </w:r>
      <w:r w:rsidR="00B85A78" w:rsidRPr="00DD1C06">
        <w:rPr>
          <w:szCs w:val="26"/>
        </w:rPr>
        <w:t>. Esta denominación se mantiene hasta 2011 en que, m</w:t>
      </w:r>
      <w:r w:rsidR="00B85A78" w:rsidRPr="00DD1C06">
        <w:rPr>
          <w:szCs w:val="26"/>
        </w:rPr>
        <w:t>e</w:t>
      </w:r>
      <w:r w:rsidR="00B85A78" w:rsidRPr="00DD1C06">
        <w:rPr>
          <w:szCs w:val="26"/>
        </w:rPr>
        <w:t>diante una operación de fusión por absorción, la Ciudad del Transporte absorbe a la Agencia Navarra del Transporte y Logística SA, denominándose la nueva sociedad “Agencia Navarra del Transporte y la Logística, SAU”</w:t>
      </w:r>
      <w:r w:rsidR="008A74F1">
        <w:rPr>
          <w:szCs w:val="26"/>
        </w:rPr>
        <w:t xml:space="preserve"> (ANL)</w:t>
      </w:r>
      <w:r w:rsidR="00B85A78" w:rsidRPr="00DD1C06">
        <w:rPr>
          <w:szCs w:val="26"/>
        </w:rPr>
        <w:t>; post</w:t>
      </w:r>
      <w:r w:rsidR="00B85A78" w:rsidRPr="00DD1C06">
        <w:rPr>
          <w:szCs w:val="26"/>
        </w:rPr>
        <w:t>e</w:t>
      </w:r>
      <w:r w:rsidR="00B85A78" w:rsidRPr="00DD1C06">
        <w:rPr>
          <w:szCs w:val="26"/>
        </w:rPr>
        <w:t>riormente, en 2014, esta última sociedad es absorbida a su vez por Navarra de Suelo y Vivienda SAU (Nasuvinsa).</w:t>
      </w:r>
    </w:p>
    <w:p w:rsidR="007F6DDA" w:rsidRPr="00DD1C06" w:rsidRDefault="007F6DDA" w:rsidP="001319A7">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sidRPr="00DD1C06">
        <w:rPr>
          <w:szCs w:val="26"/>
        </w:rPr>
        <w:t>El Gobierno de Navarra para impulsar la instalación de empresas de tran</w:t>
      </w:r>
      <w:r w:rsidRPr="00DD1C06">
        <w:rPr>
          <w:szCs w:val="26"/>
        </w:rPr>
        <w:t>s</w:t>
      </w:r>
      <w:r w:rsidRPr="00DD1C06">
        <w:rPr>
          <w:szCs w:val="26"/>
        </w:rPr>
        <w:t>porte y servicios en la CT y mediante el Decreto Foral 16/1997, de 27 de enero, establece un régimen especial de deducción por inversiones para aquellas e</w:t>
      </w:r>
      <w:r w:rsidRPr="00DD1C06">
        <w:rPr>
          <w:szCs w:val="26"/>
        </w:rPr>
        <w:t>m</w:t>
      </w:r>
      <w:r w:rsidRPr="00DD1C06">
        <w:rPr>
          <w:szCs w:val="26"/>
        </w:rPr>
        <w:t>presas que decidan instalarse e invertir en la Ciudad del Transporte en los años 1997 y 1998.</w:t>
      </w:r>
    </w:p>
    <w:p w:rsidR="006A131F" w:rsidRPr="006A131F" w:rsidRDefault="006A131F" w:rsidP="001319A7">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rFonts w:ascii="Times New (W1)" w:hAnsi="Times New (W1)"/>
          <w:szCs w:val="26"/>
        </w:rPr>
      </w:pPr>
      <w:r>
        <w:t>Acuerdo entre la Administración General del Estado y el Gobierno de N</w:t>
      </w:r>
      <w:r>
        <w:t>a</w:t>
      </w:r>
      <w:r>
        <w:t xml:space="preserve">varra para </w:t>
      </w:r>
      <w:r w:rsidR="00C85B1F">
        <w:t xml:space="preserve">dotar a </w:t>
      </w:r>
      <w:r>
        <w:t>la</w:t>
      </w:r>
      <w:r w:rsidR="00C85B1F">
        <w:t xml:space="preserve"> CT de un</w:t>
      </w:r>
      <w:r w:rsidR="008A74F1">
        <w:t xml:space="preserve"> edificio para </w:t>
      </w:r>
      <w:r w:rsidR="00C85B1F">
        <w:t>aduana;</w:t>
      </w:r>
      <w:r>
        <w:t xml:space="preserve"> </w:t>
      </w:r>
      <w:r w:rsidR="006235AC">
        <w:t>posteriormente, el G</w:t>
      </w:r>
      <w:r w:rsidR="006235AC">
        <w:t>o</w:t>
      </w:r>
      <w:r w:rsidR="006235AC">
        <w:t xml:space="preserve">bierno de Navarra </w:t>
      </w:r>
      <w:r>
        <w:t xml:space="preserve">encomienda a la </w:t>
      </w:r>
      <w:r w:rsidR="006235AC">
        <w:t xml:space="preserve">sociedad </w:t>
      </w:r>
      <w:r w:rsidR="005C3FA9">
        <w:t>CTP</w:t>
      </w:r>
      <w:r w:rsidR="00941748">
        <w:t>, SA</w:t>
      </w:r>
      <w:r w:rsidR="005C3FA9">
        <w:t xml:space="preserve"> </w:t>
      </w:r>
      <w:r>
        <w:t>la construcción de la c</w:t>
      </w:r>
      <w:r>
        <w:t>i</w:t>
      </w:r>
      <w:r>
        <w:t>tada adua</w:t>
      </w:r>
      <w:r w:rsidR="00173254">
        <w:t>na</w:t>
      </w:r>
      <w:r w:rsidR="00773BBA">
        <w:t>,</w:t>
      </w:r>
      <w:r w:rsidR="00173254">
        <w:t xml:space="preserve"> </w:t>
      </w:r>
      <w:r w:rsidR="0088262B">
        <w:t>obras que ejecuta la UTE. Inicia</w:t>
      </w:r>
      <w:r w:rsidR="00173254">
        <w:t xml:space="preserve"> su funcionamiento en 2000.</w:t>
      </w:r>
    </w:p>
    <w:p w:rsidR="006A131F" w:rsidRPr="006A131F" w:rsidRDefault="006A131F" w:rsidP="001319A7">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rFonts w:ascii="Times New (W1)" w:hAnsi="Times New (W1)"/>
          <w:szCs w:val="26"/>
        </w:rPr>
      </w:pPr>
      <w:r>
        <w:t>Inauguración de la 1</w:t>
      </w:r>
      <w:r w:rsidR="0085177C">
        <w:t>ª</w:t>
      </w:r>
      <w:r>
        <w:t xml:space="preserve"> fase en mayo de 1999 e inicio de las actividades de las empresas de logística y del centro del motor.</w:t>
      </w:r>
    </w:p>
    <w:p w:rsidR="006A131F" w:rsidRPr="00447C6F" w:rsidRDefault="0085177C" w:rsidP="0085177C">
      <w:pPr>
        <w:pStyle w:val="texto"/>
        <w:tabs>
          <w:tab w:val="clear" w:pos="2835"/>
          <w:tab w:val="clear" w:pos="3969"/>
          <w:tab w:val="clear" w:pos="5103"/>
          <w:tab w:val="clear" w:pos="6237"/>
          <w:tab w:val="clear" w:pos="7371"/>
        </w:tabs>
        <w:rPr>
          <w:rFonts w:ascii="Times New (W1)" w:hAnsi="Times New (W1)"/>
          <w:b/>
          <w:szCs w:val="26"/>
        </w:rPr>
      </w:pPr>
      <w:r w:rsidRPr="00447C6F">
        <w:rPr>
          <w:rFonts w:ascii="Times New (W1)" w:hAnsi="Times New (W1)"/>
          <w:b/>
          <w:szCs w:val="26"/>
        </w:rPr>
        <w:t>2000</w:t>
      </w:r>
      <w:r w:rsidR="007E1556" w:rsidRPr="00447C6F">
        <w:rPr>
          <w:rFonts w:ascii="Times New (W1)" w:hAnsi="Times New (W1)"/>
          <w:b/>
          <w:szCs w:val="26"/>
        </w:rPr>
        <w:t xml:space="preserve"> </w:t>
      </w:r>
      <w:r w:rsidR="00B00DE2" w:rsidRPr="00447C6F">
        <w:rPr>
          <w:rFonts w:ascii="Times New (W1)" w:hAnsi="Times New (W1)"/>
          <w:b/>
          <w:szCs w:val="26"/>
        </w:rPr>
        <w:t>a</w:t>
      </w:r>
      <w:r w:rsidR="007E1556" w:rsidRPr="00447C6F">
        <w:rPr>
          <w:rFonts w:ascii="Times New (W1)" w:hAnsi="Times New (W1)"/>
          <w:b/>
          <w:szCs w:val="26"/>
        </w:rPr>
        <w:t xml:space="preserve"> 200</w:t>
      </w:r>
      <w:r w:rsidR="00FA76C8" w:rsidRPr="00447C6F">
        <w:rPr>
          <w:rFonts w:ascii="Times New (W1)" w:hAnsi="Times New (W1)"/>
          <w:b/>
          <w:szCs w:val="26"/>
        </w:rPr>
        <w:t>5</w:t>
      </w:r>
    </w:p>
    <w:p w:rsidR="0085177C" w:rsidRPr="00DD1C06" w:rsidRDefault="0085177C" w:rsidP="001319A7">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rsidRPr="00DD1C06">
        <w:t>Ante el éxito de comercialización observado en la 1ª fase, la sociedad C</w:t>
      </w:r>
      <w:r w:rsidR="00274D16">
        <w:t>TP, SA</w:t>
      </w:r>
      <w:r w:rsidRPr="00DD1C06">
        <w:t xml:space="preserve"> decidió dedicar la zona de reserva contemplada en el PSIS para desarrollar la 2ª Fase de la Ciudad del Transporte, descartando los otros usos posibles y redactando un estudio de alternativas de desarrollo de la misma y de posibles ampliaciones.</w:t>
      </w:r>
    </w:p>
    <w:p w:rsidR="0085177C" w:rsidRPr="004D22FC" w:rsidRDefault="0085177C" w:rsidP="0085177C">
      <w:pPr>
        <w:pStyle w:val="texto"/>
        <w:tabs>
          <w:tab w:val="clear" w:pos="2835"/>
          <w:tab w:val="clear" w:pos="3969"/>
          <w:tab w:val="clear" w:pos="5103"/>
          <w:tab w:val="clear" w:pos="6237"/>
          <w:tab w:val="clear" w:pos="7371"/>
        </w:tabs>
        <w:rPr>
          <w:spacing w:val="4"/>
          <w:szCs w:val="26"/>
        </w:rPr>
      </w:pPr>
      <w:r w:rsidRPr="004D22FC">
        <w:rPr>
          <w:spacing w:val="4"/>
          <w:szCs w:val="26"/>
        </w:rPr>
        <w:t>Mediante Acuerdo del Gobierno de Navarr</w:t>
      </w:r>
      <w:bookmarkStart w:id="27" w:name="tm_385745009"/>
      <w:r w:rsidRPr="004D22FC">
        <w:rPr>
          <w:spacing w:val="4"/>
          <w:szCs w:val="26"/>
        </w:rPr>
        <w:t>a</w:t>
      </w:r>
      <w:bookmarkEnd w:id="27"/>
      <w:r w:rsidRPr="004D22FC">
        <w:rPr>
          <w:spacing w:val="4"/>
          <w:szCs w:val="26"/>
        </w:rPr>
        <w:t xml:space="preserve"> de 11 de octubre de 1999, se in</w:t>
      </w:r>
      <w:r w:rsidRPr="004D22FC">
        <w:rPr>
          <w:spacing w:val="4"/>
          <w:szCs w:val="26"/>
        </w:rPr>
        <w:t>i</w:t>
      </w:r>
      <w:r w:rsidRPr="004D22FC">
        <w:rPr>
          <w:spacing w:val="4"/>
          <w:szCs w:val="26"/>
        </w:rPr>
        <w:t>cia la tramitación del expediente de "Desarrollo de la Segunda Fase del Plan Se</w:t>
      </w:r>
      <w:r w:rsidRPr="004D22FC">
        <w:rPr>
          <w:spacing w:val="4"/>
          <w:szCs w:val="26"/>
        </w:rPr>
        <w:t>c</w:t>
      </w:r>
      <w:r w:rsidRPr="004D22FC">
        <w:rPr>
          <w:spacing w:val="4"/>
          <w:szCs w:val="26"/>
        </w:rPr>
        <w:t xml:space="preserve">torial de Incidencia Supramunicipal” que fue aprobado definitivamente </w:t>
      </w:r>
      <w:r w:rsidR="00A11703" w:rsidRPr="004D22FC">
        <w:rPr>
          <w:spacing w:val="4"/>
          <w:szCs w:val="26"/>
        </w:rPr>
        <w:t>el</w:t>
      </w:r>
      <w:r w:rsidRPr="004D22FC">
        <w:rPr>
          <w:spacing w:val="4"/>
          <w:szCs w:val="26"/>
        </w:rPr>
        <w:t xml:space="preserve"> 22 de mayo de 2000. </w:t>
      </w:r>
      <w:r w:rsidR="00EB50F4" w:rsidRPr="004D22FC">
        <w:rPr>
          <w:spacing w:val="4"/>
          <w:szCs w:val="26"/>
        </w:rPr>
        <w:t xml:space="preserve">En este documento se pormenorizan los usos según las dos zonas establecidas </w:t>
      </w:r>
      <w:r w:rsidR="004D22FC">
        <w:rPr>
          <w:spacing w:val="4"/>
          <w:szCs w:val="26"/>
        </w:rPr>
        <w:t>–</w:t>
      </w:r>
      <w:r w:rsidR="00EB50F4" w:rsidRPr="004D22FC">
        <w:rPr>
          <w:spacing w:val="4"/>
          <w:szCs w:val="26"/>
        </w:rPr>
        <w:t>servicios y naves</w:t>
      </w:r>
      <w:r w:rsidR="004D22FC">
        <w:rPr>
          <w:spacing w:val="4"/>
          <w:szCs w:val="26"/>
        </w:rPr>
        <w:t>–</w:t>
      </w:r>
      <w:r w:rsidR="00EB50F4" w:rsidRPr="004D22FC">
        <w:rPr>
          <w:spacing w:val="4"/>
          <w:szCs w:val="26"/>
        </w:rPr>
        <w:t xml:space="preserve"> y se incluye la normativa correspondiente.</w:t>
      </w:r>
    </w:p>
    <w:p w:rsidR="007E1556" w:rsidRPr="00DD1C06" w:rsidRDefault="0085177C" w:rsidP="007A0126">
      <w:pPr>
        <w:pStyle w:val="texto"/>
        <w:tabs>
          <w:tab w:val="clear" w:pos="2835"/>
          <w:tab w:val="clear" w:pos="3969"/>
          <w:tab w:val="clear" w:pos="5103"/>
          <w:tab w:val="clear" w:pos="6237"/>
          <w:tab w:val="clear" w:pos="7371"/>
        </w:tabs>
        <w:rPr>
          <w:szCs w:val="26"/>
        </w:rPr>
      </w:pPr>
      <w:r w:rsidRPr="00DD1C06">
        <w:rPr>
          <w:szCs w:val="26"/>
        </w:rPr>
        <w:t>En septiembre de 2001 dieron comienzo las obras de urbanización</w:t>
      </w:r>
      <w:r w:rsidR="00036752" w:rsidRPr="00DD1C06">
        <w:rPr>
          <w:szCs w:val="26"/>
        </w:rPr>
        <w:t xml:space="preserve"> que co</w:t>
      </w:r>
      <w:r w:rsidR="00036752" w:rsidRPr="00DD1C06">
        <w:rPr>
          <w:szCs w:val="26"/>
        </w:rPr>
        <w:t>n</w:t>
      </w:r>
      <w:r w:rsidR="00036752" w:rsidRPr="00DD1C06">
        <w:rPr>
          <w:szCs w:val="26"/>
        </w:rPr>
        <w:t>cluyen en 2005</w:t>
      </w:r>
      <w:r w:rsidRPr="00DD1C06">
        <w:rPr>
          <w:szCs w:val="26"/>
        </w:rPr>
        <w:t>.</w:t>
      </w:r>
    </w:p>
    <w:p w:rsidR="00B00DE2" w:rsidRPr="00FA76C8" w:rsidRDefault="00B00DE2" w:rsidP="00B00DE2">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rsidRPr="00FA76C8">
        <w:t xml:space="preserve">A lo largo de 2002, </w:t>
      </w:r>
      <w:r w:rsidR="00FA76C8" w:rsidRPr="00FA76C8">
        <w:t>el TSJ</w:t>
      </w:r>
      <w:r w:rsidR="002B5540">
        <w:t>N</w:t>
      </w:r>
      <w:r w:rsidR="00FA76C8" w:rsidRPr="00FA76C8">
        <w:t xml:space="preserve"> dicta</w:t>
      </w:r>
      <w:r w:rsidRPr="00FA76C8">
        <w:t xml:space="preserve"> las correspondientes sentencias resulta</w:t>
      </w:r>
      <w:r w:rsidR="00A11703">
        <w:t>n</w:t>
      </w:r>
      <w:r w:rsidRPr="00FA76C8">
        <w:t xml:space="preserve">do en todos los casos favorables a los expropiados, anulando la resolución del Jurado de Expropiación y condenando a la administración expropiante al pago de las cantidades resultantes de aplicar los justiprecios por los terrenos entre la </w:t>
      </w:r>
      <w:r w:rsidR="003074C5">
        <w:t xml:space="preserve">siguiente horquilla: </w:t>
      </w:r>
      <w:r w:rsidRPr="00FA76C8">
        <w:t>12,64€/m</w:t>
      </w:r>
      <w:r w:rsidRPr="00986C8C">
        <w:rPr>
          <w:vertAlign w:val="superscript"/>
        </w:rPr>
        <w:t>2</w:t>
      </w:r>
      <w:r w:rsidR="003074C5">
        <w:t xml:space="preserve"> y </w:t>
      </w:r>
      <w:r w:rsidRPr="00FA76C8">
        <w:t>20,60€/m</w:t>
      </w:r>
      <w:r w:rsidRPr="00986C8C">
        <w:rPr>
          <w:vertAlign w:val="superscript"/>
        </w:rPr>
        <w:t>2</w:t>
      </w:r>
      <w:r w:rsidR="003074C5">
        <w:t xml:space="preserve"> </w:t>
      </w:r>
      <w:r w:rsidR="00202B4C">
        <w:t>–</w:t>
      </w:r>
      <w:r w:rsidRPr="00FA76C8">
        <w:t>incluido el cinco por ciento del premio de afección- más los intereses legales correspondientes.</w:t>
      </w:r>
    </w:p>
    <w:p w:rsidR="00B00DE2" w:rsidRDefault="00B00DE2" w:rsidP="00B00DE2">
      <w:pPr>
        <w:pStyle w:val="texto"/>
        <w:tabs>
          <w:tab w:val="clear" w:pos="2835"/>
          <w:tab w:val="clear" w:pos="3969"/>
          <w:tab w:val="clear" w:pos="5103"/>
          <w:tab w:val="clear" w:pos="6237"/>
          <w:tab w:val="clear" w:pos="7371"/>
        </w:tabs>
        <w:rPr>
          <w:szCs w:val="26"/>
        </w:rPr>
      </w:pPr>
      <w:r w:rsidRPr="00FA76C8">
        <w:rPr>
          <w:szCs w:val="26"/>
        </w:rPr>
        <w:t>Estas sentencias fueron recurridas –entre 2002 y 2003</w:t>
      </w:r>
      <w:r w:rsidR="00986C8C">
        <w:rPr>
          <w:szCs w:val="26"/>
        </w:rPr>
        <w:t>–</w:t>
      </w:r>
      <w:r w:rsidRPr="00FA76C8">
        <w:rPr>
          <w:szCs w:val="26"/>
        </w:rPr>
        <w:t xml:space="preserve"> en casación ante el Tribunal Supremo por el Gobierno de Navarra y la sociedad CTP, SA. El Tr</w:t>
      </w:r>
      <w:r w:rsidRPr="00FA76C8">
        <w:rPr>
          <w:szCs w:val="26"/>
        </w:rPr>
        <w:t>i</w:t>
      </w:r>
      <w:r w:rsidRPr="00FA76C8">
        <w:rPr>
          <w:szCs w:val="26"/>
        </w:rPr>
        <w:t xml:space="preserve">bunal Supremo </w:t>
      </w:r>
      <w:r w:rsidR="00C85B1F">
        <w:rPr>
          <w:szCs w:val="26"/>
        </w:rPr>
        <w:t xml:space="preserve">confirmó </w:t>
      </w:r>
      <w:r w:rsidRPr="00FA76C8">
        <w:rPr>
          <w:szCs w:val="26"/>
        </w:rPr>
        <w:t>la decisión de la Sala.</w:t>
      </w:r>
    </w:p>
    <w:p w:rsidR="006B42CD" w:rsidRDefault="006B42CD" w:rsidP="006B42CD">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Inauguración en 200</w:t>
      </w:r>
      <w:r w:rsidR="0087665A">
        <w:rPr>
          <w:szCs w:val="26"/>
        </w:rPr>
        <w:t>5</w:t>
      </w:r>
      <w:r>
        <w:rPr>
          <w:szCs w:val="26"/>
        </w:rPr>
        <w:t xml:space="preserve"> de la 2ª fase de la CT.</w:t>
      </w:r>
    </w:p>
    <w:p w:rsidR="004D22FC" w:rsidRPr="00FA76C8" w:rsidRDefault="004D22FC" w:rsidP="004D22FC">
      <w:pPr>
        <w:pStyle w:val="texto"/>
        <w:tabs>
          <w:tab w:val="clear" w:pos="2835"/>
          <w:tab w:val="clear" w:pos="3969"/>
          <w:tab w:val="clear" w:pos="5103"/>
          <w:tab w:val="clear" w:pos="6237"/>
          <w:tab w:val="clear" w:pos="7371"/>
        </w:tabs>
        <w:spacing w:after="0"/>
        <w:ind w:left="289" w:firstLine="0"/>
        <w:rPr>
          <w:szCs w:val="26"/>
        </w:rPr>
      </w:pPr>
    </w:p>
    <w:p w:rsidR="00C40B00" w:rsidRDefault="00C40B00" w:rsidP="00C40B00">
      <w:pPr>
        <w:pStyle w:val="atitulo2"/>
      </w:pPr>
      <w:bookmarkStart w:id="28" w:name="_Toc515531867"/>
      <w:r>
        <w:t>II.2. Fase</w:t>
      </w:r>
      <w:r w:rsidR="00122C42">
        <w:t>s</w:t>
      </w:r>
      <w:r>
        <w:t xml:space="preserve"> 3ª</w:t>
      </w:r>
      <w:r w:rsidR="00122C42">
        <w:t xml:space="preserve"> y 4ª</w:t>
      </w:r>
      <w:r>
        <w:t xml:space="preserve"> de la Ciudad del Transporte de</w:t>
      </w:r>
      <w:r w:rsidR="00513294">
        <w:t xml:space="preserve"> la </w:t>
      </w:r>
      <w:r w:rsidR="005F5C6C">
        <w:t>C</w:t>
      </w:r>
      <w:r w:rsidR="00513294">
        <w:t>omarca de</w:t>
      </w:r>
      <w:r>
        <w:t xml:space="preserve"> Pa</w:t>
      </w:r>
      <w:r>
        <w:t>m</w:t>
      </w:r>
      <w:r>
        <w:t>plona</w:t>
      </w:r>
      <w:bookmarkEnd w:id="28"/>
    </w:p>
    <w:p w:rsidR="00036752" w:rsidRPr="00447C6F" w:rsidRDefault="00BF1C11" w:rsidP="0085177C">
      <w:pPr>
        <w:pStyle w:val="texto"/>
        <w:tabs>
          <w:tab w:val="clear" w:pos="2835"/>
          <w:tab w:val="clear" w:pos="3969"/>
          <w:tab w:val="clear" w:pos="5103"/>
          <w:tab w:val="clear" w:pos="6237"/>
          <w:tab w:val="clear" w:pos="7371"/>
        </w:tabs>
        <w:rPr>
          <w:rFonts w:ascii="Times New (W1)" w:hAnsi="Times New (W1)"/>
          <w:b/>
          <w:szCs w:val="26"/>
        </w:rPr>
      </w:pPr>
      <w:r w:rsidRPr="00447C6F">
        <w:rPr>
          <w:rFonts w:ascii="Times New (W1)" w:hAnsi="Times New (W1)"/>
          <w:b/>
          <w:szCs w:val="26"/>
        </w:rPr>
        <w:t>1999</w:t>
      </w:r>
      <w:r w:rsidR="00036752" w:rsidRPr="00447C6F">
        <w:rPr>
          <w:rFonts w:ascii="Times New (W1)" w:hAnsi="Times New (W1)"/>
          <w:b/>
          <w:szCs w:val="26"/>
        </w:rPr>
        <w:t xml:space="preserve"> a 20</w:t>
      </w:r>
      <w:r w:rsidR="00460644" w:rsidRPr="00447C6F">
        <w:rPr>
          <w:rFonts w:ascii="Times New (W1)" w:hAnsi="Times New (W1)"/>
          <w:b/>
          <w:szCs w:val="26"/>
        </w:rPr>
        <w:t>04</w:t>
      </w:r>
    </w:p>
    <w:p w:rsidR="007B05A8" w:rsidRPr="00AC1E05" w:rsidRDefault="00B85A78" w:rsidP="007B05A8">
      <w:pPr>
        <w:pStyle w:val="texto"/>
        <w:tabs>
          <w:tab w:val="clear" w:pos="2835"/>
          <w:tab w:val="clear" w:pos="3969"/>
          <w:tab w:val="clear" w:pos="5103"/>
          <w:tab w:val="clear" w:pos="6237"/>
          <w:tab w:val="clear" w:pos="7371"/>
        </w:tabs>
        <w:rPr>
          <w:szCs w:val="26"/>
        </w:rPr>
      </w:pPr>
      <w:r w:rsidRPr="00AC1E05">
        <w:rPr>
          <w:szCs w:val="26"/>
        </w:rPr>
        <w:t>Tras la consolidación y alta ocupación de la</w:t>
      </w:r>
      <w:r w:rsidR="006758FB" w:rsidRPr="00AC1E05">
        <w:rPr>
          <w:szCs w:val="26"/>
        </w:rPr>
        <w:t>s</w:t>
      </w:r>
      <w:r w:rsidRPr="00AC1E05">
        <w:rPr>
          <w:szCs w:val="26"/>
        </w:rPr>
        <w:t xml:space="preserve"> fases 1ª y 2ª de la Ciudad del Transporte</w:t>
      </w:r>
      <w:r w:rsidR="0088433B" w:rsidRPr="00AC1E05">
        <w:rPr>
          <w:szCs w:val="26"/>
        </w:rPr>
        <w:t xml:space="preserve">, </w:t>
      </w:r>
      <w:r w:rsidR="006758FB" w:rsidRPr="00AC1E05">
        <w:rPr>
          <w:szCs w:val="26"/>
        </w:rPr>
        <w:t>se inicia el proceso de ampliación de la</w:t>
      </w:r>
      <w:r w:rsidR="0088433B" w:rsidRPr="00AC1E05">
        <w:rPr>
          <w:szCs w:val="26"/>
        </w:rPr>
        <w:t xml:space="preserve"> Ciudad de Transporte de Pamplona</w:t>
      </w:r>
      <w:r w:rsidR="007B05A8" w:rsidRPr="00AC1E05">
        <w:rPr>
          <w:szCs w:val="26"/>
        </w:rPr>
        <w:t>;</w:t>
      </w:r>
      <w:r w:rsidR="00164F97" w:rsidRPr="00AC1E05">
        <w:rPr>
          <w:szCs w:val="26"/>
        </w:rPr>
        <w:t xml:space="preserve"> </w:t>
      </w:r>
      <w:r w:rsidR="007B05A8" w:rsidRPr="00AC1E05">
        <w:rPr>
          <w:szCs w:val="26"/>
        </w:rPr>
        <w:t>i</w:t>
      </w:r>
      <w:r w:rsidR="00164F97" w:rsidRPr="00AC1E05">
        <w:rPr>
          <w:szCs w:val="26"/>
        </w:rPr>
        <w:t>gualm</w:t>
      </w:r>
      <w:r w:rsidR="00C85B1F">
        <w:rPr>
          <w:szCs w:val="26"/>
        </w:rPr>
        <w:t>ente se detectaba que la CT</w:t>
      </w:r>
      <w:r w:rsidR="00164F97" w:rsidRPr="00AC1E05">
        <w:rPr>
          <w:szCs w:val="26"/>
        </w:rPr>
        <w:t xml:space="preserve"> tenía una limitación importante al estar concebida para un solo modo de transporte, el de carretera. </w:t>
      </w:r>
    </w:p>
    <w:p w:rsidR="007B05A8" w:rsidRPr="00AC1E05" w:rsidRDefault="007B05A8" w:rsidP="007B05A8">
      <w:pPr>
        <w:pStyle w:val="texto"/>
        <w:tabs>
          <w:tab w:val="clear" w:pos="2835"/>
          <w:tab w:val="clear" w:pos="3969"/>
          <w:tab w:val="clear" w:pos="5103"/>
          <w:tab w:val="clear" w:pos="6237"/>
          <w:tab w:val="clear" w:pos="7371"/>
        </w:tabs>
        <w:rPr>
          <w:szCs w:val="26"/>
        </w:rPr>
      </w:pPr>
      <w:r w:rsidRPr="00AC1E05">
        <w:rPr>
          <w:szCs w:val="26"/>
        </w:rPr>
        <w:t>Por otra parte, la tipología de la oferta para instalaciones logísticas desarr</w:t>
      </w:r>
      <w:r w:rsidRPr="00AC1E05">
        <w:rPr>
          <w:szCs w:val="26"/>
        </w:rPr>
        <w:t>o</w:t>
      </w:r>
      <w:r w:rsidRPr="00AC1E05">
        <w:rPr>
          <w:szCs w:val="26"/>
        </w:rPr>
        <w:t xml:space="preserve">llada en la 1ª </w:t>
      </w:r>
      <w:r w:rsidR="009365B9">
        <w:rPr>
          <w:szCs w:val="26"/>
        </w:rPr>
        <w:t>y 2ª fase era muy similar y con</w:t>
      </w:r>
      <w:r w:rsidRPr="00AC1E05">
        <w:rPr>
          <w:szCs w:val="26"/>
        </w:rPr>
        <w:t>ta</w:t>
      </w:r>
      <w:r w:rsidR="00C85B1F">
        <w:rPr>
          <w:szCs w:val="26"/>
        </w:rPr>
        <w:t>ba</w:t>
      </w:r>
      <w:r w:rsidRPr="00AC1E05">
        <w:rPr>
          <w:szCs w:val="26"/>
        </w:rPr>
        <w:t xml:space="preserve"> únicamente de naves modul</w:t>
      </w:r>
      <w:r w:rsidRPr="00AC1E05">
        <w:rPr>
          <w:szCs w:val="26"/>
        </w:rPr>
        <w:t>a</w:t>
      </w:r>
      <w:r w:rsidRPr="00AC1E05">
        <w:rPr>
          <w:szCs w:val="26"/>
        </w:rPr>
        <w:t>res de 40 y 50</w:t>
      </w:r>
      <w:r w:rsidR="00986C8C">
        <w:rPr>
          <w:szCs w:val="26"/>
        </w:rPr>
        <w:t xml:space="preserve"> </w:t>
      </w:r>
      <w:r w:rsidRPr="00AC1E05">
        <w:rPr>
          <w:szCs w:val="26"/>
        </w:rPr>
        <w:t xml:space="preserve">m de ancho y longitudes variables entre los 100 y 282 m, con posibilidad de muelles a ambos lados o un solo lado. </w:t>
      </w:r>
    </w:p>
    <w:p w:rsidR="00164F97" w:rsidRDefault="007B05A8" w:rsidP="007B05A8">
      <w:pPr>
        <w:pStyle w:val="texto"/>
        <w:tabs>
          <w:tab w:val="clear" w:pos="2835"/>
          <w:tab w:val="clear" w:pos="3969"/>
          <w:tab w:val="clear" w:pos="5103"/>
          <w:tab w:val="clear" w:pos="6237"/>
          <w:tab w:val="clear" w:pos="7371"/>
        </w:tabs>
        <w:rPr>
          <w:szCs w:val="26"/>
        </w:rPr>
      </w:pPr>
      <w:r w:rsidRPr="00AC1E05">
        <w:rPr>
          <w:szCs w:val="26"/>
        </w:rPr>
        <w:t>Esta oferta era bastante limitada al no responder a demandas de mayores t</w:t>
      </w:r>
      <w:r w:rsidRPr="00AC1E05">
        <w:rPr>
          <w:szCs w:val="26"/>
        </w:rPr>
        <w:t>a</w:t>
      </w:r>
      <w:r w:rsidRPr="00AC1E05">
        <w:rPr>
          <w:szCs w:val="26"/>
        </w:rPr>
        <w:t>maños de campas (edificación aislada), ni a demandas de ancho de naves sup</w:t>
      </w:r>
      <w:r w:rsidRPr="00AC1E05">
        <w:rPr>
          <w:szCs w:val="26"/>
        </w:rPr>
        <w:t>e</w:t>
      </w:r>
      <w:r w:rsidRPr="00AC1E05">
        <w:rPr>
          <w:szCs w:val="26"/>
        </w:rPr>
        <w:t>riores a 50</w:t>
      </w:r>
      <w:r w:rsidR="00FB5EF1" w:rsidRPr="00AC1E05">
        <w:rPr>
          <w:szCs w:val="26"/>
        </w:rPr>
        <w:t xml:space="preserve"> </w:t>
      </w:r>
      <w:r w:rsidRPr="00AC1E05">
        <w:rPr>
          <w:szCs w:val="26"/>
        </w:rPr>
        <w:t>m (tendencia de las instalaciones para logística y almacenaje). C</w:t>
      </w:r>
      <w:r w:rsidRPr="00AC1E05">
        <w:rPr>
          <w:szCs w:val="26"/>
        </w:rPr>
        <w:t>o</w:t>
      </w:r>
      <w:r w:rsidR="00C85B1F">
        <w:rPr>
          <w:szCs w:val="26"/>
        </w:rPr>
        <w:t>mo respuesta a estas demandas,</w:t>
      </w:r>
      <w:r w:rsidRPr="00AC1E05">
        <w:rPr>
          <w:szCs w:val="26"/>
        </w:rPr>
        <w:t xml:space="preserve"> se incorpor</w:t>
      </w:r>
      <w:r w:rsidR="00C85B1F">
        <w:rPr>
          <w:szCs w:val="26"/>
        </w:rPr>
        <w:t xml:space="preserve">an </w:t>
      </w:r>
      <w:r w:rsidRPr="00AC1E05">
        <w:rPr>
          <w:szCs w:val="26"/>
        </w:rPr>
        <w:t>en la 3ª fase parcelas de edific</w:t>
      </w:r>
      <w:r w:rsidRPr="00AC1E05">
        <w:rPr>
          <w:szCs w:val="26"/>
        </w:rPr>
        <w:t>a</w:t>
      </w:r>
      <w:r w:rsidR="00C85B1F">
        <w:rPr>
          <w:szCs w:val="26"/>
        </w:rPr>
        <w:t xml:space="preserve">ción aislada, flexibilizando </w:t>
      </w:r>
      <w:r w:rsidRPr="00AC1E05">
        <w:rPr>
          <w:szCs w:val="26"/>
        </w:rPr>
        <w:t xml:space="preserve">la tipología de instalaciones y </w:t>
      </w:r>
      <w:r w:rsidR="00C85B1F">
        <w:rPr>
          <w:szCs w:val="26"/>
        </w:rPr>
        <w:t xml:space="preserve">permitiendo </w:t>
      </w:r>
      <w:r w:rsidRPr="00AC1E05">
        <w:rPr>
          <w:szCs w:val="26"/>
        </w:rPr>
        <w:t>incr</w:t>
      </w:r>
      <w:r w:rsidRPr="00AC1E05">
        <w:rPr>
          <w:szCs w:val="26"/>
        </w:rPr>
        <w:t>e</w:t>
      </w:r>
      <w:r w:rsidRPr="00AC1E05">
        <w:rPr>
          <w:szCs w:val="26"/>
        </w:rPr>
        <w:t>mentar las superficies disponibles</w:t>
      </w:r>
      <w:r w:rsidR="00C85B1F">
        <w:rPr>
          <w:szCs w:val="26"/>
        </w:rPr>
        <w:t>,</w:t>
      </w:r>
      <w:r w:rsidRPr="00AC1E05">
        <w:rPr>
          <w:szCs w:val="26"/>
        </w:rPr>
        <w:t xml:space="preserve"> tanto de parcelas como de naves</w:t>
      </w:r>
      <w:r w:rsidR="00FB5EF1" w:rsidRPr="00AC1E05">
        <w:rPr>
          <w:szCs w:val="26"/>
        </w:rPr>
        <w:t xml:space="preserve">; también </w:t>
      </w:r>
      <w:r w:rsidR="00C85B1F">
        <w:rPr>
          <w:szCs w:val="26"/>
        </w:rPr>
        <w:t>se mantiene la</w:t>
      </w:r>
      <w:r w:rsidR="00FB5EF1" w:rsidRPr="00AC1E05">
        <w:rPr>
          <w:szCs w:val="26"/>
        </w:rPr>
        <w:t xml:space="preserve"> oferta de naves modulares de tipología similar a la 1ª y 2ª fase</w:t>
      </w:r>
      <w:r w:rsidRPr="00AC1E05">
        <w:rPr>
          <w:szCs w:val="26"/>
        </w:rPr>
        <w:t>.</w:t>
      </w:r>
    </w:p>
    <w:p w:rsidR="001130EE" w:rsidRPr="00AC1E05" w:rsidRDefault="001130EE" w:rsidP="007B05A8">
      <w:pPr>
        <w:pStyle w:val="texto"/>
        <w:tabs>
          <w:tab w:val="clear" w:pos="2835"/>
          <w:tab w:val="clear" w:pos="3969"/>
          <w:tab w:val="clear" w:pos="5103"/>
          <w:tab w:val="clear" w:pos="6237"/>
          <w:tab w:val="clear" w:pos="7371"/>
        </w:tabs>
        <w:rPr>
          <w:szCs w:val="26"/>
        </w:rPr>
      </w:pPr>
      <w:r>
        <w:rPr>
          <w:szCs w:val="26"/>
        </w:rPr>
        <w:t>Asimismo, en las primeras fases de desarrollo de la CT no se contemplaba expresamente el régimen de alquiler de naves y esto podía suponer un freno p</w:t>
      </w:r>
      <w:r>
        <w:rPr>
          <w:szCs w:val="26"/>
        </w:rPr>
        <w:t>a</w:t>
      </w:r>
      <w:r>
        <w:rPr>
          <w:szCs w:val="26"/>
        </w:rPr>
        <w:t xml:space="preserve">ra la instalación de </w:t>
      </w:r>
      <w:r w:rsidR="0066281B">
        <w:rPr>
          <w:szCs w:val="26"/>
        </w:rPr>
        <w:t>empresas. En la 3ª fase se contempla explícitamente el r</w:t>
      </w:r>
      <w:r w:rsidR="0066281B">
        <w:rPr>
          <w:szCs w:val="26"/>
        </w:rPr>
        <w:t>é</w:t>
      </w:r>
      <w:r w:rsidR="0066281B">
        <w:rPr>
          <w:szCs w:val="26"/>
        </w:rPr>
        <w:t>gimen de arrendamiento en su explotación.</w:t>
      </w:r>
    </w:p>
    <w:p w:rsidR="00164F97" w:rsidRPr="00AC1E05" w:rsidRDefault="00BF1C11" w:rsidP="001319A7">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rsidRPr="00AC1E05">
        <w:t>E</w:t>
      </w:r>
      <w:r w:rsidR="00164F97" w:rsidRPr="00AC1E05">
        <w:t>n 1999, la sociedad CTP, SA elaboró un estudio de alternativas de des</w:t>
      </w:r>
      <w:r w:rsidR="00164F97" w:rsidRPr="00AC1E05">
        <w:t>a</w:t>
      </w:r>
      <w:r w:rsidR="00164F97" w:rsidRPr="00AC1E05">
        <w:t>rrollo de la ciudad del transporte que contemplaba básicamente la ampliación de su ámbito físico y la dotación de una plataforma intermodal ferrocarril-carretera conectada con un ramal ferroviario con la red de RENFE y su estación de mercancías de Esquiroz.</w:t>
      </w:r>
    </w:p>
    <w:p w:rsidR="00B65FD8" w:rsidRPr="00AC1E05" w:rsidRDefault="00B65FD8" w:rsidP="001319A7">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rsidRPr="00AC1E05">
        <w:t>Por Orden Foral 1113/2001, de 10 de diciembre, se aprueba el Convenio de Colaboración</w:t>
      </w:r>
      <w:bookmarkStart w:id="29" w:name="tm_385745104"/>
      <w:r w:rsidRPr="00AC1E05">
        <w:t xml:space="preserve"> entre el Gobierno de Navarra y la sociedad gestora </w:t>
      </w:r>
      <w:bookmarkEnd w:id="29"/>
      <w:r w:rsidRPr="00AC1E05">
        <w:t xml:space="preserve"> para la reda</w:t>
      </w:r>
      <w:r w:rsidRPr="00AC1E05">
        <w:t>c</w:t>
      </w:r>
      <w:r w:rsidRPr="00AC1E05">
        <w:t>ción del PSIS que contempla la posible ampliación de la Ciudad del Transporte, así como el gasto correspondiente.</w:t>
      </w:r>
    </w:p>
    <w:p w:rsidR="000A2B37" w:rsidRPr="00F97E01" w:rsidRDefault="000A2B37" w:rsidP="002C5DB6">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sidRPr="00F97E01">
        <w:rPr>
          <w:szCs w:val="26"/>
        </w:rPr>
        <w:t xml:space="preserve">La </w:t>
      </w:r>
      <w:r w:rsidR="004029ED">
        <w:rPr>
          <w:szCs w:val="26"/>
        </w:rPr>
        <w:t>ampliación</w:t>
      </w:r>
      <w:r w:rsidRPr="00F97E01">
        <w:rPr>
          <w:szCs w:val="26"/>
        </w:rPr>
        <w:t xml:space="preserve"> de la Ciudad del Transporte se desarrollará en dos etapas</w:t>
      </w:r>
      <w:r w:rsidR="001E10E0">
        <w:rPr>
          <w:szCs w:val="26"/>
        </w:rPr>
        <w:t>,</w:t>
      </w:r>
      <w:r w:rsidR="00B67BB5" w:rsidRPr="00B67BB5">
        <w:rPr>
          <w:szCs w:val="26"/>
        </w:rPr>
        <w:t xml:space="preserve"> </w:t>
      </w:r>
      <w:r w:rsidR="00B67BB5" w:rsidRPr="00F97E01">
        <w:rPr>
          <w:szCs w:val="26"/>
        </w:rPr>
        <w:t>cada una de ellas con un periodo de ejecución de cuatro años</w:t>
      </w:r>
      <w:r w:rsidR="00B67BB5">
        <w:rPr>
          <w:szCs w:val="26"/>
        </w:rPr>
        <w:t xml:space="preserve"> y</w:t>
      </w:r>
      <w:r w:rsidRPr="00F97E01">
        <w:rPr>
          <w:szCs w:val="26"/>
        </w:rPr>
        <w:t xml:space="preserve"> con una exte</w:t>
      </w:r>
      <w:r w:rsidRPr="00F97E01">
        <w:rPr>
          <w:szCs w:val="26"/>
        </w:rPr>
        <w:t>n</w:t>
      </w:r>
      <w:r w:rsidRPr="00F97E01">
        <w:rPr>
          <w:szCs w:val="26"/>
        </w:rPr>
        <w:t>sión total superior al millón de m</w:t>
      </w:r>
      <w:r w:rsidRPr="00E436EF">
        <w:rPr>
          <w:szCs w:val="26"/>
          <w:vertAlign w:val="superscript"/>
        </w:rPr>
        <w:t>2</w:t>
      </w:r>
      <w:r w:rsidR="004029ED">
        <w:rPr>
          <w:szCs w:val="26"/>
        </w:rPr>
        <w:t>:</w:t>
      </w:r>
      <w:r w:rsidRPr="00F97E01">
        <w:rPr>
          <w:szCs w:val="26"/>
        </w:rPr>
        <w:t xml:space="preserve"> </w:t>
      </w:r>
    </w:p>
    <w:p w:rsidR="000A2B37" w:rsidRPr="00F97E01" w:rsidRDefault="000A2B37" w:rsidP="000A2B37">
      <w:pPr>
        <w:pStyle w:val="texto"/>
        <w:tabs>
          <w:tab w:val="clear" w:pos="2835"/>
          <w:tab w:val="clear" w:pos="3969"/>
          <w:tab w:val="clear" w:pos="5103"/>
          <w:tab w:val="clear" w:pos="6237"/>
          <w:tab w:val="clear" w:pos="7371"/>
        </w:tabs>
        <w:rPr>
          <w:szCs w:val="26"/>
        </w:rPr>
      </w:pPr>
      <w:r w:rsidRPr="00F97E01">
        <w:rPr>
          <w:szCs w:val="26"/>
        </w:rPr>
        <w:t>a) La primera etapa (</w:t>
      </w:r>
      <w:r w:rsidR="00595FF5">
        <w:rPr>
          <w:szCs w:val="26"/>
        </w:rPr>
        <w:t xml:space="preserve">ó </w:t>
      </w:r>
      <w:r w:rsidRPr="00F97E01">
        <w:rPr>
          <w:szCs w:val="26"/>
        </w:rPr>
        <w:t>3ª fase de la Ciudad del Transporte) contigua a la a</w:t>
      </w:r>
      <w:r w:rsidRPr="00F97E01">
        <w:rPr>
          <w:szCs w:val="26"/>
        </w:rPr>
        <w:t>c</w:t>
      </w:r>
      <w:r w:rsidRPr="00F97E01">
        <w:rPr>
          <w:szCs w:val="26"/>
        </w:rPr>
        <w:t>tual Ciudad del Transporte, estará vinculada a la satisfacción de la demanda inmediata y ocupa una superfi</w:t>
      </w:r>
      <w:r w:rsidR="00752552" w:rsidRPr="00F97E01">
        <w:rPr>
          <w:szCs w:val="26"/>
        </w:rPr>
        <w:t>cie</w:t>
      </w:r>
      <w:r w:rsidR="006649C0">
        <w:rPr>
          <w:szCs w:val="26"/>
        </w:rPr>
        <w:t xml:space="preserve"> inicial</w:t>
      </w:r>
      <w:r w:rsidR="00752552" w:rsidRPr="00F97E01">
        <w:rPr>
          <w:szCs w:val="26"/>
        </w:rPr>
        <w:t xml:space="preserve"> de </w:t>
      </w:r>
      <w:r w:rsidRPr="00F97E01">
        <w:rPr>
          <w:szCs w:val="26"/>
        </w:rPr>
        <w:t>624.057 m</w:t>
      </w:r>
      <w:r w:rsidRPr="00E436EF">
        <w:rPr>
          <w:szCs w:val="26"/>
          <w:vertAlign w:val="superscript"/>
        </w:rPr>
        <w:t>2</w:t>
      </w:r>
      <w:r w:rsidRPr="00F97E01">
        <w:rPr>
          <w:szCs w:val="26"/>
        </w:rPr>
        <w:t xml:space="preserve">. </w:t>
      </w:r>
    </w:p>
    <w:p w:rsidR="000A2B37" w:rsidRPr="00F97E01" w:rsidRDefault="000A2B37" w:rsidP="00C124B2">
      <w:pPr>
        <w:pStyle w:val="texto"/>
        <w:tabs>
          <w:tab w:val="clear" w:pos="2835"/>
          <w:tab w:val="clear" w:pos="3969"/>
          <w:tab w:val="clear" w:pos="5103"/>
          <w:tab w:val="clear" w:pos="6237"/>
          <w:tab w:val="clear" w:pos="7371"/>
        </w:tabs>
        <w:rPr>
          <w:szCs w:val="26"/>
        </w:rPr>
      </w:pPr>
      <w:r w:rsidRPr="00F97E01">
        <w:rPr>
          <w:szCs w:val="26"/>
        </w:rPr>
        <w:t>b) La segunda etapa (</w:t>
      </w:r>
      <w:r w:rsidR="00595FF5">
        <w:rPr>
          <w:szCs w:val="26"/>
        </w:rPr>
        <w:t xml:space="preserve">ó </w:t>
      </w:r>
      <w:r w:rsidRPr="00F97E01">
        <w:rPr>
          <w:szCs w:val="26"/>
        </w:rPr>
        <w:t>4ª fase de la Ciudad del Transporte) se desarrollará de acuerdo a la evolución de la demanda y, sobre todo, con la gestación defin</w:t>
      </w:r>
      <w:r w:rsidRPr="00F97E01">
        <w:rPr>
          <w:szCs w:val="26"/>
        </w:rPr>
        <w:t>i</w:t>
      </w:r>
      <w:r w:rsidRPr="00F97E01">
        <w:rPr>
          <w:szCs w:val="26"/>
        </w:rPr>
        <w:t>tiva de la plataforma intermodal, con una superficie</w:t>
      </w:r>
      <w:r w:rsidR="006649C0">
        <w:rPr>
          <w:szCs w:val="26"/>
        </w:rPr>
        <w:t xml:space="preserve"> inicial</w:t>
      </w:r>
      <w:r w:rsidRPr="00F97E01">
        <w:rPr>
          <w:szCs w:val="26"/>
        </w:rPr>
        <w:t xml:space="preserve"> de 390.167 m</w:t>
      </w:r>
      <w:r w:rsidRPr="00E436EF">
        <w:rPr>
          <w:szCs w:val="26"/>
          <w:vertAlign w:val="superscript"/>
        </w:rPr>
        <w:t>2</w:t>
      </w:r>
      <w:r w:rsidRPr="00F97E01">
        <w:rPr>
          <w:szCs w:val="26"/>
        </w:rPr>
        <w:t>.</w:t>
      </w:r>
      <w:r w:rsidR="00DA7D9D" w:rsidRPr="00F97E01">
        <w:rPr>
          <w:szCs w:val="26"/>
        </w:rPr>
        <w:t xml:space="preserve"> Se pretende esencialmente en esta fase, la creación de una plataforma intermodal, mediante un ramal ferroviario de conexión directa con la red de RENFE</w:t>
      </w:r>
      <w:r w:rsidR="00E747C6">
        <w:rPr>
          <w:szCs w:val="26"/>
        </w:rPr>
        <w:t>.</w:t>
      </w:r>
    </w:p>
    <w:p w:rsidR="0020696B" w:rsidRPr="00F97E01" w:rsidRDefault="0020696B" w:rsidP="0020696B">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rsidRPr="00F97E01">
        <w:t>La aprobación definitiva de</w:t>
      </w:r>
      <w:r w:rsidR="00A11703">
        <w:t>l PSIS sobre la</w:t>
      </w:r>
      <w:r w:rsidRPr="00F97E01">
        <w:t xml:space="preserve"> ampliación de</w:t>
      </w:r>
      <w:r w:rsidR="00A11703">
        <w:t xml:space="preserve"> la CT</w:t>
      </w:r>
      <w:r w:rsidRPr="00F97E01">
        <w:t xml:space="preserve"> se realiza por acuerdo del Gobierno de Navarra en julio de 2004. Con carácter simultáneo a dicha aprobación, se declaró la utilidad pública e interés social de la actu</w:t>
      </w:r>
      <w:r w:rsidRPr="00F97E01">
        <w:t>a</w:t>
      </w:r>
      <w:r w:rsidRPr="00F97E01">
        <w:t>ción que legitimó el inicio de las actuaciones expropiatorias.</w:t>
      </w:r>
    </w:p>
    <w:p w:rsidR="0020696B" w:rsidRPr="002C5DB6" w:rsidRDefault="000A2B37" w:rsidP="009C3EC8">
      <w:pPr>
        <w:pStyle w:val="texto"/>
        <w:numPr>
          <w:ilvl w:val="0"/>
          <w:numId w:val="1"/>
        </w:numPr>
        <w:tabs>
          <w:tab w:val="clear" w:pos="502"/>
          <w:tab w:val="clear" w:pos="2835"/>
          <w:tab w:val="clear" w:pos="3969"/>
          <w:tab w:val="clear" w:pos="5103"/>
          <w:tab w:val="clear" w:pos="6237"/>
          <w:tab w:val="clear" w:pos="7371"/>
          <w:tab w:val="left" w:pos="480"/>
          <w:tab w:val="num" w:pos="600"/>
        </w:tabs>
        <w:spacing w:after="200"/>
        <w:ind w:left="0" w:firstLine="289"/>
        <w:rPr>
          <w:szCs w:val="26"/>
        </w:rPr>
      </w:pPr>
      <w:r w:rsidRPr="00DC3902">
        <w:t>Resultado de</w:t>
      </w:r>
      <w:r w:rsidR="00D0724E" w:rsidRPr="00DC3902">
        <w:t xml:space="preserve"> la ampliación</w:t>
      </w:r>
      <w:r w:rsidR="002D508B">
        <w:t xml:space="preserve"> y de las modificaciones de los PSIS</w:t>
      </w:r>
      <w:r w:rsidRPr="00DC3902">
        <w:t>, la exte</w:t>
      </w:r>
      <w:r w:rsidRPr="00DC3902">
        <w:t>n</w:t>
      </w:r>
      <w:r w:rsidRPr="00DC3902">
        <w:t xml:space="preserve">sión </w:t>
      </w:r>
      <w:r w:rsidR="002D508B">
        <w:t xml:space="preserve">final </w:t>
      </w:r>
      <w:r w:rsidRPr="00DC3902">
        <w:t>de la Ciudad del Transporte alcanza</w:t>
      </w:r>
      <w:r w:rsidRPr="00F97E01">
        <w:rPr>
          <w:szCs w:val="26"/>
        </w:rPr>
        <w:t xml:space="preserve"> los 1,62 millones de m</w:t>
      </w:r>
      <w:r w:rsidRPr="00E436EF">
        <w:rPr>
          <w:szCs w:val="26"/>
          <w:vertAlign w:val="superscript"/>
        </w:rPr>
        <w:t>2</w:t>
      </w:r>
      <w:r w:rsidR="002D508B">
        <w:rPr>
          <w:szCs w:val="26"/>
        </w:rPr>
        <w:t>,</w:t>
      </w:r>
      <w:r w:rsidRPr="00F97E01">
        <w:rPr>
          <w:szCs w:val="26"/>
        </w:rPr>
        <w:t>según el siguiente detalle:</w:t>
      </w:r>
    </w:p>
    <w:tbl>
      <w:tblPr>
        <w:tblStyle w:val="TableNormal"/>
        <w:tblW w:w="8804" w:type="dxa"/>
        <w:jc w:val="center"/>
        <w:tblBorders>
          <w:top w:val="single" w:sz="2" w:space="0" w:color="auto"/>
          <w:bottom w:val="single" w:sz="2" w:space="0" w:color="auto"/>
          <w:insideH w:val="single" w:sz="2" w:space="0" w:color="auto"/>
        </w:tblBorders>
        <w:tblLayout w:type="fixed"/>
        <w:tblLook w:val="01E0" w:firstRow="1" w:lastRow="1" w:firstColumn="1" w:lastColumn="1" w:noHBand="0" w:noVBand="0"/>
      </w:tblPr>
      <w:tblGrid>
        <w:gridCol w:w="5699"/>
        <w:gridCol w:w="3105"/>
      </w:tblGrid>
      <w:tr w:rsidR="000A2B37" w:rsidRPr="00DA5BC7" w:rsidTr="009C3EC8">
        <w:trPr>
          <w:trHeight w:hRule="exact" w:val="255"/>
          <w:jc w:val="center"/>
        </w:trPr>
        <w:tc>
          <w:tcPr>
            <w:tcW w:w="5699" w:type="dxa"/>
            <w:tcBorders>
              <w:top w:val="single" w:sz="4" w:space="0" w:color="auto"/>
              <w:bottom w:val="single" w:sz="4" w:space="0" w:color="auto"/>
            </w:tcBorders>
            <w:shd w:val="clear" w:color="auto" w:fill="B8CCE4" w:themeFill="accent1" w:themeFillTint="66"/>
            <w:vAlign w:val="center"/>
          </w:tcPr>
          <w:p w:rsidR="000A2B37" w:rsidRPr="005B3CA8" w:rsidRDefault="000A2B37" w:rsidP="00447C6F">
            <w:pPr>
              <w:spacing w:after="0"/>
              <w:ind w:left="29" w:firstLine="121"/>
              <w:rPr>
                <w:rFonts w:ascii="Arial" w:hAnsi="Arial" w:cs="Arial"/>
                <w:color w:val="000000"/>
                <w:sz w:val="18"/>
                <w:szCs w:val="18"/>
                <w:lang w:eastAsia="es-ES"/>
              </w:rPr>
            </w:pPr>
            <w:r>
              <w:rPr>
                <w:rFonts w:ascii="Arial" w:hAnsi="Arial" w:cs="Arial"/>
                <w:color w:val="000000"/>
                <w:sz w:val="18"/>
                <w:szCs w:val="18"/>
                <w:lang w:eastAsia="es-ES"/>
              </w:rPr>
              <w:t>Fases Ciudad del Transporte</w:t>
            </w:r>
          </w:p>
        </w:tc>
        <w:tc>
          <w:tcPr>
            <w:tcW w:w="3105" w:type="dxa"/>
            <w:tcBorders>
              <w:top w:val="single" w:sz="4" w:space="0" w:color="auto"/>
              <w:bottom w:val="single" w:sz="4" w:space="0" w:color="auto"/>
            </w:tcBorders>
            <w:shd w:val="clear" w:color="auto" w:fill="B8CCE4" w:themeFill="accent1" w:themeFillTint="66"/>
            <w:vAlign w:val="center"/>
          </w:tcPr>
          <w:p w:rsidR="000A2B37" w:rsidRPr="00DA5BC7" w:rsidRDefault="000A2B37" w:rsidP="00447C6F">
            <w:pPr>
              <w:spacing w:after="0"/>
              <w:ind w:left="206" w:right="149" w:firstLine="0"/>
              <w:jc w:val="right"/>
              <w:rPr>
                <w:rFonts w:ascii="Arial" w:hAnsi="Arial" w:cs="Arial"/>
                <w:color w:val="000000"/>
                <w:sz w:val="18"/>
                <w:szCs w:val="18"/>
                <w:lang w:eastAsia="es-ES"/>
              </w:rPr>
            </w:pPr>
            <w:r>
              <w:rPr>
                <w:rFonts w:ascii="Arial" w:hAnsi="Arial" w:cs="Arial"/>
                <w:color w:val="000000"/>
                <w:sz w:val="18"/>
                <w:szCs w:val="18"/>
                <w:lang w:eastAsia="es-ES"/>
              </w:rPr>
              <w:t>Extensión (m</w:t>
            </w:r>
            <w:r w:rsidRPr="000A2B37">
              <w:rPr>
                <w:rFonts w:ascii="Arial" w:hAnsi="Arial" w:cs="Arial"/>
                <w:color w:val="000000"/>
                <w:sz w:val="18"/>
                <w:szCs w:val="18"/>
                <w:vertAlign w:val="superscript"/>
                <w:lang w:eastAsia="es-ES"/>
              </w:rPr>
              <w:t>2</w:t>
            </w:r>
            <w:r>
              <w:rPr>
                <w:rFonts w:ascii="Arial" w:hAnsi="Arial" w:cs="Arial"/>
                <w:color w:val="000000"/>
                <w:sz w:val="18"/>
                <w:szCs w:val="18"/>
                <w:lang w:eastAsia="es-ES"/>
              </w:rPr>
              <w:t>)</w:t>
            </w:r>
          </w:p>
        </w:tc>
      </w:tr>
      <w:tr w:rsidR="000A2B37" w:rsidRPr="008E708D" w:rsidTr="009C3EC8">
        <w:trPr>
          <w:trHeight w:hRule="exact" w:val="255"/>
          <w:jc w:val="center"/>
        </w:trPr>
        <w:tc>
          <w:tcPr>
            <w:tcW w:w="5699" w:type="dxa"/>
            <w:tcBorders>
              <w:top w:val="single" w:sz="4" w:space="0" w:color="auto"/>
              <w:bottom w:val="single" w:sz="2" w:space="0" w:color="auto"/>
            </w:tcBorders>
            <w:vAlign w:val="center"/>
          </w:tcPr>
          <w:p w:rsidR="000A2B37" w:rsidRPr="008E708D" w:rsidRDefault="000A2B37" w:rsidP="00447C6F">
            <w:pPr>
              <w:widowControl/>
              <w:spacing w:after="0"/>
              <w:ind w:left="29" w:firstLine="121"/>
              <w:rPr>
                <w:rFonts w:ascii="Arial Narrow" w:hAnsi="Arial Narrow"/>
                <w:color w:val="000000"/>
                <w:sz w:val="20"/>
                <w:szCs w:val="20"/>
                <w:lang w:eastAsia="es-ES"/>
              </w:rPr>
            </w:pPr>
            <w:r>
              <w:rPr>
                <w:rFonts w:ascii="Arial Narrow" w:hAnsi="Arial Narrow"/>
                <w:color w:val="000000"/>
                <w:sz w:val="20"/>
                <w:szCs w:val="20"/>
                <w:lang w:eastAsia="es-ES"/>
              </w:rPr>
              <w:t>1ª Fase</w:t>
            </w:r>
          </w:p>
        </w:tc>
        <w:tc>
          <w:tcPr>
            <w:tcW w:w="3105" w:type="dxa"/>
            <w:tcBorders>
              <w:top w:val="single" w:sz="4" w:space="0" w:color="auto"/>
              <w:bottom w:val="single" w:sz="2" w:space="0" w:color="auto"/>
            </w:tcBorders>
            <w:vAlign w:val="center"/>
          </w:tcPr>
          <w:p w:rsidR="000A2B37" w:rsidRPr="008E708D" w:rsidRDefault="000A2B37" w:rsidP="00447C6F">
            <w:pPr>
              <w:widowControl/>
              <w:spacing w:after="0"/>
              <w:ind w:left="206" w:right="149" w:firstLine="0"/>
              <w:jc w:val="right"/>
              <w:rPr>
                <w:rFonts w:ascii="Arial Narrow" w:hAnsi="Arial Narrow"/>
                <w:color w:val="000000"/>
                <w:sz w:val="20"/>
                <w:szCs w:val="20"/>
                <w:lang w:eastAsia="es-ES"/>
              </w:rPr>
            </w:pPr>
            <w:r>
              <w:rPr>
                <w:rFonts w:ascii="Arial Narrow" w:hAnsi="Arial Narrow"/>
                <w:color w:val="000000"/>
                <w:sz w:val="20"/>
                <w:szCs w:val="20"/>
                <w:lang w:eastAsia="es-ES"/>
              </w:rPr>
              <w:t>388.655</w:t>
            </w:r>
          </w:p>
        </w:tc>
      </w:tr>
      <w:tr w:rsidR="000A2B37" w:rsidRPr="008E708D" w:rsidTr="009C3EC8">
        <w:trPr>
          <w:trHeight w:hRule="exact" w:val="255"/>
          <w:jc w:val="center"/>
        </w:trPr>
        <w:tc>
          <w:tcPr>
            <w:tcW w:w="5699" w:type="dxa"/>
            <w:vAlign w:val="center"/>
          </w:tcPr>
          <w:p w:rsidR="000A2B37" w:rsidRPr="008E708D" w:rsidRDefault="000A2B37" w:rsidP="00447C6F">
            <w:pPr>
              <w:widowControl/>
              <w:spacing w:after="0"/>
              <w:ind w:left="29" w:firstLine="121"/>
              <w:rPr>
                <w:rFonts w:ascii="Arial Narrow" w:hAnsi="Arial Narrow"/>
                <w:color w:val="000000"/>
                <w:sz w:val="20"/>
                <w:szCs w:val="20"/>
                <w:lang w:eastAsia="es-ES"/>
              </w:rPr>
            </w:pPr>
            <w:r>
              <w:rPr>
                <w:rFonts w:ascii="Arial Narrow" w:hAnsi="Arial Narrow"/>
                <w:color w:val="000000"/>
                <w:sz w:val="20"/>
                <w:szCs w:val="20"/>
                <w:lang w:eastAsia="es-ES"/>
              </w:rPr>
              <w:t>2ª Fase</w:t>
            </w:r>
          </w:p>
        </w:tc>
        <w:tc>
          <w:tcPr>
            <w:tcW w:w="3105" w:type="dxa"/>
            <w:vAlign w:val="center"/>
          </w:tcPr>
          <w:p w:rsidR="000A2B37" w:rsidRPr="008E708D" w:rsidRDefault="000A2B37" w:rsidP="00447C6F">
            <w:pPr>
              <w:widowControl/>
              <w:spacing w:after="0"/>
              <w:ind w:left="206" w:right="149" w:firstLine="0"/>
              <w:jc w:val="right"/>
              <w:rPr>
                <w:rFonts w:ascii="Arial Narrow" w:hAnsi="Arial Narrow"/>
                <w:color w:val="000000"/>
                <w:sz w:val="20"/>
                <w:szCs w:val="20"/>
                <w:lang w:eastAsia="es-ES"/>
              </w:rPr>
            </w:pPr>
            <w:r>
              <w:rPr>
                <w:rFonts w:ascii="Arial Narrow" w:hAnsi="Arial Narrow"/>
                <w:color w:val="000000"/>
                <w:sz w:val="20"/>
                <w:szCs w:val="20"/>
                <w:lang w:eastAsia="es-ES"/>
              </w:rPr>
              <w:t>219.708</w:t>
            </w:r>
          </w:p>
        </w:tc>
      </w:tr>
      <w:tr w:rsidR="000A2B37" w:rsidRPr="008E708D" w:rsidTr="009C3EC8">
        <w:trPr>
          <w:trHeight w:hRule="exact" w:val="255"/>
          <w:jc w:val="center"/>
        </w:trPr>
        <w:tc>
          <w:tcPr>
            <w:tcW w:w="5699" w:type="dxa"/>
            <w:vAlign w:val="center"/>
          </w:tcPr>
          <w:p w:rsidR="000A2B37" w:rsidRPr="008E708D" w:rsidRDefault="000A2B37" w:rsidP="00447C6F">
            <w:pPr>
              <w:widowControl/>
              <w:spacing w:after="0"/>
              <w:ind w:left="29" w:firstLine="121"/>
              <w:rPr>
                <w:rFonts w:ascii="Arial Narrow" w:hAnsi="Arial Narrow"/>
                <w:color w:val="000000"/>
                <w:sz w:val="20"/>
                <w:szCs w:val="20"/>
                <w:lang w:eastAsia="es-ES"/>
              </w:rPr>
            </w:pPr>
            <w:r>
              <w:rPr>
                <w:rFonts w:ascii="Arial Narrow" w:hAnsi="Arial Narrow"/>
                <w:color w:val="000000"/>
                <w:sz w:val="20"/>
                <w:szCs w:val="20"/>
                <w:lang w:eastAsia="es-ES"/>
              </w:rPr>
              <w:t>3ª Fase</w:t>
            </w:r>
          </w:p>
        </w:tc>
        <w:tc>
          <w:tcPr>
            <w:tcW w:w="3105" w:type="dxa"/>
            <w:vAlign w:val="center"/>
          </w:tcPr>
          <w:p w:rsidR="000A2B37" w:rsidRPr="008E708D" w:rsidRDefault="00140D24" w:rsidP="00447C6F">
            <w:pPr>
              <w:widowControl/>
              <w:spacing w:after="0"/>
              <w:ind w:left="206" w:right="149" w:firstLine="0"/>
              <w:jc w:val="right"/>
              <w:rPr>
                <w:rFonts w:ascii="Arial Narrow" w:hAnsi="Arial Narrow"/>
                <w:color w:val="000000"/>
                <w:sz w:val="20"/>
                <w:szCs w:val="20"/>
                <w:lang w:eastAsia="es-ES"/>
              </w:rPr>
            </w:pPr>
            <w:r>
              <w:rPr>
                <w:rFonts w:ascii="Arial Narrow" w:hAnsi="Arial Narrow"/>
                <w:color w:val="000000"/>
                <w:sz w:val="20"/>
                <w:szCs w:val="20"/>
                <w:lang w:eastAsia="es-ES"/>
              </w:rPr>
              <w:t>632.936</w:t>
            </w:r>
          </w:p>
        </w:tc>
      </w:tr>
      <w:tr w:rsidR="000A2B37" w:rsidRPr="008E708D" w:rsidTr="009C3EC8">
        <w:trPr>
          <w:trHeight w:hRule="exact" w:val="255"/>
          <w:jc w:val="center"/>
        </w:trPr>
        <w:tc>
          <w:tcPr>
            <w:tcW w:w="5699" w:type="dxa"/>
            <w:vAlign w:val="center"/>
          </w:tcPr>
          <w:p w:rsidR="000A2B37" w:rsidRPr="008E708D" w:rsidRDefault="000A2B37" w:rsidP="00447C6F">
            <w:pPr>
              <w:widowControl/>
              <w:spacing w:after="0"/>
              <w:ind w:left="29" w:firstLine="121"/>
              <w:rPr>
                <w:rFonts w:ascii="Arial Narrow" w:hAnsi="Arial Narrow"/>
                <w:color w:val="000000"/>
                <w:sz w:val="20"/>
                <w:szCs w:val="20"/>
                <w:lang w:eastAsia="es-ES"/>
              </w:rPr>
            </w:pPr>
            <w:r>
              <w:rPr>
                <w:rFonts w:ascii="Arial Narrow" w:hAnsi="Arial Narrow"/>
                <w:color w:val="000000"/>
                <w:sz w:val="20"/>
                <w:szCs w:val="20"/>
                <w:lang w:eastAsia="es-ES"/>
              </w:rPr>
              <w:t>4ª Fase</w:t>
            </w:r>
          </w:p>
        </w:tc>
        <w:tc>
          <w:tcPr>
            <w:tcW w:w="3105" w:type="dxa"/>
            <w:vAlign w:val="center"/>
          </w:tcPr>
          <w:p w:rsidR="000A2B37" w:rsidRPr="008E708D" w:rsidRDefault="00140D24" w:rsidP="00447C6F">
            <w:pPr>
              <w:widowControl/>
              <w:spacing w:after="0"/>
              <w:ind w:left="206" w:right="149" w:firstLine="0"/>
              <w:jc w:val="right"/>
              <w:rPr>
                <w:rFonts w:ascii="Arial Narrow" w:hAnsi="Arial Narrow"/>
                <w:color w:val="000000"/>
                <w:sz w:val="20"/>
                <w:szCs w:val="20"/>
                <w:lang w:eastAsia="es-ES"/>
              </w:rPr>
            </w:pPr>
            <w:r>
              <w:rPr>
                <w:rFonts w:ascii="Arial Narrow" w:hAnsi="Arial Narrow"/>
                <w:color w:val="000000"/>
                <w:sz w:val="20"/>
                <w:szCs w:val="20"/>
                <w:lang w:eastAsia="es-ES"/>
              </w:rPr>
              <w:t>382.738</w:t>
            </w:r>
          </w:p>
        </w:tc>
      </w:tr>
      <w:tr w:rsidR="000A2B37" w:rsidRPr="005B3CA8" w:rsidTr="009C3EC8">
        <w:trPr>
          <w:trHeight w:hRule="exact" w:val="255"/>
          <w:jc w:val="center"/>
        </w:trPr>
        <w:tc>
          <w:tcPr>
            <w:tcW w:w="5699" w:type="dxa"/>
            <w:tcBorders>
              <w:bottom w:val="single" w:sz="4" w:space="0" w:color="auto"/>
            </w:tcBorders>
            <w:shd w:val="clear" w:color="auto" w:fill="B8CCE4" w:themeFill="accent1" w:themeFillTint="66"/>
            <w:vAlign w:val="center"/>
          </w:tcPr>
          <w:p w:rsidR="000A2B37" w:rsidRPr="005B3CA8" w:rsidRDefault="000A2B37" w:rsidP="00447C6F">
            <w:pPr>
              <w:spacing w:after="0"/>
              <w:ind w:left="29" w:firstLine="121"/>
              <w:rPr>
                <w:rFonts w:ascii="Arial" w:hAnsi="Arial" w:cs="Arial"/>
                <w:color w:val="000000"/>
                <w:sz w:val="18"/>
                <w:szCs w:val="18"/>
                <w:lang w:eastAsia="es-ES"/>
              </w:rPr>
            </w:pPr>
            <w:r w:rsidRPr="005B3CA8">
              <w:rPr>
                <w:rFonts w:ascii="Arial" w:hAnsi="Arial" w:cs="Arial"/>
                <w:color w:val="000000"/>
                <w:sz w:val="18"/>
                <w:szCs w:val="18"/>
                <w:lang w:eastAsia="es-ES"/>
              </w:rPr>
              <w:t>Total</w:t>
            </w:r>
          </w:p>
        </w:tc>
        <w:tc>
          <w:tcPr>
            <w:tcW w:w="3105" w:type="dxa"/>
            <w:tcBorders>
              <w:bottom w:val="single" w:sz="4" w:space="0" w:color="auto"/>
            </w:tcBorders>
            <w:shd w:val="clear" w:color="auto" w:fill="B8CCE4" w:themeFill="accent1" w:themeFillTint="66"/>
            <w:vAlign w:val="center"/>
          </w:tcPr>
          <w:p w:rsidR="000A2B37" w:rsidRPr="005B3CA8" w:rsidRDefault="00140D24" w:rsidP="00447C6F">
            <w:pPr>
              <w:spacing w:after="0"/>
              <w:ind w:left="206" w:right="149" w:firstLine="0"/>
              <w:jc w:val="right"/>
              <w:rPr>
                <w:rFonts w:ascii="Arial" w:hAnsi="Arial" w:cs="Arial"/>
                <w:color w:val="000000"/>
                <w:sz w:val="18"/>
                <w:szCs w:val="18"/>
                <w:lang w:eastAsia="es-ES"/>
              </w:rPr>
            </w:pPr>
            <w:r>
              <w:rPr>
                <w:rFonts w:ascii="Arial" w:hAnsi="Arial" w:cs="Arial"/>
                <w:color w:val="000000"/>
                <w:sz w:val="18"/>
                <w:szCs w:val="18"/>
                <w:lang w:eastAsia="es-ES"/>
              </w:rPr>
              <w:t>1.624.037</w:t>
            </w:r>
          </w:p>
        </w:tc>
      </w:tr>
    </w:tbl>
    <w:p w:rsidR="000A2B37" w:rsidRDefault="000A2B37" w:rsidP="009C3EC8">
      <w:pPr>
        <w:pStyle w:val="texto"/>
        <w:tabs>
          <w:tab w:val="clear" w:pos="2835"/>
          <w:tab w:val="clear" w:pos="3969"/>
          <w:tab w:val="clear" w:pos="5103"/>
          <w:tab w:val="clear" w:pos="6237"/>
          <w:tab w:val="clear" w:pos="7371"/>
        </w:tabs>
        <w:spacing w:after="0"/>
        <w:rPr>
          <w:rFonts w:ascii="Times New (W1)" w:hAnsi="Times New (W1)"/>
          <w:szCs w:val="26"/>
        </w:rPr>
      </w:pPr>
    </w:p>
    <w:p w:rsidR="001618E7" w:rsidRDefault="001618E7" w:rsidP="009C3EC8">
      <w:pPr>
        <w:pStyle w:val="texto"/>
        <w:tabs>
          <w:tab w:val="clear" w:pos="2835"/>
          <w:tab w:val="clear" w:pos="3969"/>
          <w:tab w:val="clear" w:pos="5103"/>
          <w:tab w:val="clear" w:pos="6237"/>
          <w:tab w:val="clear" w:pos="7371"/>
        </w:tabs>
        <w:spacing w:after="240"/>
        <w:rPr>
          <w:szCs w:val="26"/>
        </w:rPr>
      </w:pPr>
      <w:r>
        <w:rPr>
          <w:szCs w:val="26"/>
        </w:rPr>
        <w:t>De acuerdo con la información obtenida</w:t>
      </w:r>
      <w:r w:rsidR="003E7006">
        <w:rPr>
          <w:rStyle w:val="Refdenotaalpie"/>
          <w:szCs w:val="26"/>
        </w:rPr>
        <w:footnoteReference w:id="1"/>
      </w:r>
      <w:r>
        <w:rPr>
          <w:szCs w:val="26"/>
        </w:rPr>
        <w:t>, la extensión en m</w:t>
      </w:r>
      <w:r w:rsidRPr="001618E7">
        <w:rPr>
          <w:szCs w:val="26"/>
          <w:vertAlign w:val="superscript"/>
        </w:rPr>
        <w:t>2</w:t>
      </w:r>
      <w:r>
        <w:rPr>
          <w:szCs w:val="26"/>
        </w:rPr>
        <w:t xml:space="preserve"> de otros centros logísticos de España es la siguiente: </w:t>
      </w:r>
    </w:p>
    <w:tbl>
      <w:tblPr>
        <w:tblW w:w="8752" w:type="dxa"/>
        <w:jc w:val="center"/>
        <w:tblCellMar>
          <w:left w:w="70" w:type="dxa"/>
          <w:right w:w="70" w:type="dxa"/>
        </w:tblCellMar>
        <w:tblLook w:val="04A0" w:firstRow="1" w:lastRow="0" w:firstColumn="1" w:lastColumn="0" w:noHBand="0" w:noVBand="1"/>
      </w:tblPr>
      <w:tblGrid>
        <w:gridCol w:w="7020"/>
        <w:gridCol w:w="1732"/>
      </w:tblGrid>
      <w:tr w:rsidR="001618E7" w:rsidRPr="001618E7" w:rsidTr="009C3EC8">
        <w:trPr>
          <w:trHeight w:val="284"/>
          <w:jc w:val="center"/>
        </w:trPr>
        <w:tc>
          <w:tcPr>
            <w:tcW w:w="7020" w:type="dxa"/>
            <w:tcBorders>
              <w:top w:val="single" w:sz="4" w:space="0" w:color="auto"/>
              <w:bottom w:val="single" w:sz="4" w:space="0" w:color="auto"/>
            </w:tcBorders>
            <w:shd w:val="clear" w:color="000000" w:fill="B8CCE4" w:themeFill="accent1" w:themeFillTint="66"/>
            <w:vAlign w:val="center"/>
            <w:hideMark/>
          </w:tcPr>
          <w:p w:rsidR="001618E7" w:rsidRPr="001618E7" w:rsidRDefault="001618E7" w:rsidP="009C3EC8">
            <w:pPr>
              <w:widowControl w:val="0"/>
              <w:spacing w:after="0"/>
              <w:ind w:left="54" w:firstLine="0"/>
              <w:jc w:val="left"/>
              <w:rPr>
                <w:rFonts w:ascii="Arial" w:hAnsi="Arial" w:cs="Arial"/>
                <w:color w:val="000000"/>
                <w:sz w:val="18"/>
                <w:szCs w:val="18"/>
                <w:lang w:eastAsia="es-ES"/>
              </w:rPr>
            </w:pPr>
            <w:r w:rsidRPr="001618E7">
              <w:rPr>
                <w:rFonts w:ascii="Arial" w:hAnsi="Arial" w:cs="Arial"/>
                <w:color w:val="000000"/>
                <w:sz w:val="18"/>
                <w:szCs w:val="18"/>
                <w:lang w:eastAsia="es-ES"/>
              </w:rPr>
              <w:t>Plataformas logísticas en España</w:t>
            </w:r>
          </w:p>
        </w:tc>
        <w:tc>
          <w:tcPr>
            <w:tcW w:w="1732" w:type="dxa"/>
            <w:tcBorders>
              <w:top w:val="single" w:sz="4" w:space="0" w:color="auto"/>
              <w:bottom w:val="single" w:sz="4" w:space="0" w:color="auto"/>
            </w:tcBorders>
            <w:shd w:val="clear" w:color="000000" w:fill="B8CCE4" w:themeFill="accent1" w:themeFillTint="66"/>
            <w:vAlign w:val="center"/>
            <w:hideMark/>
          </w:tcPr>
          <w:p w:rsidR="001618E7" w:rsidRPr="009C3EC8" w:rsidRDefault="001618E7" w:rsidP="009C3EC8">
            <w:pPr>
              <w:widowControl w:val="0"/>
              <w:spacing w:after="0"/>
              <w:ind w:left="284" w:hanging="85"/>
              <w:jc w:val="right"/>
              <w:rPr>
                <w:rFonts w:ascii="Arial Narrow" w:hAnsi="Arial Narrow" w:cs="Arial"/>
                <w:color w:val="000000"/>
                <w:lang w:eastAsia="es-ES"/>
              </w:rPr>
            </w:pPr>
            <w:r w:rsidRPr="009C3EC8">
              <w:rPr>
                <w:rFonts w:ascii="Arial Narrow" w:hAnsi="Arial Narrow" w:cs="Arial"/>
                <w:color w:val="000000"/>
                <w:lang w:eastAsia="es-ES"/>
              </w:rPr>
              <w:t>Extensión m</w:t>
            </w:r>
            <w:r w:rsidRPr="009C3EC8">
              <w:rPr>
                <w:rFonts w:ascii="Arial Narrow" w:hAnsi="Arial Narrow" w:cs="Arial"/>
                <w:color w:val="000000"/>
                <w:vertAlign w:val="superscript"/>
                <w:lang w:eastAsia="es-ES"/>
              </w:rPr>
              <w:t>2</w:t>
            </w:r>
          </w:p>
        </w:tc>
      </w:tr>
      <w:tr w:rsidR="001618E7" w:rsidRPr="001618E7" w:rsidTr="009C3EC8">
        <w:trPr>
          <w:trHeight w:val="284"/>
          <w:jc w:val="center"/>
        </w:trPr>
        <w:tc>
          <w:tcPr>
            <w:tcW w:w="7020" w:type="dxa"/>
            <w:tcBorders>
              <w:top w:val="single" w:sz="4" w:space="0" w:color="auto"/>
              <w:bottom w:val="single" w:sz="2" w:space="0" w:color="auto"/>
            </w:tcBorders>
            <w:shd w:val="clear" w:color="auto" w:fill="auto"/>
            <w:noWrap/>
            <w:vAlign w:val="center"/>
            <w:hideMark/>
          </w:tcPr>
          <w:p w:rsidR="001618E7" w:rsidRPr="0020696B" w:rsidRDefault="001618E7" w:rsidP="009C3EC8">
            <w:pPr>
              <w:spacing w:after="0"/>
              <w:ind w:left="54" w:firstLine="0"/>
              <w:jc w:val="left"/>
              <w:rPr>
                <w:rFonts w:ascii="Arial Narrow" w:hAnsi="Arial Narrow"/>
                <w:color w:val="000000"/>
                <w:lang w:eastAsia="es-ES"/>
              </w:rPr>
            </w:pPr>
            <w:r w:rsidRPr="0020696B">
              <w:rPr>
                <w:rFonts w:ascii="Arial Narrow" w:hAnsi="Arial Narrow"/>
                <w:color w:val="000000"/>
                <w:lang w:eastAsia="es-ES"/>
              </w:rPr>
              <w:t>Centro de transporte de Vitoria</w:t>
            </w:r>
          </w:p>
        </w:tc>
        <w:tc>
          <w:tcPr>
            <w:tcW w:w="1732" w:type="dxa"/>
            <w:tcBorders>
              <w:top w:val="single" w:sz="4" w:space="0" w:color="auto"/>
              <w:bottom w:val="single" w:sz="2" w:space="0" w:color="auto"/>
            </w:tcBorders>
            <w:shd w:val="clear" w:color="auto" w:fill="auto"/>
            <w:noWrap/>
            <w:vAlign w:val="center"/>
            <w:hideMark/>
          </w:tcPr>
          <w:p w:rsidR="001618E7" w:rsidRPr="009C3EC8" w:rsidRDefault="001618E7" w:rsidP="009C3EC8">
            <w:pPr>
              <w:spacing w:after="0"/>
              <w:ind w:left="206" w:right="20" w:firstLine="0"/>
              <w:jc w:val="right"/>
              <w:rPr>
                <w:rFonts w:ascii="Arial Narrow" w:hAnsi="Arial Narrow"/>
                <w:color w:val="000000"/>
                <w:lang w:eastAsia="es-ES"/>
              </w:rPr>
            </w:pPr>
            <w:r w:rsidRPr="009C3EC8">
              <w:rPr>
                <w:rFonts w:ascii="Arial Narrow" w:hAnsi="Arial Narrow"/>
                <w:color w:val="000000"/>
                <w:lang w:eastAsia="es-ES"/>
              </w:rPr>
              <w:t>715.584</w:t>
            </w:r>
          </w:p>
        </w:tc>
      </w:tr>
      <w:tr w:rsidR="001618E7" w:rsidRPr="001618E7" w:rsidTr="009C3EC8">
        <w:trPr>
          <w:trHeight w:val="284"/>
          <w:jc w:val="center"/>
        </w:trPr>
        <w:tc>
          <w:tcPr>
            <w:tcW w:w="7020" w:type="dxa"/>
            <w:tcBorders>
              <w:top w:val="single" w:sz="2" w:space="0" w:color="auto"/>
              <w:bottom w:val="single" w:sz="2" w:space="0" w:color="auto"/>
            </w:tcBorders>
            <w:shd w:val="clear" w:color="auto" w:fill="auto"/>
            <w:noWrap/>
            <w:vAlign w:val="center"/>
            <w:hideMark/>
          </w:tcPr>
          <w:p w:rsidR="001618E7" w:rsidRPr="0020696B" w:rsidRDefault="001618E7" w:rsidP="009C3EC8">
            <w:pPr>
              <w:spacing w:after="0"/>
              <w:ind w:left="54" w:firstLine="0"/>
              <w:jc w:val="left"/>
              <w:rPr>
                <w:rFonts w:ascii="Arial Narrow" w:hAnsi="Arial Narrow"/>
                <w:color w:val="000000"/>
                <w:lang w:eastAsia="es-ES"/>
              </w:rPr>
            </w:pPr>
            <w:r w:rsidRPr="0020696B">
              <w:rPr>
                <w:rFonts w:ascii="Arial Narrow" w:hAnsi="Arial Narrow"/>
                <w:color w:val="000000"/>
                <w:lang w:eastAsia="es-ES"/>
              </w:rPr>
              <w:t>Centro de transportes de Coslada</w:t>
            </w:r>
          </w:p>
        </w:tc>
        <w:tc>
          <w:tcPr>
            <w:tcW w:w="1732" w:type="dxa"/>
            <w:tcBorders>
              <w:top w:val="single" w:sz="2" w:space="0" w:color="auto"/>
              <w:bottom w:val="single" w:sz="2" w:space="0" w:color="auto"/>
            </w:tcBorders>
            <w:shd w:val="clear" w:color="auto" w:fill="auto"/>
            <w:noWrap/>
            <w:vAlign w:val="center"/>
            <w:hideMark/>
          </w:tcPr>
          <w:p w:rsidR="001618E7" w:rsidRPr="009C3EC8" w:rsidRDefault="001618E7" w:rsidP="009C3EC8">
            <w:pPr>
              <w:spacing w:after="0"/>
              <w:ind w:left="206" w:right="20" w:firstLine="0"/>
              <w:jc w:val="right"/>
              <w:rPr>
                <w:rFonts w:ascii="Arial Narrow" w:hAnsi="Arial Narrow"/>
                <w:color w:val="000000"/>
                <w:lang w:eastAsia="es-ES"/>
              </w:rPr>
            </w:pPr>
            <w:r w:rsidRPr="009C3EC8">
              <w:rPr>
                <w:rFonts w:ascii="Arial Narrow" w:hAnsi="Arial Narrow"/>
                <w:color w:val="000000"/>
                <w:lang w:eastAsia="es-ES"/>
              </w:rPr>
              <w:t>1.000.000</w:t>
            </w:r>
          </w:p>
        </w:tc>
      </w:tr>
      <w:tr w:rsidR="001618E7" w:rsidRPr="001618E7" w:rsidTr="009C3EC8">
        <w:trPr>
          <w:trHeight w:val="284"/>
          <w:jc w:val="center"/>
        </w:trPr>
        <w:tc>
          <w:tcPr>
            <w:tcW w:w="7020" w:type="dxa"/>
            <w:tcBorders>
              <w:top w:val="single" w:sz="2" w:space="0" w:color="auto"/>
              <w:bottom w:val="single" w:sz="2" w:space="0" w:color="auto"/>
            </w:tcBorders>
            <w:shd w:val="clear" w:color="auto" w:fill="auto"/>
            <w:noWrap/>
            <w:vAlign w:val="center"/>
            <w:hideMark/>
          </w:tcPr>
          <w:p w:rsidR="001618E7" w:rsidRPr="0020696B" w:rsidRDefault="001618E7" w:rsidP="009C3EC8">
            <w:pPr>
              <w:spacing w:after="0"/>
              <w:ind w:left="54" w:firstLine="0"/>
              <w:jc w:val="left"/>
              <w:rPr>
                <w:rFonts w:ascii="Arial Narrow" w:hAnsi="Arial Narrow"/>
                <w:color w:val="000000"/>
                <w:lang w:eastAsia="es-ES"/>
              </w:rPr>
            </w:pPr>
            <w:r w:rsidRPr="0020696B">
              <w:rPr>
                <w:rFonts w:ascii="Arial Narrow" w:hAnsi="Arial Narrow"/>
                <w:color w:val="000000"/>
                <w:lang w:eastAsia="es-ES"/>
              </w:rPr>
              <w:t>Centro integrado de mercancías de Valladolid</w:t>
            </w:r>
          </w:p>
        </w:tc>
        <w:tc>
          <w:tcPr>
            <w:tcW w:w="1732" w:type="dxa"/>
            <w:tcBorders>
              <w:top w:val="single" w:sz="2" w:space="0" w:color="auto"/>
              <w:bottom w:val="single" w:sz="2" w:space="0" w:color="auto"/>
            </w:tcBorders>
            <w:shd w:val="clear" w:color="auto" w:fill="auto"/>
            <w:noWrap/>
            <w:vAlign w:val="center"/>
            <w:hideMark/>
          </w:tcPr>
          <w:p w:rsidR="001618E7" w:rsidRPr="009C3EC8" w:rsidRDefault="001618E7" w:rsidP="009C3EC8">
            <w:pPr>
              <w:spacing w:after="0"/>
              <w:ind w:left="206" w:right="20" w:firstLine="0"/>
              <w:jc w:val="right"/>
              <w:rPr>
                <w:rFonts w:ascii="Arial Narrow" w:hAnsi="Arial Narrow"/>
                <w:color w:val="000000"/>
                <w:lang w:eastAsia="es-ES"/>
              </w:rPr>
            </w:pPr>
            <w:r w:rsidRPr="009C3EC8">
              <w:rPr>
                <w:rFonts w:ascii="Arial Narrow" w:hAnsi="Arial Narrow"/>
                <w:color w:val="000000"/>
                <w:lang w:eastAsia="es-ES"/>
              </w:rPr>
              <w:t>125.316</w:t>
            </w:r>
          </w:p>
        </w:tc>
      </w:tr>
      <w:tr w:rsidR="001618E7" w:rsidRPr="001618E7" w:rsidTr="009C3EC8">
        <w:trPr>
          <w:trHeight w:val="284"/>
          <w:jc w:val="center"/>
        </w:trPr>
        <w:tc>
          <w:tcPr>
            <w:tcW w:w="7020" w:type="dxa"/>
            <w:tcBorders>
              <w:top w:val="single" w:sz="2" w:space="0" w:color="auto"/>
              <w:bottom w:val="single" w:sz="2" w:space="0" w:color="auto"/>
            </w:tcBorders>
            <w:shd w:val="clear" w:color="auto" w:fill="auto"/>
            <w:noWrap/>
            <w:vAlign w:val="center"/>
            <w:hideMark/>
          </w:tcPr>
          <w:p w:rsidR="001618E7" w:rsidRPr="0020696B" w:rsidRDefault="001618E7" w:rsidP="009C3EC8">
            <w:pPr>
              <w:spacing w:after="0"/>
              <w:ind w:left="54" w:firstLine="0"/>
              <w:jc w:val="left"/>
              <w:rPr>
                <w:rFonts w:ascii="Arial Narrow" w:hAnsi="Arial Narrow"/>
                <w:color w:val="000000"/>
                <w:lang w:eastAsia="es-ES"/>
              </w:rPr>
            </w:pPr>
            <w:r w:rsidRPr="0020696B">
              <w:rPr>
                <w:rFonts w:ascii="Arial Narrow" w:hAnsi="Arial Narrow"/>
                <w:color w:val="000000"/>
                <w:lang w:eastAsia="es-ES"/>
              </w:rPr>
              <w:t>Ciudad del transporte de mercancías de Sevilla</w:t>
            </w:r>
          </w:p>
        </w:tc>
        <w:tc>
          <w:tcPr>
            <w:tcW w:w="1732" w:type="dxa"/>
            <w:tcBorders>
              <w:top w:val="single" w:sz="2" w:space="0" w:color="auto"/>
              <w:bottom w:val="single" w:sz="2" w:space="0" w:color="auto"/>
            </w:tcBorders>
            <w:shd w:val="clear" w:color="auto" w:fill="auto"/>
            <w:noWrap/>
            <w:vAlign w:val="center"/>
            <w:hideMark/>
          </w:tcPr>
          <w:p w:rsidR="001618E7" w:rsidRPr="009C3EC8" w:rsidRDefault="001618E7" w:rsidP="009C3EC8">
            <w:pPr>
              <w:spacing w:after="0"/>
              <w:ind w:left="206" w:right="20" w:firstLine="0"/>
              <w:jc w:val="right"/>
              <w:rPr>
                <w:rFonts w:ascii="Arial Narrow" w:hAnsi="Arial Narrow"/>
                <w:color w:val="000000"/>
                <w:lang w:eastAsia="es-ES"/>
              </w:rPr>
            </w:pPr>
            <w:r w:rsidRPr="009C3EC8">
              <w:rPr>
                <w:rFonts w:ascii="Arial Narrow" w:hAnsi="Arial Narrow"/>
                <w:color w:val="000000"/>
                <w:lang w:eastAsia="es-ES"/>
              </w:rPr>
              <w:t>252.745</w:t>
            </w:r>
          </w:p>
        </w:tc>
      </w:tr>
      <w:tr w:rsidR="001618E7" w:rsidRPr="001618E7" w:rsidTr="009C3EC8">
        <w:trPr>
          <w:trHeight w:val="284"/>
          <w:jc w:val="center"/>
        </w:trPr>
        <w:tc>
          <w:tcPr>
            <w:tcW w:w="7020" w:type="dxa"/>
            <w:tcBorders>
              <w:top w:val="single" w:sz="2" w:space="0" w:color="auto"/>
              <w:bottom w:val="single" w:sz="2" w:space="0" w:color="auto"/>
            </w:tcBorders>
            <w:shd w:val="clear" w:color="auto" w:fill="auto"/>
            <w:noWrap/>
            <w:vAlign w:val="center"/>
            <w:hideMark/>
          </w:tcPr>
          <w:p w:rsidR="001618E7" w:rsidRPr="0020696B" w:rsidRDefault="001618E7" w:rsidP="009C3EC8">
            <w:pPr>
              <w:spacing w:after="0"/>
              <w:ind w:left="54" w:firstLine="0"/>
              <w:jc w:val="left"/>
              <w:rPr>
                <w:rFonts w:ascii="Arial Narrow" w:hAnsi="Arial Narrow"/>
                <w:color w:val="000000"/>
                <w:lang w:eastAsia="es-ES"/>
              </w:rPr>
            </w:pPr>
            <w:r w:rsidRPr="0020696B">
              <w:rPr>
                <w:rFonts w:ascii="Arial Narrow" w:hAnsi="Arial Narrow"/>
                <w:color w:val="000000"/>
                <w:lang w:eastAsia="es-ES"/>
              </w:rPr>
              <w:t>Zona de Actividades logísticas de la zona franca de  Barcelona</w:t>
            </w:r>
          </w:p>
        </w:tc>
        <w:tc>
          <w:tcPr>
            <w:tcW w:w="1732" w:type="dxa"/>
            <w:tcBorders>
              <w:top w:val="single" w:sz="2" w:space="0" w:color="auto"/>
              <w:bottom w:val="single" w:sz="2" w:space="0" w:color="auto"/>
            </w:tcBorders>
            <w:shd w:val="clear" w:color="auto" w:fill="auto"/>
            <w:noWrap/>
            <w:vAlign w:val="center"/>
            <w:hideMark/>
          </w:tcPr>
          <w:p w:rsidR="001618E7" w:rsidRPr="009C3EC8" w:rsidRDefault="001618E7" w:rsidP="009C3EC8">
            <w:pPr>
              <w:spacing w:after="0"/>
              <w:ind w:left="206" w:right="20" w:firstLine="0"/>
              <w:jc w:val="right"/>
              <w:rPr>
                <w:rFonts w:ascii="Arial Narrow" w:hAnsi="Arial Narrow"/>
                <w:color w:val="000000"/>
                <w:lang w:eastAsia="es-ES"/>
              </w:rPr>
            </w:pPr>
            <w:r w:rsidRPr="009C3EC8">
              <w:rPr>
                <w:rFonts w:ascii="Arial Narrow" w:hAnsi="Arial Narrow"/>
                <w:color w:val="000000"/>
                <w:lang w:eastAsia="es-ES"/>
              </w:rPr>
              <w:t>400.000</w:t>
            </w:r>
          </w:p>
        </w:tc>
      </w:tr>
      <w:tr w:rsidR="001618E7" w:rsidRPr="001618E7" w:rsidTr="009C3EC8">
        <w:trPr>
          <w:trHeight w:val="284"/>
          <w:jc w:val="center"/>
        </w:trPr>
        <w:tc>
          <w:tcPr>
            <w:tcW w:w="7020" w:type="dxa"/>
            <w:tcBorders>
              <w:top w:val="single" w:sz="2" w:space="0" w:color="auto"/>
              <w:bottom w:val="single" w:sz="2" w:space="0" w:color="auto"/>
            </w:tcBorders>
            <w:shd w:val="clear" w:color="auto" w:fill="auto"/>
            <w:noWrap/>
            <w:vAlign w:val="center"/>
            <w:hideMark/>
          </w:tcPr>
          <w:p w:rsidR="001618E7" w:rsidRPr="0020696B" w:rsidRDefault="001618E7" w:rsidP="009C3EC8">
            <w:pPr>
              <w:spacing w:after="0"/>
              <w:ind w:left="54" w:firstLine="0"/>
              <w:jc w:val="left"/>
              <w:rPr>
                <w:rFonts w:ascii="Arial Narrow" w:hAnsi="Arial Narrow"/>
                <w:color w:val="000000"/>
                <w:lang w:eastAsia="es-ES"/>
              </w:rPr>
            </w:pPr>
            <w:r w:rsidRPr="0020696B">
              <w:rPr>
                <w:rFonts w:ascii="Arial Narrow" w:hAnsi="Arial Narrow"/>
                <w:color w:val="000000"/>
                <w:lang w:eastAsia="es-ES"/>
              </w:rPr>
              <w:t>Plataforma logística Puerto de Vigo</w:t>
            </w:r>
          </w:p>
        </w:tc>
        <w:tc>
          <w:tcPr>
            <w:tcW w:w="1732" w:type="dxa"/>
            <w:tcBorders>
              <w:top w:val="single" w:sz="2" w:space="0" w:color="auto"/>
              <w:bottom w:val="single" w:sz="2" w:space="0" w:color="auto"/>
            </w:tcBorders>
            <w:shd w:val="clear" w:color="auto" w:fill="auto"/>
            <w:noWrap/>
            <w:vAlign w:val="center"/>
            <w:hideMark/>
          </w:tcPr>
          <w:p w:rsidR="001618E7" w:rsidRPr="009C3EC8" w:rsidRDefault="001618E7" w:rsidP="009C3EC8">
            <w:pPr>
              <w:spacing w:after="0"/>
              <w:ind w:left="206" w:right="20" w:firstLine="0"/>
              <w:jc w:val="right"/>
              <w:rPr>
                <w:rFonts w:ascii="Arial Narrow" w:hAnsi="Arial Narrow"/>
                <w:color w:val="000000"/>
                <w:lang w:eastAsia="es-ES"/>
              </w:rPr>
            </w:pPr>
            <w:r w:rsidRPr="009C3EC8">
              <w:rPr>
                <w:rFonts w:ascii="Arial Narrow" w:hAnsi="Arial Narrow"/>
                <w:color w:val="000000"/>
                <w:lang w:eastAsia="es-ES"/>
              </w:rPr>
              <w:t>4.300.000</w:t>
            </w:r>
          </w:p>
        </w:tc>
      </w:tr>
      <w:tr w:rsidR="001618E7" w:rsidRPr="001618E7" w:rsidTr="009C3EC8">
        <w:trPr>
          <w:trHeight w:val="284"/>
          <w:jc w:val="center"/>
        </w:trPr>
        <w:tc>
          <w:tcPr>
            <w:tcW w:w="7020" w:type="dxa"/>
            <w:tcBorders>
              <w:top w:val="single" w:sz="2" w:space="0" w:color="auto"/>
              <w:bottom w:val="single" w:sz="2" w:space="0" w:color="auto"/>
            </w:tcBorders>
            <w:shd w:val="clear" w:color="auto" w:fill="auto"/>
            <w:noWrap/>
            <w:vAlign w:val="center"/>
            <w:hideMark/>
          </w:tcPr>
          <w:p w:rsidR="001618E7" w:rsidRPr="0020696B" w:rsidRDefault="001618E7" w:rsidP="009C3EC8">
            <w:pPr>
              <w:spacing w:after="0"/>
              <w:ind w:left="54" w:firstLine="0"/>
              <w:jc w:val="left"/>
              <w:rPr>
                <w:rFonts w:ascii="Arial Narrow" w:hAnsi="Arial Narrow"/>
                <w:color w:val="000000"/>
                <w:lang w:eastAsia="es-ES"/>
              </w:rPr>
            </w:pPr>
            <w:r w:rsidRPr="0020696B">
              <w:rPr>
                <w:rFonts w:ascii="Arial Narrow" w:hAnsi="Arial Narrow"/>
                <w:color w:val="000000"/>
                <w:lang w:eastAsia="es-ES"/>
              </w:rPr>
              <w:t xml:space="preserve">Plataforma logística Zaragoza (PLAZA). </w:t>
            </w:r>
          </w:p>
        </w:tc>
        <w:tc>
          <w:tcPr>
            <w:tcW w:w="1732" w:type="dxa"/>
            <w:tcBorders>
              <w:top w:val="single" w:sz="2" w:space="0" w:color="auto"/>
              <w:bottom w:val="single" w:sz="2" w:space="0" w:color="auto"/>
            </w:tcBorders>
            <w:shd w:val="clear" w:color="auto" w:fill="auto"/>
            <w:noWrap/>
            <w:vAlign w:val="center"/>
            <w:hideMark/>
          </w:tcPr>
          <w:p w:rsidR="001618E7" w:rsidRPr="009C3EC8" w:rsidRDefault="001618E7" w:rsidP="009C3EC8">
            <w:pPr>
              <w:spacing w:after="0"/>
              <w:ind w:left="206" w:right="20" w:firstLine="0"/>
              <w:jc w:val="right"/>
              <w:rPr>
                <w:rFonts w:ascii="Arial Narrow" w:hAnsi="Arial Narrow"/>
                <w:color w:val="000000"/>
                <w:lang w:eastAsia="es-ES"/>
              </w:rPr>
            </w:pPr>
            <w:r w:rsidRPr="009C3EC8">
              <w:rPr>
                <w:rFonts w:ascii="Arial Narrow" w:hAnsi="Arial Narrow"/>
                <w:color w:val="000000"/>
                <w:lang w:eastAsia="es-ES"/>
              </w:rPr>
              <w:t>12.063.674</w:t>
            </w:r>
          </w:p>
        </w:tc>
      </w:tr>
      <w:tr w:rsidR="001618E7" w:rsidRPr="001618E7" w:rsidTr="009C3EC8">
        <w:trPr>
          <w:trHeight w:val="284"/>
          <w:jc w:val="center"/>
        </w:trPr>
        <w:tc>
          <w:tcPr>
            <w:tcW w:w="7020" w:type="dxa"/>
            <w:tcBorders>
              <w:top w:val="single" w:sz="2" w:space="0" w:color="auto"/>
              <w:bottom w:val="single" w:sz="4" w:space="0" w:color="auto"/>
            </w:tcBorders>
            <w:shd w:val="clear" w:color="auto" w:fill="auto"/>
            <w:vAlign w:val="center"/>
            <w:hideMark/>
          </w:tcPr>
          <w:p w:rsidR="001618E7" w:rsidRPr="0020696B" w:rsidRDefault="001618E7" w:rsidP="009C3EC8">
            <w:pPr>
              <w:spacing w:after="0"/>
              <w:ind w:left="54" w:firstLine="0"/>
              <w:jc w:val="left"/>
              <w:rPr>
                <w:rFonts w:ascii="Arial Narrow" w:hAnsi="Arial Narrow"/>
                <w:color w:val="000000"/>
                <w:lang w:eastAsia="es-ES"/>
              </w:rPr>
            </w:pPr>
            <w:r w:rsidRPr="0020696B">
              <w:rPr>
                <w:rFonts w:ascii="Arial Narrow" w:hAnsi="Arial Narrow"/>
                <w:color w:val="000000"/>
                <w:lang w:eastAsia="es-ES"/>
              </w:rPr>
              <w:t>Centro integral de actividades  y mercancías logísticas Barcelona</w:t>
            </w:r>
          </w:p>
        </w:tc>
        <w:tc>
          <w:tcPr>
            <w:tcW w:w="1732" w:type="dxa"/>
            <w:tcBorders>
              <w:top w:val="single" w:sz="2" w:space="0" w:color="auto"/>
              <w:bottom w:val="single" w:sz="4" w:space="0" w:color="auto"/>
            </w:tcBorders>
            <w:shd w:val="clear" w:color="auto" w:fill="auto"/>
            <w:noWrap/>
            <w:vAlign w:val="center"/>
            <w:hideMark/>
          </w:tcPr>
          <w:p w:rsidR="001618E7" w:rsidRPr="009C3EC8" w:rsidRDefault="001618E7" w:rsidP="009C3EC8">
            <w:pPr>
              <w:spacing w:after="0"/>
              <w:ind w:left="206" w:right="20" w:firstLine="0"/>
              <w:jc w:val="right"/>
              <w:rPr>
                <w:rFonts w:ascii="Arial Narrow" w:hAnsi="Arial Narrow"/>
                <w:color w:val="000000"/>
                <w:lang w:eastAsia="es-ES"/>
              </w:rPr>
            </w:pPr>
            <w:r w:rsidRPr="009C3EC8">
              <w:rPr>
                <w:rFonts w:ascii="Arial Narrow" w:hAnsi="Arial Narrow"/>
                <w:color w:val="000000"/>
                <w:lang w:eastAsia="es-ES"/>
              </w:rPr>
              <w:t>442.000</w:t>
            </w:r>
          </w:p>
        </w:tc>
      </w:tr>
    </w:tbl>
    <w:p w:rsidR="001618E7" w:rsidRPr="00F97E01" w:rsidRDefault="001618E7" w:rsidP="009C3EC8">
      <w:pPr>
        <w:pStyle w:val="texto"/>
        <w:tabs>
          <w:tab w:val="clear" w:pos="2835"/>
          <w:tab w:val="clear" w:pos="3969"/>
          <w:tab w:val="clear" w:pos="5103"/>
          <w:tab w:val="clear" w:pos="6237"/>
          <w:tab w:val="clear" w:pos="7371"/>
        </w:tabs>
        <w:spacing w:after="0"/>
        <w:rPr>
          <w:szCs w:val="26"/>
        </w:rPr>
      </w:pPr>
    </w:p>
    <w:p w:rsidR="0088433B" w:rsidRPr="00447C6F" w:rsidRDefault="00146A60" w:rsidP="0085177C">
      <w:pPr>
        <w:pStyle w:val="texto"/>
        <w:tabs>
          <w:tab w:val="clear" w:pos="2835"/>
          <w:tab w:val="clear" w:pos="3969"/>
          <w:tab w:val="clear" w:pos="5103"/>
          <w:tab w:val="clear" w:pos="6237"/>
          <w:tab w:val="clear" w:pos="7371"/>
        </w:tabs>
        <w:rPr>
          <w:rFonts w:ascii="Times New (W1)" w:hAnsi="Times New (W1)"/>
          <w:b/>
          <w:szCs w:val="26"/>
        </w:rPr>
      </w:pPr>
      <w:r w:rsidRPr="00447C6F">
        <w:rPr>
          <w:rFonts w:ascii="Times New (W1)" w:hAnsi="Times New (W1)"/>
          <w:b/>
          <w:szCs w:val="26"/>
        </w:rPr>
        <w:t xml:space="preserve">2005 a </w:t>
      </w:r>
      <w:r w:rsidR="007B05A8" w:rsidRPr="00447C6F">
        <w:rPr>
          <w:rFonts w:ascii="Times New (W1)" w:hAnsi="Times New (W1)"/>
          <w:b/>
          <w:szCs w:val="26"/>
        </w:rPr>
        <w:t>20</w:t>
      </w:r>
      <w:r w:rsidR="0022013F" w:rsidRPr="00447C6F">
        <w:rPr>
          <w:rFonts w:ascii="Times New (W1)" w:hAnsi="Times New (W1)"/>
          <w:b/>
          <w:szCs w:val="26"/>
        </w:rPr>
        <w:t>08</w:t>
      </w:r>
    </w:p>
    <w:p w:rsidR="009A637B" w:rsidRPr="00F97E01" w:rsidRDefault="00BD6D28" w:rsidP="001319A7">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rsidRPr="00F97E01">
        <w:t>Mediante</w:t>
      </w:r>
      <w:r w:rsidR="0080297B" w:rsidRPr="00F97E01">
        <w:t xml:space="preserve"> el</w:t>
      </w:r>
      <w:r w:rsidRPr="00F97E01">
        <w:t xml:space="preserve"> Decreto Foral 15/2005</w:t>
      </w:r>
      <w:bookmarkStart w:id="30" w:name="tm_385745013"/>
      <w:r w:rsidRPr="00F97E01">
        <w:t xml:space="preserve">, de 24 de enero, </w:t>
      </w:r>
      <w:bookmarkEnd w:id="30"/>
      <w:r w:rsidRPr="00F97E01">
        <w:t>se declara urgente, a efectos de expropiación forzosa, la ocupación de los bienes y derechos afect</w:t>
      </w:r>
      <w:r w:rsidRPr="00F97E01">
        <w:t>a</w:t>
      </w:r>
      <w:r w:rsidRPr="00F97E01">
        <w:t>dos</w:t>
      </w:r>
      <w:r w:rsidR="009A637B" w:rsidRPr="00F97E01">
        <w:t xml:space="preserve"> por el plan de ampliación de la Ciudad del Transporte</w:t>
      </w:r>
      <w:r w:rsidR="0067281D" w:rsidRPr="00F97E01">
        <w:t xml:space="preserve"> relativos a la 3ª y 4ª fase</w:t>
      </w:r>
      <w:r w:rsidRPr="00F97E01">
        <w:t xml:space="preserve">. </w:t>
      </w:r>
      <w:r w:rsidR="009A637B" w:rsidRPr="00F97E01">
        <w:t>Esta declaración de urgencia lleva pareja la ocupación de los bienes y d</w:t>
      </w:r>
      <w:r w:rsidR="009A637B" w:rsidRPr="00F97E01">
        <w:t>e</w:t>
      </w:r>
      <w:r w:rsidR="009A637B" w:rsidRPr="00F97E01">
        <w:t>rechos afectados por el referido plan, asumiendo la sociedad CTP, SA la cond</w:t>
      </w:r>
      <w:r w:rsidR="009A637B" w:rsidRPr="00F97E01">
        <w:t>i</w:t>
      </w:r>
      <w:r w:rsidR="009A637B" w:rsidRPr="00F97E01">
        <w:t>ción de beneficiaria de la expropiación.</w:t>
      </w:r>
    </w:p>
    <w:p w:rsidR="009A637B" w:rsidRPr="00F97E01" w:rsidRDefault="005C3D3F" w:rsidP="009A637B">
      <w:pPr>
        <w:pStyle w:val="texto"/>
        <w:tabs>
          <w:tab w:val="clear" w:pos="2835"/>
          <w:tab w:val="clear" w:pos="3969"/>
          <w:tab w:val="clear" w:pos="5103"/>
          <w:tab w:val="clear" w:pos="6237"/>
          <w:tab w:val="clear" w:pos="7371"/>
        </w:tabs>
        <w:rPr>
          <w:szCs w:val="26"/>
        </w:rPr>
      </w:pPr>
      <w:r w:rsidRPr="00F97E01">
        <w:rPr>
          <w:szCs w:val="26"/>
        </w:rPr>
        <w:t>Ante la falta de entendimiento</w:t>
      </w:r>
      <w:r w:rsidR="009D5E16">
        <w:rPr>
          <w:szCs w:val="26"/>
        </w:rPr>
        <w:t xml:space="preserve"> con los propietarios</w:t>
      </w:r>
      <w:r w:rsidRPr="00F97E01">
        <w:rPr>
          <w:szCs w:val="26"/>
        </w:rPr>
        <w:t>, en enero de 2007 se tra</w:t>
      </w:r>
      <w:r w:rsidRPr="00F97E01">
        <w:rPr>
          <w:szCs w:val="26"/>
        </w:rPr>
        <w:t>s</w:t>
      </w:r>
      <w:r w:rsidRPr="00F97E01">
        <w:rPr>
          <w:szCs w:val="26"/>
        </w:rPr>
        <w:t>lada al Jurado de Expropiación de Navarra el expediente y las hojas de aprecio.</w:t>
      </w:r>
    </w:p>
    <w:p w:rsidR="005C3D3F" w:rsidRPr="00F97E01" w:rsidRDefault="005C3D3F" w:rsidP="009A637B">
      <w:pPr>
        <w:pStyle w:val="texto"/>
        <w:tabs>
          <w:tab w:val="clear" w:pos="2835"/>
          <w:tab w:val="clear" w:pos="3969"/>
          <w:tab w:val="clear" w:pos="5103"/>
          <w:tab w:val="clear" w:pos="6237"/>
          <w:tab w:val="clear" w:pos="7371"/>
        </w:tabs>
        <w:rPr>
          <w:szCs w:val="26"/>
        </w:rPr>
      </w:pPr>
      <w:r w:rsidRPr="00F97E01">
        <w:rPr>
          <w:szCs w:val="26"/>
        </w:rPr>
        <w:t>El 30 de abril de 2008, el Jurado determina un justiprecio de 20,01 €/m</w:t>
      </w:r>
      <w:r w:rsidRPr="00E436EF">
        <w:rPr>
          <w:szCs w:val="26"/>
          <w:vertAlign w:val="superscript"/>
        </w:rPr>
        <w:t>2</w:t>
      </w:r>
      <w:r w:rsidRPr="00F97E01">
        <w:rPr>
          <w:szCs w:val="26"/>
        </w:rPr>
        <w:t xml:space="preserve"> más el cinco por ciento de premio de afección</w:t>
      </w:r>
      <w:r w:rsidR="0066281B">
        <w:rPr>
          <w:szCs w:val="26"/>
        </w:rPr>
        <w:t>, esto es, en precio de 21,01</w:t>
      </w:r>
      <w:r w:rsidR="0066281B" w:rsidRPr="00F97E01">
        <w:rPr>
          <w:szCs w:val="26"/>
        </w:rPr>
        <w:t>€/m</w:t>
      </w:r>
      <w:r w:rsidR="0066281B" w:rsidRPr="00E436EF">
        <w:rPr>
          <w:szCs w:val="26"/>
          <w:vertAlign w:val="superscript"/>
        </w:rPr>
        <w:t>2</w:t>
      </w:r>
      <w:r w:rsidRPr="00F97E01">
        <w:rPr>
          <w:szCs w:val="26"/>
        </w:rPr>
        <w:t>.</w:t>
      </w:r>
    </w:p>
    <w:p w:rsidR="00BD6D28" w:rsidRDefault="00C11E29" w:rsidP="001319A7">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rsidRPr="00BF2CC0">
        <w:t xml:space="preserve">En marzo de 2005, la sociedad </w:t>
      </w:r>
      <w:r w:rsidR="00E747C6">
        <w:t xml:space="preserve">pública </w:t>
      </w:r>
      <w:r w:rsidRPr="00BF2CC0">
        <w:t xml:space="preserve">CTP, SA convoca </w:t>
      </w:r>
      <w:r w:rsidR="00E747C6">
        <w:t xml:space="preserve">un </w:t>
      </w:r>
      <w:r w:rsidRPr="00BF2CC0">
        <w:t>concurso para la</w:t>
      </w:r>
      <w:r w:rsidR="00DC3902">
        <w:t>s</w:t>
      </w:r>
      <w:r w:rsidRPr="00BF2CC0">
        <w:t xml:space="preserve"> </w:t>
      </w:r>
      <w:r w:rsidR="00DC3902">
        <w:t xml:space="preserve">obras y </w:t>
      </w:r>
      <w:r w:rsidRPr="00BF2CC0">
        <w:t>promoción de la 3ª fase de la Ciudad del Transporte.</w:t>
      </w:r>
      <w:bookmarkStart w:id="31" w:name="tm_385744965"/>
      <w:bookmarkStart w:id="32" w:name="tm_385745032"/>
      <w:r w:rsidRPr="00BF2CC0">
        <w:t xml:space="preserve"> </w:t>
      </w:r>
      <w:bookmarkEnd w:id="31"/>
      <w:bookmarkEnd w:id="32"/>
    </w:p>
    <w:p w:rsidR="004D22FC" w:rsidRPr="00BF2CC0" w:rsidRDefault="004D22FC" w:rsidP="004D22FC">
      <w:pPr>
        <w:pStyle w:val="texto"/>
        <w:tabs>
          <w:tab w:val="clear" w:pos="2835"/>
          <w:tab w:val="clear" w:pos="3969"/>
          <w:tab w:val="clear" w:pos="5103"/>
          <w:tab w:val="clear" w:pos="6237"/>
          <w:tab w:val="clear" w:pos="7371"/>
        </w:tabs>
        <w:ind w:left="290" w:firstLine="0"/>
      </w:pPr>
    </w:p>
    <w:p w:rsidR="00BD6D28" w:rsidRPr="00BF2CC0" w:rsidRDefault="00BD6D28" w:rsidP="00BD6D28">
      <w:pPr>
        <w:pStyle w:val="texto"/>
        <w:tabs>
          <w:tab w:val="clear" w:pos="2835"/>
          <w:tab w:val="clear" w:pos="3969"/>
          <w:tab w:val="clear" w:pos="5103"/>
          <w:tab w:val="clear" w:pos="6237"/>
          <w:tab w:val="clear" w:pos="7371"/>
        </w:tabs>
        <w:rPr>
          <w:szCs w:val="26"/>
        </w:rPr>
      </w:pPr>
      <w:r w:rsidRPr="00BF2CC0">
        <w:rPr>
          <w:szCs w:val="26"/>
        </w:rPr>
        <w:t xml:space="preserve">Por acuerdo adoptado en sesión del consejo de administración de </w:t>
      </w:r>
      <w:r w:rsidR="00D27D57" w:rsidRPr="00BF2CC0">
        <w:rPr>
          <w:szCs w:val="26"/>
        </w:rPr>
        <w:t>CTP,SA</w:t>
      </w:r>
      <w:r w:rsidRPr="00BF2CC0">
        <w:rPr>
          <w:szCs w:val="26"/>
        </w:rPr>
        <w:t xml:space="preserve"> de 1 de marzo de 2006, se adjudicó el citado concurso a la UTE formada por las empresas Sanco y Construcciones G.M., única oferta presentada, formalizánd</w:t>
      </w:r>
      <w:r w:rsidRPr="00BF2CC0">
        <w:rPr>
          <w:szCs w:val="26"/>
        </w:rPr>
        <w:t>o</w:t>
      </w:r>
      <w:r w:rsidRPr="00BF2CC0">
        <w:rPr>
          <w:szCs w:val="26"/>
        </w:rPr>
        <w:t>se el correspondiente contrato con fecha 17 de marzo de 2006</w:t>
      </w:r>
      <w:bookmarkStart w:id="33" w:name="tm_385744966"/>
      <w:r w:rsidRPr="00BF2CC0">
        <w:rPr>
          <w:szCs w:val="26"/>
        </w:rPr>
        <w:t xml:space="preserve">. </w:t>
      </w:r>
      <w:bookmarkEnd w:id="33"/>
      <w:r w:rsidR="0066281B">
        <w:rPr>
          <w:szCs w:val="26"/>
        </w:rPr>
        <w:t>Esta UTE es la misma que desarrolló las dos fases anteriores de la CTP.</w:t>
      </w:r>
    </w:p>
    <w:p w:rsidR="0045572F" w:rsidRPr="00381762" w:rsidRDefault="0045572F" w:rsidP="001319A7">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rsidRPr="00381762">
        <w:t>En 2007, CTP, SA formalizó un crédito con tres entidades financieras por importe total de 13 millones de euros y cuya finalidad era financiar</w:t>
      </w:r>
      <w:r w:rsidR="0066281B" w:rsidRPr="00381762">
        <w:t xml:space="preserve"> parcialme</w:t>
      </w:r>
      <w:r w:rsidR="0066281B" w:rsidRPr="00381762">
        <w:t>n</w:t>
      </w:r>
      <w:r w:rsidR="0066281B" w:rsidRPr="00381762">
        <w:t>te</w:t>
      </w:r>
      <w:r w:rsidRPr="00381762">
        <w:t xml:space="preserve"> las inversiones derivadas de desarrollo de la 3ª fase. Este crédito </w:t>
      </w:r>
      <w:r w:rsidR="00511F33">
        <w:t>está</w:t>
      </w:r>
      <w:r w:rsidR="00BC0323" w:rsidRPr="00381762">
        <w:t xml:space="preserve"> canc</w:t>
      </w:r>
      <w:r w:rsidR="00BC0323" w:rsidRPr="00381762">
        <w:t>e</w:t>
      </w:r>
      <w:r w:rsidR="00BC0323" w:rsidRPr="00381762">
        <w:t>lado en 2017.</w:t>
      </w:r>
      <w:r w:rsidRPr="00381762">
        <w:t xml:space="preserve"> </w:t>
      </w:r>
    </w:p>
    <w:p w:rsidR="00DC3902" w:rsidRPr="00DC3902" w:rsidRDefault="00494AD9" w:rsidP="00BF2CC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sidRPr="00BF2CC0">
        <w:t xml:space="preserve">En </w:t>
      </w:r>
      <w:r w:rsidR="00DC3902">
        <w:t>febrero</w:t>
      </w:r>
      <w:r w:rsidRPr="00BF2CC0">
        <w:t xml:space="preserve"> de 2007 se iniciaron las obras de urbanización de la 3ª fase, obras que finalizan en julio de 2012. </w:t>
      </w:r>
    </w:p>
    <w:p w:rsidR="00222057" w:rsidRPr="00447C6F" w:rsidRDefault="00222057" w:rsidP="00222057">
      <w:pPr>
        <w:pStyle w:val="texto"/>
        <w:tabs>
          <w:tab w:val="clear" w:pos="2835"/>
          <w:tab w:val="clear" w:pos="3969"/>
          <w:tab w:val="clear" w:pos="5103"/>
          <w:tab w:val="clear" w:pos="6237"/>
          <w:tab w:val="clear" w:pos="7371"/>
        </w:tabs>
        <w:rPr>
          <w:rFonts w:ascii="Times New (W1)" w:hAnsi="Times New (W1)"/>
          <w:b/>
          <w:szCs w:val="26"/>
        </w:rPr>
      </w:pPr>
      <w:r w:rsidRPr="00447C6F">
        <w:rPr>
          <w:rFonts w:ascii="Times New (W1)" w:hAnsi="Times New (W1)"/>
          <w:b/>
          <w:szCs w:val="26"/>
        </w:rPr>
        <w:t>2009 a 2017</w:t>
      </w:r>
    </w:p>
    <w:p w:rsidR="00D83645" w:rsidRPr="00CC5EB1" w:rsidRDefault="00D83645" w:rsidP="00D83645">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rsidRPr="000F5AD9">
        <w:t>La comercialización de las parcelas de la 3ª fase comienza en 2009 hasta 2013, año en que se firma el último contrato</w:t>
      </w:r>
      <w:r w:rsidRPr="00CC5EB1">
        <w:t xml:space="preserve"> de compraventa.</w:t>
      </w:r>
      <w:bookmarkStart w:id="34" w:name="tm_385745305"/>
      <w:r w:rsidRPr="00CC5EB1">
        <w:t xml:space="preserve"> </w:t>
      </w:r>
      <w:bookmarkEnd w:id="34"/>
      <w:r w:rsidRPr="00CC5EB1">
        <w:t>En la actualidad, Nasuvinsa</w:t>
      </w:r>
      <w:r w:rsidR="004E1982">
        <w:t xml:space="preserve"> </w:t>
      </w:r>
      <w:r w:rsidR="009C3EC8">
        <w:t>–</w:t>
      </w:r>
      <w:r w:rsidR="004E1982">
        <w:t>como sociedad gestora de la CT</w:t>
      </w:r>
      <w:r w:rsidR="009C3EC8">
        <w:t>–</w:t>
      </w:r>
      <w:r w:rsidRPr="00CC5EB1">
        <w:t xml:space="preserve"> conserva el 46 por ciento de los terrenos.</w:t>
      </w:r>
    </w:p>
    <w:p w:rsidR="00222057" w:rsidRPr="00F97E01" w:rsidRDefault="00222057" w:rsidP="00222057">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sidRPr="00F97E01">
        <w:rPr>
          <w:szCs w:val="26"/>
        </w:rPr>
        <w:t>Tanto la sociedad</w:t>
      </w:r>
      <w:r>
        <w:rPr>
          <w:szCs w:val="26"/>
        </w:rPr>
        <w:t xml:space="preserve"> gestora</w:t>
      </w:r>
      <w:r w:rsidRPr="00F97E01">
        <w:rPr>
          <w:szCs w:val="26"/>
        </w:rPr>
        <w:t xml:space="preserve"> como los expropiados presentaron recurso</w:t>
      </w:r>
      <w:r w:rsidR="004E1982">
        <w:rPr>
          <w:szCs w:val="26"/>
        </w:rPr>
        <w:t>s</w:t>
      </w:r>
      <w:r w:rsidRPr="00F97E01">
        <w:rPr>
          <w:szCs w:val="26"/>
        </w:rPr>
        <w:t xml:space="preserve"> a la resolución del Jurado</w:t>
      </w:r>
      <w:r>
        <w:rPr>
          <w:szCs w:val="26"/>
        </w:rPr>
        <w:t xml:space="preserve"> de Expropiación</w:t>
      </w:r>
      <w:r w:rsidRPr="00F97E01">
        <w:rPr>
          <w:szCs w:val="26"/>
        </w:rPr>
        <w:t xml:space="preserve"> ante la Sala de lo Contencioso-Administrativo del TSJN. Entre 2009 y 2010, esta Sala emite distintas sente</w:t>
      </w:r>
      <w:r w:rsidRPr="00F97E01">
        <w:rPr>
          <w:szCs w:val="26"/>
        </w:rPr>
        <w:t>n</w:t>
      </w:r>
      <w:r w:rsidRPr="00F97E01">
        <w:rPr>
          <w:szCs w:val="26"/>
        </w:rPr>
        <w:t>cias ratificando el justiprecio fijado por el Jurado de Expropiación, es decir, 20,01 €/m</w:t>
      </w:r>
      <w:r w:rsidRPr="00E436EF">
        <w:rPr>
          <w:szCs w:val="26"/>
          <w:vertAlign w:val="superscript"/>
        </w:rPr>
        <w:t>2</w:t>
      </w:r>
      <w:r w:rsidRPr="00F97E01">
        <w:rPr>
          <w:szCs w:val="26"/>
        </w:rPr>
        <w:t xml:space="preserve"> más el cinco por ciento de premio de afección.</w:t>
      </w:r>
    </w:p>
    <w:p w:rsidR="00222057" w:rsidRPr="00F97E01" w:rsidRDefault="00222057" w:rsidP="00222057">
      <w:pPr>
        <w:pStyle w:val="texto"/>
        <w:tabs>
          <w:tab w:val="clear" w:pos="2835"/>
          <w:tab w:val="clear" w:pos="3969"/>
          <w:tab w:val="clear" w:pos="5103"/>
          <w:tab w:val="clear" w:pos="6237"/>
          <w:tab w:val="clear" w:pos="7371"/>
        </w:tabs>
        <w:rPr>
          <w:szCs w:val="26"/>
        </w:rPr>
      </w:pPr>
      <w:r w:rsidRPr="00F97E01">
        <w:rPr>
          <w:szCs w:val="26"/>
        </w:rPr>
        <w:t xml:space="preserve">Ante estas sentencias, </w:t>
      </w:r>
      <w:r w:rsidR="0066281B">
        <w:rPr>
          <w:szCs w:val="26"/>
        </w:rPr>
        <w:t xml:space="preserve">los propietarios </w:t>
      </w:r>
      <w:r w:rsidRPr="00F97E01">
        <w:rPr>
          <w:szCs w:val="26"/>
        </w:rPr>
        <w:t>presentan recurso de casación an</w:t>
      </w:r>
      <w:r w:rsidR="00D225E3">
        <w:rPr>
          <w:szCs w:val="26"/>
        </w:rPr>
        <w:t xml:space="preserve">te el Tribunal Supremo, el cual, </w:t>
      </w:r>
      <w:r w:rsidRPr="00F97E01">
        <w:rPr>
          <w:szCs w:val="26"/>
        </w:rPr>
        <w:t>a finales de 2012</w:t>
      </w:r>
      <w:r w:rsidR="004E1982">
        <w:rPr>
          <w:szCs w:val="26"/>
        </w:rPr>
        <w:t>,</w:t>
      </w:r>
      <w:r w:rsidRPr="00F97E01">
        <w:rPr>
          <w:szCs w:val="26"/>
        </w:rPr>
        <w:t xml:space="preserve"> </w:t>
      </w:r>
      <w:r w:rsidR="004E1982">
        <w:rPr>
          <w:szCs w:val="26"/>
        </w:rPr>
        <w:t>fija las nuevas bases para la d</w:t>
      </w:r>
      <w:r w:rsidR="004E1982">
        <w:rPr>
          <w:szCs w:val="26"/>
        </w:rPr>
        <w:t>e</w:t>
      </w:r>
      <w:r w:rsidR="004E1982">
        <w:rPr>
          <w:szCs w:val="26"/>
        </w:rPr>
        <w:t>terminación del justiprecio de los terrenos, remitiendo al TSJN para su concr</w:t>
      </w:r>
      <w:r w:rsidR="004E1982">
        <w:rPr>
          <w:szCs w:val="26"/>
        </w:rPr>
        <w:t>e</w:t>
      </w:r>
      <w:r w:rsidR="004E1982">
        <w:rPr>
          <w:szCs w:val="26"/>
        </w:rPr>
        <w:t>ción.</w:t>
      </w:r>
    </w:p>
    <w:p w:rsidR="00222057" w:rsidRPr="00F97E01" w:rsidRDefault="00222057" w:rsidP="00222057">
      <w:pPr>
        <w:pStyle w:val="texto"/>
        <w:tabs>
          <w:tab w:val="clear" w:pos="2835"/>
          <w:tab w:val="clear" w:pos="3969"/>
          <w:tab w:val="clear" w:pos="5103"/>
          <w:tab w:val="clear" w:pos="6237"/>
          <w:tab w:val="clear" w:pos="7371"/>
        </w:tabs>
        <w:rPr>
          <w:szCs w:val="26"/>
        </w:rPr>
      </w:pPr>
      <w:r w:rsidRPr="00F97E01">
        <w:rPr>
          <w:szCs w:val="26"/>
        </w:rPr>
        <w:t>En marzo</w:t>
      </w:r>
      <w:r>
        <w:rPr>
          <w:szCs w:val="26"/>
        </w:rPr>
        <w:t xml:space="preserve"> de 2015 </w:t>
      </w:r>
      <w:r w:rsidRPr="00F97E01">
        <w:rPr>
          <w:szCs w:val="26"/>
        </w:rPr>
        <w:t xml:space="preserve">el </w:t>
      </w:r>
      <w:r w:rsidR="009365B9">
        <w:rPr>
          <w:szCs w:val="26"/>
        </w:rPr>
        <w:t>TSJN</w:t>
      </w:r>
      <w:bookmarkStart w:id="35" w:name="tm_385745136"/>
      <w:r w:rsidRPr="00F97E01">
        <w:rPr>
          <w:szCs w:val="26"/>
        </w:rPr>
        <w:t xml:space="preserve"> </w:t>
      </w:r>
      <w:bookmarkEnd w:id="35"/>
      <w:r w:rsidRPr="00F97E01">
        <w:rPr>
          <w:szCs w:val="26"/>
        </w:rPr>
        <w:t>fija un justiprecio de la expropiación que oscila entre 53,06 y 57,09 €/m</w:t>
      </w:r>
      <w:r w:rsidRPr="00E436EF">
        <w:rPr>
          <w:szCs w:val="26"/>
          <w:vertAlign w:val="superscript"/>
        </w:rPr>
        <w:t>2</w:t>
      </w:r>
      <w:r w:rsidRPr="00F97E01">
        <w:rPr>
          <w:szCs w:val="26"/>
        </w:rPr>
        <w:t xml:space="preserve"> más un cinco por ciento de premio de afección y los intereses legales de demora correspondientes.</w:t>
      </w:r>
    </w:p>
    <w:p w:rsidR="00222057" w:rsidRPr="00F97E01" w:rsidRDefault="00222057" w:rsidP="003A5644">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sidRPr="00F97E01">
        <w:rPr>
          <w:szCs w:val="26"/>
        </w:rPr>
        <w:t>En mayo de 2017 se aprueba la Ley Foral 5/2017, de concesión de un cr</w:t>
      </w:r>
      <w:r w:rsidRPr="00F97E01">
        <w:rPr>
          <w:szCs w:val="26"/>
        </w:rPr>
        <w:t>é</w:t>
      </w:r>
      <w:r w:rsidRPr="00F97E01">
        <w:rPr>
          <w:szCs w:val="26"/>
        </w:rPr>
        <w:t>dito extraordinario de 25 millones de euros a la partida “Transferencias corrie</w:t>
      </w:r>
      <w:r w:rsidRPr="00F97E01">
        <w:rPr>
          <w:szCs w:val="26"/>
        </w:rPr>
        <w:t>n</w:t>
      </w:r>
      <w:r w:rsidRPr="00F97E01">
        <w:rPr>
          <w:szCs w:val="26"/>
        </w:rPr>
        <w:t>tes a Nasuvinsa. Sentencia Ciudad del Transporte” para hacer frente a la</w:t>
      </w:r>
      <w:r w:rsidR="002D2772">
        <w:rPr>
          <w:szCs w:val="26"/>
        </w:rPr>
        <w:t>s</w:t>
      </w:r>
      <w:r w:rsidRPr="00F97E01">
        <w:rPr>
          <w:szCs w:val="26"/>
        </w:rPr>
        <w:t xml:space="preserve"> se</w:t>
      </w:r>
      <w:r w:rsidRPr="00F97E01">
        <w:rPr>
          <w:szCs w:val="26"/>
        </w:rPr>
        <w:t>n</w:t>
      </w:r>
      <w:r w:rsidRPr="00F97E01">
        <w:rPr>
          <w:szCs w:val="26"/>
        </w:rPr>
        <w:t>tencia</w:t>
      </w:r>
      <w:r w:rsidR="002D2772">
        <w:rPr>
          <w:szCs w:val="26"/>
        </w:rPr>
        <w:t>s</w:t>
      </w:r>
      <w:r w:rsidRPr="00F97E01">
        <w:rPr>
          <w:szCs w:val="26"/>
        </w:rPr>
        <w:t xml:space="preserve"> sobre fijación de justiprecio del Plan de Ampliación de la C</w:t>
      </w:r>
      <w:r w:rsidR="00E930DA">
        <w:rPr>
          <w:szCs w:val="26"/>
        </w:rPr>
        <w:t>T</w:t>
      </w:r>
      <w:r w:rsidRPr="00F97E01">
        <w:rPr>
          <w:szCs w:val="26"/>
        </w:rPr>
        <w:t>. Igua</w:t>
      </w:r>
      <w:r w:rsidRPr="00F97E01">
        <w:rPr>
          <w:szCs w:val="26"/>
        </w:rPr>
        <w:t>l</w:t>
      </w:r>
      <w:r w:rsidRPr="00F97E01">
        <w:rPr>
          <w:szCs w:val="26"/>
        </w:rPr>
        <w:t>mente en dicha Ley Foral se modifica la Ley Foral 24/2016, de Presupuestos Generales de Navarra para 2017, en el sentido de declarar como ampliable la citada partida de Nasuvinsa.</w:t>
      </w:r>
    </w:p>
    <w:p w:rsidR="00494AD9" w:rsidRDefault="00222057" w:rsidP="005D48D7">
      <w:pPr>
        <w:pStyle w:val="texto"/>
        <w:tabs>
          <w:tab w:val="clear" w:pos="2835"/>
          <w:tab w:val="clear" w:pos="3969"/>
          <w:tab w:val="clear" w:pos="5103"/>
          <w:tab w:val="clear" w:pos="6237"/>
          <w:tab w:val="clear" w:pos="7371"/>
        </w:tabs>
        <w:rPr>
          <w:szCs w:val="26"/>
        </w:rPr>
      </w:pPr>
      <w:r w:rsidRPr="00F97E01">
        <w:rPr>
          <w:szCs w:val="26"/>
        </w:rPr>
        <w:t>Por acuerdo del Gobierno de Navarra de 19 de julio de 2017 se amplía el crédito de dicha partida en 26,5 millones de euros.</w:t>
      </w:r>
    </w:p>
    <w:p w:rsidR="004D22FC" w:rsidRPr="00DC3902" w:rsidRDefault="004D22FC" w:rsidP="005D48D7">
      <w:pPr>
        <w:pStyle w:val="texto"/>
        <w:tabs>
          <w:tab w:val="clear" w:pos="2835"/>
          <w:tab w:val="clear" w:pos="3969"/>
          <w:tab w:val="clear" w:pos="5103"/>
          <w:tab w:val="clear" w:pos="6237"/>
          <w:tab w:val="clear" w:pos="7371"/>
        </w:tabs>
        <w:rPr>
          <w:szCs w:val="26"/>
        </w:rPr>
      </w:pPr>
    </w:p>
    <w:p w:rsidR="0022013F" w:rsidRPr="00447C6F" w:rsidRDefault="0022013F" w:rsidP="0022013F">
      <w:pPr>
        <w:pStyle w:val="texto"/>
        <w:tabs>
          <w:tab w:val="clear" w:pos="2835"/>
          <w:tab w:val="clear" w:pos="3969"/>
          <w:tab w:val="clear" w:pos="5103"/>
          <w:tab w:val="clear" w:pos="6237"/>
          <w:tab w:val="clear" w:pos="7371"/>
        </w:tabs>
        <w:rPr>
          <w:rFonts w:ascii="Times New (W1)" w:hAnsi="Times New (W1)"/>
          <w:b/>
          <w:szCs w:val="26"/>
        </w:rPr>
      </w:pPr>
      <w:r w:rsidRPr="00447C6F">
        <w:rPr>
          <w:rFonts w:ascii="Times New (W1)" w:hAnsi="Times New (W1)"/>
          <w:b/>
          <w:szCs w:val="26"/>
        </w:rPr>
        <w:t>200</w:t>
      </w:r>
      <w:r w:rsidR="00A85782" w:rsidRPr="00447C6F">
        <w:rPr>
          <w:rFonts w:ascii="Times New (W1)" w:hAnsi="Times New (W1)"/>
          <w:b/>
          <w:szCs w:val="26"/>
        </w:rPr>
        <w:t>6</w:t>
      </w:r>
      <w:r w:rsidRPr="00447C6F">
        <w:rPr>
          <w:rFonts w:ascii="Times New (W1)" w:hAnsi="Times New (W1)"/>
          <w:b/>
          <w:szCs w:val="26"/>
        </w:rPr>
        <w:t xml:space="preserve"> a 2017</w:t>
      </w:r>
    </w:p>
    <w:p w:rsidR="00122C42" w:rsidRPr="00122C42" w:rsidRDefault="00122C42" w:rsidP="0022013F">
      <w:pPr>
        <w:pStyle w:val="texto"/>
        <w:tabs>
          <w:tab w:val="clear" w:pos="2835"/>
          <w:tab w:val="clear" w:pos="3969"/>
          <w:tab w:val="clear" w:pos="5103"/>
          <w:tab w:val="clear" w:pos="6237"/>
          <w:tab w:val="clear" w:pos="7371"/>
        </w:tabs>
        <w:rPr>
          <w:szCs w:val="26"/>
        </w:rPr>
      </w:pPr>
      <w:r w:rsidRPr="00122C42">
        <w:rPr>
          <w:szCs w:val="26"/>
        </w:rPr>
        <w:t xml:space="preserve">Sobre la </w:t>
      </w:r>
      <w:r w:rsidRPr="00CB2B34">
        <w:rPr>
          <w:b/>
          <w:szCs w:val="26"/>
        </w:rPr>
        <w:t>4ª fase</w:t>
      </w:r>
      <w:r w:rsidRPr="00122C42">
        <w:rPr>
          <w:szCs w:val="26"/>
        </w:rPr>
        <w:t xml:space="preserve"> de la CT específicamente destacamos</w:t>
      </w:r>
      <w:r>
        <w:rPr>
          <w:szCs w:val="26"/>
        </w:rPr>
        <w:t>:</w:t>
      </w:r>
    </w:p>
    <w:p w:rsidR="00887613" w:rsidRPr="00BF2CC0" w:rsidRDefault="00494AD9" w:rsidP="00494AD9">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rsidRPr="00BF2CC0">
        <w:t>La superficie total</w:t>
      </w:r>
      <w:r w:rsidR="00C14E9F">
        <w:t xml:space="preserve"> inicial</w:t>
      </w:r>
      <w:r w:rsidRPr="00BF2CC0">
        <w:t xml:space="preserve"> que contempla esta 4ª fase es de 390.167 m</w:t>
      </w:r>
      <w:r w:rsidRPr="00E436EF">
        <w:rPr>
          <w:szCs w:val="26"/>
          <w:vertAlign w:val="superscript"/>
        </w:rPr>
        <w:t>2</w:t>
      </w:r>
      <w:r w:rsidRPr="00BF2CC0">
        <w:t>, asignándose el 60 por ciento de esa superficie para parcelas con una edificab</w:t>
      </w:r>
      <w:r w:rsidRPr="00BF2CC0">
        <w:t>i</w:t>
      </w:r>
      <w:r w:rsidRPr="00BF2CC0">
        <w:t>lidad total de 165.196 m</w:t>
      </w:r>
      <w:r w:rsidRPr="00E436EF">
        <w:rPr>
          <w:szCs w:val="26"/>
          <w:vertAlign w:val="superscript"/>
        </w:rPr>
        <w:t>2</w:t>
      </w:r>
      <w:r w:rsidR="006A0EFC" w:rsidRPr="00BF2CC0">
        <w:t>; l</w:t>
      </w:r>
      <w:r w:rsidRPr="00BF2CC0">
        <w:t>a superficie restante corresponde a viales, zonas verdes e infraestructuras.</w:t>
      </w:r>
      <w:r w:rsidR="006A0EFC" w:rsidRPr="00BF2CC0">
        <w:t xml:space="preserve"> </w:t>
      </w:r>
    </w:p>
    <w:p w:rsidR="00887613" w:rsidRPr="00BF2CC0" w:rsidRDefault="006A0EFC" w:rsidP="00494AD9">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rsidRPr="00BF2CC0">
        <w:t>Esta superficie está ordenada por la modificación del PSIS de la ampli</w:t>
      </w:r>
      <w:r w:rsidRPr="00BF2CC0">
        <w:t>a</w:t>
      </w:r>
      <w:r w:rsidRPr="00BF2CC0">
        <w:t>ción de la Ciudad del Transporte aprobada por el Gobierno de Navarra en f</w:t>
      </w:r>
      <w:r w:rsidRPr="00BF2CC0">
        <w:t>e</w:t>
      </w:r>
      <w:r w:rsidRPr="00BF2CC0">
        <w:t xml:space="preserve">brero de 2006; en tal norma se </w:t>
      </w:r>
      <w:r w:rsidR="00887613" w:rsidRPr="00BF2CC0">
        <w:t xml:space="preserve">establece el cuadro de superficies y se </w:t>
      </w:r>
      <w:r w:rsidRPr="00BF2CC0">
        <w:t xml:space="preserve">regulan </w:t>
      </w:r>
      <w:r w:rsidR="00887613" w:rsidRPr="00BF2CC0">
        <w:t xml:space="preserve">los </w:t>
      </w:r>
      <w:r w:rsidRPr="00BF2CC0">
        <w:t>usos pormenorizados</w:t>
      </w:r>
      <w:r w:rsidR="00887613" w:rsidRPr="00BF2CC0">
        <w:t xml:space="preserve"> de esta fase; así</w:t>
      </w:r>
      <w:r w:rsidR="00D83645">
        <w:t>,</w:t>
      </w:r>
      <w:r w:rsidR="00887613" w:rsidRPr="00BF2CC0">
        <w:t xml:space="preserve"> se diferencia</w:t>
      </w:r>
      <w:r w:rsidR="00D83645">
        <w:t>n</w:t>
      </w:r>
      <w:r w:rsidR="00887613" w:rsidRPr="00BF2CC0">
        <w:t xml:space="preserve"> los siguientes usos:</w:t>
      </w:r>
    </w:p>
    <w:p w:rsidR="00887613" w:rsidRPr="00BF2CC0" w:rsidRDefault="00887613" w:rsidP="00887613">
      <w:pPr>
        <w:pStyle w:val="texto"/>
        <w:tabs>
          <w:tab w:val="clear" w:pos="2835"/>
          <w:tab w:val="clear" w:pos="3969"/>
          <w:tab w:val="clear" w:pos="5103"/>
          <w:tab w:val="clear" w:pos="6237"/>
          <w:tab w:val="clear" w:pos="7371"/>
        </w:tabs>
        <w:rPr>
          <w:szCs w:val="26"/>
        </w:rPr>
      </w:pPr>
      <w:r w:rsidRPr="00BF2CC0">
        <w:rPr>
          <w:szCs w:val="26"/>
        </w:rPr>
        <w:t>a) Zona logística polivalente y de equipamiento comunitario</w:t>
      </w:r>
    </w:p>
    <w:p w:rsidR="00887613" w:rsidRPr="00BF2CC0" w:rsidRDefault="00887613" w:rsidP="00887613">
      <w:pPr>
        <w:pStyle w:val="texto"/>
        <w:tabs>
          <w:tab w:val="clear" w:pos="2835"/>
          <w:tab w:val="clear" w:pos="3969"/>
          <w:tab w:val="clear" w:pos="5103"/>
          <w:tab w:val="clear" w:pos="6237"/>
          <w:tab w:val="clear" w:pos="7371"/>
        </w:tabs>
        <w:rPr>
          <w:szCs w:val="26"/>
        </w:rPr>
      </w:pPr>
      <w:r w:rsidRPr="00BF2CC0">
        <w:rPr>
          <w:szCs w:val="26"/>
        </w:rPr>
        <w:t>b) Zona logística intermodal</w:t>
      </w:r>
    </w:p>
    <w:p w:rsidR="00494AD9" w:rsidRPr="00BF2CC0" w:rsidRDefault="00887613" w:rsidP="00887613">
      <w:pPr>
        <w:pStyle w:val="texto"/>
        <w:tabs>
          <w:tab w:val="clear" w:pos="2835"/>
          <w:tab w:val="clear" w:pos="3969"/>
          <w:tab w:val="clear" w:pos="5103"/>
          <w:tab w:val="clear" w:pos="6237"/>
          <w:tab w:val="clear" w:pos="7371"/>
        </w:tabs>
        <w:rPr>
          <w:szCs w:val="26"/>
        </w:rPr>
      </w:pPr>
      <w:r w:rsidRPr="00BF2CC0">
        <w:rPr>
          <w:szCs w:val="26"/>
        </w:rPr>
        <w:t>c) Área o terminal intermodal</w:t>
      </w:r>
      <w:r w:rsidR="006A0EFC" w:rsidRPr="00BF2CC0">
        <w:rPr>
          <w:szCs w:val="26"/>
        </w:rPr>
        <w:t xml:space="preserve">  </w:t>
      </w:r>
    </w:p>
    <w:p w:rsidR="00BC6087" w:rsidRPr="00BF2CC0" w:rsidRDefault="00BC6087" w:rsidP="00DC3902">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sidRPr="00BF2CC0">
        <w:t>En mayo de 2009, la sociedad CTP,</w:t>
      </w:r>
      <w:r w:rsidR="00494AD9" w:rsidRPr="00BF2CC0">
        <w:t xml:space="preserve"> </w:t>
      </w:r>
      <w:r w:rsidRPr="00BF2CC0">
        <w:t>SA promueve mediante el proced</w:t>
      </w:r>
      <w:r w:rsidRPr="00BF2CC0">
        <w:t>i</w:t>
      </w:r>
      <w:r w:rsidR="00C14E9F">
        <w:t xml:space="preserve">miento </w:t>
      </w:r>
      <w:r w:rsidRPr="00BF2CC0">
        <w:t xml:space="preserve">negociado sin publicidad comunitaria la contratación de un estudio de viabilidad para la 4ª fase de la Ciudad del Transporte. </w:t>
      </w:r>
      <w:r w:rsidR="00B95F0F">
        <w:t>Entre las</w:t>
      </w:r>
      <w:r w:rsidR="00DC3902">
        <w:t xml:space="preserve"> conclusiones del </w:t>
      </w:r>
      <w:r w:rsidR="00B95F0F">
        <w:t>mismo destacamos que la CT no dispondrá, de momento, de accesibilidad directa con la red ferroviaria.</w:t>
      </w:r>
    </w:p>
    <w:p w:rsidR="00B64996" w:rsidRPr="00BF2CC0" w:rsidRDefault="00BC6087" w:rsidP="0022013F">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rsidRPr="00BF2CC0">
        <w:t>En abril de 2010 se firma un acuerdo de colaboración entre ADIF y A</w:t>
      </w:r>
      <w:r w:rsidR="004E1982">
        <w:t>NL</w:t>
      </w:r>
      <w:r w:rsidRPr="00BF2CC0">
        <w:t xml:space="preserve"> con el objetivo de analizar la viabilidad de la integración de los centros logíst</w:t>
      </w:r>
      <w:r w:rsidRPr="00BF2CC0">
        <w:t>i</w:t>
      </w:r>
      <w:r w:rsidRPr="00BF2CC0">
        <w:t>cos de Noain y la 4ª fase de la Ciudad del Transporte</w:t>
      </w:r>
      <w:r w:rsidR="00E64C57" w:rsidRPr="00BF2CC0">
        <w:t>, coordinar sus respectivas actuaciones y analizar las fórmulas jurídicas y de gestión bajo las cuales podría llevar a cabo dicha integración, si resultase factible.</w:t>
      </w:r>
    </w:p>
    <w:p w:rsidR="00DB4205" w:rsidRPr="00BF2CC0" w:rsidRDefault="00BF1C11" w:rsidP="00B95F0F">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sidRPr="00BF2CC0">
        <w:rPr>
          <w:szCs w:val="26"/>
        </w:rPr>
        <w:t>Resultado de l</w:t>
      </w:r>
      <w:r w:rsidR="00494AD9" w:rsidRPr="00BF2CC0">
        <w:rPr>
          <w:szCs w:val="26"/>
        </w:rPr>
        <w:t>as</w:t>
      </w:r>
      <w:r w:rsidRPr="00BF2CC0">
        <w:rPr>
          <w:szCs w:val="26"/>
        </w:rPr>
        <w:t xml:space="preserve"> conclusi</w:t>
      </w:r>
      <w:r w:rsidR="00494AD9" w:rsidRPr="00BF2CC0">
        <w:rPr>
          <w:szCs w:val="26"/>
        </w:rPr>
        <w:t xml:space="preserve">ones del </w:t>
      </w:r>
      <w:r w:rsidR="00B95F0F">
        <w:rPr>
          <w:szCs w:val="26"/>
        </w:rPr>
        <w:t>estudio anterior</w:t>
      </w:r>
      <w:r w:rsidR="00DB4205" w:rsidRPr="00BF2CC0">
        <w:rPr>
          <w:szCs w:val="26"/>
        </w:rPr>
        <w:t xml:space="preserve"> se procede a rep</w:t>
      </w:r>
      <w:r w:rsidR="00494AD9" w:rsidRPr="00BF2CC0">
        <w:rPr>
          <w:szCs w:val="26"/>
        </w:rPr>
        <w:t>lantea</w:t>
      </w:r>
      <w:r w:rsidR="00494AD9" w:rsidRPr="00BF2CC0">
        <w:rPr>
          <w:szCs w:val="26"/>
        </w:rPr>
        <w:t>r</w:t>
      </w:r>
      <w:r w:rsidR="00494AD9" w:rsidRPr="00BF2CC0">
        <w:rPr>
          <w:szCs w:val="26"/>
        </w:rPr>
        <w:t>se</w:t>
      </w:r>
      <w:r w:rsidR="00DB4205" w:rsidRPr="00BF2CC0">
        <w:rPr>
          <w:szCs w:val="26"/>
        </w:rPr>
        <w:t xml:space="preserve"> toda la fase 4ª, teniendo en cuenta que los terrenos ya están</w:t>
      </w:r>
      <w:r w:rsidR="00DB4205">
        <w:rPr>
          <w:rFonts w:ascii="Times New (W1)" w:hAnsi="Times New (W1)"/>
          <w:szCs w:val="26"/>
        </w:rPr>
        <w:t xml:space="preserve"> </w:t>
      </w:r>
      <w:r w:rsidR="00DB4205" w:rsidRPr="00BF2CC0">
        <w:rPr>
          <w:szCs w:val="26"/>
        </w:rPr>
        <w:t xml:space="preserve">expropiados y </w:t>
      </w:r>
      <w:r w:rsidR="00494AD9" w:rsidRPr="00BF2CC0">
        <w:rPr>
          <w:szCs w:val="26"/>
        </w:rPr>
        <w:t>aprobadas las actas de ocupación.</w:t>
      </w:r>
    </w:p>
    <w:p w:rsidR="009362C3" w:rsidRPr="00BF2CC0" w:rsidRDefault="009362C3" w:rsidP="00B95F0F">
      <w:pPr>
        <w:pStyle w:val="texto"/>
        <w:tabs>
          <w:tab w:val="clear" w:pos="2835"/>
          <w:tab w:val="clear" w:pos="3969"/>
          <w:tab w:val="clear" w:pos="5103"/>
          <w:tab w:val="clear" w:pos="6237"/>
          <w:tab w:val="clear" w:pos="7371"/>
        </w:tabs>
      </w:pPr>
      <w:r w:rsidRPr="00BF2CC0">
        <w:t xml:space="preserve">El </w:t>
      </w:r>
      <w:r w:rsidR="00C72991" w:rsidRPr="00BF2CC0">
        <w:t xml:space="preserve">nuevo </w:t>
      </w:r>
      <w:r w:rsidRPr="00BF2CC0">
        <w:t>objetivo que se plantea es direccionar el crecimiento en el transpo</w:t>
      </w:r>
      <w:r w:rsidRPr="00BF2CC0">
        <w:t>r</w:t>
      </w:r>
      <w:r w:rsidRPr="00BF2CC0">
        <w:t>te de larga distancia hacia el ferrocarril, resulta</w:t>
      </w:r>
      <w:r w:rsidR="00C14E9F">
        <w:t>n</w:t>
      </w:r>
      <w:r w:rsidRPr="00BF2CC0">
        <w:t xml:space="preserve">do tal objetivo factible en la Ciudad del </w:t>
      </w:r>
      <w:r w:rsidR="00C11E29" w:rsidRPr="00BF2CC0">
        <w:t>Transporte</w:t>
      </w:r>
      <w:r w:rsidR="002A06B4" w:rsidRPr="00BF2CC0">
        <w:t xml:space="preserve"> </w:t>
      </w:r>
      <w:r w:rsidRPr="00BF2CC0">
        <w:t>debido a la proximidad de la estación de m</w:t>
      </w:r>
      <w:r w:rsidR="00FD28CF" w:rsidRPr="00BF2CC0">
        <w:t xml:space="preserve">ercancías de Noáin, </w:t>
      </w:r>
      <w:r w:rsidR="002E2D86" w:rsidRPr="00BF2CC0">
        <w:t>aunque s</w:t>
      </w:r>
      <w:r w:rsidR="00FD28CF" w:rsidRPr="00BF2CC0">
        <w:t xml:space="preserve">in excluir a largo plazo la posible conexión directa desde la CT con </w:t>
      </w:r>
      <w:r w:rsidR="002E2D86" w:rsidRPr="00BF2CC0">
        <w:t xml:space="preserve">la </w:t>
      </w:r>
      <w:r w:rsidR="00FD28CF" w:rsidRPr="00BF2CC0">
        <w:t>red ferroviaria.</w:t>
      </w:r>
    </w:p>
    <w:p w:rsidR="009362C3" w:rsidRPr="00BF2CC0" w:rsidRDefault="00494AD9" w:rsidP="00B95F0F">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sidRPr="00BF2CC0">
        <w:rPr>
          <w:szCs w:val="26"/>
        </w:rPr>
        <w:t>En 2017 se inician las primeras obras de explanación de los terrenos y la redacción de una modificación del PSIS de ampliación de la Ciudad del Tran</w:t>
      </w:r>
      <w:r w:rsidRPr="00BF2CC0">
        <w:rPr>
          <w:szCs w:val="26"/>
        </w:rPr>
        <w:t>s</w:t>
      </w:r>
      <w:r w:rsidRPr="00BF2CC0">
        <w:rPr>
          <w:szCs w:val="26"/>
        </w:rPr>
        <w:t>porte –</w:t>
      </w:r>
      <w:r w:rsidR="002A394A">
        <w:rPr>
          <w:szCs w:val="26"/>
        </w:rPr>
        <w:t>en tramitación por el</w:t>
      </w:r>
      <w:r w:rsidRPr="00BF2CC0">
        <w:rPr>
          <w:szCs w:val="26"/>
        </w:rPr>
        <w:t xml:space="preserve"> Gobierno de Navarra </w:t>
      </w:r>
      <w:r w:rsidR="002A394A">
        <w:rPr>
          <w:szCs w:val="26"/>
        </w:rPr>
        <w:t>desde</w:t>
      </w:r>
      <w:r w:rsidRPr="00BF2CC0">
        <w:rPr>
          <w:szCs w:val="26"/>
        </w:rPr>
        <w:t xml:space="preserve"> septiembre de 2017</w:t>
      </w:r>
      <w:r w:rsidR="00CF0DE8">
        <w:rPr>
          <w:szCs w:val="26"/>
        </w:rPr>
        <w:t>–</w:t>
      </w:r>
      <w:r w:rsidRPr="00BF2CC0">
        <w:rPr>
          <w:szCs w:val="26"/>
        </w:rPr>
        <w:t>.</w:t>
      </w:r>
      <w:r w:rsidR="009362C3" w:rsidRPr="00BF2CC0">
        <w:rPr>
          <w:szCs w:val="26"/>
        </w:rPr>
        <w:t xml:space="preserve"> La finalidad </w:t>
      </w:r>
      <w:r w:rsidR="00C14E9F">
        <w:rPr>
          <w:szCs w:val="26"/>
        </w:rPr>
        <w:t xml:space="preserve">es realizar y terminar </w:t>
      </w:r>
      <w:r w:rsidRPr="00BF2CC0">
        <w:rPr>
          <w:szCs w:val="26"/>
        </w:rPr>
        <w:t xml:space="preserve">las obras de urbanización para </w:t>
      </w:r>
      <w:r w:rsidR="001E10E0">
        <w:rPr>
          <w:szCs w:val="26"/>
        </w:rPr>
        <w:t xml:space="preserve">que </w:t>
      </w:r>
      <w:r w:rsidRPr="00BF2CC0">
        <w:rPr>
          <w:szCs w:val="26"/>
        </w:rPr>
        <w:t>Nasuvi</w:t>
      </w:r>
      <w:r w:rsidRPr="00BF2CC0">
        <w:rPr>
          <w:szCs w:val="26"/>
        </w:rPr>
        <w:t>n</w:t>
      </w:r>
      <w:r w:rsidRPr="00BF2CC0">
        <w:rPr>
          <w:szCs w:val="26"/>
        </w:rPr>
        <w:t xml:space="preserve">sa </w:t>
      </w:r>
      <w:r w:rsidR="001E10E0">
        <w:rPr>
          <w:szCs w:val="26"/>
        </w:rPr>
        <w:t xml:space="preserve">pueda </w:t>
      </w:r>
      <w:r w:rsidRPr="00BF2CC0">
        <w:rPr>
          <w:szCs w:val="26"/>
        </w:rPr>
        <w:t xml:space="preserve"> rentabilizar esos terrenos. </w:t>
      </w:r>
    </w:p>
    <w:p w:rsidR="004D22FC" w:rsidRDefault="004D22FC" w:rsidP="005D48D7">
      <w:pPr>
        <w:spacing w:after="0"/>
        <w:ind w:firstLine="0"/>
        <w:jc w:val="left"/>
        <w:rPr>
          <w:szCs w:val="26"/>
        </w:rPr>
      </w:pPr>
    </w:p>
    <w:p w:rsidR="007D1B53" w:rsidRPr="005D48D7" w:rsidRDefault="005D48D7" w:rsidP="005D48D7">
      <w:pPr>
        <w:spacing w:after="0"/>
        <w:ind w:firstLine="0"/>
        <w:jc w:val="left"/>
        <w:rPr>
          <w:spacing w:val="6"/>
          <w:sz w:val="26"/>
          <w:szCs w:val="26"/>
        </w:rPr>
      </w:pPr>
      <w:r>
        <w:rPr>
          <w:szCs w:val="26"/>
        </w:rPr>
        <w:br w:type="page"/>
      </w:r>
    </w:p>
    <w:p w:rsidR="007D1B53" w:rsidRDefault="007D1B53" w:rsidP="007D1B53">
      <w:pPr>
        <w:pStyle w:val="texto"/>
        <w:tabs>
          <w:tab w:val="clear" w:pos="2835"/>
          <w:tab w:val="clear" w:pos="3969"/>
          <w:tab w:val="clear" w:pos="5103"/>
          <w:tab w:val="clear" w:pos="6237"/>
          <w:tab w:val="clear" w:pos="7371"/>
        </w:tabs>
        <w:rPr>
          <w:rFonts w:ascii="Times New (W1)" w:hAnsi="Times New (W1)"/>
          <w:szCs w:val="26"/>
        </w:rPr>
      </w:pPr>
      <w:r w:rsidRPr="00BF2CC0">
        <w:rPr>
          <w:szCs w:val="26"/>
        </w:rPr>
        <w:t xml:space="preserve">Finalmente se muestra una evolución fotográfica de la construcción de la Ciudad del Transporte de Pamplona. </w:t>
      </w:r>
    </w:p>
    <w:p w:rsidR="007D1B53" w:rsidRPr="007D1B53" w:rsidRDefault="007D1B53" w:rsidP="00494AD9">
      <w:pPr>
        <w:pStyle w:val="texto"/>
        <w:tabs>
          <w:tab w:val="clear" w:pos="2835"/>
          <w:tab w:val="clear" w:pos="3969"/>
          <w:tab w:val="clear" w:pos="5103"/>
          <w:tab w:val="clear" w:pos="6237"/>
          <w:tab w:val="clear" w:pos="7371"/>
          <w:tab w:val="num" w:pos="600"/>
        </w:tabs>
        <w:rPr>
          <w:rFonts w:ascii="Times New (W1)" w:hAnsi="Times New (W1)"/>
          <w:b/>
          <w:i/>
          <w:szCs w:val="26"/>
        </w:rPr>
      </w:pPr>
      <w:r w:rsidRPr="007D1B53">
        <w:rPr>
          <w:rFonts w:ascii="Times New (W1)" w:hAnsi="Times New (W1)"/>
          <w:b/>
          <w:i/>
          <w:szCs w:val="26"/>
        </w:rPr>
        <w:t>1997</w:t>
      </w:r>
      <w:r w:rsidR="002B5540">
        <w:rPr>
          <w:rFonts w:ascii="Times New (W1)" w:hAnsi="Times New (W1)"/>
          <w:b/>
          <w:i/>
          <w:szCs w:val="26"/>
        </w:rPr>
        <w:t xml:space="preserve"> (1ª fase)</w:t>
      </w:r>
    </w:p>
    <w:p w:rsidR="007D1B53" w:rsidRDefault="007D1B53" w:rsidP="00494AD9">
      <w:pPr>
        <w:pStyle w:val="texto"/>
        <w:tabs>
          <w:tab w:val="clear" w:pos="2835"/>
          <w:tab w:val="clear" w:pos="3969"/>
          <w:tab w:val="clear" w:pos="5103"/>
          <w:tab w:val="clear" w:pos="6237"/>
          <w:tab w:val="clear" w:pos="7371"/>
          <w:tab w:val="num" w:pos="600"/>
        </w:tabs>
        <w:rPr>
          <w:rFonts w:ascii="Times New (W1)" w:hAnsi="Times New (W1)"/>
          <w:szCs w:val="26"/>
        </w:rPr>
      </w:pPr>
      <w:r>
        <w:rPr>
          <w:rFonts w:ascii="Arial" w:hAnsi="Arial" w:cs="Arial"/>
          <w:noProof/>
          <w:sz w:val="19"/>
          <w:szCs w:val="19"/>
          <w:lang w:val="es-ES" w:eastAsia="es-ES"/>
        </w:rPr>
        <w:drawing>
          <wp:inline distT="0" distB="0" distL="0" distR="0" wp14:anchorId="15B12787" wp14:editId="484613D3">
            <wp:extent cx="5581015" cy="3219529"/>
            <wp:effectExtent l="0" t="0" r="635" b="0"/>
            <wp:docPr id="2" name="Imagen 2" descr="http://www.ctpsa.es/images/f19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player" descr="http://www.ctpsa.es/images/f199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1015" cy="3219529"/>
                    </a:xfrm>
                    <a:prstGeom prst="rect">
                      <a:avLst/>
                    </a:prstGeom>
                    <a:noFill/>
                    <a:ln>
                      <a:noFill/>
                    </a:ln>
                  </pic:spPr>
                </pic:pic>
              </a:graphicData>
            </a:graphic>
          </wp:inline>
        </w:drawing>
      </w:r>
    </w:p>
    <w:p w:rsidR="007D1B53" w:rsidRDefault="007D1B53" w:rsidP="00494AD9">
      <w:pPr>
        <w:pStyle w:val="texto"/>
        <w:tabs>
          <w:tab w:val="clear" w:pos="2835"/>
          <w:tab w:val="clear" w:pos="3969"/>
          <w:tab w:val="clear" w:pos="5103"/>
          <w:tab w:val="clear" w:pos="6237"/>
          <w:tab w:val="clear" w:pos="7371"/>
          <w:tab w:val="num" w:pos="600"/>
        </w:tabs>
        <w:rPr>
          <w:rFonts w:ascii="Times New (W1)" w:hAnsi="Times New (W1)"/>
          <w:szCs w:val="26"/>
        </w:rPr>
      </w:pPr>
    </w:p>
    <w:p w:rsidR="007D1B53" w:rsidRPr="007D1B53" w:rsidRDefault="007D1B53" w:rsidP="00494AD9">
      <w:pPr>
        <w:pStyle w:val="texto"/>
        <w:tabs>
          <w:tab w:val="clear" w:pos="2835"/>
          <w:tab w:val="clear" w:pos="3969"/>
          <w:tab w:val="clear" w:pos="5103"/>
          <w:tab w:val="clear" w:pos="6237"/>
          <w:tab w:val="clear" w:pos="7371"/>
          <w:tab w:val="num" w:pos="600"/>
        </w:tabs>
        <w:rPr>
          <w:rFonts w:ascii="Times New (W1)" w:hAnsi="Times New (W1)"/>
          <w:b/>
          <w:i/>
          <w:szCs w:val="26"/>
        </w:rPr>
      </w:pPr>
      <w:r w:rsidRPr="007D1B53">
        <w:rPr>
          <w:rFonts w:ascii="Times New (W1)" w:hAnsi="Times New (W1)"/>
          <w:b/>
          <w:i/>
          <w:szCs w:val="26"/>
        </w:rPr>
        <w:t>2004</w:t>
      </w:r>
      <w:r w:rsidR="002B5540">
        <w:rPr>
          <w:rFonts w:ascii="Times New (W1)" w:hAnsi="Times New (W1)"/>
          <w:b/>
          <w:i/>
          <w:szCs w:val="26"/>
        </w:rPr>
        <w:t xml:space="preserve"> (con la 2ª fase)</w:t>
      </w:r>
    </w:p>
    <w:p w:rsidR="007D1B53" w:rsidRDefault="007D1B53" w:rsidP="00494AD9">
      <w:pPr>
        <w:pStyle w:val="texto"/>
        <w:tabs>
          <w:tab w:val="clear" w:pos="2835"/>
          <w:tab w:val="clear" w:pos="3969"/>
          <w:tab w:val="clear" w:pos="5103"/>
          <w:tab w:val="clear" w:pos="6237"/>
          <w:tab w:val="clear" w:pos="7371"/>
          <w:tab w:val="num" w:pos="600"/>
        </w:tabs>
        <w:rPr>
          <w:rFonts w:ascii="Times New (W1)" w:hAnsi="Times New (W1)"/>
          <w:szCs w:val="26"/>
        </w:rPr>
      </w:pPr>
      <w:r>
        <w:rPr>
          <w:rFonts w:ascii="Arial" w:hAnsi="Arial" w:cs="Arial"/>
          <w:noProof/>
          <w:sz w:val="19"/>
          <w:szCs w:val="19"/>
          <w:lang w:val="es-ES" w:eastAsia="es-ES"/>
        </w:rPr>
        <w:drawing>
          <wp:inline distT="0" distB="0" distL="0" distR="0" wp14:anchorId="43735ED1" wp14:editId="3C09579C">
            <wp:extent cx="5581015" cy="3219529"/>
            <wp:effectExtent l="0" t="0" r="635" b="0"/>
            <wp:docPr id="3" name="Imagen 3" descr="http://www.ctpsa.es/images/f2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player" descr="http://www.ctpsa.es/images/f200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1015" cy="3219529"/>
                    </a:xfrm>
                    <a:prstGeom prst="rect">
                      <a:avLst/>
                    </a:prstGeom>
                    <a:noFill/>
                    <a:ln>
                      <a:noFill/>
                    </a:ln>
                  </pic:spPr>
                </pic:pic>
              </a:graphicData>
            </a:graphic>
          </wp:inline>
        </w:drawing>
      </w:r>
    </w:p>
    <w:p w:rsidR="007D1B53" w:rsidRDefault="007D1B53">
      <w:pPr>
        <w:spacing w:after="0"/>
        <w:ind w:firstLine="0"/>
        <w:jc w:val="left"/>
        <w:rPr>
          <w:rFonts w:ascii="Times New (W1)" w:hAnsi="Times New (W1)"/>
          <w:spacing w:val="6"/>
          <w:sz w:val="26"/>
          <w:szCs w:val="26"/>
        </w:rPr>
      </w:pPr>
      <w:r>
        <w:rPr>
          <w:rFonts w:ascii="Times New (W1)" w:hAnsi="Times New (W1)"/>
          <w:szCs w:val="26"/>
        </w:rPr>
        <w:br w:type="page"/>
      </w:r>
    </w:p>
    <w:p w:rsidR="007D1B53" w:rsidRPr="007D1B53" w:rsidRDefault="007D1B53" w:rsidP="00494AD9">
      <w:pPr>
        <w:pStyle w:val="texto"/>
        <w:tabs>
          <w:tab w:val="clear" w:pos="2835"/>
          <w:tab w:val="clear" w:pos="3969"/>
          <w:tab w:val="clear" w:pos="5103"/>
          <w:tab w:val="clear" w:pos="6237"/>
          <w:tab w:val="clear" w:pos="7371"/>
          <w:tab w:val="num" w:pos="600"/>
        </w:tabs>
        <w:rPr>
          <w:rFonts w:ascii="Times New (W1)" w:hAnsi="Times New (W1)"/>
          <w:b/>
          <w:i/>
          <w:szCs w:val="26"/>
        </w:rPr>
      </w:pPr>
      <w:r w:rsidRPr="007D1B53">
        <w:rPr>
          <w:rFonts w:ascii="Times New (W1)" w:hAnsi="Times New (W1)"/>
          <w:b/>
          <w:i/>
          <w:szCs w:val="26"/>
        </w:rPr>
        <w:t>2010</w:t>
      </w:r>
      <w:r w:rsidR="002B5540">
        <w:rPr>
          <w:rFonts w:ascii="Times New (W1)" w:hAnsi="Times New (W1)"/>
          <w:b/>
          <w:i/>
          <w:szCs w:val="26"/>
        </w:rPr>
        <w:t xml:space="preserve"> (con la 3ª fase)</w:t>
      </w:r>
    </w:p>
    <w:p w:rsidR="007D1B53" w:rsidRDefault="007D1B53" w:rsidP="00494AD9">
      <w:pPr>
        <w:pStyle w:val="texto"/>
        <w:tabs>
          <w:tab w:val="clear" w:pos="2835"/>
          <w:tab w:val="clear" w:pos="3969"/>
          <w:tab w:val="clear" w:pos="5103"/>
          <w:tab w:val="clear" w:pos="6237"/>
          <w:tab w:val="clear" w:pos="7371"/>
          <w:tab w:val="num" w:pos="600"/>
        </w:tabs>
        <w:rPr>
          <w:rFonts w:ascii="Times New (W1)" w:hAnsi="Times New (W1)"/>
          <w:szCs w:val="26"/>
        </w:rPr>
      </w:pPr>
      <w:r>
        <w:rPr>
          <w:rFonts w:ascii="Arial" w:hAnsi="Arial" w:cs="Arial"/>
          <w:noProof/>
          <w:sz w:val="19"/>
          <w:szCs w:val="19"/>
          <w:lang w:val="es-ES" w:eastAsia="es-ES"/>
        </w:rPr>
        <w:drawing>
          <wp:inline distT="0" distB="0" distL="0" distR="0" wp14:anchorId="4D72D3C9" wp14:editId="4933B73C">
            <wp:extent cx="5581015" cy="3219529"/>
            <wp:effectExtent l="0" t="0" r="635" b="0"/>
            <wp:docPr id="5" name="Imagen 5" descr="http://www.ctpsa.es/images/f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player" descr="http://www.ctpsa.es/images/f201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1015" cy="3219529"/>
                    </a:xfrm>
                    <a:prstGeom prst="rect">
                      <a:avLst/>
                    </a:prstGeom>
                    <a:noFill/>
                    <a:ln>
                      <a:noFill/>
                    </a:ln>
                  </pic:spPr>
                </pic:pic>
              </a:graphicData>
            </a:graphic>
          </wp:inline>
        </w:drawing>
      </w:r>
    </w:p>
    <w:p w:rsidR="007D1B53" w:rsidRDefault="007D1B53" w:rsidP="00494AD9">
      <w:pPr>
        <w:pStyle w:val="texto"/>
        <w:tabs>
          <w:tab w:val="clear" w:pos="2835"/>
          <w:tab w:val="clear" w:pos="3969"/>
          <w:tab w:val="clear" w:pos="5103"/>
          <w:tab w:val="clear" w:pos="6237"/>
          <w:tab w:val="clear" w:pos="7371"/>
          <w:tab w:val="num" w:pos="600"/>
        </w:tabs>
        <w:rPr>
          <w:rFonts w:ascii="Times New (W1)" w:hAnsi="Times New (W1)"/>
          <w:szCs w:val="26"/>
        </w:rPr>
      </w:pPr>
    </w:p>
    <w:p w:rsidR="007D1B53" w:rsidRPr="007D1B53" w:rsidRDefault="007D1B53" w:rsidP="007D1B53">
      <w:pPr>
        <w:pStyle w:val="texto"/>
        <w:tabs>
          <w:tab w:val="clear" w:pos="2835"/>
          <w:tab w:val="clear" w:pos="3969"/>
          <w:tab w:val="clear" w:pos="5103"/>
          <w:tab w:val="clear" w:pos="6237"/>
          <w:tab w:val="clear" w:pos="7371"/>
          <w:tab w:val="num" w:pos="600"/>
        </w:tabs>
        <w:rPr>
          <w:rFonts w:ascii="Times New (W1)" w:hAnsi="Times New (W1)"/>
          <w:b/>
          <w:i/>
          <w:szCs w:val="26"/>
        </w:rPr>
      </w:pPr>
      <w:r w:rsidRPr="007D1B53">
        <w:rPr>
          <w:rFonts w:ascii="Times New (W1)" w:hAnsi="Times New (W1)"/>
          <w:b/>
          <w:i/>
          <w:szCs w:val="26"/>
        </w:rPr>
        <w:t>2015</w:t>
      </w:r>
      <w:bookmarkEnd w:id="8"/>
      <w:bookmarkEnd w:id="9"/>
      <w:bookmarkEnd w:id="10"/>
      <w:bookmarkEnd w:id="14"/>
      <w:bookmarkEnd w:id="15"/>
      <w:bookmarkEnd w:id="16"/>
      <w:bookmarkEnd w:id="17"/>
      <w:bookmarkEnd w:id="18"/>
      <w:bookmarkEnd w:id="19"/>
      <w:bookmarkEnd w:id="20"/>
      <w:bookmarkEnd w:id="21"/>
      <w:bookmarkEnd w:id="22"/>
      <w:bookmarkEnd w:id="23"/>
      <w:r>
        <w:rPr>
          <w:rFonts w:ascii="Times New (W1)" w:hAnsi="Times New (W1)"/>
          <w:b/>
          <w:i/>
          <w:szCs w:val="26"/>
        </w:rPr>
        <w:t xml:space="preserve"> (recreación</w:t>
      </w:r>
      <w:r w:rsidR="00E747C6">
        <w:rPr>
          <w:rFonts w:ascii="Times New (W1)" w:hAnsi="Times New (W1)"/>
          <w:b/>
          <w:i/>
          <w:szCs w:val="26"/>
        </w:rPr>
        <w:t xml:space="preserve"> según el PSIS de la ampliación de la CT</w:t>
      </w:r>
      <w:r>
        <w:rPr>
          <w:rFonts w:ascii="Times New (W1)" w:hAnsi="Times New (W1)"/>
          <w:b/>
          <w:i/>
          <w:szCs w:val="26"/>
        </w:rPr>
        <w:t>)</w:t>
      </w:r>
    </w:p>
    <w:p w:rsidR="00D55ED2" w:rsidRDefault="00D55ED2" w:rsidP="00D70674">
      <w:pPr>
        <w:spacing w:after="0"/>
        <w:ind w:firstLine="0"/>
        <w:rPr>
          <w:noProof/>
          <w:lang w:val="es-ES" w:eastAsia="es-ES"/>
        </w:rPr>
      </w:pPr>
      <w:r>
        <w:rPr>
          <w:noProof/>
          <w:lang w:val="es-ES" w:eastAsia="es-ES"/>
        </w:rPr>
        <w:drawing>
          <wp:inline distT="0" distB="0" distL="0" distR="0" wp14:anchorId="6009643E" wp14:editId="63578A7E">
            <wp:extent cx="5581015" cy="3219450"/>
            <wp:effectExtent l="0" t="0" r="635" b="0"/>
            <wp:docPr id="1" name="Imagen 1" descr="http://www.ctpsa.es/images/fotos/21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tpsa.es/images/fotos/21_1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1015" cy="3219450"/>
                    </a:xfrm>
                    <a:prstGeom prst="rect">
                      <a:avLst/>
                    </a:prstGeom>
                    <a:noFill/>
                    <a:ln>
                      <a:noFill/>
                    </a:ln>
                  </pic:spPr>
                </pic:pic>
              </a:graphicData>
            </a:graphic>
          </wp:inline>
        </w:drawing>
      </w:r>
    </w:p>
    <w:p w:rsidR="00D55ED2" w:rsidRDefault="00D55ED2">
      <w:pPr>
        <w:spacing w:after="0"/>
        <w:ind w:firstLine="0"/>
        <w:jc w:val="left"/>
        <w:rPr>
          <w:noProof/>
          <w:lang w:val="es-ES" w:eastAsia="es-ES"/>
        </w:rPr>
      </w:pPr>
    </w:p>
    <w:p w:rsidR="00D55ED2" w:rsidRDefault="00D55ED2">
      <w:pPr>
        <w:spacing w:after="0"/>
        <w:ind w:firstLine="0"/>
        <w:jc w:val="left"/>
        <w:rPr>
          <w:noProof/>
          <w:lang w:val="es-ES" w:eastAsia="es-ES"/>
        </w:rPr>
      </w:pPr>
    </w:p>
    <w:p w:rsidR="00D55ED2" w:rsidRDefault="00D55ED2">
      <w:pPr>
        <w:spacing w:after="0"/>
        <w:ind w:firstLine="0"/>
        <w:jc w:val="left"/>
        <w:rPr>
          <w:noProof/>
          <w:lang w:val="es-ES" w:eastAsia="es-ES"/>
        </w:rPr>
      </w:pPr>
    </w:p>
    <w:p w:rsidR="00D55ED2" w:rsidRDefault="00D55ED2">
      <w:pPr>
        <w:spacing w:after="0"/>
        <w:ind w:firstLine="0"/>
        <w:jc w:val="left"/>
        <w:rPr>
          <w:noProof/>
          <w:lang w:val="es-ES" w:eastAsia="es-ES"/>
        </w:rPr>
      </w:pPr>
    </w:p>
    <w:p w:rsidR="00D55ED2" w:rsidRDefault="00D55ED2">
      <w:pPr>
        <w:spacing w:after="0"/>
        <w:ind w:firstLine="0"/>
        <w:jc w:val="left"/>
        <w:rPr>
          <w:noProof/>
          <w:lang w:val="es-ES" w:eastAsia="es-ES"/>
        </w:rPr>
      </w:pPr>
    </w:p>
    <w:p w:rsidR="00D55ED2" w:rsidRDefault="00D55ED2">
      <w:pPr>
        <w:spacing w:after="0"/>
        <w:ind w:firstLine="0"/>
        <w:jc w:val="left"/>
        <w:rPr>
          <w:noProof/>
          <w:spacing w:val="6"/>
          <w:sz w:val="26"/>
          <w:szCs w:val="24"/>
          <w:lang w:val="es-ES" w:eastAsia="es-ES"/>
        </w:rPr>
      </w:pPr>
      <w:r>
        <w:rPr>
          <w:noProof/>
          <w:lang w:val="es-ES" w:eastAsia="es-ES"/>
        </w:rPr>
        <w:br w:type="page"/>
      </w:r>
    </w:p>
    <w:p w:rsidR="0085177C" w:rsidRDefault="00D55ED2" w:rsidP="00D55ED2">
      <w:pPr>
        <w:pStyle w:val="atitulo1"/>
      </w:pPr>
      <w:bookmarkStart w:id="36" w:name="_Toc515531868"/>
      <w:r>
        <w:t>III. Objetivo, alcance y limitaciones</w:t>
      </w:r>
      <w:bookmarkEnd w:id="36"/>
    </w:p>
    <w:p w:rsidR="00275550" w:rsidRDefault="00275550" w:rsidP="00275550">
      <w:pPr>
        <w:pStyle w:val="texto"/>
        <w:tabs>
          <w:tab w:val="clear" w:pos="2835"/>
          <w:tab w:val="clear" w:pos="3969"/>
          <w:tab w:val="clear" w:pos="5103"/>
          <w:tab w:val="clear" w:pos="6237"/>
          <w:tab w:val="clear" w:pos="7371"/>
        </w:tabs>
        <w:rPr>
          <w:szCs w:val="26"/>
        </w:rPr>
      </w:pPr>
      <w:r>
        <w:rPr>
          <w:szCs w:val="26"/>
        </w:rPr>
        <w:t xml:space="preserve">De acuerdo con la Ley Foral 19/1984, de 20 de diciembre, reguladora de la Cámara de Comptos y atendiendo </w:t>
      </w:r>
      <w:r w:rsidR="00661F60">
        <w:rPr>
          <w:szCs w:val="26"/>
        </w:rPr>
        <w:t xml:space="preserve">a </w:t>
      </w:r>
      <w:r>
        <w:rPr>
          <w:szCs w:val="26"/>
        </w:rPr>
        <w:t>la citada petición parlamentaria, se ha i</w:t>
      </w:r>
      <w:r>
        <w:rPr>
          <w:szCs w:val="26"/>
        </w:rPr>
        <w:t>n</w:t>
      </w:r>
      <w:r>
        <w:rPr>
          <w:szCs w:val="26"/>
        </w:rPr>
        <w:t xml:space="preserve">cluido en su programa de actuación de 2017 la elaboración de un informe sobre </w:t>
      </w:r>
      <w:r w:rsidR="00445041">
        <w:rPr>
          <w:szCs w:val="26"/>
        </w:rPr>
        <w:t xml:space="preserve">la </w:t>
      </w:r>
      <w:r w:rsidRPr="004D22FC">
        <w:rPr>
          <w:szCs w:val="26"/>
        </w:rPr>
        <w:t>“Ciudad del Transporte de</w:t>
      </w:r>
      <w:r w:rsidR="00BD5527" w:rsidRPr="004D22FC">
        <w:rPr>
          <w:szCs w:val="26"/>
        </w:rPr>
        <w:t xml:space="preserve"> la </w:t>
      </w:r>
      <w:r w:rsidR="00A22D4C" w:rsidRPr="004D22FC">
        <w:rPr>
          <w:szCs w:val="26"/>
        </w:rPr>
        <w:t>C</w:t>
      </w:r>
      <w:r w:rsidR="00BD5527" w:rsidRPr="004D22FC">
        <w:rPr>
          <w:szCs w:val="26"/>
        </w:rPr>
        <w:t>omarca de</w:t>
      </w:r>
      <w:r w:rsidRPr="004D22FC">
        <w:rPr>
          <w:szCs w:val="26"/>
        </w:rPr>
        <w:t xml:space="preserve"> Pamplona (1991 a 2017)”.</w:t>
      </w:r>
    </w:p>
    <w:p w:rsidR="00275550" w:rsidRPr="004D22FC" w:rsidRDefault="00275550" w:rsidP="00275550">
      <w:pPr>
        <w:pStyle w:val="texto"/>
        <w:tabs>
          <w:tab w:val="clear" w:pos="2835"/>
          <w:tab w:val="clear" w:pos="3969"/>
          <w:tab w:val="clear" w:pos="5103"/>
          <w:tab w:val="clear" w:pos="6237"/>
          <w:tab w:val="clear" w:pos="7371"/>
        </w:tabs>
        <w:rPr>
          <w:spacing w:val="0"/>
          <w:szCs w:val="26"/>
        </w:rPr>
      </w:pPr>
      <w:r w:rsidRPr="004D22FC">
        <w:rPr>
          <w:spacing w:val="0"/>
          <w:szCs w:val="26"/>
        </w:rPr>
        <w:t>El objetivo de nuestro informe consiste en expresar unas conclusiones acerca de:</w:t>
      </w:r>
    </w:p>
    <w:p w:rsidR="00D55ED2" w:rsidRPr="00BF2CC0" w:rsidRDefault="00275550" w:rsidP="005030BE">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rsidRPr="00BF2CC0">
        <w:t xml:space="preserve">Los instrumentos de planeamiento urbanísticos aplicados para </w:t>
      </w:r>
      <w:r w:rsidR="005030BE" w:rsidRPr="00BF2CC0">
        <w:t>el</w:t>
      </w:r>
      <w:r w:rsidRPr="00BF2CC0">
        <w:t xml:space="preserve"> desarrollo y ejecución</w:t>
      </w:r>
      <w:r w:rsidR="005030BE" w:rsidRPr="00BF2CC0">
        <w:t xml:space="preserve"> de la Ciudad del Transporte de</w:t>
      </w:r>
      <w:r w:rsidR="00BD5527">
        <w:t xml:space="preserve"> la comarca</w:t>
      </w:r>
      <w:r w:rsidR="005030BE" w:rsidRPr="00BF2CC0">
        <w:t xml:space="preserve"> Pamplona (CT)</w:t>
      </w:r>
      <w:r w:rsidRPr="00BF2CC0">
        <w:t>.</w:t>
      </w:r>
    </w:p>
    <w:p w:rsidR="005030BE" w:rsidRPr="00BF2CC0" w:rsidRDefault="003D5D75" w:rsidP="005030BE">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rsidRPr="00BF2CC0">
        <w:t>El proceso expropiatorio de los</w:t>
      </w:r>
      <w:r w:rsidR="009959D7" w:rsidRPr="00BF2CC0">
        <w:t xml:space="preserve"> terrenos en que se asienta la CT.</w:t>
      </w:r>
    </w:p>
    <w:p w:rsidR="00D325AD" w:rsidRPr="00BF2CC0" w:rsidRDefault="00D325AD" w:rsidP="00D325AD">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rsidRPr="00BF2CC0">
        <w:t>Model</w:t>
      </w:r>
      <w:r w:rsidR="00BD5527">
        <w:t>o de gestión aplicado a la CT.</w:t>
      </w:r>
      <w:r w:rsidRPr="00BF2CC0">
        <w:t xml:space="preserve"> </w:t>
      </w:r>
    </w:p>
    <w:p w:rsidR="003B4A62" w:rsidRPr="00BF2CC0" w:rsidRDefault="00BD5527" w:rsidP="003B4A62">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t>La sociedad gestora de la CT</w:t>
      </w:r>
      <w:r w:rsidR="003B4A62" w:rsidRPr="00BF2CC0">
        <w:t>.</w:t>
      </w:r>
    </w:p>
    <w:p w:rsidR="009959D7" w:rsidRPr="004D22FC" w:rsidRDefault="009959D7" w:rsidP="009959D7">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pacing w:val="-2"/>
        </w:rPr>
      </w:pPr>
      <w:r w:rsidRPr="004D22FC">
        <w:rPr>
          <w:spacing w:val="-2"/>
        </w:rPr>
        <w:t>Contratos adjudicados para las obras de urbanización y</w:t>
      </w:r>
      <w:r w:rsidR="005C57F5" w:rsidRPr="004D22FC">
        <w:rPr>
          <w:spacing w:val="-2"/>
        </w:rPr>
        <w:t xml:space="preserve"> de</w:t>
      </w:r>
      <w:r w:rsidR="00BD5527" w:rsidRPr="004D22FC">
        <w:rPr>
          <w:spacing w:val="-2"/>
        </w:rPr>
        <w:t xml:space="preserve"> </w:t>
      </w:r>
      <w:r w:rsidR="0087665A" w:rsidRPr="004D22FC">
        <w:rPr>
          <w:spacing w:val="-2"/>
        </w:rPr>
        <w:t>explotación</w:t>
      </w:r>
      <w:r w:rsidR="00BD5527" w:rsidRPr="004D22FC">
        <w:rPr>
          <w:spacing w:val="-2"/>
        </w:rPr>
        <w:t xml:space="preserve"> de la CT</w:t>
      </w:r>
      <w:r w:rsidR="003D5D75" w:rsidRPr="004D22FC">
        <w:rPr>
          <w:spacing w:val="-2"/>
        </w:rPr>
        <w:t>.</w:t>
      </w:r>
    </w:p>
    <w:p w:rsidR="005030BE" w:rsidRPr="00BF2CC0" w:rsidRDefault="00A37943" w:rsidP="00A37943">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t>Cuantificación a 31 de diciembre de 2017 de las</w:t>
      </w:r>
      <w:r w:rsidRPr="00BF2CC0">
        <w:t xml:space="preserve"> </w:t>
      </w:r>
      <w:r>
        <w:t>inversiones públicas en la CT y de su financiación.</w:t>
      </w:r>
    </w:p>
    <w:p w:rsidR="00D325AD" w:rsidRPr="00BF2CC0" w:rsidRDefault="00D325AD" w:rsidP="004F1499">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rsidRPr="00BF2CC0">
        <w:t>Desarrollo de la 4ª fase de la CT</w:t>
      </w:r>
      <w:r w:rsidR="00A22D4C">
        <w:t>.</w:t>
      </w:r>
      <w:r w:rsidRPr="00BF2CC0">
        <w:t xml:space="preserve"> </w:t>
      </w:r>
    </w:p>
    <w:p w:rsidR="005030BE" w:rsidRPr="00BF2CC0" w:rsidRDefault="00D325AD" w:rsidP="004F1499">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rsidRPr="00BF2CC0">
        <w:t>Nivel de ocupación de la CT</w:t>
      </w:r>
      <w:r w:rsidR="00E950D4" w:rsidRPr="00BF2CC0">
        <w:t>.</w:t>
      </w:r>
    </w:p>
    <w:p w:rsidR="005030BE" w:rsidRDefault="004F1499" w:rsidP="004F1499">
      <w:pPr>
        <w:pStyle w:val="texto"/>
        <w:tabs>
          <w:tab w:val="clear" w:pos="2835"/>
          <w:tab w:val="clear" w:pos="3969"/>
          <w:tab w:val="clear" w:pos="5103"/>
          <w:tab w:val="clear" w:pos="6237"/>
          <w:tab w:val="clear" w:pos="7371"/>
        </w:tabs>
        <w:rPr>
          <w:szCs w:val="26"/>
        </w:rPr>
      </w:pPr>
      <w:r>
        <w:rPr>
          <w:szCs w:val="26"/>
        </w:rPr>
        <w:t>El trabajo se ha ejecutado de acuerdo con los principios y normas de audit</w:t>
      </w:r>
      <w:r>
        <w:rPr>
          <w:szCs w:val="26"/>
        </w:rPr>
        <w:t>o</w:t>
      </w:r>
      <w:r>
        <w:rPr>
          <w:szCs w:val="26"/>
        </w:rPr>
        <w:t xml:space="preserve">ría del </w:t>
      </w:r>
      <w:r w:rsidR="00661F60">
        <w:rPr>
          <w:szCs w:val="26"/>
        </w:rPr>
        <w:t>S</w:t>
      </w:r>
      <w:r>
        <w:rPr>
          <w:szCs w:val="26"/>
        </w:rPr>
        <w:t>ector Público aprobados por la Comisión de Coordinación de los Órg</w:t>
      </w:r>
      <w:r>
        <w:rPr>
          <w:szCs w:val="26"/>
        </w:rPr>
        <w:t>a</w:t>
      </w:r>
      <w:r>
        <w:rPr>
          <w:szCs w:val="26"/>
        </w:rPr>
        <w:t>nos de Control Externo de España y desarrollados por esta Cámara en su m</w:t>
      </w:r>
      <w:r>
        <w:rPr>
          <w:szCs w:val="26"/>
        </w:rPr>
        <w:t>a</w:t>
      </w:r>
      <w:r>
        <w:rPr>
          <w:szCs w:val="26"/>
        </w:rPr>
        <w:t>nual de fiscalización</w:t>
      </w:r>
      <w:r w:rsidR="00522CB9">
        <w:rPr>
          <w:szCs w:val="26"/>
        </w:rPr>
        <w:t xml:space="preserve">; en concreto, se han aplicado </w:t>
      </w:r>
      <w:r w:rsidR="00323A4D">
        <w:rPr>
          <w:szCs w:val="26"/>
        </w:rPr>
        <w:t>básicamente</w:t>
      </w:r>
      <w:r w:rsidR="00323A4D">
        <w:rPr>
          <w:szCs w:val="26"/>
        </w:rPr>
        <w:tab/>
      </w:r>
      <w:r w:rsidR="00522CB9">
        <w:rPr>
          <w:szCs w:val="26"/>
        </w:rPr>
        <w:t xml:space="preserve"> las</w:t>
      </w:r>
      <w:r w:rsidR="001F10F1">
        <w:rPr>
          <w:szCs w:val="26"/>
        </w:rPr>
        <w:t xml:space="preserve"> </w:t>
      </w:r>
      <w:r w:rsidR="00522CB9">
        <w:rPr>
          <w:szCs w:val="26"/>
        </w:rPr>
        <w:t>ISSAIS-Es 200 “Principios fundamentales de la auditoría financiera” y 400 “Principios fundamentales de la fiscalización de cumplimiento de legalidad”</w:t>
      </w:r>
      <w:r>
        <w:rPr>
          <w:szCs w:val="26"/>
        </w:rPr>
        <w:t xml:space="preserve">. </w:t>
      </w:r>
    </w:p>
    <w:p w:rsidR="00E950D4" w:rsidRDefault="00E950D4" w:rsidP="004F1499">
      <w:pPr>
        <w:pStyle w:val="texto"/>
        <w:tabs>
          <w:tab w:val="clear" w:pos="2835"/>
          <w:tab w:val="clear" w:pos="3969"/>
          <w:tab w:val="clear" w:pos="5103"/>
          <w:tab w:val="clear" w:pos="6237"/>
          <w:tab w:val="clear" w:pos="7371"/>
        </w:tabs>
        <w:rPr>
          <w:szCs w:val="26"/>
        </w:rPr>
      </w:pPr>
      <w:r>
        <w:rPr>
          <w:szCs w:val="26"/>
        </w:rPr>
        <w:t xml:space="preserve">En cuanto al alcance del trabajo y ante la extensión temporal abarcada (27 años) se han realizado análisis selectivos sobre </w:t>
      </w:r>
      <w:r w:rsidR="002B5540">
        <w:rPr>
          <w:szCs w:val="26"/>
        </w:rPr>
        <w:t xml:space="preserve">las </w:t>
      </w:r>
      <w:r>
        <w:rPr>
          <w:szCs w:val="26"/>
        </w:rPr>
        <w:t>operaciones que se consid</w:t>
      </w:r>
      <w:r>
        <w:rPr>
          <w:szCs w:val="26"/>
        </w:rPr>
        <w:t>e</w:t>
      </w:r>
      <w:r>
        <w:rPr>
          <w:szCs w:val="26"/>
        </w:rPr>
        <w:t xml:space="preserve">ran más relevantes </w:t>
      </w:r>
      <w:r w:rsidR="006E0D51">
        <w:rPr>
          <w:szCs w:val="26"/>
        </w:rPr>
        <w:t>y/</w:t>
      </w:r>
      <w:r>
        <w:rPr>
          <w:szCs w:val="26"/>
        </w:rPr>
        <w:t>o que se dispone actualmente de la correspondiente info</w:t>
      </w:r>
      <w:r>
        <w:rPr>
          <w:szCs w:val="26"/>
        </w:rPr>
        <w:t>r</w:t>
      </w:r>
      <w:r>
        <w:rPr>
          <w:szCs w:val="26"/>
        </w:rPr>
        <w:t>mación completa.</w:t>
      </w:r>
    </w:p>
    <w:p w:rsidR="006E724B" w:rsidRPr="00316389" w:rsidRDefault="006E724B" w:rsidP="006E724B">
      <w:pPr>
        <w:pStyle w:val="texto"/>
        <w:tabs>
          <w:tab w:val="clear" w:pos="2835"/>
          <w:tab w:val="clear" w:pos="3969"/>
          <w:tab w:val="clear" w:pos="5103"/>
          <w:tab w:val="clear" w:pos="6237"/>
          <w:tab w:val="clear" w:pos="7371"/>
        </w:tabs>
        <w:rPr>
          <w:szCs w:val="26"/>
        </w:rPr>
      </w:pPr>
      <w:r>
        <w:rPr>
          <w:szCs w:val="26"/>
        </w:rPr>
        <w:t>N</w:t>
      </w:r>
      <w:r w:rsidRPr="00316389">
        <w:rPr>
          <w:szCs w:val="26"/>
        </w:rPr>
        <w:t>uestra actuación se ha efectuado exclusivamente desde la óptica de la fisc</w:t>
      </w:r>
      <w:r w:rsidRPr="00316389">
        <w:rPr>
          <w:szCs w:val="26"/>
        </w:rPr>
        <w:t>a</w:t>
      </w:r>
      <w:r w:rsidRPr="00316389">
        <w:rPr>
          <w:szCs w:val="26"/>
        </w:rPr>
        <w:t xml:space="preserve">lización económico-financiera, sin entrar a valorar </w:t>
      </w:r>
      <w:r>
        <w:rPr>
          <w:szCs w:val="26"/>
        </w:rPr>
        <w:t xml:space="preserve">los </w:t>
      </w:r>
      <w:r w:rsidRPr="00316389">
        <w:rPr>
          <w:szCs w:val="26"/>
        </w:rPr>
        <w:t>aspectos técnicos</w:t>
      </w:r>
      <w:r>
        <w:rPr>
          <w:szCs w:val="26"/>
        </w:rPr>
        <w:t xml:space="preserve"> con</w:t>
      </w:r>
      <w:r>
        <w:rPr>
          <w:szCs w:val="26"/>
        </w:rPr>
        <w:t>s</w:t>
      </w:r>
      <w:r>
        <w:rPr>
          <w:szCs w:val="26"/>
        </w:rPr>
        <w:t xml:space="preserve">tructivos de </w:t>
      </w:r>
      <w:r w:rsidRPr="00316389">
        <w:rPr>
          <w:szCs w:val="26"/>
        </w:rPr>
        <w:t>l</w:t>
      </w:r>
      <w:r>
        <w:rPr>
          <w:szCs w:val="26"/>
        </w:rPr>
        <w:t>a infraestructura.</w:t>
      </w:r>
    </w:p>
    <w:p w:rsidR="00251F9F" w:rsidRPr="001D1E13" w:rsidRDefault="00251F9F" w:rsidP="00251F9F">
      <w:pPr>
        <w:pStyle w:val="texto"/>
        <w:rPr>
          <w:szCs w:val="26"/>
          <w:lang w:val="es-ES" w:eastAsia="es-ES"/>
        </w:rPr>
      </w:pPr>
      <w:r w:rsidRPr="001D1E13">
        <w:rPr>
          <w:szCs w:val="26"/>
          <w:lang w:val="es-ES" w:eastAsia="es-ES"/>
        </w:rPr>
        <w:t xml:space="preserve">Asimismo, la Cámara de Comptos </w:t>
      </w:r>
      <w:r w:rsidRPr="001D1E13">
        <w:rPr>
          <w:szCs w:val="26"/>
        </w:rPr>
        <w:t>no es co</w:t>
      </w:r>
      <w:r w:rsidR="00A22D4C">
        <w:rPr>
          <w:szCs w:val="26"/>
        </w:rPr>
        <w:t xml:space="preserve">mpetente para fiscalizar </w:t>
      </w:r>
      <w:r w:rsidRPr="001D1E13">
        <w:rPr>
          <w:szCs w:val="26"/>
        </w:rPr>
        <w:t>la gestión de la UTE encargada de las obras y explotación de la Ciudad del Transporte, dado que es una entidad privada no incluida en el sector público foral.</w:t>
      </w:r>
    </w:p>
    <w:p w:rsidR="00E950D4" w:rsidRDefault="00E950D4" w:rsidP="004F1499">
      <w:pPr>
        <w:pStyle w:val="texto"/>
        <w:tabs>
          <w:tab w:val="clear" w:pos="2835"/>
          <w:tab w:val="clear" w:pos="3969"/>
          <w:tab w:val="clear" w:pos="5103"/>
          <w:tab w:val="clear" w:pos="6237"/>
          <w:tab w:val="clear" w:pos="7371"/>
        </w:tabs>
        <w:rPr>
          <w:szCs w:val="26"/>
        </w:rPr>
      </w:pPr>
      <w:r>
        <w:rPr>
          <w:szCs w:val="26"/>
        </w:rPr>
        <w:t>El marco normativo aplicado al proyecto de la Ciudad del Transporte co</w:t>
      </w:r>
      <w:r>
        <w:rPr>
          <w:szCs w:val="26"/>
        </w:rPr>
        <w:t>m</w:t>
      </w:r>
      <w:r>
        <w:rPr>
          <w:szCs w:val="26"/>
        </w:rPr>
        <w:t>prende las diversas normas vigentes en esos 27 años relativas fundamentalme</w:t>
      </w:r>
      <w:r>
        <w:rPr>
          <w:szCs w:val="26"/>
        </w:rPr>
        <w:t>n</w:t>
      </w:r>
      <w:r>
        <w:rPr>
          <w:szCs w:val="26"/>
        </w:rPr>
        <w:t>te a urbanismo y ordenación del territorio, expropiaciones, contratación adm</w:t>
      </w:r>
      <w:r>
        <w:rPr>
          <w:szCs w:val="26"/>
        </w:rPr>
        <w:t>i</w:t>
      </w:r>
      <w:r>
        <w:rPr>
          <w:szCs w:val="26"/>
        </w:rPr>
        <w:t xml:space="preserve">nistrativa y sociedades mercantiles.  </w:t>
      </w:r>
    </w:p>
    <w:p w:rsidR="006E0D51" w:rsidRPr="004B52F2" w:rsidRDefault="006E0D51" w:rsidP="004F1499">
      <w:pPr>
        <w:pStyle w:val="texto"/>
        <w:tabs>
          <w:tab w:val="clear" w:pos="2835"/>
          <w:tab w:val="clear" w:pos="3969"/>
          <w:tab w:val="clear" w:pos="5103"/>
          <w:tab w:val="clear" w:pos="6237"/>
          <w:tab w:val="clear" w:pos="7371"/>
        </w:tabs>
        <w:rPr>
          <w:szCs w:val="26"/>
        </w:rPr>
      </w:pPr>
      <w:r w:rsidRPr="004B52F2">
        <w:rPr>
          <w:szCs w:val="26"/>
        </w:rPr>
        <w:t>El proceso expropiatorio sobre los terrenos en que se asienta la Ciudad del Transporte ha resultado complejo</w:t>
      </w:r>
      <w:r w:rsidR="00661F60">
        <w:rPr>
          <w:szCs w:val="26"/>
        </w:rPr>
        <w:t xml:space="preserve"> y extenso temporalmente</w:t>
      </w:r>
      <w:r w:rsidR="004B52F2" w:rsidRPr="004B52F2">
        <w:rPr>
          <w:szCs w:val="26"/>
        </w:rPr>
        <w:t>, con un número i</w:t>
      </w:r>
      <w:r w:rsidR="004B52F2" w:rsidRPr="004B52F2">
        <w:rPr>
          <w:szCs w:val="26"/>
        </w:rPr>
        <w:t>m</w:t>
      </w:r>
      <w:r w:rsidR="004B52F2" w:rsidRPr="004B52F2">
        <w:rPr>
          <w:szCs w:val="26"/>
        </w:rPr>
        <w:t>portante de pronunciamientos judiciales y con una relevante repercusión ec</w:t>
      </w:r>
      <w:r w:rsidR="004B52F2" w:rsidRPr="004B52F2">
        <w:rPr>
          <w:szCs w:val="26"/>
        </w:rPr>
        <w:t>o</w:t>
      </w:r>
      <w:r w:rsidR="004B52F2" w:rsidRPr="004B52F2">
        <w:rPr>
          <w:szCs w:val="26"/>
        </w:rPr>
        <w:t xml:space="preserve">nómica </w:t>
      </w:r>
      <w:r w:rsidR="005D6A44">
        <w:rPr>
          <w:szCs w:val="26"/>
        </w:rPr>
        <w:t>sobre</w:t>
      </w:r>
      <w:r w:rsidR="004B52F2" w:rsidRPr="004B52F2">
        <w:rPr>
          <w:szCs w:val="26"/>
        </w:rPr>
        <w:t xml:space="preserve"> los fondos públicos.</w:t>
      </w:r>
    </w:p>
    <w:p w:rsidR="006E0D51" w:rsidRDefault="006E0D51" w:rsidP="006E0D51">
      <w:pPr>
        <w:pStyle w:val="texto"/>
        <w:tabs>
          <w:tab w:val="clear" w:pos="2835"/>
          <w:tab w:val="clear" w:pos="3969"/>
          <w:tab w:val="clear" w:pos="5103"/>
          <w:tab w:val="clear" w:pos="6237"/>
          <w:tab w:val="clear" w:pos="7371"/>
        </w:tabs>
        <w:rPr>
          <w:szCs w:val="26"/>
        </w:rPr>
      </w:pPr>
      <w:r>
        <w:rPr>
          <w:szCs w:val="26"/>
        </w:rPr>
        <w:t xml:space="preserve">El proyecto de Ciudad del Transporte de </w:t>
      </w:r>
      <w:r w:rsidR="00BD5527">
        <w:rPr>
          <w:szCs w:val="26"/>
        </w:rPr>
        <w:t xml:space="preserve">la comarca de </w:t>
      </w:r>
      <w:r>
        <w:rPr>
          <w:szCs w:val="26"/>
        </w:rPr>
        <w:t>Pamplona no está f</w:t>
      </w:r>
      <w:r>
        <w:rPr>
          <w:szCs w:val="26"/>
        </w:rPr>
        <w:t>i</w:t>
      </w:r>
      <w:r>
        <w:rPr>
          <w:szCs w:val="26"/>
        </w:rPr>
        <w:t xml:space="preserve">nalizado, por lo que las conclusiones de este informe deben </w:t>
      </w:r>
      <w:r w:rsidR="0087665A">
        <w:rPr>
          <w:szCs w:val="26"/>
        </w:rPr>
        <w:t>contextualizarse</w:t>
      </w:r>
      <w:r>
        <w:rPr>
          <w:szCs w:val="26"/>
        </w:rPr>
        <w:t xml:space="preserve"> en tal situación. </w:t>
      </w:r>
    </w:p>
    <w:p w:rsidR="006E0D51" w:rsidRDefault="006E0D51" w:rsidP="006E0D51">
      <w:pPr>
        <w:pStyle w:val="texto"/>
        <w:tabs>
          <w:tab w:val="clear" w:pos="2835"/>
          <w:tab w:val="clear" w:pos="3969"/>
          <w:tab w:val="clear" w:pos="5103"/>
          <w:tab w:val="clear" w:pos="6237"/>
          <w:tab w:val="clear" w:pos="7371"/>
        </w:tabs>
        <w:rPr>
          <w:szCs w:val="26"/>
        </w:rPr>
      </w:pPr>
      <w:r>
        <w:rPr>
          <w:szCs w:val="26"/>
        </w:rPr>
        <w:t>La empresa Nasuvinsa ha puesto a disposición de esta Cámara toda la doc</w:t>
      </w:r>
      <w:r>
        <w:rPr>
          <w:szCs w:val="26"/>
        </w:rPr>
        <w:t>u</w:t>
      </w:r>
      <w:r>
        <w:rPr>
          <w:szCs w:val="26"/>
        </w:rPr>
        <w:t>mentación archivada que disponía relativa al proyecto.</w:t>
      </w:r>
    </w:p>
    <w:p w:rsidR="00251F9F" w:rsidRPr="006A1B76" w:rsidRDefault="00251F9F" w:rsidP="00D83645">
      <w:pPr>
        <w:pStyle w:val="texto"/>
        <w:tabs>
          <w:tab w:val="clear" w:pos="2835"/>
          <w:tab w:val="clear" w:pos="3969"/>
          <w:tab w:val="clear" w:pos="5103"/>
          <w:tab w:val="clear" w:pos="6237"/>
          <w:tab w:val="clear" w:pos="7371"/>
        </w:tabs>
        <w:rPr>
          <w:szCs w:val="26"/>
        </w:rPr>
      </w:pPr>
      <w:r w:rsidRPr="006A1B76">
        <w:rPr>
          <w:szCs w:val="26"/>
        </w:rPr>
        <w:t>La limitaci</w:t>
      </w:r>
      <w:r w:rsidR="00D83645" w:rsidRPr="006A1B76">
        <w:rPr>
          <w:szCs w:val="26"/>
        </w:rPr>
        <w:t>ón</w:t>
      </w:r>
      <w:r w:rsidRPr="006A1B76">
        <w:rPr>
          <w:szCs w:val="26"/>
        </w:rPr>
        <w:t xml:space="preserve"> que ha afectado a este trabajo deriva fundamentalmente de</w:t>
      </w:r>
      <w:r w:rsidR="00D83645" w:rsidRPr="006A1B76">
        <w:rPr>
          <w:szCs w:val="26"/>
        </w:rPr>
        <w:t xml:space="preserve"> que n</w:t>
      </w:r>
      <w:r w:rsidRPr="006A1B76">
        <w:rPr>
          <w:szCs w:val="26"/>
        </w:rPr>
        <w:t>o tenemos seguridad de haber dispuesto de toda la documentación e inform</w:t>
      </w:r>
      <w:r w:rsidRPr="006A1B76">
        <w:rPr>
          <w:szCs w:val="26"/>
        </w:rPr>
        <w:t>a</w:t>
      </w:r>
      <w:r w:rsidRPr="006A1B76">
        <w:rPr>
          <w:szCs w:val="26"/>
        </w:rPr>
        <w:t>ción sobre la gestación, tramitación, ejecución y gestión del proyecto, esp</w:t>
      </w:r>
      <w:r w:rsidRPr="006A1B76">
        <w:rPr>
          <w:szCs w:val="26"/>
        </w:rPr>
        <w:t>e</w:t>
      </w:r>
      <w:r w:rsidRPr="006A1B76">
        <w:rPr>
          <w:szCs w:val="26"/>
        </w:rPr>
        <w:t>cialmente todo lo referente a actuaciones previas y al desarrollo inicial de las 1ª y 2ª fase del proyecto; esta situación ha surgido al tratarse de un proyecto in</w:t>
      </w:r>
      <w:r w:rsidRPr="006A1B76">
        <w:rPr>
          <w:szCs w:val="26"/>
        </w:rPr>
        <w:t>i</w:t>
      </w:r>
      <w:r w:rsidRPr="006A1B76">
        <w:rPr>
          <w:szCs w:val="26"/>
        </w:rPr>
        <w:t xml:space="preserve">ciado hace 30 años y de una sociedad gestora que </w:t>
      </w:r>
      <w:r w:rsidR="002B5540">
        <w:rPr>
          <w:szCs w:val="26"/>
        </w:rPr>
        <w:t>ha</w:t>
      </w:r>
      <w:r w:rsidRPr="006A1B76">
        <w:rPr>
          <w:szCs w:val="26"/>
        </w:rPr>
        <w:t xml:space="preserve"> experimentado, en ese plazo temporal, profundas transformaciones societarias.</w:t>
      </w:r>
    </w:p>
    <w:p w:rsidR="002E2D86" w:rsidRPr="006A1B76" w:rsidRDefault="002E2D86">
      <w:pPr>
        <w:spacing w:after="0"/>
        <w:ind w:firstLine="0"/>
        <w:jc w:val="left"/>
        <w:rPr>
          <w:rFonts w:ascii="Arial" w:hAnsi="Arial"/>
          <w:b/>
          <w:kern w:val="28"/>
          <w:sz w:val="25"/>
          <w:szCs w:val="26"/>
        </w:rPr>
      </w:pPr>
      <w:r w:rsidRPr="006A1B76">
        <w:br w:type="page"/>
      </w:r>
    </w:p>
    <w:p w:rsidR="00E950D4" w:rsidRDefault="00AF6A54" w:rsidP="000217F4">
      <w:pPr>
        <w:pStyle w:val="atitulo1"/>
      </w:pPr>
      <w:bookmarkStart w:id="37" w:name="_Toc515531869"/>
      <w:r>
        <w:t xml:space="preserve">IV. Conclusiones </w:t>
      </w:r>
      <w:r w:rsidR="000217F4">
        <w:t>y recomendaciones</w:t>
      </w:r>
      <w:bookmarkEnd w:id="37"/>
      <w:r w:rsidR="00A41C66">
        <w:t xml:space="preserve">   </w:t>
      </w:r>
    </w:p>
    <w:p w:rsidR="009C7803" w:rsidRDefault="00256E83" w:rsidP="00CF0DE8">
      <w:pPr>
        <w:pStyle w:val="texto"/>
        <w:tabs>
          <w:tab w:val="clear" w:pos="2835"/>
          <w:tab w:val="clear" w:pos="3969"/>
          <w:tab w:val="clear" w:pos="5103"/>
          <w:tab w:val="clear" w:pos="6237"/>
          <w:tab w:val="clear" w:pos="7371"/>
        </w:tabs>
        <w:spacing w:after="240"/>
        <w:rPr>
          <w:szCs w:val="26"/>
        </w:rPr>
      </w:pPr>
      <w:r w:rsidRPr="00256E83">
        <w:rPr>
          <w:szCs w:val="26"/>
        </w:rPr>
        <w:t xml:space="preserve">Se exponen a continuación </w:t>
      </w:r>
      <w:r>
        <w:rPr>
          <w:szCs w:val="26"/>
        </w:rPr>
        <w:t>las concl</w:t>
      </w:r>
      <w:r w:rsidR="00D8361C">
        <w:rPr>
          <w:szCs w:val="26"/>
        </w:rPr>
        <w:t xml:space="preserve">usiones </w:t>
      </w:r>
      <w:r w:rsidR="00DD2F99">
        <w:rPr>
          <w:szCs w:val="26"/>
        </w:rPr>
        <w:t>del trabajo realizado</w:t>
      </w:r>
      <w:r w:rsidR="00D8361C">
        <w:rPr>
          <w:szCs w:val="26"/>
        </w:rPr>
        <w:t xml:space="preserve"> así como las</w:t>
      </w:r>
      <w:r>
        <w:rPr>
          <w:szCs w:val="26"/>
        </w:rPr>
        <w:t xml:space="preserve"> recomendaciones que esta Cámara considera convenientes emitir para una mejora en la gestión de infraestructuras de esta relevancia.</w:t>
      </w:r>
    </w:p>
    <w:p w:rsidR="008B5CCB" w:rsidRDefault="008B5CCB" w:rsidP="008B5CCB">
      <w:pPr>
        <w:pStyle w:val="atitulo2"/>
      </w:pPr>
      <w:bookmarkStart w:id="38" w:name="_Toc515531870"/>
      <w:r>
        <w:t>IV.1. La Ciudad del Transporte de la Comarca de Pamplona</w:t>
      </w:r>
      <w:bookmarkEnd w:id="38"/>
    </w:p>
    <w:p w:rsidR="008B5CCB" w:rsidRDefault="008B5CCB" w:rsidP="008B5CCB">
      <w:pPr>
        <w:pStyle w:val="texto"/>
        <w:tabs>
          <w:tab w:val="clear" w:pos="2835"/>
          <w:tab w:val="clear" w:pos="3969"/>
          <w:tab w:val="clear" w:pos="5103"/>
          <w:tab w:val="clear" w:pos="6237"/>
          <w:tab w:val="clear" w:pos="7371"/>
        </w:tabs>
        <w:rPr>
          <w:szCs w:val="26"/>
        </w:rPr>
      </w:pPr>
      <w:r w:rsidRPr="00447C6F">
        <w:rPr>
          <w:b/>
          <w:szCs w:val="26"/>
        </w:rPr>
        <w:t>1</w:t>
      </w:r>
      <w:r w:rsidR="00447C6F" w:rsidRPr="00447C6F">
        <w:rPr>
          <w:b/>
          <w:szCs w:val="26"/>
        </w:rPr>
        <w:t>.ª</w:t>
      </w:r>
      <w:r>
        <w:rPr>
          <w:szCs w:val="26"/>
        </w:rPr>
        <w:t xml:space="preserve"> La Ciudad del Transporte de la Comarca de Pamplona (en adelante, CT) se plantea</w:t>
      </w:r>
      <w:r w:rsidR="0087665A">
        <w:rPr>
          <w:szCs w:val="26"/>
        </w:rPr>
        <w:t xml:space="preserve"> inicialmente</w:t>
      </w:r>
      <w:r>
        <w:rPr>
          <w:szCs w:val="26"/>
        </w:rPr>
        <w:t xml:space="preserve"> con </w:t>
      </w:r>
      <w:r w:rsidR="00D501F5">
        <w:rPr>
          <w:szCs w:val="26"/>
        </w:rPr>
        <w:t>la</w:t>
      </w:r>
      <w:r>
        <w:rPr>
          <w:szCs w:val="26"/>
        </w:rPr>
        <w:t xml:space="preserve"> finalidad de centralizar todas las actividades del transporte de mercancías por carretera, concentra</w:t>
      </w:r>
      <w:r w:rsidR="00D501F5">
        <w:rPr>
          <w:szCs w:val="26"/>
        </w:rPr>
        <w:t>n</w:t>
      </w:r>
      <w:r>
        <w:rPr>
          <w:szCs w:val="26"/>
        </w:rPr>
        <w:t>do el tráfico y las actividades de carga en una zona acotada, disminuyendo los problemas de todo tipo que genera tal actividad en la comarca de Pamplona.</w:t>
      </w:r>
    </w:p>
    <w:p w:rsidR="00850B26" w:rsidRPr="00850B26" w:rsidRDefault="008B5CCB" w:rsidP="005E4EE8">
      <w:pPr>
        <w:pStyle w:val="texto"/>
        <w:tabs>
          <w:tab w:val="clear" w:pos="2835"/>
          <w:tab w:val="clear" w:pos="3969"/>
          <w:tab w:val="clear" w:pos="5103"/>
          <w:tab w:val="clear" w:pos="6237"/>
          <w:tab w:val="clear" w:pos="7371"/>
        </w:tabs>
        <w:rPr>
          <w:szCs w:val="26"/>
        </w:rPr>
      </w:pPr>
      <w:r w:rsidRPr="00447C6F">
        <w:rPr>
          <w:b/>
          <w:szCs w:val="26"/>
        </w:rPr>
        <w:t>2</w:t>
      </w:r>
      <w:r w:rsidR="00447C6F" w:rsidRPr="00447C6F">
        <w:rPr>
          <w:b/>
          <w:szCs w:val="26"/>
        </w:rPr>
        <w:t>.</w:t>
      </w:r>
      <w:r w:rsidRPr="00447C6F">
        <w:rPr>
          <w:b/>
          <w:szCs w:val="26"/>
        </w:rPr>
        <w:t>ª</w:t>
      </w:r>
      <w:r>
        <w:rPr>
          <w:szCs w:val="26"/>
        </w:rPr>
        <w:t xml:space="preserve"> El embrión de este proyecto surge por interés de la iniciativa privada y más concretamente de las patronales del sector del transporte en Na</w:t>
      </w:r>
      <w:r w:rsidR="00D501F5">
        <w:rPr>
          <w:szCs w:val="26"/>
        </w:rPr>
        <w:t xml:space="preserve">varra; sin embargo, </w:t>
      </w:r>
      <w:r>
        <w:rPr>
          <w:szCs w:val="26"/>
        </w:rPr>
        <w:t>el Gobierno de Navarra asume</w:t>
      </w:r>
      <w:r w:rsidR="00D501F5">
        <w:rPr>
          <w:szCs w:val="26"/>
        </w:rPr>
        <w:t>, desde 1993,</w:t>
      </w:r>
      <w:r>
        <w:rPr>
          <w:szCs w:val="26"/>
        </w:rPr>
        <w:t xml:space="preserve"> el liderazgo en su ejec</w:t>
      </w:r>
      <w:r>
        <w:rPr>
          <w:szCs w:val="26"/>
        </w:rPr>
        <w:t>u</w:t>
      </w:r>
      <w:r>
        <w:rPr>
          <w:szCs w:val="26"/>
        </w:rPr>
        <w:t xml:space="preserve">ción y financiación, especialmente en materia de expropiaciones. </w:t>
      </w:r>
    </w:p>
    <w:p w:rsidR="006A1B76" w:rsidRDefault="005E4EE8" w:rsidP="00272E47">
      <w:pPr>
        <w:pStyle w:val="texto"/>
        <w:tabs>
          <w:tab w:val="clear" w:pos="2835"/>
          <w:tab w:val="clear" w:pos="3969"/>
          <w:tab w:val="clear" w:pos="5103"/>
          <w:tab w:val="clear" w:pos="6237"/>
          <w:tab w:val="clear" w:pos="7371"/>
        </w:tabs>
        <w:rPr>
          <w:szCs w:val="26"/>
        </w:rPr>
      </w:pPr>
      <w:r w:rsidRPr="00447C6F">
        <w:rPr>
          <w:b/>
          <w:szCs w:val="26"/>
        </w:rPr>
        <w:t>3</w:t>
      </w:r>
      <w:r w:rsidR="00447C6F" w:rsidRPr="00447C6F">
        <w:rPr>
          <w:b/>
          <w:szCs w:val="26"/>
        </w:rPr>
        <w:t>.</w:t>
      </w:r>
      <w:r w:rsidR="008B5CCB" w:rsidRPr="00447C6F">
        <w:rPr>
          <w:b/>
          <w:szCs w:val="26"/>
        </w:rPr>
        <w:t>ª</w:t>
      </w:r>
      <w:r w:rsidR="008B5CCB">
        <w:rPr>
          <w:szCs w:val="26"/>
        </w:rPr>
        <w:t xml:space="preserve"> El proyecto de CT de Pamplona se ha ido desarrollando en cuatro fases sucesivas, estando actualmente en diseño y ejecución la cuarta y última fase; en consecuencia, no se encuentra aún terminada en su totalidad. </w:t>
      </w:r>
      <w:r w:rsidR="006649C0">
        <w:rPr>
          <w:szCs w:val="26"/>
        </w:rPr>
        <w:t>Para su desarrollo urbanístico, el Gobierno de Navarra aprobó dos Planes Sectoriales de Incide</w:t>
      </w:r>
      <w:r w:rsidR="006649C0">
        <w:rPr>
          <w:szCs w:val="26"/>
        </w:rPr>
        <w:t>n</w:t>
      </w:r>
      <w:r w:rsidR="006649C0">
        <w:rPr>
          <w:szCs w:val="26"/>
        </w:rPr>
        <w:t xml:space="preserve">cia Supramunicipal. </w:t>
      </w:r>
    </w:p>
    <w:p w:rsidR="008B5CCB" w:rsidRPr="002C5DB6" w:rsidRDefault="008B5CCB" w:rsidP="004D22FC">
      <w:pPr>
        <w:pStyle w:val="texto"/>
        <w:tabs>
          <w:tab w:val="clear" w:pos="2835"/>
          <w:tab w:val="clear" w:pos="3969"/>
          <w:tab w:val="clear" w:pos="5103"/>
          <w:tab w:val="clear" w:pos="6237"/>
          <w:tab w:val="clear" w:pos="7371"/>
        </w:tabs>
        <w:spacing w:after="240"/>
        <w:rPr>
          <w:szCs w:val="26"/>
        </w:rPr>
      </w:pPr>
      <w:r>
        <w:rPr>
          <w:szCs w:val="26"/>
        </w:rPr>
        <w:t xml:space="preserve">Se fue gestando desde finales de la década de los ochenta del siglo </w:t>
      </w:r>
      <w:r w:rsidR="00D501F5">
        <w:rPr>
          <w:szCs w:val="26"/>
        </w:rPr>
        <w:t>XX</w:t>
      </w:r>
      <w:r>
        <w:rPr>
          <w:szCs w:val="26"/>
        </w:rPr>
        <w:t xml:space="preserve">, es decir, más de 30 años de configuración, diseño y ejecución. Inicialmente se desarrolla la 1ª y 2ª fase y, ante el éxito comercial de las mismas, se </w:t>
      </w:r>
      <w:r w:rsidR="00A22D4C">
        <w:rPr>
          <w:szCs w:val="26"/>
        </w:rPr>
        <w:t>diseña</w:t>
      </w:r>
      <w:r>
        <w:rPr>
          <w:szCs w:val="26"/>
        </w:rPr>
        <w:t xml:space="preserve"> una ampliación de la misma ó 3ª y 4ª fase. L</w:t>
      </w:r>
      <w:r w:rsidRPr="003E7006">
        <w:rPr>
          <w:szCs w:val="26"/>
        </w:rPr>
        <w:t>a extensión</w:t>
      </w:r>
      <w:r>
        <w:rPr>
          <w:szCs w:val="26"/>
        </w:rPr>
        <w:t xml:space="preserve"> final</w:t>
      </w:r>
      <w:r w:rsidRPr="003E7006">
        <w:rPr>
          <w:szCs w:val="26"/>
        </w:rPr>
        <w:t xml:space="preserve"> de la Ciudad del Transporte alcanza</w:t>
      </w:r>
      <w:r w:rsidRPr="00F97E01">
        <w:rPr>
          <w:szCs w:val="26"/>
        </w:rPr>
        <w:t xml:space="preserve"> los 1,62 millones de m</w:t>
      </w:r>
      <w:r w:rsidRPr="001021E6">
        <w:rPr>
          <w:szCs w:val="26"/>
          <w:vertAlign w:val="superscript"/>
        </w:rPr>
        <w:t>2</w:t>
      </w:r>
      <w:r w:rsidRPr="00F97E01">
        <w:rPr>
          <w:szCs w:val="26"/>
        </w:rPr>
        <w:t>, según el siguiente detalle:</w:t>
      </w:r>
    </w:p>
    <w:tbl>
      <w:tblPr>
        <w:tblStyle w:val="TableNormal"/>
        <w:tblW w:w="8921" w:type="dxa"/>
        <w:jc w:val="center"/>
        <w:tblBorders>
          <w:top w:val="single" w:sz="2" w:space="0" w:color="auto"/>
          <w:bottom w:val="single" w:sz="2" w:space="0" w:color="auto"/>
          <w:insideH w:val="single" w:sz="2" w:space="0" w:color="auto"/>
        </w:tblBorders>
        <w:tblLayout w:type="fixed"/>
        <w:tblLook w:val="01E0" w:firstRow="1" w:lastRow="1" w:firstColumn="1" w:lastColumn="1" w:noHBand="0" w:noVBand="0"/>
      </w:tblPr>
      <w:tblGrid>
        <w:gridCol w:w="2821"/>
        <w:gridCol w:w="6100"/>
      </w:tblGrid>
      <w:tr w:rsidR="008B5CCB" w:rsidRPr="00DA5BC7" w:rsidTr="004D22FC">
        <w:trPr>
          <w:trHeight w:val="284"/>
          <w:jc w:val="center"/>
        </w:trPr>
        <w:tc>
          <w:tcPr>
            <w:tcW w:w="2821" w:type="dxa"/>
            <w:tcBorders>
              <w:top w:val="single" w:sz="4" w:space="0" w:color="auto"/>
              <w:bottom w:val="single" w:sz="4" w:space="0" w:color="auto"/>
            </w:tcBorders>
            <w:shd w:val="clear" w:color="auto" w:fill="B8CCE4" w:themeFill="accent1" w:themeFillTint="66"/>
            <w:vAlign w:val="center"/>
          </w:tcPr>
          <w:p w:rsidR="008B5CCB" w:rsidRPr="005B3CA8" w:rsidRDefault="008B5CCB" w:rsidP="00CF0DE8">
            <w:pPr>
              <w:spacing w:after="0"/>
              <w:ind w:left="66" w:firstLine="0"/>
              <w:jc w:val="left"/>
              <w:rPr>
                <w:rFonts w:ascii="Arial" w:hAnsi="Arial" w:cs="Arial"/>
                <w:color w:val="000000"/>
                <w:sz w:val="18"/>
                <w:szCs w:val="18"/>
                <w:lang w:eastAsia="es-ES"/>
              </w:rPr>
            </w:pPr>
            <w:r>
              <w:rPr>
                <w:rFonts w:ascii="Arial" w:hAnsi="Arial" w:cs="Arial"/>
                <w:color w:val="000000"/>
                <w:sz w:val="18"/>
                <w:szCs w:val="18"/>
                <w:lang w:eastAsia="es-ES"/>
              </w:rPr>
              <w:t>Fases Ciudad del Transporte</w:t>
            </w:r>
          </w:p>
        </w:tc>
        <w:tc>
          <w:tcPr>
            <w:tcW w:w="6100" w:type="dxa"/>
            <w:tcBorders>
              <w:top w:val="single" w:sz="4" w:space="0" w:color="auto"/>
              <w:bottom w:val="single" w:sz="4" w:space="0" w:color="auto"/>
            </w:tcBorders>
            <w:shd w:val="clear" w:color="auto" w:fill="B8CCE4" w:themeFill="accent1" w:themeFillTint="66"/>
            <w:vAlign w:val="center"/>
          </w:tcPr>
          <w:p w:rsidR="008B5CCB" w:rsidRPr="00DA5BC7" w:rsidRDefault="008B5CCB" w:rsidP="00CF0DE8">
            <w:pPr>
              <w:spacing w:after="0"/>
              <w:ind w:left="206" w:right="66" w:firstLine="0"/>
              <w:jc w:val="right"/>
              <w:rPr>
                <w:rFonts w:ascii="Arial" w:hAnsi="Arial" w:cs="Arial"/>
                <w:color w:val="000000"/>
                <w:sz w:val="18"/>
                <w:szCs w:val="18"/>
                <w:lang w:eastAsia="es-ES"/>
              </w:rPr>
            </w:pPr>
            <w:r>
              <w:rPr>
                <w:rFonts w:ascii="Arial" w:hAnsi="Arial" w:cs="Arial"/>
                <w:color w:val="000000"/>
                <w:sz w:val="18"/>
                <w:szCs w:val="18"/>
                <w:lang w:eastAsia="es-ES"/>
              </w:rPr>
              <w:t>Extensión (m</w:t>
            </w:r>
            <w:r w:rsidRPr="000A2B37">
              <w:rPr>
                <w:rFonts w:ascii="Arial" w:hAnsi="Arial" w:cs="Arial"/>
                <w:color w:val="000000"/>
                <w:sz w:val="18"/>
                <w:szCs w:val="18"/>
                <w:vertAlign w:val="superscript"/>
                <w:lang w:eastAsia="es-ES"/>
              </w:rPr>
              <w:t>2</w:t>
            </w:r>
            <w:r>
              <w:rPr>
                <w:rFonts w:ascii="Arial" w:hAnsi="Arial" w:cs="Arial"/>
                <w:color w:val="000000"/>
                <w:sz w:val="18"/>
                <w:szCs w:val="18"/>
                <w:lang w:eastAsia="es-ES"/>
              </w:rPr>
              <w:t>)</w:t>
            </w:r>
          </w:p>
        </w:tc>
      </w:tr>
      <w:tr w:rsidR="008B5CCB" w:rsidRPr="008E708D" w:rsidTr="004D22FC">
        <w:trPr>
          <w:trHeight w:val="284"/>
          <w:jc w:val="center"/>
        </w:trPr>
        <w:tc>
          <w:tcPr>
            <w:tcW w:w="2821" w:type="dxa"/>
            <w:tcBorders>
              <w:top w:val="single" w:sz="4" w:space="0" w:color="auto"/>
              <w:bottom w:val="single" w:sz="2" w:space="0" w:color="auto"/>
            </w:tcBorders>
            <w:vAlign w:val="center"/>
          </w:tcPr>
          <w:p w:rsidR="008B5CCB" w:rsidRPr="008E708D" w:rsidRDefault="008B5CCB" w:rsidP="00CF0DE8">
            <w:pPr>
              <w:widowControl/>
              <w:spacing w:after="0"/>
              <w:ind w:left="66" w:firstLine="0"/>
              <w:jc w:val="left"/>
              <w:rPr>
                <w:rFonts w:ascii="Arial Narrow" w:hAnsi="Arial Narrow"/>
                <w:color w:val="000000"/>
                <w:sz w:val="20"/>
                <w:szCs w:val="20"/>
                <w:lang w:eastAsia="es-ES"/>
              </w:rPr>
            </w:pPr>
            <w:r>
              <w:rPr>
                <w:rFonts w:ascii="Arial Narrow" w:hAnsi="Arial Narrow"/>
                <w:color w:val="000000"/>
                <w:sz w:val="20"/>
                <w:szCs w:val="20"/>
                <w:lang w:eastAsia="es-ES"/>
              </w:rPr>
              <w:t>1ª Fase</w:t>
            </w:r>
          </w:p>
        </w:tc>
        <w:tc>
          <w:tcPr>
            <w:tcW w:w="6100" w:type="dxa"/>
            <w:tcBorders>
              <w:top w:val="single" w:sz="4" w:space="0" w:color="auto"/>
              <w:bottom w:val="single" w:sz="2" w:space="0" w:color="auto"/>
            </w:tcBorders>
            <w:vAlign w:val="center"/>
          </w:tcPr>
          <w:p w:rsidR="008B5CCB" w:rsidRPr="008E708D" w:rsidRDefault="008B5CCB" w:rsidP="00CF0DE8">
            <w:pPr>
              <w:widowControl/>
              <w:spacing w:after="0"/>
              <w:ind w:left="206" w:right="66" w:firstLine="0"/>
              <w:jc w:val="right"/>
              <w:rPr>
                <w:rFonts w:ascii="Arial Narrow" w:hAnsi="Arial Narrow"/>
                <w:color w:val="000000"/>
                <w:sz w:val="20"/>
                <w:szCs w:val="20"/>
                <w:lang w:eastAsia="es-ES"/>
              </w:rPr>
            </w:pPr>
            <w:r>
              <w:rPr>
                <w:rFonts w:ascii="Arial Narrow" w:hAnsi="Arial Narrow"/>
                <w:color w:val="000000"/>
                <w:sz w:val="20"/>
                <w:szCs w:val="20"/>
                <w:lang w:eastAsia="es-ES"/>
              </w:rPr>
              <w:t>388.655</w:t>
            </w:r>
          </w:p>
        </w:tc>
      </w:tr>
      <w:tr w:rsidR="008B5CCB" w:rsidRPr="008E708D" w:rsidTr="004D22FC">
        <w:trPr>
          <w:trHeight w:val="284"/>
          <w:jc w:val="center"/>
        </w:trPr>
        <w:tc>
          <w:tcPr>
            <w:tcW w:w="2821" w:type="dxa"/>
            <w:vAlign w:val="center"/>
          </w:tcPr>
          <w:p w:rsidR="008B5CCB" w:rsidRPr="008E708D" w:rsidRDefault="008B5CCB" w:rsidP="00CF0DE8">
            <w:pPr>
              <w:widowControl/>
              <w:spacing w:after="0"/>
              <w:ind w:left="66" w:firstLine="0"/>
              <w:jc w:val="left"/>
              <w:rPr>
                <w:rFonts w:ascii="Arial Narrow" w:hAnsi="Arial Narrow"/>
                <w:color w:val="000000"/>
                <w:sz w:val="20"/>
                <w:szCs w:val="20"/>
                <w:lang w:eastAsia="es-ES"/>
              </w:rPr>
            </w:pPr>
            <w:r>
              <w:rPr>
                <w:rFonts w:ascii="Arial Narrow" w:hAnsi="Arial Narrow"/>
                <w:color w:val="000000"/>
                <w:sz w:val="20"/>
                <w:szCs w:val="20"/>
                <w:lang w:eastAsia="es-ES"/>
              </w:rPr>
              <w:t>2ª Fase</w:t>
            </w:r>
          </w:p>
        </w:tc>
        <w:tc>
          <w:tcPr>
            <w:tcW w:w="6100" w:type="dxa"/>
            <w:vAlign w:val="center"/>
          </w:tcPr>
          <w:p w:rsidR="008B5CCB" w:rsidRPr="008E708D" w:rsidRDefault="008B5CCB" w:rsidP="00CF0DE8">
            <w:pPr>
              <w:widowControl/>
              <w:spacing w:after="0"/>
              <w:ind w:left="206" w:right="66" w:firstLine="0"/>
              <w:jc w:val="right"/>
              <w:rPr>
                <w:rFonts w:ascii="Arial Narrow" w:hAnsi="Arial Narrow"/>
                <w:color w:val="000000"/>
                <w:sz w:val="20"/>
                <w:szCs w:val="20"/>
                <w:lang w:eastAsia="es-ES"/>
              </w:rPr>
            </w:pPr>
            <w:r>
              <w:rPr>
                <w:rFonts w:ascii="Arial Narrow" w:hAnsi="Arial Narrow"/>
                <w:color w:val="000000"/>
                <w:sz w:val="20"/>
                <w:szCs w:val="20"/>
                <w:lang w:eastAsia="es-ES"/>
              </w:rPr>
              <w:t>219.708</w:t>
            </w:r>
          </w:p>
        </w:tc>
      </w:tr>
      <w:tr w:rsidR="008B5CCB" w:rsidRPr="008E708D" w:rsidTr="004D22FC">
        <w:trPr>
          <w:trHeight w:val="284"/>
          <w:jc w:val="center"/>
        </w:trPr>
        <w:tc>
          <w:tcPr>
            <w:tcW w:w="2821" w:type="dxa"/>
            <w:vAlign w:val="center"/>
          </w:tcPr>
          <w:p w:rsidR="008B5CCB" w:rsidRPr="008E708D" w:rsidRDefault="008B5CCB" w:rsidP="00CF0DE8">
            <w:pPr>
              <w:widowControl/>
              <w:spacing w:after="0"/>
              <w:ind w:left="66" w:firstLine="0"/>
              <w:jc w:val="left"/>
              <w:rPr>
                <w:rFonts w:ascii="Arial Narrow" w:hAnsi="Arial Narrow"/>
                <w:color w:val="000000"/>
                <w:sz w:val="20"/>
                <w:szCs w:val="20"/>
                <w:lang w:eastAsia="es-ES"/>
              </w:rPr>
            </w:pPr>
            <w:r>
              <w:rPr>
                <w:rFonts w:ascii="Arial Narrow" w:hAnsi="Arial Narrow"/>
                <w:color w:val="000000"/>
                <w:sz w:val="20"/>
                <w:szCs w:val="20"/>
                <w:lang w:eastAsia="es-ES"/>
              </w:rPr>
              <w:t>3ª Fase</w:t>
            </w:r>
          </w:p>
        </w:tc>
        <w:tc>
          <w:tcPr>
            <w:tcW w:w="6100" w:type="dxa"/>
            <w:vAlign w:val="center"/>
          </w:tcPr>
          <w:p w:rsidR="008B5CCB" w:rsidRPr="008E708D" w:rsidRDefault="008B5CCB" w:rsidP="00CF0DE8">
            <w:pPr>
              <w:widowControl/>
              <w:spacing w:after="0"/>
              <w:ind w:left="206" w:right="66" w:firstLine="0"/>
              <w:jc w:val="right"/>
              <w:rPr>
                <w:rFonts w:ascii="Arial Narrow" w:hAnsi="Arial Narrow"/>
                <w:color w:val="000000"/>
                <w:sz w:val="20"/>
                <w:szCs w:val="20"/>
                <w:lang w:eastAsia="es-ES"/>
              </w:rPr>
            </w:pPr>
            <w:r>
              <w:rPr>
                <w:rFonts w:ascii="Arial Narrow" w:hAnsi="Arial Narrow"/>
                <w:color w:val="000000"/>
                <w:sz w:val="20"/>
                <w:szCs w:val="20"/>
                <w:lang w:eastAsia="es-ES"/>
              </w:rPr>
              <w:t>632.936</w:t>
            </w:r>
          </w:p>
        </w:tc>
      </w:tr>
      <w:tr w:rsidR="008B5CCB" w:rsidRPr="008E708D" w:rsidTr="004E1C2E">
        <w:trPr>
          <w:trHeight w:val="284"/>
          <w:jc w:val="center"/>
        </w:trPr>
        <w:tc>
          <w:tcPr>
            <w:tcW w:w="2821" w:type="dxa"/>
            <w:tcBorders>
              <w:bottom w:val="single" w:sz="4" w:space="0" w:color="auto"/>
            </w:tcBorders>
            <w:vAlign w:val="center"/>
          </w:tcPr>
          <w:p w:rsidR="008B5CCB" w:rsidRPr="008E708D" w:rsidRDefault="008B5CCB" w:rsidP="00CF0DE8">
            <w:pPr>
              <w:widowControl/>
              <w:spacing w:after="0"/>
              <w:ind w:left="66" w:firstLine="0"/>
              <w:jc w:val="left"/>
              <w:rPr>
                <w:rFonts w:ascii="Arial Narrow" w:hAnsi="Arial Narrow"/>
                <w:color w:val="000000"/>
                <w:sz w:val="20"/>
                <w:szCs w:val="20"/>
                <w:lang w:eastAsia="es-ES"/>
              </w:rPr>
            </w:pPr>
            <w:r>
              <w:rPr>
                <w:rFonts w:ascii="Arial Narrow" w:hAnsi="Arial Narrow"/>
                <w:color w:val="000000"/>
                <w:sz w:val="20"/>
                <w:szCs w:val="20"/>
                <w:lang w:eastAsia="es-ES"/>
              </w:rPr>
              <w:t>4ª Fase</w:t>
            </w:r>
          </w:p>
        </w:tc>
        <w:tc>
          <w:tcPr>
            <w:tcW w:w="6100" w:type="dxa"/>
            <w:tcBorders>
              <w:bottom w:val="single" w:sz="4" w:space="0" w:color="auto"/>
            </w:tcBorders>
            <w:vAlign w:val="center"/>
          </w:tcPr>
          <w:p w:rsidR="008B5CCB" w:rsidRPr="008E708D" w:rsidRDefault="008B5CCB" w:rsidP="00CF0DE8">
            <w:pPr>
              <w:widowControl/>
              <w:spacing w:after="0"/>
              <w:ind w:left="206" w:right="66" w:firstLine="0"/>
              <w:jc w:val="right"/>
              <w:rPr>
                <w:rFonts w:ascii="Arial Narrow" w:hAnsi="Arial Narrow"/>
                <w:color w:val="000000"/>
                <w:sz w:val="20"/>
                <w:szCs w:val="20"/>
                <w:lang w:eastAsia="es-ES"/>
              </w:rPr>
            </w:pPr>
            <w:r>
              <w:rPr>
                <w:rFonts w:ascii="Arial Narrow" w:hAnsi="Arial Narrow"/>
                <w:color w:val="000000"/>
                <w:sz w:val="20"/>
                <w:szCs w:val="20"/>
                <w:lang w:eastAsia="es-ES"/>
              </w:rPr>
              <w:t>382.738</w:t>
            </w:r>
          </w:p>
        </w:tc>
      </w:tr>
      <w:tr w:rsidR="008B5CCB" w:rsidRPr="005B3CA8" w:rsidTr="004E1C2E">
        <w:trPr>
          <w:trHeight w:val="284"/>
          <w:jc w:val="center"/>
        </w:trPr>
        <w:tc>
          <w:tcPr>
            <w:tcW w:w="2821" w:type="dxa"/>
            <w:tcBorders>
              <w:top w:val="single" w:sz="4" w:space="0" w:color="auto"/>
              <w:bottom w:val="single" w:sz="4" w:space="0" w:color="auto"/>
            </w:tcBorders>
            <w:shd w:val="clear" w:color="auto" w:fill="B8CCE4" w:themeFill="accent1" w:themeFillTint="66"/>
            <w:vAlign w:val="center"/>
          </w:tcPr>
          <w:p w:rsidR="008B5CCB" w:rsidRPr="005B3CA8" w:rsidRDefault="008B5CCB" w:rsidP="00CF0DE8">
            <w:pPr>
              <w:spacing w:after="0"/>
              <w:ind w:left="66" w:firstLine="0"/>
              <w:jc w:val="left"/>
              <w:rPr>
                <w:rFonts w:ascii="Arial" w:hAnsi="Arial" w:cs="Arial"/>
                <w:color w:val="000000"/>
                <w:sz w:val="18"/>
                <w:szCs w:val="18"/>
                <w:lang w:eastAsia="es-ES"/>
              </w:rPr>
            </w:pPr>
            <w:r w:rsidRPr="005B3CA8">
              <w:rPr>
                <w:rFonts w:ascii="Arial" w:hAnsi="Arial" w:cs="Arial"/>
                <w:color w:val="000000"/>
                <w:sz w:val="18"/>
                <w:szCs w:val="18"/>
                <w:lang w:eastAsia="es-ES"/>
              </w:rPr>
              <w:t>Total</w:t>
            </w:r>
          </w:p>
        </w:tc>
        <w:tc>
          <w:tcPr>
            <w:tcW w:w="6100" w:type="dxa"/>
            <w:tcBorders>
              <w:top w:val="single" w:sz="4" w:space="0" w:color="auto"/>
              <w:bottom w:val="single" w:sz="4" w:space="0" w:color="auto"/>
            </w:tcBorders>
            <w:shd w:val="clear" w:color="auto" w:fill="B8CCE4" w:themeFill="accent1" w:themeFillTint="66"/>
            <w:vAlign w:val="center"/>
          </w:tcPr>
          <w:p w:rsidR="008B5CCB" w:rsidRPr="005B3CA8" w:rsidRDefault="008B5CCB" w:rsidP="00CF0DE8">
            <w:pPr>
              <w:spacing w:after="0"/>
              <w:ind w:left="284" w:right="66" w:firstLine="0"/>
              <w:jc w:val="right"/>
              <w:rPr>
                <w:rFonts w:ascii="Arial" w:hAnsi="Arial" w:cs="Arial"/>
                <w:color w:val="000000"/>
                <w:sz w:val="18"/>
                <w:szCs w:val="18"/>
                <w:lang w:eastAsia="es-ES"/>
              </w:rPr>
            </w:pPr>
            <w:r>
              <w:rPr>
                <w:rFonts w:ascii="Arial" w:hAnsi="Arial" w:cs="Arial"/>
                <w:color w:val="000000"/>
                <w:sz w:val="18"/>
                <w:szCs w:val="18"/>
                <w:lang w:eastAsia="es-ES"/>
              </w:rPr>
              <w:t>1.624.037</w:t>
            </w:r>
          </w:p>
        </w:tc>
      </w:tr>
    </w:tbl>
    <w:p w:rsidR="00263438" w:rsidRDefault="00263438" w:rsidP="004D22FC">
      <w:pPr>
        <w:pStyle w:val="texto"/>
        <w:tabs>
          <w:tab w:val="clear" w:pos="2835"/>
          <w:tab w:val="clear" w:pos="3969"/>
          <w:tab w:val="clear" w:pos="5103"/>
          <w:tab w:val="clear" w:pos="6237"/>
          <w:tab w:val="clear" w:pos="7371"/>
        </w:tabs>
        <w:spacing w:before="240"/>
        <w:rPr>
          <w:szCs w:val="26"/>
        </w:rPr>
      </w:pPr>
      <w:r w:rsidRPr="00F97E01">
        <w:rPr>
          <w:szCs w:val="26"/>
        </w:rPr>
        <w:t>Es decir, la ampliación</w:t>
      </w:r>
      <w:r w:rsidR="00EB6095">
        <w:rPr>
          <w:szCs w:val="26"/>
        </w:rPr>
        <w:t xml:space="preserve"> </w:t>
      </w:r>
      <w:r w:rsidR="004D22FC">
        <w:rPr>
          <w:szCs w:val="26"/>
        </w:rPr>
        <w:t>–</w:t>
      </w:r>
      <w:r w:rsidR="00EB6095">
        <w:rPr>
          <w:szCs w:val="26"/>
        </w:rPr>
        <w:t>3ª y 4ª fase</w:t>
      </w:r>
      <w:r w:rsidR="004D22FC">
        <w:rPr>
          <w:szCs w:val="26"/>
        </w:rPr>
        <w:t>–</w:t>
      </w:r>
      <w:r w:rsidRPr="00F97E01">
        <w:rPr>
          <w:szCs w:val="26"/>
        </w:rPr>
        <w:t xml:space="preserve"> </w:t>
      </w:r>
      <w:r w:rsidR="00C11C13">
        <w:rPr>
          <w:szCs w:val="26"/>
        </w:rPr>
        <w:t xml:space="preserve">supone un incremento del 167 por ciento de </w:t>
      </w:r>
      <w:r w:rsidRPr="00F97E01">
        <w:rPr>
          <w:szCs w:val="26"/>
        </w:rPr>
        <w:t>la extensión ya existente de la Ciudad del Transporte.</w:t>
      </w:r>
    </w:p>
    <w:p w:rsidR="002B6F85" w:rsidRDefault="000F1475" w:rsidP="00CF0DE8">
      <w:pPr>
        <w:pStyle w:val="texto"/>
        <w:tabs>
          <w:tab w:val="clear" w:pos="2835"/>
          <w:tab w:val="clear" w:pos="3969"/>
          <w:tab w:val="clear" w:pos="5103"/>
          <w:tab w:val="clear" w:pos="6237"/>
          <w:tab w:val="clear" w:pos="7371"/>
        </w:tabs>
        <w:spacing w:after="120"/>
        <w:rPr>
          <w:szCs w:val="26"/>
        </w:rPr>
      </w:pPr>
      <w:r>
        <w:rPr>
          <w:szCs w:val="26"/>
        </w:rPr>
        <w:t>La 1ª fase de la CT se inaugura oficialmente</w:t>
      </w:r>
      <w:r w:rsidR="0080774D">
        <w:rPr>
          <w:szCs w:val="26"/>
        </w:rPr>
        <w:t xml:space="preserve"> en 1999, la 2ª fase en 200</w:t>
      </w:r>
      <w:r w:rsidR="0087665A">
        <w:rPr>
          <w:szCs w:val="26"/>
        </w:rPr>
        <w:t>5</w:t>
      </w:r>
      <w:r w:rsidR="0080774D">
        <w:rPr>
          <w:szCs w:val="26"/>
        </w:rPr>
        <w:t xml:space="preserve"> y la 3ª fase en 20</w:t>
      </w:r>
      <w:r w:rsidR="00887D05">
        <w:rPr>
          <w:szCs w:val="26"/>
        </w:rPr>
        <w:t>12</w:t>
      </w:r>
      <w:r w:rsidR="0080774D">
        <w:rPr>
          <w:szCs w:val="26"/>
        </w:rPr>
        <w:t xml:space="preserve">. </w:t>
      </w:r>
    </w:p>
    <w:p w:rsidR="004D22FC" w:rsidRDefault="004D22FC" w:rsidP="00CF0DE8">
      <w:pPr>
        <w:pStyle w:val="texto"/>
        <w:tabs>
          <w:tab w:val="clear" w:pos="2835"/>
          <w:tab w:val="clear" w:pos="3969"/>
          <w:tab w:val="clear" w:pos="5103"/>
          <w:tab w:val="clear" w:pos="6237"/>
          <w:tab w:val="clear" w:pos="7371"/>
        </w:tabs>
        <w:spacing w:after="120"/>
        <w:rPr>
          <w:szCs w:val="26"/>
        </w:rPr>
      </w:pPr>
    </w:p>
    <w:p w:rsidR="004D22FC" w:rsidRDefault="004D22FC" w:rsidP="00CF0DE8">
      <w:pPr>
        <w:pStyle w:val="texto"/>
        <w:tabs>
          <w:tab w:val="clear" w:pos="2835"/>
          <w:tab w:val="clear" w:pos="3969"/>
          <w:tab w:val="clear" w:pos="5103"/>
          <w:tab w:val="clear" w:pos="6237"/>
          <w:tab w:val="clear" w:pos="7371"/>
        </w:tabs>
        <w:spacing w:after="120"/>
        <w:rPr>
          <w:szCs w:val="26"/>
        </w:rPr>
      </w:pPr>
    </w:p>
    <w:p w:rsidR="009A3467" w:rsidRPr="00F97378" w:rsidRDefault="005E4EE8" w:rsidP="009A3467">
      <w:pPr>
        <w:pStyle w:val="texto"/>
        <w:tabs>
          <w:tab w:val="clear" w:pos="2835"/>
          <w:tab w:val="clear" w:pos="3969"/>
          <w:tab w:val="clear" w:pos="5103"/>
          <w:tab w:val="clear" w:pos="6237"/>
          <w:tab w:val="clear" w:pos="7371"/>
        </w:tabs>
        <w:spacing w:after="120"/>
        <w:rPr>
          <w:color w:val="FF0000"/>
          <w:szCs w:val="26"/>
        </w:rPr>
      </w:pPr>
      <w:r w:rsidRPr="00447C6F">
        <w:rPr>
          <w:b/>
          <w:szCs w:val="26"/>
        </w:rPr>
        <w:t>4</w:t>
      </w:r>
      <w:r w:rsidR="00447C6F" w:rsidRPr="00447C6F">
        <w:rPr>
          <w:b/>
          <w:szCs w:val="26"/>
        </w:rPr>
        <w:t>.</w:t>
      </w:r>
      <w:r w:rsidR="006A1B76" w:rsidRPr="00447C6F">
        <w:rPr>
          <w:b/>
          <w:szCs w:val="26"/>
        </w:rPr>
        <w:t>ª</w:t>
      </w:r>
      <w:r w:rsidR="006A1B76">
        <w:rPr>
          <w:szCs w:val="26"/>
        </w:rPr>
        <w:t xml:space="preserve"> </w:t>
      </w:r>
      <w:r>
        <w:rPr>
          <w:szCs w:val="26"/>
        </w:rPr>
        <w:t>En la documentación analizada no constan estudios globales sobre las n</w:t>
      </w:r>
      <w:r>
        <w:rPr>
          <w:szCs w:val="26"/>
        </w:rPr>
        <w:t>e</w:t>
      </w:r>
      <w:r>
        <w:rPr>
          <w:szCs w:val="26"/>
        </w:rPr>
        <w:t>cesidades a cubrir ni sobre su viabilidad</w:t>
      </w:r>
      <w:r w:rsidR="00F113BC">
        <w:rPr>
          <w:szCs w:val="26"/>
        </w:rPr>
        <w:t xml:space="preserve"> socio-económica</w:t>
      </w:r>
      <w:r>
        <w:rPr>
          <w:szCs w:val="26"/>
        </w:rPr>
        <w:t xml:space="preserve"> </w:t>
      </w:r>
      <w:r w:rsidR="00CF0DE8">
        <w:rPr>
          <w:szCs w:val="26"/>
        </w:rPr>
        <w:t>–</w:t>
      </w:r>
      <w:r>
        <w:rPr>
          <w:szCs w:val="26"/>
        </w:rPr>
        <w:t>al menos para la 1ª y 2ª fase de la CT</w:t>
      </w:r>
      <w:r w:rsidR="00CF0DE8">
        <w:rPr>
          <w:szCs w:val="26"/>
        </w:rPr>
        <w:t xml:space="preserve">– </w:t>
      </w:r>
      <w:r>
        <w:rPr>
          <w:szCs w:val="26"/>
        </w:rPr>
        <w:t>así como de la decisión adoptada sobre su ubicación</w:t>
      </w:r>
      <w:r w:rsidR="00F113BC">
        <w:rPr>
          <w:szCs w:val="26"/>
        </w:rPr>
        <w:t xml:space="preserve"> f</w:t>
      </w:r>
      <w:r w:rsidR="00D646C1">
        <w:rPr>
          <w:szCs w:val="26"/>
        </w:rPr>
        <w:t>í</w:t>
      </w:r>
      <w:r w:rsidR="00F113BC">
        <w:rPr>
          <w:szCs w:val="26"/>
        </w:rPr>
        <w:t>sica</w:t>
      </w:r>
      <w:r>
        <w:rPr>
          <w:szCs w:val="26"/>
        </w:rPr>
        <w:t xml:space="preserve"> en Imárcoain</w:t>
      </w:r>
      <w:r w:rsidR="00E07AEE">
        <w:rPr>
          <w:szCs w:val="26"/>
        </w:rPr>
        <w:t>.</w:t>
      </w:r>
      <w:r w:rsidR="00072D23">
        <w:rPr>
          <w:szCs w:val="26"/>
        </w:rPr>
        <w:t xml:space="preserve"> Sí consta un informe del director del Servicio de Transportes del Departamento de Obras Públicas que, entre otras consideraciones, afirma que la ubicación es idónea pero imposibilita su comunicación con la red ferroviaria</w:t>
      </w:r>
      <w:r w:rsidR="00072D23">
        <w:rPr>
          <w:rStyle w:val="Refdenotaalpie"/>
          <w:szCs w:val="26"/>
        </w:rPr>
        <w:footnoteReference w:id="2"/>
      </w:r>
      <w:r w:rsidR="00072D23">
        <w:rPr>
          <w:szCs w:val="26"/>
        </w:rPr>
        <w:t xml:space="preserve">. </w:t>
      </w:r>
    </w:p>
    <w:p w:rsidR="00D83645" w:rsidRDefault="00D83645" w:rsidP="009A3467">
      <w:pPr>
        <w:pStyle w:val="texto"/>
        <w:tabs>
          <w:tab w:val="clear" w:pos="2835"/>
          <w:tab w:val="clear" w:pos="3969"/>
          <w:tab w:val="clear" w:pos="5103"/>
          <w:tab w:val="clear" w:pos="6237"/>
          <w:tab w:val="clear" w:pos="7371"/>
        </w:tabs>
        <w:spacing w:after="120"/>
        <w:rPr>
          <w:szCs w:val="26"/>
        </w:rPr>
      </w:pPr>
      <w:r w:rsidRPr="006A1B76">
        <w:rPr>
          <w:szCs w:val="26"/>
        </w:rPr>
        <w:t>Para la 3ª fase</w:t>
      </w:r>
      <w:r w:rsidR="00EF6C38">
        <w:rPr>
          <w:szCs w:val="26"/>
        </w:rPr>
        <w:t>,</w:t>
      </w:r>
      <w:r w:rsidRPr="006A1B76">
        <w:rPr>
          <w:szCs w:val="26"/>
        </w:rPr>
        <w:t xml:space="preserve"> si bien no consta un estudio concreto sobre la misma, sí pu</w:t>
      </w:r>
      <w:r w:rsidRPr="006A1B76">
        <w:rPr>
          <w:szCs w:val="26"/>
        </w:rPr>
        <w:t>e</w:t>
      </w:r>
      <w:r w:rsidRPr="006A1B76">
        <w:rPr>
          <w:szCs w:val="26"/>
        </w:rPr>
        <w:t>de afirmarse que tal fase se contempla dentro del encargo que efectúa al G</w:t>
      </w:r>
      <w:r w:rsidRPr="006A1B76">
        <w:rPr>
          <w:szCs w:val="26"/>
        </w:rPr>
        <w:t>o</w:t>
      </w:r>
      <w:r w:rsidRPr="006A1B76">
        <w:rPr>
          <w:szCs w:val="26"/>
        </w:rPr>
        <w:t>bierno de Navarra a la sociedad CTP</w:t>
      </w:r>
      <w:r w:rsidR="00D6709D">
        <w:rPr>
          <w:szCs w:val="26"/>
        </w:rPr>
        <w:t>, S</w:t>
      </w:r>
      <w:r w:rsidRPr="006A1B76">
        <w:rPr>
          <w:szCs w:val="26"/>
        </w:rPr>
        <w:t>A sobre la definición de una estrategia de desarrollo de una red de infraestructuras logísticas así como la implantación de políticas y estrategias para el fomento del transporte sostenible de merca</w:t>
      </w:r>
      <w:r w:rsidRPr="006A1B76">
        <w:rPr>
          <w:szCs w:val="26"/>
        </w:rPr>
        <w:t>n</w:t>
      </w:r>
      <w:r w:rsidRPr="006A1B76">
        <w:rPr>
          <w:szCs w:val="26"/>
        </w:rPr>
        <w:t>cías, la intermodalidad y la integración ferroviaria en Navarra</w:t>
      </w:r>
      <w:r w:rsidR="00640DBF">
        <w:rPr>
          <w:szCs w:val="26"/>
        </w:rPr>
        <w:t>; n</w:t>
      </w:r>
      <w:r w:rsidRPr="006A1B76">
        <w:rPr>
          <w:szCs w:val="26"/>
        </w:rPr>
        <w:t>o obstante, este estudio se encarga</w:t>
      </w:r>
      <w:r w:rsidR="006A1B76">
        <w:rPr>
          <w:szCs w:val="26"/>
        </w:rPr>
        <w:t xml:space="preserve"> en 2006, es decir, </w:t>
      </w:r>
      <w:r w:rsidRPr="006A1B76">
        <w:rPr>
          <w:szCs w:val="26"/>
        </w:rPr>
        <w:t xml:space="preserve"> con posterioridad a la aprobación de la ampliación del PSIS</w:t>
      </w:r>
      <w:r w:rsidR="00CF0DE8">
        <w:rPr>
          <w:szCs w:val="26"/>
        </w:rPr>
        <w:t xml:space="preserve"> –</w:t>
      </w:r>
      <w:r w:rsidR="00640DBF">
        <w:rPr>
          <w:szCs w:val="26"/>
        </w:rPr>
        <w:t>2004</w:t>
      </w:r>
      <w:r w:rsidR="00CF0DE8">
        <w:rPr>
          <w:szCs w:val="26"/>
        </w:rPr>
        <w:t>–</w:t>
      </w:r>
      <w:r w:rsidRPr="006A1B76">
        <w:rPr>
          <w:szCs w:val="26"/>
        </w:rPr>
        <w:t xml:space="preserve"> y a la propia adjudica</w:t>
      </w:r>
      <w:r w:rsidR="00640DBF">
        <w:rPr>
          <w:szCs w:val="26"/>
        </w:rPr>
        <w:t xml:space="preserve">ción </w:t>
      </w:r>
      <w:r w:rsidRPr="006A1B76">
        <w:rPr>
          <w:szCs w:val="26"/>
        </w:rPr>
        <w:t>de las obras de urban</w:t>
      </w:r>
      <w:r w:rsidRPr="006A1B76">
        <w:rPr>
          <w:szCs w:val="26"/>
        </w:rPr>
        <w:t>i</w:t>
      </w:r>
      <w:r w:rsidRPr="006A1B76">
        <w:rPr>
          <w:szCs w:val="26"/>
        </w:rPr>
        <w:t>zación de la 3ª fase.</w:t>
      </w:r>
    </w:p>
    <w:p w:rsidR="00640DBF" w:rsidRPr="006A1B76" w:rsidRDefault="00640DBF" w:rsidP="00640DBF">
      <w:pPr>
        <w:pStyle w:val="texto"/>
        <w:tabs>
          <w:tab w:val="clear" w:pos="2835"/>
          <w:tab w:val="clear" w:pos="3969"/>
          <w:tab w:val="clear" w:pos="5103"/>
          <w:tab w:val="clear" w:pos="6237"/>
          <w:tab w:val="clear" w:pos="7371"/>
        </w:tabs>
        <w:rPr>
          <w:szCs w:val="26"/>
        </w:rPr>
      </w:pPr>
      <w:r>
        <w:rPr>
          <w:szCs w:val="26"/>
        </w:rPr>
        <w:t>Para la 4ª fase, se contrata externamente en 2009 un estudio de viabilidad de la misma, si bien también es posterior a la aprobación del PSIS de la ampli</w:t>
      </w:r>
      <w:r>
        <w:rPr>
          <w:szCs w:val="26"/>
        </w:rPr>
        <w:t>a</w:t>
      </w:r>
      <w:r>
        <w:rPr>
          <w:szCs w:val="26"/>
        </w:rPr>
        <w:t>ción</w:t>
      </w:r>
      <w:r w:rsidR="00F113BC">
        <w:rPr>
          <w:szCs w:val="26"/>
        </w:rPr>
        <w:t xml:space="preserve"> de la CT</w:t>
      </w:r>
      <w:r>
        <w:rPr>
          <w:szCs w:val="26"/>
        </w:rPr>
        <w:t xml:space="preserve">.  </w:t>
      </w:r>
    </w:p>
    <w:p w:rsidR="005E4EE8" w:rsidRDefault="005E4EE8" w:rsidP="005E4EE8">
      <w:pPr>
        <w:pStyle w:val="texto"/>
        <w:tabs>
          <w:tab w:val="clear" w:pos="2835"/>
          <w:tab w:val="clear" w:pos="3969"/>
          <w:tab w:val="clear" w:pos="5103"/>
          <w:tab w:val="clear" w:pos="6237"/>
          <w:tab w:val="clear" w:pos="7371"/>
        </w:tabs>
        <w:rPr>
          <w:szCs w:val="26"/>
        </w:rPr>
      </w:pPr>
      <w:r w:rsidRPr="00447C6F">
        <w:rPr>
          <w:b/>
          <w:szCs w:val="26"/>
        </w:rPr>
        <w:t>5</w:t>
      </w:r>
      <w:r w:rsidR="00447C6F" w:rsidRPr="00447C6F">
        <w:rPr>
          <w:b/>
          <w:szCs w:val="26"/>
        </w:rPr>
        <w:t>.</w:t>
      </w:r>
      <w:r w:rsidRPr="00447C6F">
        <w:rPr>
          <w:b/>
          <w:szCs w:val="26"/>
        </w:rPr>
        <w:t>ª</w:t>
      </w:r>
      <w:r>
        <w:rPr>
          <w:szCs w:val="26"/>
        </w:rPr>
        <w:t xml:space="preserve"> La construcción y gestión de esta infraestructura ha estado condicionada por:</w:t>
      </w:r>
    </w:p>
    <w:p w:rsidR="005E4EE8" w:rsidRDefault="005E4EE8" w:rsidP="005E4EE8">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Su largo proceso de definición, gestación y construcción, prácticamente 30 años</w:t>
      </w:r>
      <w:r w:rsidR="00AF2843">
        <w:rPr>
          <w:szCs w:val="26"/>
        </w:rPr>
        <w:t>. A</w:t>
      </w:r>
      <w:r>
        <w:rPr>
          <w:szCs w:val="26"/>
        </w:rPr>
        <w:t>ctualmente</w:t>
      </w:r>
      <w:r w:rsidR="005929D2">
        <w:rPr>
          <w:szCs w:val="26"/>
        </w:rPr>
        <w:t>,</w:t>
      </w:r>
      <w:r>
        <w:rPr>
          <w:szCs w:val="26"/>
        </w:rPr>
        <w:t xml:space="preserve"> aún se encuentra pendiente de configurar definitivamente su 4ª fase.</w:t>
      </w:r>
    </w:p>
    <w:p w:rsidR="005E4EE8" w:rsidRDefault="00F113BC" w:rsidP="005E4EE8">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El elevado coste de recursos públicos</w:t>
      </w:r>
      <w:r w:rsidR="005E4EE8">
        <w:rPr>
          <w:szCs w:val="26"/>
        </w:rPr>
        <w:t xml:space="preserve"> que ha supuesto </w:t>
      </w:r>
      <w:r>
        <w:rPr>
          <w:szCs w:val="26"/>
        </w:rPr>
        <w:t xml:space="preserve">el pago de </w:t>
      </w:r>
      <w:r w:rsidR="005E4EE8">
        <w:rPr>
          <w:szCs w:val="26"/>
        </w:rPr>
        <w:t>la expr</w:t>
      </w:r>
      <w:r w:rsidR="005E4EE8">
        <w:rPr>
          <w:szCs w:val="26"/>
        </w:rPr>
        <w:t>o</w:t>
      </w:r>
      <w:r w:rsidR="005E4EE8">
        <w:rPr>
          <w:szCs w:val="26"/>
        </w:rPr>
        <w:t xml:space="preserve">piación de </w:t>
      </w:r>
      <w:r>
        <w:rPr>
          <w:szCs w:val="26"/>
        </w:rPr>
        <w:t xml:space="preserve">sus </w:t>
      </w:r>
      <w:r w:rsidR="005E4EE8">
        <w:rPr>
          <w:szCs w:val="26"/>
        </w:rPr>
        <w:t>terrenos.</w:t>
      </w:r>
    </w:p>
    <w:p w:rsidR="00F113BC" w:rsidRDefault="00F113BC" w:rsidP="005E4EE8">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A pesar de que se publicitaron ampliamente los dos</w:t>
      </w:r>
      <w:r w:rsidR="005E4EE8">
        <w:rPr>
          <w:szCs w:val="26"/>
        </w:rPr>
        <w:t xml:space="preserve"> procesos selectivos p</w:t>
      </w:r>
      <w:r w:rsidR="005E4EE8">
        <w:rPr>
          <w:szCs w:val="26"/>
        </w:rPr>
        <w:t>a</w:t>
      </w:r>
      <w:r w:rsidR="005E4EE8">
        <w:rPr>
          <w:szCs w:val="26"/>
        </w:rPr>
        <w:t xml:space="preserve">ra </w:t>
      </w:r>
      <w:r>
        <w:rPr>
          <w:szCs w:val="26"/>
        </w:rPr>
        <w:t xml:space="preserve">la ejecución de </w:t>
      </w:r>
      <w:r w:rsidR="005E4EE8">
        <w:rPr>
          <w:szCs w:val="26"/>
        </w:rPr>
        <w:t>las obras de urbanización y explotación</w:t>
      </w:r>
      <w:r>
        <w:rPr>
          <w:szCs w:val="26"/>
        </w:rPr>
        <w:t xml:space="preserve"> de la CT, solo un único ofertante se presentó a los mismos, ofertante que finalmente resultó adj</w:t>
      </w:r>
      <w:r>
        <w:rPr>
          <w:szCs w:val="26"/>
        </w:rPr>
        <w:t>u</w:t>
      </w:r>
      <w:r>
        <w:rPr>
          <w:szCs w:val="26"/>
        </w:rPr>
        <w:t xml:space="preserve">dicatario. </w:t>
      </w:r>
    </w:p>
    <w:p w:rsidR="005E4EE8" w:rsidRDefault="005E4EE8" w:rsidP="005E4EE8">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La situación de crisis económica que ha afectado principalmente a su c</w:t>
      </w:r>
      <w:r>
        <w:rPr>
          <w:szCs w:val="26"/>
        </w:rPr>
        <w:t>o</w:t>
      </w:r>
      <w:r>
        <w:rPr>
          <w:szCs w:val="26"/>
        </w:rPr>
        <w:t>mercialización en la etapa de ampliación de la misma.</w:t>
      </w:r>
    </w:p>
    <w:p w:rsidR="005E4EE8" w:rsidRDefault="005E4EE8" w:rsidP="005E4EE8">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Los cambios estructurales experimentados por la sociedad gestora respo</w:t>
      </w:r>
      <w:r>
        <w:rPr>
          <w:szCs w:val="26"/>
        </w:rPr>
        <w:t>n</w:t>
      </w:r>
      <w:r>
        <w:rPr>
          <w:szCs w:val="26"/>
        </w:rPr>
        <w:t>sable de la gestión de la CT. Así, inicialmente era una empresa dedicada en e</w:t>
      </w:r>
      <w:r>
        <w:rPr>
          <w:szCs w:val="26"/>
        </w:rPr>
        <w:t>x</w:t>
      </w:r>
      <w:r>
        <w:rPr>
          <w:szCs w:val="26"/>
        </w:rPr>
        <w:t>clusiva a esa gestión; posteriormente, se ha ido diluyendo esa actividad en ent</w:t>
      </w:r>
      <w:r>
        <w:rPr>
          <w:szCs w:val="26"/>
        </w:rPr>
        <w:t>i</w:t>
      </w:r>
      <w:r>
        <w:rPr>
          <w:szCs w:val="26"/>
        </w:rPr>
        <w:t>dades empresariales</w:t>
      </w:r>
      <w:r w:rsidR="00FD5BF8">
        <w:rPr>
          <w:szCs w:val="26"/>
        </w:rPr>
        <w:t xml:space="preserve"> públicas</w:t>
      </w:r>
      <w:r>
        <w:rPr>
          <w:szCs w:val="26"/>
        </w:rPr>
        <w:t xml:space="preserve"> con objetos sociales más amplios.</w:t>
      </w:r>
    </w:p>
    <w:p w:rsidR="004D22FC" w:rsidRPr="00850B26" w:rsidRDefault="004D22FC" w:rsidP="004D22FC">
      <w:pPr>
        <w:pStyle w:val="texto"/>
        <w:tabs>
          <w:tab w:val="clear" w:pos="2835"/>
          <w:tab w:val="clear" w:pos="3969"/>
          <w:tab w:val="clear" w:pos="5103"/>
          <w:tab w:val="clear" w:pos="6237"/>
          <w:tab w:val="clear" w:pos="7371"/>
        </w:tabs>
        <w:ind w:left="290" w:firstLine="0"/>
        <w:rPr>
          <w:szCs w:val="26"/>
        </w:rPr>
      </w:pPr>
    </w:p>
    <w:p w:rsidR="008B5CCB" w:rsidRPr="000A17EC" w:rsidRDefault="00272E47" w:rsidP="008B5CCB">
      <w:pPr>
        <w:pStyle w:val="texto"/>
        <w:tabs>
          <w:tab w:val="clear" w:pos="2835"/>
          <w:tab w:val="clear" w:pos="3969"/>
          <w:tab w:val="clear" w:pos="5103"/>
          <w:tab w:val="clear" w:pos="6237"/>
          <w:tab w:val="clear" w:pos="7371"/>
        </w:tabs>
        <w:rPr>
          <w:spacing w:val="4"/>
          <w:szCs w:val="26"/>
        </w:rPr>
      </w:pPr>
      <w:r w:rsidRPr="00447C6F">
        <w:rPr>
          <w:b/>
          <w:szCs w:val="26"/>
        </w:rPr>
        <w:t>6</w:t>
      </w:r>
      <w:r w:rsidR="00447C6F" w:rsidRPr="00447C6F">
        <w:rPr>
          <w:b/>
          <w:szCs w:val="26"/>
        </w:rPr>
        <w:t>.</w:t>
      </w:r>
      <w:r w:rsidR="008B5CCB" w:rsidRPr="00447C6F">
        <w:rPr>
          <w:b/>
          <w:szCs w:val="26"/>
        </w:rPr>
        <w:t xml:space="preserve">ª </w:t>
      </w:r>
      <w:r w:rsidR="00A22D4C" w:rsidRPr="000A17EC">
        <w:rPr>
          <w:spacing w:val="4"/>
          <w:szCs w:val="26"/>
        </w:rPr>
        <w:t>Inicialmente, e</w:t>
      </w:r>
      <w:r w:rsidR="008B5CCB" w:rsidRPr="000A17EC">
        <w:rPr>
          <w:spacing w:val="4"/>
          <w:szCs w:val="26"/>
        </w:rPr>
        <w:t>l diseño de CT que se plantea se centra en el transporte de carretera para</w:t>
      </w:r>
      <w:r w:rsidR="00A22D4C" w:rsidRPr="000A17EC">
        <w:rPr>
          <w:spacing w:val="4"/>
          <w:szCs w:val="26"/>
        </w:rPr>
        <w:t>,</w:t>
      </w:r>
      <w:r w:rsidR="008B5CCB" w:rsidRPr="000A17EC">
        <w:rPr>
          <w:spacing w:val="4"/>
          <w:szCs w:val="26"/>
        </w:rPr>
        <w:t xml:space="preserve"> en fases posteriores</w:t>
      </w:r>
      <w:r w:rsidR="00A22D4C" w:rsidRPr="000A17EC">
        <w:rPr>
          <w:spacing w:val="4"/>
          <w:szCs w:val="26"/>
        </w:rPr>
        <w:t>,</w:t>
      </w:r>
      <w:r w:rsidR="008B5CCB" w:rsidRPr="000A17EC">
        <w:rPr>
          <w:spacing w:val="4"/>
          <w:szCs w:val="26"/>
        </w:rPr>
        <w:t xml:space="preserve"> contemplar la interconexión con el ferroc</w:t>
      </w:r>
      <w:r w:rsidR="008B5CCB" w:rsidRPr="000A17EC">
        <w:rPr>
          <w:spacing w:val="4"/>
          <w:szCs w:val="26"/>
        </w:rPr>
        <w:t>a</w:t>
      </w:r>
      <w:r w:rsidR="008B5CCB" w:rsidRPr="000A17EC">
        <w:rPr>
          <w:spacing w:val="4"/>
          <w:szCs w:val="26"/>
        </w:rPr>
        <w:t>rril. No obstante</w:t>
      </w:r>
      <w:r w:rsidR="00AF2843" w:rsidRPr="000A17EC">
        <w:rPr>
          <w:spacing w:val="4"/>
          <w:szCs w:val="26"/>
        </w:rPr>
        <w:t>,</w:t>
      </w:r>
      <w:r w:rsidR="008B5CCB" w:rsidRPr="000A17EC">
        <w:rPr>
          <w:spacing w:val="4"/>
          <w:szCs w:val="26"/>
        </w:rPr>
        <w:t xml:space="preserve"> como resultado del </w:t>
      </w:r>
      <w:r w:rsidR="00D6709D" w:rsidRPr="000A17EC">
        <w:rPr>
          <w:spacing w:val="4"/>
          <w:szCs w:val="26"/>
        </w:rPr>
        <w:t xml:space="preserve">citado </w:t>
      </w:r>
      <w:r w:rsidR="008B5CCB" w:rsidRPr="000A17EC">
        <w:rPr>
          <w:spacing w:val="4"/>
          <w:szCs w:val="26"/>
        </w:rPr>
        <w:t xml:space="preserve">estudio de viabilidad para la 4ª fase, se descarta, al menos a medio plazo, </w:t>
      </w:r>
      <w:r w:rsidR="00A22D4C" w:rsidRPr="000A17EC">
        <w:rPr>
          <w:spacing w:val="4"/>
          <w:szCs w:val="26"/>
        </w:rPr>
        <w:t xml:space="preserve">su conexión directa </w:t>
      </w:r>
      <w:r w:rsidR="008B5CCB" w:rsidRPr="000A17EC">
        <w:rPr>
          <w:spacing w:val="4"/>
          <w:szCs w:val="26"/>
        </w:rPr>
        <w:t>con la red ferroviaria.</w:t>
      </w:r>
    </w:p>
    <w:p w:rsidR="008B5CCB" w:rsidRPr="000A17EC" w:rsidRDefault="00272E47" w:rsidP="008B5CCB">
      <w:pPr>
        <w:pStyle w:val="texto"/>
        <w:tabs>
          <w:tab w:val="clear" w:pos="2835"/>
          <w:tab w:val="clear" w:pos="3969"/>
          <w:tab w:val="clear" w:pos="5103"/>
          <w:tab w:val="clear" w:pos="6237"/>
          <w:tab w:val="clear" w:pos="7371"/>
        </w:tabs>
        <w:rPr>
          <w:szCs w:val="26"/>
        </w:rPr>
      </w:pPr>
      <w:r w:rsidRPr="00447C6F">
        <w:rPr>
          <w:b/>
          <w:szCs w:val="26"/>
        </w:rPr>
        <w:t>7</w:t>
      </w:r>
      <w:r w:rsidR="00447C6F" w:rsidRPr="00447C6F">
        <w:rPr>
          <w:b/>
          <w:szCs w:val="26"/>
        </w:rPr>
        <w:t>.</w:t>
      </w:r>
      <w:r w:rsidR="008B5CCB" w:rsidRPr="00447C6F">
        <w:rPr>
          <w:b/>
          <w:szCs w:val="26"/>
        </w:rPr>
        <w:t>ª</w:t>
      </w:r>
      <w:r w:rsidR="008B5CCB">
        <w:rPr>
          <w:szCs w:val="26"/>
        </w:rPr>
        <w:t xml:space="preserve"> El modelo de gestión que se </w:t>
      </w:r>
      <w:r w:rsidR="00A22D4C">
        <w:rPr>
          <w:szCs w:val="26"/>
        </w:rPr>
        <w:t>implanta</w:t>
      </w:r>
      <w:r w:rsidR="008B5CCB">
        <w:rPr>
          <w:szCs w:val="26"/>
        </w:rPr>
        <w:t xml:space="preserve"> </w:t>
      </w:r>
      <w:r w:rsidR="00A22D4C">
        <w:rPr>
          <w:szCs w:val="26"/>
        </w:rPr>
        <w:t>en</w:t>
      </w:r>
      <w:r w:rsidR="008B5CCB">
        <w:rPr>
          <w:szCs w:val="26"/>
        </w:rPr>
        <w:t xml:space="preserve"> la CT se apoya en una sociedad gestora –inicialmente privada</w:t>
      </w:r>
      <w:r w:rsidR="00AF2843">
        <w:rPr>
          <w:szCs w:val="26"/>
        </w:rPr>
        <w:t xml:space="preserve"> y desde</w:t>
      </w:r>
      <w:r w:rsidR="00D80B58">
        <w:rPr>
          <w:szCs w:val="26"/>
        </w:rPr>
        <w:t xml:space="preserve"> 1995</w:t>
      </w:r>
      <w:r w:rsidR="008B5CCB">
        <w:rPr>
          <w:szCs w:val="26"/>
        </w:rPr>
        <w:t xml:space="preserve"> pública</w:t>
      </w:r>
      <w:r w:rsidR="00CF0DE8">
        <w:rPr>
          <w:szCs w:val="26"/>
        </w:rPr>
        <w:t>–</w:t>
      </w:r>
      <w:r w:rsidR="008B5CCB">
        <w:rPr>
          <w:szCs w:val="26"/>
        </w:rPr>
        <w:t xml:space="preserve"> que prestará un servicio público de explotación privada mediante </w:t>
      </w:r>
      <w:r w:rsidR="00F113BC">
        <w:rPr>
          <w:szCs w:val="26"/>
        </w:rPr>
        <w:t>el mismo concesionario o ad</w:t>
      </w:r>
      <w:r w:rsidR="0087665A">
        <w:rPr>
          <w:szCs w:val="26"/>
        </w:rPr>
        <w:t>judicat</w:t>
      </w:r>
      <w:r w:rsidR="0087665A">
        <w:rPr>
          <w:szCs w:val="26"/>
        </w:rPr>
        <w:t>a</w:t>
      </w:r>
      <w:r w:rsidR="0087665A">
        <w:rPr>
          <w:szCs w:val="26"/>
        </w:rPr>
        <w:t>ri</w:t>
      </w:r>
      <w:r w:rsidR="00F113BC">
        <w:rPr>
          <w:szCs w:val="26"/>
        </w:rPr>
        <w:t>o</w:t>
      </w:r>
      <w:r w:rsidR="008B5CCB">
        <w:rPr>
          <w:szCs w:val="26"/>
        </w:rPr>
        <w:t xml:space="preserve"> –fases 1ª a 3ª de la CT</w:t>
      </w:r>
      <w:r w:rsidR="00CF0DE8">
        <w:rPr>
          <w:szCs w:val="26"/>
        </w:rPr>
        <w:t>–</w:t>
      </w:r>
      <w:r w:rsidR="00537BF8">
        <w:rPr>
          <w:szCs w:val="26"/>
        </w:rPr>
        <w:t>,</w:t>
      </w:r>
      <w:r w:rsidR="008B5CCB">
        <w:rPr>
          <w:szCs w:val="26"/>
        </w:rPr>
        <w:t xml:space="preserve"> o bien directamente –fase 4ª</w:t>
      </w:r>
      <w:r w:rsidR="00CF0DE8">
        <w:rPr>
          <w:szCs w:val="26"/>
        </w:rPr>
        <w:t>–</w:t>
      </w:r>
      <w:r w:rsidR="008B5CCB">
        <w:rPr>
          <w:szCs w:val="26"/>
        </w:rPr>
        <w:t>.</w:t>
      </w:r>
      <w:r w:rsidR="004C607F">
        <w:rPr>
          <w:szCs w:val="26"/>
        </w:rPr>
        <w:t xml:space="preserve"> Este adjudicatario asume las obras de urbanización y construcción de naves y edificios así como la explotación y comercialización de la CT; igualmente financia los estudios, informes, proyectos</w:t>
      </w:r>
      <w:r w:rsidR="00943BCD">
        <w:rPr>
          <w:szCs w:val="26"/>
        </w:rPr>
        <w:t xml:space="preserve"> de obra</w:t>
      </w:r>
      <w:r w:rsidR="004C607F">
        <w:rPr>
          <w:szCs w:val="26"/>
        </w:rPr>
        <w:t xml:space="preserve"> y redacción de las modificaciones de los PSIS.</w:t>
      </w:r>
      <w:r w:rsidR="008B5CCB">
        <w:rPr>
          <w:szCs w:val="26"/>
        </w:rPr>
        <w:t xml:space="preserve"> </w:t>
      </w:r>
      <w:r w:rsidR="004C607F" w:rsidRPr="000A17EC">
        <w:rPr>
          <w:szCs w:val="26"/>
        </w:rPr>
        <w:t xml:space="preserve">  </w:t>
      </w:r>
    </w:p>
    <w:p w:rsidR="008B5CCB" w:rsidRPr="00CC5EB1" w:rsidRDefault="00272E47" w:rsidP="008B5CCB">
      <w:pPr>
        <w:pStyle w:val="texto"/>
        <w:tabs>
          <w:tab w:val="clear" w:pos="2835"/>
          <w:tab w:val="clear" w:pos="3969"/>
          <w:tab w:val="clear" w:pos="5103"/>
          <w:tab w:val="clear" w:pos="6237"/>
          <w:tab w:val="clear" w:pos="7371"/>
        </w:tabs>
        <w:rPr>
          <w:szCs w:val="26"/>
        </w:rPr>
      </w:pPr>
      <w:r w:rsidRPr="00447C6F">
        <w:rPr>
          <w:b/>
          <w:szCs w:val="26"/>
        </w:rPr>
        <w:t>8</w:t>
      </w:r>
      <w:r w:rsidR="00447C6F" w:rsidRPr="00447C6F">
        <w:rPr>
          <w:b/>
          <w:szCs w:val="26"/>
        </w:rPr>
        <w:t>.</w:t>
      </w:r>
      <w:r w:rsidR="008B5CCB" w:rsidRPr="00447C6F">
        <w:rPr>
          <w:b/>
          <w:szCs w:val="26"/>
        </w:rPr>
        <w:t>ª</w:t>
      </w:r>
      <w:r w:rsidR="008B5CCB">
        <w:rPr>
          <w:szCs w:val="26"/>
        </w:rPr>
        <w:t xml:space="preserve"> El Gobierno de Navarra asumió la financiación de las expropiaciones de los terrenos en que se ha ubicado la Ciudad de Transporte, </w:t>
      </w:r>
      <w:r w:rsidR="005F78D3">
        <w:rPr>
          <w:szCs w:val="26"/>
        </w:rPr>
        <w:t xml:space="preserve">cuyo </w:t>
      </w:r>
      <w:r w:rsidR="008B5CCB">
        <w:rPr>
          <w:szCs w:val="26"/>
        </w:rPr>
        <w:t xml:space="preserve">coste </w:t>
      </w:r>
      <w:r w:rsidR="00323A4D">
        <w:rPr>
          <w:szCs w:val="26"/>
        </w:rPr>
        <w:t xml:space="preserve">final </w:t>
      </w:r>
      <w:r w:rsidR="008B5CCB">
        <w:rPr>
          <w:szCs w:val="26"/>
        </w:rPr>
        <w:t xml:space="preserve">ha ascendido a un importe total de </w:t>
      </w:r>
      <w:r w:rsidR="00CE5F60" w:rsidRPr="00CC5EB1">
        <w:rPr>
          <w:szCs w:val="26"/>
        </w:rPr>
        <w:t>91,89</w:t>
      </w:r>
      <w:r w:rsidR="008B5CCB" w:rsidRPr="00CC5EB1">
        <w:rPr>
          <w:szCs w:val="26"/>
        </w:rPr>
        <w:t xml:space="preserve"> millones de euros.</w:t>
      </w:r>
    </w:p>
    <w:p w:rsidR="008B5CCB" w:rsidRDefault="00272E47" w:rsidP="004D22FC">
      <w:pPr>
        <w:pStyle w:val="texto"/>
        <w:tabs>
          <w:tab w:val="clear" w:pos="2835"/>
          <w:tab w:val="clear" w:pos="3969"/>
          <w:tab w:val="clear" w:pos="5103"/>
          <w:tab w:val="clear" w:pos="6237"/>
          <w:tab w:val="clear" w:pos="7371"/>
        </w:tabs>
        <w:spacing w:after="240"/>
        <w:rPr>
          <w:szCs w:val="26"/>
        </w:rPr>
      </w:pPr>
      <w:r w:rsidRPr="00447C6F">
        <w:rPr>
          <w:b/>
          <w:szCs w:val="26"/>
        </w:rPr>
        <w:t>9</w:t>
      </w:r>
      <w:r w:rsidR="00447C6F" w:rsidRPr="00447C6F">
        <w:rPr>
          <w:b/>
          <w:szCs w:val="26"/>
        </w:rPr>
        <w:t>.</w:t>
      </w:r>
      <w:r w:rsidR="008B5CCB" w:rsidRPr="00447C6F">
        <w:rPr>
          <w:b/>
          <w:szCs w:val="26"/>
        </w:rPr>
        <w:t>ª</w:t>
      </w:r>
      <w:r w:rsidR="008B5CCB">
        <w:rPr>
          <w:szCs w:val="26"/>
        </w:rPr>
        <w:t xml:space="preserve"> Además de las expropiaciones anteriores, el Gobierno de Navarra ha ej</w:t>
      </w:r>
      <w:r w:rsidR="008B5CCB">
        <w:rPr>
          <w:szCs w:val="26"/>
        </w:rPr>
        <w:t>e</w:t>
      </w:r>
      <w:r w:rsidR="008B5CCB">
        <w:rPr>
          <w:szCs w:val="26"/>
        </w:rPr>
        <w:t>cutado y financiado directamente un conjunto de infraestructuras fuera del á</w:t>
      </w:r>
      <w:r w:rsidR="008B5CCB">
        <w:rPr>
          <w:szCs w:val="26"/>
        </w:rPr>
        <w:t>m</w:t>
      </w:r>
      <w:r w:rsidR="008B5CCB">
        <w:rPr>
          <w:szCs w:val="26"/>
        </w:rPr>
        <w:t>bito físico de la CT pero necesarias para dotarla de servicios públicos precisos</w:t>
      </w:r>
      <w:r w:rsidR="008756EF">
        <w:rPr>
          <w:szCs w:val="26"/>
        </w:rPr>
        <w:t>; igualmente se incluye la construcción del edificio de Aduanas dentro de la pr</w:t>
      </w:r>
      <w:r w:rsidR="008756EF">
        <w:rPr>
          <w:szCs w:val="26"/>
        </w:rPr>
        <w:t>o</w:t>
      </w:r>
      <w:r w:rsidR="008756EF">
        <w:rPr>
          <w:szCs w:val="26"/>
        </w:rPr>
        <w:t>pia CT</w:t>
      </w:r>
      <w:r w:rsidR="008B5CCB">
        <w:rPr>
          <w:szCs w:val="26"/>
        </w:rPr>
        <w:t xml:space="preserve">. Estas inversiones han supuesto un gasto total de </w:t>
      </w:r>
      <w:r w:rsidR="00CC5EB1">
        <w:rPr>
          <w:szCs w:val="26"/>
        </w:rPr>
        <w:t>11,11</w:t>
      </w:r>
      <w:r w:rsidR="008B5CCB" w:rsidRPr="00295C78">
        <w:rPr>
          <w:color w:val="FF0000"/>
          <w:szCs w:val="26"/>
        </w:rPr>
        <w:t xml:space="preserve"> </w:t>
      </w:r>
      <w:r w:rsidR="008B5CCB" w:rsidRPr="00CC5EB1">
        <w:rPr>
          <w:szCs w:val="26"/>
        </w:rPr>
        <w:t>millones</w:t>
      </w:r>
      <w:r w:rsidR="00295C78">
        <w:rPr>
          <w:szCs w:val="26"/>
        </w:rPr>
        <w:t xml:space="preserve"> de e</w:t>
      </w:r>
      <w:r w:rsidR="00295C78">
        <w:rPr>
          <w:szCs w:val="26"/>
        </w:rPr>
        <w:t>u</w:t>
      </w:r>
      <w:r w:rsidR="00295C78">
        <w:rPr>
          <w:szCs w:val="26"/>
        </w:rPr>
        <w:t>ros</w:t>
      </w:r>
      <w:r w:rsidR="008B5CCB">
        <w:rPr>
          <w:szCs w:val="26"/>
        </w:rPr>
        <w:t>, cuyo detalle es el siguiente:</w:t>
      </w:r>
    </w:p>
    <w:tbl>
      <w:tblPr>
        <w:tblStyle w:val="TableNormal"/>
        <w:tblW w:w="0" w:type="auto"/>
        <w:jc w:val="center"/>
        <w:tblBorders>
          <w:top w:val="single" w:sz="2" w:space="0" w:color="auto"/>
          <w:bottom w:val="single" w:sz="2" w:space="0" w:color="auto"/>
          <w:insideH w:val="single" w:sz="2" w:space="0" w:color="auto"/>
        </w:tblBorders>
        <w:tblLayout w:type="fixed"/>
        <w:tblLook w:val="01E0" w:firstRow="1" w:lastRow="1" w:firstColumn="1" w:lastColumn="1" w:noHBand="0" w:noVBand="0"/>
      </w:tblPr>
      <w:tblGrid>
        <w:gridCol w:w="7350"/>
        <w:gridCol w:w="1356"/>
      </w:tblGrid>
      <w:tr w:rsidR="008B5CCB" w:rsidRPr="005B3CA8" w:rsidTr="004D22FC">
        <w:trPr>
          <w:trHeight w:val="284"/>
          <w:jc w:val="center"/>
        </w:trPr>
        <w:tc>
          <w:tcPr>
            <w:tcW w:w="7350" w:type="dxa"/>
            <w:tcBorders>
              <w:top w:val="single" w:sz="4" w:space="0" w:color="auto"/>
              <w:bottom w:val="single" w:sz="4" w:space="0" w:color="auto"/>
            </w:tcBorders>
            <w:shd w:val="clear" w:color="auto" w:fill="B8CCE4" w:themeFill="accent1" w:themeFillTint="66"/>
            <w:vAlign w:val="center"/>
          </w:tcPr>
          <w:p w:rsidR="008B5CCB" w:rsidRPr="00130900" w:rsidRDefault="008B5CCB" w:rsidP="00CF0DE8">
            <w:pPr>
              <w:spacing w:after="0"/>
              <w:ind w:left="101" w:firstLine="0"/>
              <w:jc w:val="left"/>
              <w:rPr>
                <w:rFonts w:ascii="Arial" w:hAnsi="Arial" w:cs="Arial"/>
                <w:sz w:val="18"/>
                <w:szCs w:val="18"/>
                <w:lang w:eastAsia="es-ES"/>
              </w:rPr>
            </w:pPr>
            <w:r w:rsidRPr="00130900">
              <w:rPr>
                <w:rFonts w:ascii="Arial" w:hAnsi="Arial" w:cs="Arial"/>
                <w:sz w:val="18"/>
                <w:szCs w:val="18"/>
                <w:lang w:eastAsia="es-ES"/>
              </w:rPr>
              <w:t>Infraestructuras externas CT</w:t>
            </w:r>
            <w:r>
              <w:rPr>
                <w:rFonts w:ascii="Arial" w:hAnsi="Arial" w:cs="Arial"/>
                <w:sz w:val="18"/>
                <w:szCs w:val="18"/>
                <w:lang w:eastAsia="es-ES"/>
              </w:rPr>
              <w:t xml:space="preserve"> financiadas por el Gobierno de Navarra</w:t>
            </w:r>
          </w:p>
        </w:tc>
        <w:tc>
          <w:tcPr>
            <w:tcW w:w="1356" w:type="dxa"/>
            <w:tcBorders>
              <w:top w:val="single" w:sz="4" w:space="0" w:color="auto"/>
              <w:bottom w:val="single" w:sz="4" w:space="0" w:color="auto"/>
            </w:tcBorders>
            <w:shd w:val="clear" w:color="auto" w:fill="B8CCE4" w:themeFill="accent1" w:themeFillTint="66"/>
            <w:vAlign w:val="center"/>
          </w:tcPr>
          <w:p w:rsidR="008B5CCB" w:rsidRPr="00130900" w:rsidRDefault="008B5CCB" w:rsidP="00730FD9">
            <w:pPr>
              <w:spacing w:after="0"/>
              <w:ind w:left="284" w:right="111" w:hanging="284"/>
              <w:jc w:val="right"/>
              <w:rPr>
                <w:rFonts w:ascii="Arial" w:hAnsi="Arial" w:cs="Arial"/>
                <w:sz w:val="18"/>
                <w:szCs w:val="18"/>
                <w:lang w:eastAsia="es-ES"/>
              </w:rPr>
            </w:pPr>
            <w:r w:rsidRPr="00130900">
              <w:rPr>
                <w:rFonts w:ascii="Arial" w:hAnsi="Arial" w:cs="Arial"/>
                <w:sz w:val="18"/>
                <w:szCs w:val="18"/>
                <w:lang w:eastAsia="es-ES"/>
              </w:rPr>
              <w:t>Importe</w:t>
            </w:r>
          </w:p>
        </w:tc>
      </w:tr>
      <w:tr w:rsidR="008B5CCB" w:rsidRPr="00323A4D" w:rsidTr="004D22FC">
        <w:trPr>
          <w:trHeight w:val="284"/>
          <w:jc w:val="center"/>
        </w:trPr>
        <w:tc>
          <w:tcPr>
            <w:tcW w:w="7350" w:type="dxa"/>
            <w:tcBorders>
              <w:top w:val="single" w:sz="4" w:space="0" w:color="auto"/>
              <w:bottom w:val="single" w:sz="2" w:space="0" w:color="auto"/>
            </w:tcBorders>
            <w:vAlign w:val="center"/>
          </w:tcPr>
          <w:p w:rsidR="008B5CCB" w:rsidRPr="00323A4D" w:rsidRDefault="008B5CCB" w:rsidP="00CF0DE8">
            <w:pPr>
              <w:widowControl/>
              <w:spacing w:after="0"/>
              <w:ind w:left="101" w:firstLine="0"/>
              <w:jc w:val="left"/>
              <w:rPr>
                <w:rFonts w:ascii="Arial Narrow" w:hAnsi="Arial Narrow"/>
                <w:sz w:val="20"/>
                <w:szCs w:val="20"/>
                <w:lang w:eastAsia="es-ES"/>
              </w:rPr>
            </w:pPr>
            <w:r w:rsidRPr="00323A4D">
              <w:rPr>
                <w:rFonts w:ascii="Arial Narrow" w:hAnsi="Arial Narrow"/>
                <w:sz w:val="20"/>
                <w:szCs w:val="20"/>
                <w:lang w:eastAsia="es-ES"/>
              </w:rPr>
              <w:t>Nudo comunicaciones AP-15</w:t>
            </w:r>
          </w:p>
        </w:tc>
        <w:tc>
          <w:tcPr>
            <w:tcW w:w="1356" w:type="dxa"/>
            <w:tcBorders>
              <w:top w:val="single" w:sz="4" w:space="0" w:color="auto"/>
              <w:bottom w:val="single" w:sz="2" w:space="0" w:color="auto"/>
            </w:tcBorders>
            <w:vAlign w:val="center"/>
          </w:tcPr>
          <w:p w:rsidR="008B5CCB" w:rsidRPr="00323A4D" w:rsidRDefault="008B5CCB" w:rsidP="00730FD9">
            <w:pPr>
              <w:spacing w:after="0"/>
              <w:ind w:left="206" w:right="115" w:firstLine="0"/>
              <w:jc w:val="right"/>
              <w:rPr>
                <w:rFonts w:ascii="Arial Narrow" w:hAnsi="Arial Narrow"/>
                <w:sz w:val="20"/>
                <w:szCs w:val="20"/>
                <w:lang w:eastAsia="es-ES"/>
              </w:rPr>
            </w:pPr>
            <w:r w:rsidRPr="00323A4D">
              <w:rPr>
                <w:rFonts w:ascii="Arial Narrow" w:hAnsi="Arial Narrow"/>
                <w:sz w:val="20"/>
                <w:szCs w:val="20"/>
                <w:lang w:eastAsia="es-ES"/>
              </w:rPr>
              <w:t>2.335.663</w:t>
            </w:r>
          </w:p>
        </w:tc>
      </w:tr>
      <w:tr w:rsidR="008B5CCB" w:rsidRPr="00130900" w:rsidTr="004D22FC">
        <w:trPr>
          <w:trHeight w:val="284"/>
          <w:jc w:val="center"/>
        </w:trPr>
        <w:tc>
          <w:tcPr>
            <w:tcW w:w="7350" w:type="dxa"/>
            <w:tcBorders>
              <w:top w:val="single" w:sz="2" w:space="0" w:color="auto"/>
            </w:tcBorders>
            <w:vAlign w:val="center"/>
          </w:tcPr>
          <w:p w:rsidR="008B5CCB" w:rsidRPr="00295C78" w:rsidRDefault="008B5CCB" w:rsidP="00CF0DE8">
            <w:pPr>
              <w:spacing w:after="0"/>
              <w:ind w:left="101" w:right="115" w:firstLine="0"/>
              <w:rPr>
                <w:rFonts w:ascii="Arial Narrow" w:hAnsi="Arial Narrow"/>
                <w:sz w:val="20"/>
                <w:szCs w:val="20"/>
                <w:lang w:eastAsia="es-ES"/>
              </w:rPr>
            </w:pPr>
            <w:r w:rsidRPr="00295C78">
              <w:rPr>
                <w:rFonts w:ascii="Arial Narrow" w:hAnsi="Arial Narrow"/>
                <w:sz w:val="20"/>
                <w:szCs w:val="20"/>
                <w:lang w:eastAsia="es-ES"/>
              </w:rPr>
              <w:t xml:space="preserve">Ramal </w:t>
            </w:r>
            <w:r w:rsidR="00295C78" w:rsidRPr="00295C78">
              <w:rPr>
                <w:rFonts w:ascii="Arial Narrow" w:hAnsi="Arial Narrow"/>
                <w:sz w:val="20"/>
                <w:szCs w:val="20"/>
                <w:lang w:eastAsia="es-ES"/>
              </w:rPr>
              <w:t xml:space="preserve">carretera </w:t>
            </w:r>
            <w:r w:rsidRPr="00295C78">
              <w:rPr>
                <w:rFonts w:ascii="Arial Narrow" w:hAnsi="Arial Narrow"/>
                <w:sz w:val="20"/>
                <w:szCs w:val="20"/>
                <w:lang w:eastAsia="es-ES"/>
              </w:rPr>
              <w:t>conexión estación mercancías</w:t>
            </w:r>
          </w:p>
        </w:tc>
        <w:tc>
          <w:tcPr>
            <w:tcW w:w="1356" w:type="dxa"/>
            <w:tcBorders>
              <w:top w:val="single" w:sz="2" w:space="0" w:color="auto"/>
            </w:tcBorders>
            <w:vAlign w:val="center"/>
          </w:tcPr>
          <w:p w:rsidR="008B5CCB" w:rsidRPr="00295C78" w:rsidRDefault="008B5CCB" w:rsidP="00730FD9">
            <w:pPr>
              <w:spacing w:after="0"/>
              <w:ind w:left="206" w:right="115" w:firstLine="0"/>
              <w:jc w:val="right"/>
              <w:rPr>
                <w:rFonts w:ascii="Arial Narrow" w:hAnsi="Arial Narrow"/>
                <w:sz w:val="20"/>
                <w:szCs w:val="20"/>
                <w:lang w:eastAsia="es-ES"/>
              </w:rPr>
            </w:pPr>
            <w:r w:rsidRPr="00295C78">
              <w:rPr>
                <w:rFonts w:ascii="Arial Narrow" w:hAnsi="Arial Narrow"/>
                <w:sz w:val="20"/>
                <w:szCs w:val="20"/>
                <w:lang w:eastAsia="es-ES"/>
              </w:rPr>
              <w:t>5.602.166</w:t>
            </w:r>
          </w:p>
        </w:tc>
      </w:tr>
      <w:tr w:rsidR="008B5CCB" w:rsidRPr="007F08A5" w:rsidTr="004D22FC">
        <w:trPr>
          <w:trHeight w:val="284"/>
          <w:jc w:val="center"/>
        </w:trPr>
        <w:tc>
          <w:tcPr>
            <w:tcW w:w="7350" w:type="dxa"/>
            <w:tcBorders>
              <w:top w:val="single" w:sz="2" w:space="0" w:color="auto"/>
            </w:tcBorders>
            <w:vAlign w:val="center"/>
          </w:tcPr>
          <w:p w:rsidR="008B5CCB" w:rsidRPr="00130900" w:rsidRDefault="008B5CCB" w:rsidP="00CF0DE8">
            <w:pPr>
              <w:widowControl/>
              <w:spacing w:after="0"/>
              <w:ind w:left="101" w:firstLine="0"/>
              <w:jc w:val="left"/>
              <w:rPr>
                <w:rFonts w:ascii="Arial Narrow" w:hAnsi="Arial Narrow"/>
                <w:sz w:val="20"/>
                <w:szCs w:val="20"/>
                <w:lang w:eastAsia="es-ES"/>
              </w:rPr>
            </w:pPr>
            <w:r w:rsidRPr="00130900">
              <w:rPr>
                <w:rFonts w:ascii="Arial Narrow" w:hAnsi="Arial Narrow"/>
                <w:sz w:val="20"/>
                <w:szCs w:val="20"/>
                <w:lang w:eastAsia="es-ES"/>
              </w:rPr>
              <w:t>Abastecimiento y saneamiento</w:t>
            </w:r>
          </w:p>
        </w:tc>
        <w:tc>
          <w:tcPr>
            <w:tcW w:w="1356" w:type="dxa"/>
            <w:tcBorders>
              <w:top w:val="single" w:sz="2" w:space="0" w:color="auto"/>
            </w:tcBorders>
            <w:vAlign w:val="center"/>
          </w:tcPr>
          <w:p w:rsidR="008B5CCB" w:rsidRPr="00130900" w:rsidRDefault="008B5CCB" w:rsidP="00730FD9">
            <w:pPr>
              <w:spacing w:after="0"/>
              <w:ind w:left="206" w:right="115" w:firstLine="0"/>
              <w:jc w:val="right"/>
              <w:rPr>
                <w:rFonts w:ascii="Arial Narrow" w:hAnsi="Arial Narrow"/>
                <w:sz w:val="20"/>
                <w:szCs w:val="20"/>
                <w:lang w:eastAsia="es-ES"/>
              </w:rPr>
            </w:pPr>
            <w:r w:rsidRPr="00130900">
              <w:rPr>
                <w:rFonts w:ascii="Arial Narrow" w:hAnsi="Arial Narrow"/>
                <w:sz w:val="20"/>
                <w:szCs w:val="20"/>
                <w:lang w:eastAsia="es-ES"/>
              </w:rPr>
              <w:t>1.549.619</w:t>
            </w:r>
          </w:p>
        </w:tc>
      </w:tr>
      <w:tr w:rsidR="008B5CCB" w:rsidRPr="007F08A5" w:rsidTr="004D22FC">
        <w:trPr>
          <w:trHeight w:val="284"/>
          <w:jc w:val="center"/>
        </w:trPr>
        <w:tc>
          <w:tcPr>
            <w:tcW w:w="7350" w:type="dxa"/>
            <w:tcBorders>
              <w:top w:val="single" w:sz="2" w:space="0" w:color="auto"/>
            </w:tcBorders>
            <w:vAlign w:val="center"/>
          </w:tcPr>
          <w:p w:rsidR="008B5CCB" w:rsidRPr="00130900" w:rsidRDefault="008B5CCB" w:rsidP="00CF0DE8">
            <w:pPr>
              <w:widowControl/>
              <w:spacing w:after="0"/>
              <w:ind w:left="101" w:firstLine="0"/>
              <w:jc w:val="left"/>
              <w:rPr>
                <w:rFonts w:ascii="Arial Narrow" w:hAnsi="Arial Narrow"/>
                <w:sz w:val="20"/>
                <w:szCs w:val="20"/>
                <w:lang w:eastAsia="es-ES"/>
              </w:rPr>
            </w:pPr>
            <w:r w:rsidRPr="00130900">
              <w:rPr>
                <w:rFonts w:ascii="Arial Narrow" w:hAnsi="Arial Narrow"/>
                <w:sz w:val="20"/>
                <w:szCs w:val="20"/>
                <w:lang w:eastAsia="es-ES"/>
              </w:rPr>
              <w:t>Electricidad</w:t>
            </w:r>
          </w:p>
        </w:tc>
        <w:tc>
          <w:tcPr>
            <w:tcW w:w="1356" w:type="dxa"/>
            <w:tcBorders>
              <w:top w:val="single" w:sz="2" w:space="0" w:color="auto"/>
            </w:tcBorders>
            <w:vAlign w:val="center"/>
          </w:tcPr>
          <w:p w:rsidR="008B5CCB" w:rsidRPr="00130900" w:rsidRDefault="008B5CCB" w:rsidP="00730FD9">
            <w:pPr>
              <w:spacing w:after="0"/>
              <w:ind w:left="206" w:right="115" w:firstLine="0"/>
              <w:jc w:val="right"/>
              <w:rPr>
                <w:rFonts w:ascii="Arial Narrow" w:hAnsi="Arial Narrow"/>
                <w:sz w:val="20"/>
                <w:szCs w:val="20"/>
                <w:lang w:eastAsia="es-ES"/>
              </w:rPr>
            </w:pPr>
            <w:r w:rsidRPr="00130900">
              <w:rPr>
                <w:rFonts w:ascii="Arial Narrow" w:hAnsi="Arial Narrow"/>
                <w:sz w:val="20"/>
                <w:szCs w:val="20"/>
                <w:lang w:eastAsia="es-ES"/>
              </w:rPr>
              <w:t>46.851</w:t>
            </w:r>
          </w:p>
        </w:tc>
      </w:tr>
      <w:tr w:rsidR="008B5CCB" w:rsidRPr="007F08A5" w:rsidTr="004D22FC">
        <w:trPr>
          <w:trHeight w:val="284"/>
          <w:jc w:val="center"/>
        </w:trPr>
        <w:tc>
          <w:tcPr>
            <w:tcW w:w="7350" w:type="dxa"/>
            <w:tcBorders>
              <w:top w:val="single" w:sz="2" w:space="0" w:color="auto"/>
            </w:tcBorders>
            <w:vAlign w:val="center"/>
          </w:tcPr>
          <w:p w:rsidR="008B5CCB" w:rsidRPr="00130900" w:rsidRDefault="008B5CCB" w:rsidP="00CF0DE8">
            <w:pPr>
              <w:widowControl/>
              <w:spacing w:after="0"/>
              <w:ind w:left="101" w:firstLine="0"/>
              <w:jc w:val="left"/>
              <w:rPr>
                <w:rFonts w:ascii="Arial Narrow" w:hAnsi="Arial Narrow"/>
                <w:sz w:val="20"/>
                <w:szCs w:val="20"/>
                <w:lang w:eastAsia="es-ES"/>
              </w:rPr>
            </w:pPr>
            <w:r w:rsidRPr="00130900">
              <w:rPr>
                <w:rFonts w:ascii="Arial Narrow" w:hAnsi="Arial Narrow"/>
                <w:sz w:val="20"/>
                <w:szCs w:val="20"/>
                <w:lang w:eastAsia="es-ES"/>
              </w:rPr>
              <w:t>Regata Kalamutz</w:t>
            </w:r>
          </w:p>
        </w:tc>
        <w:tc>
          <w:tcPr>
            <w:tcW w:w="1356" w:type="dxa"/>
            <w:tcBorders>
              <w:top w:val="single" w:sz="2" w:space="0" w:color="auto"/>
            </w:tcBorders>
            <w:vAlign w:val="center"/>
          </w:tcPr>
          <w:p w:rsidR="008B5CCB" w:rsidRPr="00130900" w:rsidRDefault="008B5CCB" w:rsidP="00730FD9">
            <w:pPr>
              <w:spacing w:after="0"/>
              <w:ind w:left="206" w:right="115" w:firstLine="0"/>
              <w:jc w:val="right"/>
              <w:rPr>
                <w:rFonts w:ascii="Arial Narrow" w:hAnsi="Arial Narrow"/>
                <w:sz w:val="20"/>
                <w:szCs w:val="20"/>
                <w:lang w:eastAsia="es-ES"/>
              </w:rPr>
            </w:pPr>
            <w:r w:rsidRPr="00130900">
              <w:rPr>
                <w:rFonts w:ascii="Arial Narrow" w:hAnsi="Arial Narrow"/>
                <w:sz w:val="20"/>
                <w:szCs w:val="20"/>
                <w:lang w:eastAsia="es-ES"/>
              </w:rPr>
              <w:t>220.404</w:t>
            </w:r>
          </w:p>
        </w:tc>
      </w:tr>
      <w:tr w:rsidR="00295C78" w:rsidRPr="00CC5EB1" w:rsidTr="004E1C2E">
        <w:trPr>
          <w:trHeight w:val="284"/>
          <w:jc w:val="center"/>
        </w:trPr>
        <w:tc>
          <w:tcPr>
            <w:tcW w:w="7350" w:type="dxa"/>
            <w:tcBorders>
              <w:top w:val="single" w:sz="4" w:space="0" w:color="auto"/>
              <w:bottom w:val="single" w:sz="4" w:space="0" w:color="auto"/>
            </w:tcBorders>
            <w:vAlign w:val="center"/>
          </w:tcPr>
          <w:p w:rsidR="00295C78" w:rsidRPr="00CC5EB1" w:rsidRDefault="00295C78" w:rsidP="00CF0DE8">
            <w:pPr>
              <w:widowControl/>
              <w:spacing w:after="0"/>
              <w:ind w:left="101" w:firstLine="0"/>
              <w:jc w:val="left"/>
              <w:rPr>
                <w:rFonts w:ascii="Arial Narrow" w:hAnsi="Arial Narrow"/>
                <w:sz w:val="20"/>
                <w:szCs w:val="20"/>
                <w:lang w:eastAsia="es-ES"/>
              </w:rPr>
            </w:pPr>
            <w:r w:rsidRPr="00CC5EB1">
              <w:rPr>
                <w:rFonts w:ascii="Arial Narrow" w:hAnsi="Arial Narrow"/>
                <w:sz w:val="20"/>
                <w:szCs w:val="20"/>
                <w:lang w:eastAsia="es-ES"/>
              </w:rPr>
              <w:t>Edificio de Aduana</w:t>
            </w:r>
            <w:r w:rsidR="004628ED" w:rsidRPr="00CC5EB1">
              <w:rPr>
                <w:rFonts w:ascii="Arial Narrow" w:hAnsi="Arial Narrow"/>
                <w:sz w:val="20"/>
                <w:szCs w:val="20"/>
                <w:lang w:eastAsia="es-ES"/>
              </w:rPr>
              <w:t xml:space="preserve"> (dentro de la propia CT)</w:t>
            </w:r>
          </w:p>
        </w:tc>
        <w:tc>
          <w:tcPr>
            <w:tcW w:w="1356" w:type="dxa"/>
            <w:tcBorders>
              <w:top w:val="single" w:sz="4" w:space="0" w:color="auto"/>
              <w:bottom w:val="single" w:sz="4" w:space="0" w:color="auto"/>
            </w:tcBorders>
            <w:vAlign w:val="center"/>
          </w:tcPr>
          <w:p w:rsidR="00295C78" w:rsidRPr="00CC5EB1" w:rsidRDefault="00CE5F60" w:rsidP="00CC5EB1">
            <w:pPr>
              <w:spacing w:after="0"/>
              <w:ind w:left="206" w:right="115" w:firstLine="0"/>
              <w:jc w:val="right"/>
              <w:rPr>
                <w:rFonts w:ascii="Arial Narrow" w:hAnsi="Arial Narrow"/>
                <w:sz w:val="20"/>
                <w:szCs w:val="20"/>
                <w:lang w:eastAsia="es-ES"/>
              </w:rPr>
            </w:pPr>
            <w:r w:rsidRPr="00CC5EB1">
              <w:rPr>
                <w:rFonts w:ascii="Arial Narrow" w:hAnsi="Arial Narrow"/>
                <w:sz w:val="20"/>
                <w:szCs w:val="20"/>
                <w:lang w:eastAsia="es-ES"/>
              </w:rPr>
              <w:t>1.360.273</w:t>
            </w:r>
          </w:p>
        </w:tc>
      </w:tr>
      <w:tr w:rsidR="008B5CCB" w:rsidRPr="005B3CA8" w:rsidTr="004E1C2E">
        <w:trPr>
          <w:trHeight w:val="284"/>
          <w:jc w:val="center"/>
        </w:trPr>
        <w:tc>
          <w:tcPr>
            <w:tcW w:w="7350" w:type="dxa"/>
            <w:tcBorders>
              <w:top w:val="single" w:sz="4" w:space="0" w:color="auto"/>
              <w:bottom w:val="single" w:sz="4" w:space="0" w:color="auto"/>
            </w:tcBorders>
            <w:shd w:val="clear" w:color="auto" w:fill="B8CCE4" w:themeFill="accent1" w:themeFillTint="66"/>
            <w:vAlign w:val="center"/>
          </w:tcPr>
          <w:p w:rsidR="008B5CCB" w:rsidRPr="00130900" w:rsidRDefault="008B5CCB" w:rsidP="00CF0DE8">
            <w:pPr>
              <w:spacing w:after="0"/>
              <w:ind w:left="101" w:firstLine="0"/>
              <w:jc w:val="left"/>
              <w:rPr>
                <w:rFonts w:ascii="Arial" w:hAnsi="Arial" w:cs="Arial"/>
                <w:sz w:val="18"/>
                <w:szCs w:val="18"/>
                <w:lang w:eastAsia="es-ES"/>
              </w:rPr>
            </w:pPr>
            <w:r w:rsidRPr="00130900">
              <w:rPr>
                <w:rFonts w:ascii="Arial" w:hAnsi="Arial" w:cs="Arial"/>
                <w:sz w:val="18"/>
                <w:szCs w:val="18"/>
                <w:lang w:eastAsia="es-ES"/>
              </w:rPr>
              <w:t>Total</w:t>
            </w:r>
          </w:p>
        </w:tc>
        <w:tc>
          <w:tcPr>
            <w:tcW w:w="1356" w:type="dxa"/>
            <w:tcBorders>
              <w:top w:val="single" w:sz="4" w:space="0" w:color="auto"/>
              <w:bottom w:val="single" w:sz="4" w:space="0" w:color="auto"/>
            </w:tcBorders>
            <w:shd w:val="clear" w:color="auto" w:fill="B8CCE4" w:themeFill="accent1" w:themeFillTint="66"/>
            <w:vAlign w:val="center"/>
          </w:tcPr>
          <w:p w:rsidR="008B5CCB" w:rsidRPr="00130900" w:rsidRDefault="00CC5EB1" w:rsidP="00730FD9">
            <w:pPr>
              <w:spacing w:after="0"/>
              <w:ind w:left="284" w:right="115" w:firstLine="0"/>
              <w:jc w:val="right"/>
              <w:rPr>
                <w:rFonts w:ascii="Arial" w:hAnsi="Arial" w:cs="Arial"/>
                <w:sz w:val="18"/>
                <w:szCs w:val="18"/>
                <w:lang w:eastAsia="es-ES"/>
              </w:rPr>
            </w:pPr>
            <w:r w:rsidRPr="00CC5EB1">
              <w:rPr>
                <w:rFonts w:ascii="Arial" w:hAnsi="Arial" w:cs="Arial"/>
                <w:sz w:val="18"/>
                <w:szCs w:val="18"/>
                <w:lang w:eastAsia="es-ES"/>
              </w:rPr>
              <w:t>11.114.976</w:t>
            </w:r>
          </w:p>
        </w:tc>
      </w:tr>
    </w:tbl>
    <w:p w:rsidR="004D22FC" w:rsidRDefault="004D22FC" w:rsidP="00CF0DE8">
      <w:pPr>
        <w:pStyle w:val="texto"/>
        <w:tabs>
          <w:tab w:val="clear" w:pos="2835"/>
          <w:tab w:val="clear" w:pos="3969"/>
          <w:tab w:val="clear" w:pos="5103"/>
          <w:tab w:val="clear" w:pos="6237"/>
          <w:tab w:val="clear" w:pos="7371"/>
        </w:tabs>
        <w:spacing w:after="240"/>
      </w:pPr>
    </w:p>
    <w:p w:rsidR="004D22FC" w:rsidRDefault="004D22FC">
      <w:pPr>
        <w:spacing w:after="0"/>
        <w:ind w:firstLine="0"/>
        <w:jc w:val="left"/>
        <w:rPr>
          <w:spacing w:val="6"/>
          <w:sz w:val="26"/>
          <w:szCs w:val="24"/>
        </w:rPr>
      </w:pPr>
      <w:r>
        <w:br w:type="page"/>
      </w:r>
    </w:p>
    <w:p w:rsidR="008B5CCB" w:rsidRDefault="008B5CCB" w:rsidP="008B5CCB">
      <w:pPr>
        <w:pStyle w:val="atitulo2"/>
      </w:pPr>
      <w:bookmarkStart w:id="39" w:name="_Toc515531871"/>
      <w:r>
        <w:t>IV.2. Los Planes Sectoriales de Incidencia Supramunicipal sobre la Ci</w:t>
      </w:r>
      <w:r>
        <w:t>u</w:t>
      </w:r>
      <w:r>
        <w:t>dad del Transporte</w:t>
      </w:r>
      <w:bookmarkEnd w:id="39"/>
    </w:p>
    <w:p w:rsidR="008B5CCB" w:rsidRDefault="007138DF" w:rsidP="008B5CCB">
      <w:pPr>
        <w:pStyle w:val="texto"/>
        <w:tabs>
          <w:tab w:val="clear" w:pos="2835"/>
          <w:tab w:val="clear" w:pos="3969"/>
          <w:tab w:val="clear" w:pos="5103"/>
          <w:tab w:val="clear" w:pos="6237"/>
          <w:tab w:val="clear" w:pos="7371"/>
        </w:tabs>
        <w:rPr>
          <w:szCs w:val="26"/>
        </w:rPr>
      </w:pPr>
      <w:r w:rsidRPr="00C54F50">
        <w:rPr>
          <w:b/>
          <w:szCs w:val="26"/>
        </w:rPr>
        <w:t>10</w:t>
      </w:r>
      <w:r w:rsidR="00C54F50" w:rsidRPr="00C54F50">
        <w:rPr>
          <w:b/>
          <w:szCs w:val="26"/>
        </w:rPr>
        <w:t>.</w:t>
      </w:r>
      <w:r w:rsidR="008B5CCB" w:rsidRPr="00C54F50">
        <w:rPr>
          <w:b/>
          <w:szCs w:val="26"/>
        </w:rPr>
        <w:t xml:space="preserve">ª </w:t>
      </w:r>
      <w:r w:rsidR="008B5CCB">
        <w:rPr>
          <w:szCs w:val="26"/>
        </w:rPr>
        <w:t xml:space="preserve">El instrumento urbanístico que se </w:t>
      </w:r>
      <w:r w:rsidR="000B1137">
        <w:rPr>
          <w:szCs w:val="26"/>
        </w:rPr>
        <w:t>aplica en</w:t>
      </w:r>
      <w:r w:rsidR="008B5CCB">
        <w:rPr>
          <w:szCs w:val="26"/>
        </w:rPr>
        <w:t xml:space="preserve"> el desarrollo de la CT es el Plan Sectorial de Incidencia Supramunicipal (PSIS), justificándose tal utiliz</w:t>
      </w:r>
      <w:r w:rsidR="008B5CCB">
        <w:rPr>
          <w:szCs w:val="26"/>
        </w:rPr>
        <w:t>a</w:t>
      </w:r>
      <w:r w:rsidR="008B5CCB">
        <w:rPr>
          <w:szCs w:val="26"/>
        </w:rPr>
        <w:t>ción en la utilidad pública, interés social y ámbito supramunicipal del proyecto.</w:t>
      </w:r>
    </w:p>
    <w:p w:rsidR="008B5CCB" w:rsidRPr="00CF0DE8" w:rsidRDefault="008B5CCB" w:rsidP="00CF0DE8">
      <w:pPr>
        <w:pStyle w:val="texto"/>
        <w:tabs>
          <w:tab w:val="clear" w:pos="2835"/>
          <w:tab w:val="clear" w:pos="3969"/>
          <w:tab w:val="clear" w:pos="5103"/>
          <w:tab w:val="clear" w:pos="6237"/>
          <w:tab w:val="clear" w:pos="7371"/>
        </w:tabs>
        <w:spacing w:after="240"/>
        <w:rPr>
          <w:spacing w:val="4"/>
          <w:szCs w:val="26"/>
        </w:rPr>
      </w:pPr>
      <w:r w:rsidRPr="00C54F50">
        <w:rPr>
          <w:b/>
          <w:szCs w:val="26"/>
        </w:rPr>
        <w:t>1</w:t>
      </w:r>
      <w:r w:rsidR="007138DF" w:rsidRPr="00C54F50">
        <w:rPr>
          <w:b/>
          <w:szCs w:val="26"/>
        </w:rPr>
        <w:t>1</w:t>
      </w:r>
      <w:r w:rsidR="00C54F50" w:rsidRPr="00C54F50">
        <w:rPr>
          <w:b/>
          <w:szCs w:val="26"/>
        </w:rPr>
        <w:t>.</w:t>
      </w:r>
      <w:r w:rsidRPr="00C54F50">
        <w:rPr>
          <w:b/>
          <w:szCs w:val="26"/>
        </w:rPr>
        <w:t>ª</w:t>
      </w:r>
      <w:r>
        <w:rPr>
          <w:szCs w:val="26"/>
        </w:rPr>
        <w:t xml:space="preserve"> </w:t>
      </w:r>
      <w:r w:rsidRPr="00CF0DE8">
        <w:rPr>
          <w:spacing w:val="4"/>
          <w:szCs w:val="26"/>
        </w:rPr>
        <w:t>Para la completa configuración de la Ciudad del Transporte se desarrollan dos PSIS, cuyas principales características se resumen en el siguiente cuadro:</w:t>
      </w:r>
    </w:p>
    <w:tbl>
      <w:tblPr>
        <w:tblW w:w="8726" w:type="dxa"/>
        <w:jc w:val="center"/>
        <w:tblCellMar>
          <w:left w:w="70" w:type="dxa"/>
          <w:right w:w="70" w:type="dxa"/>
        </w:tblCellMar>
        <w:tblLook w:val="04A0" w:firstRow="1" w:lastRow="0" w:firstColumn="1" w:lastColumn="0" w:noHBand="0" w:noVBand="1"/>
      </w:tblPr>
      <w:tblGrid>
        <w:gridCol w:w="1991"/>
        <w:gridCol w:w="1301"/>
        <w:gridCol w:w="1275"/>
        <w:gridCol w:w="1927"/>
        <w:gridCol w:w="2232"/>
      </w:tblGrid>
      <w:tr w:rsidR="008B5CCB" w:rsidRPr="00DC3CE7" w:rsidTr="0082359F">
        <w:trPr>
          <w:trHeight w:val="284"/>
          <w:jc w:val="center"/>
        </w:trPr>
        <w:tc>
          <w:tcPr>
            <w:tcW w:w="1991" w:type="dxa"/>
            <w:tcBorders>
              <w:top w:val="single" w:sz="4" w:space="0" w:color="auto"/>
              <w:bottom w:val="single" w:sz="4" w:space="0" w:color="auto"/>
            </w:tcBorders>
            <w:shd w:val="clear" w:color="auto" w:fill="B8CCE4" w:themeFill="accent1" w:themeFillTint="66"/>
            <w:noWrap/>
            <w:vAlign w:val="center"/>
          </w:tcPr>
          <w:p w:rsidR="008B5CCB" w:rsidRPr="000A2B37" w:rsidRDefault="008B5CCB" w:rsidP="00C54F50">
            <w:pPr>
              <w:widowControl w:val="0"/>
              <w:spacing w:after="0"/>
              <w:ind w:firstLine="0"/>
              <w:jc w:val="left"/>
              <w:rPr>
                <w:rFonts w:ascii="Arial" w:hAnsi="Arial" w:cs="Arial"/>
                <w:color w:val="000000"/>
                <w:sz w:val="18"/>
                <w:szCs w:val="18"/>
                <w:lang w:eastAsia="es-ES"/>
              </w:rPr>
            </w:pPr>
            <w:r>
              <w:rPr>
                <w:rFonts w:ascii="Arial" w:hAnsi="Arial" w:cs="Arial"/>
                <w:color w:val="000000"/>
                <w:sz w:val="18"/>
                <w:szCs w:val="18"/>
                <w:lang w:eastAsia="es-ES"/>
              </w:rPr>
              <w:t>PSIS</w:t>
            </w:r>
          </w:p>
        </w:tc>
        <w:tc>
          <w:tcPr>
            <w:tcW w:w="1301" w:type="dxa"/>
            <w:tcBorders>
              <w:top w:val="single" w:sz="4" w:space="0" w:color="auto"/>
              <w:bottom w:val="single" w:sz="4" w:space="0" w:color="auto"/>
            </w:tcBorders>
            <w:shd w:val="clear" w:color="auto" w:fill="B8CCE4" w:themeFill="accent1" w:themeFillTint="66"/>
            <w:vAlign w:val="center"/>
          </w:tcPr>
          <w:p w:rsidR="008B5CCB" w:rsidRPr="000A2B37" w:rsidRDefault="008B5CCB" w:rsidP="0082359F">
            <w:pPr>
              <w:widowControl w:val="0"/>
              <w:spacing w:after="0"/>
              <w:ind w:left="69" w:firstLine="0"/>
              <w:jc w:val="left"/>
              <w:rPr>
                <w:rFonts w:ascii="Arial" w:hAnsi="Arial" w:cs="Arial"/>
                <w:color w:val="000000"/>
                <w:sz w:val="18"/>
                <w:szCs w:val="18"/>
                <w:lang w:eastAsia="es-ES"/>
              </w:rPr>
            </w:pPr>
            <w:r>
              <w:rPr>
                <w:rFonts w:ascii="Arial" w:hAnsi="Arial" w:cs="Arial"/>
                <w:color w:val="000000"/>
                <w:sz w:val="18"/>
                <w:szCs w:val="18"/>
                <w:lang w:eastAsia="es-ES"/>
              </w:rPr>
              <w:t>Ámbito CT</w:t>
            </w:r>
          </w:p>
        </w:tc>
        <w:tc>
          <w:tcPr>
            <w:tcW w:w="1275" w:type="dxa"/>
            <w:tcBorders>
              <w:top w:val="single" w:sz="4" w:space="0" w:color="auto"/>
              <w:bottom w:val="single" w:sz="4" w:space="0" w:color="auto"/>
            </w:tcBorders>
            <w:shd w:val="clear" w:color="auto" w:fill="B8CCE4" w:themeFill="accent1" w:themeFillTint="66"/>
            <w:vAlign w:val="center"/>
          </w:tcPr>
          <w:p w:rsidR="008B5CCB" w:rsidRPr="000A2B37" w:rsidRDefault="008B5CCB" w:rsidP="0082359F">
            <w:pPr>
              <w:widowControl w:val="0"/>
              <w:spacing w:after="0"/>
              <w:ind w:left="43" w:firstLine="0"/>
              <w:jc w:val="left"/>
              <w:rPr>
                <w:rFonts w:ascii="Arial" w:hAnsi="Arial" w:cs="Arial"/>
                <w:color w:val="000000"/>
                <w:sz w:val="18"/>
                <w:szCs w:val="18"/>
                <w:lang w:eastAsia="es-ES"/>
              </w:rPr>
            </w:pPr>
            <w:r>
              <w:rPr>
                <w:rFonts w:ascii="Arial" w:hAnsi="Arial" w:cs="Arial"/>
                <w:color w:val="000000"/>
                <w:sz w:val="18"/>
                <w:szCs w:val="18"/>
                <w:lang w:eastAsia="es-ES"/>
              </w:rPr>
              <w:t>Iniciativa</w:t>
            </w:r>
          </w:p>
        </w:tc>
        <w:tc>
          <w:tcPr>
            <w:tcW w:w="1927" w:type="dxa"/>
            <w:tcBorders>
              <w:top w:val="single" w:sz="4" w:space="0" w:color="auto"/>
              <w:bottom w:val="single" w:sz="4" w:space="0" w:color="auto"/>
            </w:tcBorders>
            <w:shd w:val="clear" w:color="auto" w:fill="B8CCE4" w:themeFill="accent1" w:themeFillTint="66"/>
            <w:vAlign w:val="center"/>
          </w:tcPr>
          <w:p w:rsidR="00CF0DE8" w:rsidRDefault="00000658" w:rsidP="004D22FC">
            <w:pPr>
              <w:widowControl w:val="0"/>
              <w:spacing w:after="0"/>
              <w:ind w:left="44" w:firstLine="0"/>
              <w:jc w:val="right"/>
              <w:rPr>
                <w:rFonts w:ascii="Arial" w:hAnsi="Arial" w:cs="Arial"/>
                <w:color w:val="000000"/>
                <w:sz w:val="18"/>
                <w:szCs w:val="18"/>
                <w:lang w:eastAsia="es-ES"/>
              </w:rPr>
            </w:pPr>
            <w:r>
              <w:rPr>
                <w:rFonts w:ascii="Arial" w:hAnsi="Arial" w:cs="Arial"/>
                <w:color w:val="000000"/>
                <w:sz w:val="18"/>
                <w:szCs w:val="18"/>
                <w:lang w:eastAsia="es-ES"/>
              </w:rPr>
              <w:t>Fecha a</w:t>
            </w:r>
            <w:r w:rsidR="008B5CCB">
              <w:rPr>
                <w:rFonts w:ascii="Arial" w:hAnsi="Arial" w:cs="Arial"/>
                <w:color w:val="000000"/>
                <w:sz w:val="18"/>
                <w:szCs w:val="18"/>
                <w:lang w:eastAsia="es-ES"/>
              </w:rPr>
              <w:t xml:space="preserve">probación </w:t>
            </w:r>
          </w:p>
          <w:p w:rsidR="008B5CCB" w:rsidRPr="000A2B37" w:rsidRDefault="008B5CCB" w:rsidP="004D22FC">
            <w:pPr>
              <w:widowControl w:val="0"/>
              <w:spacing w:after="0"/>
              <w:ind w:left="44" w:firstLine="0"/>
              <w:jc w:val="right"/>
              <w:rPr>
                <w:rFonts w:ascii="Arial" w:hAnsi="Arial" w:cs="Arial"/>
                <w:color w:val="000000"/>
                <w:sz w:val="18"/>
                <w:szCs w:val="18"/>
                <w:lang w:eastAsia="es-ES"/>
              </w:rPr>
            </w:pPr>
            <w:r>
              <w:rPr>
                <w:rFonts w:ascii="Arial" w:hAnsi="Arial" w:cs="Arial"/>
                <w:color w:val="000000"/>
                <w:sz w:val="18"/>
                <w:szCs w:val="18"/>
                <w:lang w:eastAsia="es-ES"/>
              </w:rPr>
              <w:t>Gobierno de Navarra</w:t>
            </w:r>
          </w:p>
        </w:tc>
        <w:tc>
          <w:tcPr>
            <w:tcW w:w="2232" w:type="dxa"/>
            <w:tcBorders>
              <w:top w:val="single" w:sz="4" w:space="0" w:color="auto"/>
              <w:bottom w:val="single" w:sz="4" w:space="0" w:color="auto"/>
            </w:tcBorders>
            <w:shd w:val="clear" w:color="auto" w:fill="B8CCE4" w:themeFill="accent1" w:themeFillTint="66"/>
            <w:vAlign w:val="center"/>
          </w:tcPr>
          <w:p w:rsidR="00CF0DE8" w:rsidRDefault="008B5CCB" w:rsidP="004D22FC">
            <w:pPr>
              <w:widowControl w:val="0"/>
              <w:spacing w:after="0"/>
              <w:ind w:firstLine="0"/>
              <w:jc w:val="right"/>
              <w:rPr>
                <w:rFonts w:ascii="Arial" w:hAnsi="Arial" w:cs="Arial"/>
                <w:color w:val="000000"/>
                <w:sz w:val="18"/>
                <w:szCs w:val="18"/>
                <w:lang w:eastAsia="es-ES"/>
              </w:rPr>
            </w:pPr>
            <w:r>
              <w:rPr>
                <w:rFonts w:ascii="Arial" w:hAnsi="Arial" w:cs="Arial"/>
                <w:color w:val="000000"/>
                <w:sz w:val="18"/>
                <w:szCs w:val="18"/>
                <w:lang w:eastAsia="es-ES"/>
              </w:rPr>
              <w:t xml:space="preserve">Número </w:t>
            </w:r>
          </w:p>
          <w:p w:rsidR="008B5CCB" w:rsidRDefault="008B5CCB" w:rsidP="004D22FC">
            <w:pPr>
              <w:widowControl w:val="0"/>
              <w:spacing w:after="0"/>
              <w:ind w:firstLine="0"/>
              <w:jc w:val="right"/>
              <w:rPr>
                <w:rFonts w:ascii="Arial" w:hAnsi="Arial" w:cs="Arial"/>
                <w:color w:val="000000"/>
                <w:sz w:val="18"/>
                <w:szCs w:val="18"/>
                <w:lang w:eastAsia="es-ES"/>
              </w:rPr>
            </w:pPr>
            <w:r>
              <w:rPr>
                <w:rFonts w:ascii="Arial" w:hAnsi="Arial" w:cs="Arial"/>
                <w:color w:val="000000"/>
                <w:sz w:val="18"/>
                <w:szCs w:val="18"/>
                <w:lang w:eastAsia="es-ES"/>
              </w:rPr>
              <w:t>modificaciones</w:t>
            </w:r>
          </w:p>
        </w:tc>
      </w:tr>
      <w:tr w:rsidR="008B5CCB" w:rsidRPr="00DC3CE7" w:rsidTr="0082359F">
        <w:trPr>
          <w:trHeight w:val="284"/>
          <w:jc w:val="center"/>
        </w:trPr>
        <w:tc>
          <w:tcPr>
            <w:tcW w:w="1991" w:type="dxa"/>
            <w:tcBorders>
              <w:top w:val="single" w:sz="4" w:space="0" w:color="auto"/>
              <w:bottom w:val="single" w:sz="2" w:space="0" w:color="auto"/>
            </w:tcBorders>
            <w:shd w:val="clear" w:color="auto" w:fill="auto"/>
            <w:noWrap/>
            <w:vAlign w:val="center"/>
          </w:tcPr>
          <w:p w:rsidR="008B5CCB" w:rsidRPr="000A2B37" w:rsidRDefault="009E7DF0" w:rsidP="00C54F50">
            <w:pPr>
              <w:spacing w:after="0"/>
              <w:ind w:firstLine="0"/>
              <w:jc w:val="left"/>
              <w:rPr>
                <w:rFonts w:ascii="Arial Narrow" w:hAnsi="Arial Narrow"/>
                <w:color w:val="000000"/>
                <w:lang w:eastAsia="es-ES"/>
              </w:rPr>
            </w:pPr>
            <w:r>
              <w:rPr>
                <w:rFonts w:ascii="Arial Narrow" w:hAnsi="Arial Narrow"/>
                <w:color w:val="000000"/>
                <w:lang w:eastAsia="es-ES"/>
              </w:rPr>
              <w:t>Ciudad del Transporte</w:t>
            </w:r>
          </w:p>
        </w:tc>
        <w:tc>
          <w:tcPr>
            <w:tcW w:w="1301" w:type="dxa"/>
            <w:tcBorders>
              <w:top w:val="single" w:sz="4" w:space="0" w:color="auto"/>
              <w:bottom w:val="single" w:sz="2" w:space="0" w:color="auto"/>
            </w:tcBorders>
            <w:shd w:val="clear" w:color="auto" w:fill="auto"/>
            <w:noWrap/>
            <w:vAlign w:val="center"/>
          </w:tcPr>
          <w:p w:rsidR="008B5CCB" w:rsidRPr="000A2B37" w:rsidRDefault="008B5CCB" w:rsidP="0082359F">
            <w:pPr>
              <w:spacing w:after="0"/>
              <w:ind w:left="69" w:firstLine="0"/>
              <w:jc w:val="left"/>
              <w:rPr>
                <w:rFonts w:ascii="Arial Narrow" w:hAnsi="Arial Narrow"/>
                <w:color w:val="000000"/>
                <w:lang w:eastAsia="es-ES"/>
              </w:rPr>
            </w:pPr>
            <w:r>
              <w:rPr>
                <w:rFonts w:ascii="Arial Narrow" w:hAnsi="Arial Narrow"/>
                <w:color w:val="000000"/>
                <w:lang w:eastAsia="es-ES"/>
              </w:rPr>
              <w:t>1ª y 2ª fase</w:t>
            </w:r>
          </w:p>
        </w:tc>
        <w:tc>
          <w:tcPr>
            <w:tcW w:w="1275" w:type="dxa"/>
            <w:tcBorders>
              <w:top w:val="single" w:sz="4" w:space="0" w:color="auto"/>
              <w:bottom w:val="single" w:sz="2" w:space="0" w:color="auto"/>
            </w:tcBorders>
            <w:shd w:val="clear" w:color="auto" w:fill="auto"/>
            <w:noWrap/>
            <w:vAlign w:val="center"/>
          </w:tcPr>
          <w:p w:rsidR="0082359F" w:rsidRDefault="00155E49" w:rsidP="0082359F">
            <w:pPr>
              <w:spacing w:after="0"/>
              <w:ind w:firstLine="0"/>
              <w:rPr>
                <w:rFonts w:ascii="Arial Narrow" w:hAnsi="Arial Narrow"/>
                <w:color w:val="000000"/>
                <w:lang w:eastAsia="es-ES"/>
              </w:rPr>
            </w:pPr>
            <w:r>
              <w:rPr>
                <w:rFonts w:ascii="Arial Narrow" w:hAnsi="Arial Narrow"/>
                <w:color w:val="000000"/>
                <w:lang w:eastAsia="es-ES"/>
              </w:rPr>
              <w:t xml:space="preserve">Privada </w:t>
            </w:r>
          </w:p>
          <w:p w:rsidR="008B5CCB" w:rsidRPr="000A2B37" w:rsidRDefault="00155E49" w:rsidP="0082359F">
            <w:pPr>
              <w:spacing w:after="0"/>
              <w:ind w:firstLine="0"/>
              <w:rPr>
                <w:rFonts w:ascii="Arial Narrow" w:hAnsi="Arial Narrow"/>
                <w:color w:val="000000"/>
                <w:lang w:eastAsia="es-ES"/>
              </w:rPr>
            </w:pPr>
            <w:r>
              <w:rPr>
                <w:rFonts w:ascii="Arial Narrow" w:hAnsi="Arial Narrow"/>
                <w:color w:val="000000"/>
                <w:lang w:eastAsia="es-ES"/>
              </w:rPr>
              <w:t>(</w:t>
            </w:r>
            <w:r w:rsidR="008B5CCB">
              <w:rPr>
                <w:rFonts w:ascii="Arial Narrow" w:hAnsi="Arial Narrow"/>
                <w:color w:val="000000"/>
                <w:lang w:eastAsia="es-ES"/>
              </w:rPr>
              <w:t>TT</w:t>
            </w:r>
            <w:r w:rsidR="00D80B58">
              <w:rPr>
                <w:rFonts w:ascii="Arial Narrow" w:hAnsi="Arial Narrow"/>
                <w:color w:val="000000"/>
                <w:lang w:eastAsia="es-ES"/>
              </w:rPr>
              <w:t>C</w:t>
            </w:r>
            <w:r w:rsidR="008B5CCB">
              <w:rPr>
                <w:rFonts w:ascii="Arial Narrow" w:hAnsi="Arial Narrow"/>
                <w:color w:val="000000"/>
                <w:lang w:eastAsia="es-ES"/>
              </w:rPr>
              <w:t>P, SA</w:t>
            </w:r>
            <w:r w:rsidR="00000658">
              <w:rPr>
                <w:rFonts w:ascii="Arial Narrow" w:hAnsi="Arial Narrow"/>
                <w:color w:val="000000"/>
                <w:lang w:eastAsia="es-ES"/>
              </w:rPr>
              <w:t xml:space="preserve"> </w:t>
            </w:r>
            <w:r>
              <w:rPr>
                <w:rFonts w:ascii="Arial Narrow" w:hAnsi="Arial Narrow"/>
                <w:color w:val="000000"/>
                <w:lang w:eastAsia="es-ES"/>
              </w:rPr>
              <w:t>)</w:t>
            </w:r>
          </w:p>
        </w:tc>
        <w:tc>
          <w:tcPr>
            <w:tcW w:w="1927" w:type="dxa"/>
            <w:tcBorders>
              <w:top w:val="single" w:sz="4" w:space="0" w:color="auto"/>
              <w:bottom w:val="single" w:sz="2" w:space="0" w:color="auto"/>
            </w:tcBorders>
            <w:shd w:val="clear" w:color="auto" w:fill="auto"/>
            <w:noWrap/>
            <w:vAlign w:val="center"/>
          </w:tcPr>
          <w:p w:rsidR="008B5CCB" w:rsidRPr="000A2B37" w:rsidRDefault="008B5CCB" w:rsidP="004D22FC">
            <w:pPr>
              <w:spacing w:after="0"/>
              <w:ind w:left="44" w:firstLine="0"/>
              <w:jc w:val="right"/>
              <w:rPr>
                <w:rFonts w:ascii="Arial Narrow" w:hAnsi="Arial Narrow"/>
                <w:color w:val="000000"/>
                <w:lang w:eastAsia="es-ES"/>
              </w:rPr>
            </w:pPr>
            <w:r>
              <w:rPr>
                <w:rFonts w:ascii="Arial Narrow" w:hAnsi="Arial Narrow"/>
                <w:color w:val="000000"/>
                <w:lang w:eastAsia="es-ES"/>
              </w:rPr>
              <w:t>23/XII/1991</w:t>
            </w:r>
          </w:p>
        </w:tc>
        <w:tc>
          <w:tcPr>
            <w:tcW w:w="2232" w:type="dxa"/>
            <w:tcBorders>
              <w:top w:val="single" w:sz="4" w:space="0" w:color="auto"/>
              <w:bottom w:val="single" w:sz="2" w:space="0" w:color="auto"/>
            </w:tcBorders>
            <w:vAlign w:val="center"/>
          </w:tcPr>
          <w:p w:rsidR="00CF0DE8" w:rsidRDefault="008B5CCB" w:rsidP="004D22FC">
            <w:pPr>
              <w:spacing w:after="0"/>
              <w:ind w:firstLine="0"/>
              <w:jc w:val="right"/>
              <w:rPr>
                <w:rFonts w:ascii="Arial Narrow" w:hAnsi="Arial Narrow"/>
                <w:color w:val="000000"/>
                <w:lang w:eastAsia="es-ES"/>
              </w:rPr>
            </w:pPr>
            <w:r>
              <w:rPr>
                <w:rFonts w:ascii="Arial Narrow" w:hAnsi="Arial Narrow"/>
                <w:color w:val="000000"/>
                <w:lang w:eastAsia="es-ES"/>
              </w:rPr>
              <w:t>Dos</w:t>
            </w:r>
          </w:p>
          <w:p w:rsidR="008B5CCB" w:rsidRPr="000A2B37" w:rsidRDefault="008B5CCB" w:rsidP="004D22FC">
            <w:pPr>
              <w:spacing w:after="0"/>
              <w:ind w:firstLine="0"/>
              <w:jc w:val="right"/>
              <w:rPr>
                <w:rFonts w:ascii="Arial Narrow" w:hAnsi="Arial Narrow"/>
                <w:color w:val="000000"/>
                <w:lang w:eastAsia="es-ES"/>
              </w:rPr>
            </w:pPr>
            <w:r>
              <w:rPr>
                <w:rFonts w:ascii="Arial Narrow" w:hAnsi="Arial Narrow"/>
                <w:color w:val="000000"/>
                <w:lang w:eastAsia="es-ES"/>
              </w:rPr>
              <w:t>(en 1996 y 2000)</w:t>
            </w:r>
          </w:p>
        </w:tc>
      </w:tr>
      <w:tr w:rsidR="008B5CCB" w:rsidRPr="00DC3CE7" w:rsidTr="0082359F">
        <w:trPr>
          <w:trHeight w:val="284"/>
          <w:jc w:val="center"/>
        </w:trPr>
        <w:tc>
          <w:tcPr>
            <w:tcW w:w="1991" w:type="dxa"/>
            <w:tcBorders>
              <w:top w:val="single" w:sz="2" w:space="0" w:color="auto"/>
              <w:bottom w:val="single" w:sz="4" w:space="0" w:color="auto"/>
            </w:tcBorders>
            <w:shd w:val="clear" w:color="auto" w:fill="auto"/>
            <w:noWrap/>
            <w:vAlign w:val="center"/>
          </w:tcPr>
          <w:p w:rsidR="008B5CCB" w:rsidRPr="000A2B37" w:rsidRDefault="009E7DF0" w:rsidP="00C54F50">
            <w:pPr>
              <w:spacing w:after="0"/>
              <w:ind w:firstLine="0"/>
              <w:jc w:val="left"/>
              <w:rPr>
                <w:rFonts w:ascii="Arial Narrow" w:hAnsi="Arial Narrow"/>
                <w:color w:val="000000"/>
                <w:lang w:eastAsia="es-ES"/>
              </w:rPr>
            </w:pPr>
            <w:r>
              <w:rPr>
                <w:rFonts w:ascii="Arial Narrow" w:hAnsi="Arial Narrow"/>
                <w:color w:val="000000"/>
                <w:lang w:eastAsia="es-ES"/>
              </w:rPr>
              <w:t>A</w:t>
            </w:r>
            <w:r w:rsidR="008B5CCB">
              <w:rPr>
                <w:rFonts w:ascii="Arial Narrow" w:hAnsi="Arial Narrow"/>
                <w:color w:val="000000"/>
                <w:lang w:eastAsia="es-ES"/>
              </w:rPr>
              <w:t>mpliación de la C</w:t>
            </w:r>
            <w:r>
              <w:rPr>
                <w:rFonts w:ascii="Arial Narrow" w:hAnsi="Arial Narrow"/>
                <w:color w:val="000000"/>
                <w:lang w:eastAsia="es-ES"/>
              </w:rPr>
              <w:t>iudad del Transporte</w:t>
            </w:r>
          </w:p>
        </w:tc>
        <w:tc>
          <w:tcPr>
            <w:tcW w:w="1301" w:type="dxa"/>
            <w:tcBorders>
              <w:top w:val="single" w:sz="2" w:space="0" w:color="auto"/>
              <w:bottom w:val="single" w:sz="4" w:space="0" w:color="auto"/>
            </w:tcBorders>
            <w:shd w:val="clear" w:color="auto" w:fill="auto"/>
            <w:noWrap/>
            <w:vAlign w:val="center"/>
          </w:tcPr>
          <w:p w:rsidR="008B5CCB" w:rsidRPr="000A2B37" w:rsidRDefault="008B5CCB" w:rsidP="0082359F">
            <w:pPr>
              <w:spacing w:after="0"/>
              <w:ind w:left="69" w:firstLine="0"/>
              <w:jc w:val="left"/>
              <w:rPr>
                <w:rFonts w:ascii="Arial Narrow" w:hAnsi="Arial Narrow"/>
                <w:color w:val="000000"/>
                <w:lang w:eastAsia="es-ES"/>
              </w:rPr>
            </w:pPr>
            <w:r>
              <w:rPr>
                <w:rFonts w:ascii="Arial Narrow" w:hAnsi="Arial Narrow"/>
                <w:color w:val="000000"/>
                <w:lang w:eastAsia="es-ES"/>
              </w:rPr>
              <w:t>3ª y 4ª fase</w:t>
            </w:r>
          </w:p>
        </w:tc>
        <w:tc>
          <w:tcPr>
            <w:tcW w:w="1275" w:type="dxa"/>
            <w:tcBorders>
              <w:top w:val="single" w:sz="2" w:space="0" w:color="auto"/>
              <w:bottom w:val="single" w:sz="4" w:space="0" w:color="auto"/>
            </w:tcBorders>
            <w:shd w:val="clear" w:color="auto" w:fill="auto"/>
            <w:noWrap/>
            <w:vAlign w:val="center"/>
          </w:tcPr>
          <w:p w:rsidR="0082359F" w:rsidRDefault="00155E49" w:rsidP="0082359F">
            <w:pPr>
              <w:spacing w:after="0"/>
              <w:ind w:firstLine="0"/>
              <w:rPr>
                <w:rFonts w:ascii="Arial Narrow" w:hAnsi="Arial Narrow"/>
                <w:color w:val="000000"/>
                <w:lang w:eastAsia="es-ES"/>
              </w:rPr>
            </w:pPr>
            <w:r>
              <w:rPr>
                <w:rFonts w:ascii="Arial Narrow" w:hAnsi="Arial Narrow"/>
                <w:color w:val="000000"/>
                <w:lang w:eastAsia="es-ES"/>
              </w:rPr>
              <w:t xml:space="preserve">Pública </w:t>
            </w:r>
          </w:p>
          <w:p w:rsidR="008B5CCB" w:rsidRPr="000A2B37" w:rsidRDefault="00155E49" w:rsidP="0082359F">
            <w:pPr>
              <w:spacing w:after="0"/>
              <w:ind w:firstLine="0"/>
              <w:rPr>
                <w:rFonts w:ascii="Arial Narrow" w:hAnsi="Arial Narrow"/>
                <w:color w:val="000000"/>
                <w:lang w:eastAsia="es-ES"/>
              </w:rPr>
            </w:pPr>
            <w:r>
              <w:rPr>
                <w:rFonts w:ascii="Arial Narrow" w:hAnsi="Arial Narrow"/>
                <w:color w:val="000000"/>
                <w:lang w:eastAsia="es-ES"/>
              </w:rPr>
              <w:t>(</w:t>
            </w:r>
            <w:r w:rsidR="008B5CCB">
              <w:rPr>
                <w:rFonts w:ascii="Arial Narrow" w:hAnsi="Arial Narrow"/>
                <w:color w:val="000000"/>
                <w:lang w:eastAsia="es-ES"/>
              </w:rPr>
              <w:t>CTP, SA</w:t>
            </w:r>
            <w:r>
              <w:rPr>
                <w:rFonts w:ascii="Arial Narrow" w:hAnsi="Arial Narrow"/>
                <w:color w:val="000000"/>
                <w:lang w:eastAsia="es-ES"/>
              </w:rPr>
              <w:t>)</w:t>
            </w:r>
            <w:r w:rsidR="00000658">
              <w:rPr>
                <w:rFonts w:ascii="Arial Narrow" w:hAnsi="Arial Narrow"/>
                <w:color w:val="000000"/>
                <w:lang w:eastAsia="es-ES"/>
              </w:rPr>
              <w:t xml:space="preserve"> </w:t>
            </w:r>
          </w:p>
        </w:tc>
        <w:tc>
          <w:tcPr>
            <w:tcW w:w="1927" w:type="dxa"/>
            <w:tcBorders>
              <w:top w:val="single" w:sz="2" w:space="0" w:color="auto"/>
              <w:bottom w:val="single" w:sz="4" w:space="0" w:color="auto"/>
            </w:tcBorders>
            <w:shd w:val="clear" w:color="auto" w:fill="auto"/>
            <w:noWrap/>
            <w:vAlign w:val="center"/>
          </w:tcPr>
          <w:p w:rsidR="008B5CCB" w:rsidRPr="000A2B37" w:rsidRDefault="008B5CCB" w:rsidP="004D22FC">
            <w:pPr>
              <w:spacing w:after="0"/>
              <w:ind w:left="44" w:firstLine="0"/>
              <w:jc w:val="right"/>
              <w:rPr>
                <w:rFonts w:ascii="Arial Narrow" w:hAnsi="Arial Narrow"/>
                <w:color w:val="000000"/>
                <w:lang w:eastAsia="es-ES"/>
              </w:rPr>
            </w:pPr>
            <w:r>
              <w:rPr>
                <w:rFonts w:ascii="Arial Narrow" w:hAnsi="Arial Narrow"/>
                <w:color w:val="000000"/>
                <w:lang w:eastAsia="es-ES"/>
              </w:rPr>
              <w:t>26/VII/2004</w:t>
            </w:r>
          </w:p>
        </w:tc>
        <w:tc>
          <w:tcPr>
            <w:tcW w:w="2232" w:type="dxa"/>
            <w:tcBorders>
              <w:top w:val="single" w:sz="2" w:space="0" w:color="auto"/>
              <w:bottom w:val="single" w:sz="4" w:space="0" w:color="auto"/>
            </w:tcBorders>
            <w:vAlign w:val="center"/>
          </w:tcPr>
          <w:p w:rsidR="0082359F" w:rsidRDefault="008B5CCB" w:rsidP="004D22FC">
            <w:pPr>
              <w:spacing w:after="0"/>
              <w:ind w:firstLine="0"/>
              <w:jc w:val="right"/>
              <w:rPr>
                <w:rFonts w:ascii="Arial Narrow" w:hAnsi="Arial Narrow"/>
                <w:lang w:eastAsia="es-ES"/>
              </w:rPr>
            </w:pPr>
            <w:r>
              <w:rPr>
                <w:rFonts w:ascii="Arial Narrow" w:hAnsi="Arial Narrow"/>
                <w:color w:val="000000"/>
                <w:lang w:eastAsia="es-ES"/>
              </w:rPr>
              <w:t>Una (200</w:t>
            </w:r>
            <w:r w:rsidR="00D80B58">
              <w:rPr>
                <w:rFonts w:ascii="Arial Narrow" w:hAnsi="Arial Narrow"/>
                <w:color w:val="000000"/>
                <w:lang w:eastAsia="es-ES"/>
              </w:rPr>
              <w:t>6</w:t>
            </w:r>
            <w:r>
              <w:rPr>
                <w:rFonts w:ascii="Arial Narrow" w:hAnsi="Arial Narrow"/>
                <w:color w:val="000000"/>
                <w:lang w:eastAsia="es-ES"/>
              </w:rPr>
              <w:t xml:space="preserve">) </w:t>
            </w:r>
            <w:r w:rsidRPr="009975EB">
              <w:rPr>
                <w:rFonts w:ascii="Arial Narrow" w:hAnsi="Arial Narrow"/>
                <w:lang w:eastAsia="es-ES"/>
              </w:rPr>
              <w:t>y</w:t>
            </w:r>
          </w:p>
          <w:p w:rsidR="008B5CCB" w:rsidRPr="000A2B37" w:rsidRDefault="008B5CCB" w:rsidP="004D22FC">
            <w:pPr>
              <w:spacing w:after="0"/>
              <w:ind w:firstLine="0"/>
              <w:jc w:val="right"/>
              <w:rPr>
                <w:rFonts w:ascii="Arial Narrow" w:hAnsi="Arial Narrow"/>
                <w:color w:val="000000"/>
                <w:lang w:eastAsia="es-ES"/>
              </w:rPr>
            </w:pPr>
            <w:r w:rsidRPr="009975EB">
              <w:rPr>
                <w:rFonts w:ascii="Arial Narrow" w:hAnsi="Arial Narrow"/>
                <w:lang w:eastAsia="es-ES"/>
              </w:rPr>
              <w:t xml:space="preserve"> otra en trámite (2017)</w:t>
            </w:r>
          </w:p>
        </w:tc>
      </w:tr>
    </w:tbl>
    <w:p w:rsidR="00CF0DE8" w:rsidRDefault="00CF0DE8" w:rsidP="00CF0DE8">
      <w:pPr>
        <w:pStyle w:val="texto"/>
        <w:tabs>
          <w:tab w:val="clear" w:pos="2835"/>
          <w:tab w:val="clear" w:pos="3969"/>
          <w:tab w:val="clear" w:pos="5103"/>
          <w:tab w:val="clear" w:pos="6237"/>
          <w:tab w:val="clear" w:pos="7371"/>
        </w:tabs>
        <w:spacing w:after="0"/>
        <w:rPr>
          <w:szCs w:val="26"/>
        </w:rPr>
      </w:pPr>
    </w:p>
    <w:p w:rsidR="008B5CCB" w:rsidRDefault="008B5CCB" w:rsidP="008B5CCB">
      <w:pPr>
        <w:pStyle w:val="texto"/>
        <w:tabs>
          <w:tab w:val="clear" w:pos="2835"/>
          <w:tab w:val="clear" w:pos="3969"/>
          <w:tab w:val="clear" w:pos="5103"/>
          <w:tab w:val="clear" w:pos="6237"/>
          <w:tab w:val="clear" w:pos="7371"/>
        </w:tabs>
        <w:rPr>
          <w:szCs w:val="26"/>
        </w:rPr>
      </w:pPr>
      <w:r>
        <w:rPr>
          <w:szCs w:val="26"/>
        </w:rPr>
        <w:t>El primer PSIS se tramita a iniciativa de la entonces sociedad privada Te</w:t>
      </w:r>
      <w:r>
        <w:rPr>
          <w:szCs w:val="26"/>
        </w:rPr>
        <w:t>r</w:t>
      </w:r>
      <w:r>
        <w:rPr>
          <w:szCs w:val="26"/>
        </w:rPr>
        <w:t>minal de Transportes de la Comarca de Pamplona, SA (TT</w:t>
      </w:r>
      <w:r w:rsidR="00D80B58">
        <w:rPr>
          <w:szCs w:val="26"/>
        </w:rPr>
        <w:t>C</w:t>
      </w:r>
      <w:r>
        <w:rPr>
          <w:szCs w:val="26"/>
        </w:rPr>
        <w:t>P, SA); el de la ampliación, a iniciativa de la sociedad pública Ciudad del Transporte de Pa</w:t>
      </w:r>
      <w:r>
        <w:rPr>
          <w:szCs w:val="26"/>
        </w:rPr>
        <w:t>m</w:t>
      </w:r>
      <w:r>
        <w:rPr>
          <w:szCs w:val="26"/>
        </w:rPr>
        <w:t>plona, SA (CTP, SA).</w:t>
      </w:r>
    </w:p>
    <w:p w:rsidR="00FA4191" w:rsidRDefault="00FA4191" w:rsidP="00FA4191">
      <w:pPr>
        <w:pStyle w:val="texto"/>
        <w:tabs>
          <w:tab w:val="clear" w:pos="2835"/>
          <w:tab w:val="clear" w:pos="3969"/>
          <w:tab w:val="clear" w:pos="5103"/>
          <w:tab w:val="clear" w:pos="6237"/>
          <w:tab w:val="clear" w:pos="7371"/>
        </w:tabs>
        <w:rPr>
          <w:szCs w:val="26"/>
        </w:rPr>
      </w:pPr>
      <w:r w:rsidRPr="00C54F50">
        <w:rPr>
          <w:b/>
          <w:szCs w:val="26"/>
        </w:rPr>
        <w:t>1</w:t>
      </w:r>
      <w:r w:rsidR="007138DF" w:rsidRPr="00C54F50">
        <w:rPr>
          <w:b/>
          <w:szCs w:val="26"/>
        </w:rPr>
        <w:t>2</w:t>
      </w:r>
      <w:r w:rsidR="00C54F50" w:rsidRPr="00C54F50">
        <w:rPr>
          <w:b/>
          <w:szCs w:val="26"/>
        </w:rPr>
        <w:t>.</w:t>
      </w:r>
      <w:r w:rsidRPr="00C54F50">
        <w:rPr>
          <w:b/>
          <w:szCs w:val="26"/>
        </w:rPr>
        <w:t>ª</w:t>
      </w:r>
      <w:r>
        <w:rPr>
          <w:szCs w:val="26"/>
        </w:rPr>
        <w:t xml:space="preserve"> El primer PSIS </w:t>
      </w:r>
      <w:r w:rsidR="00D80B58">
        <w:rPr>
          <w:szCs w:val="26"/>
        </w:rPr>
        <w:t>ó</w:t>
      </w:r>
      <w:r>
        <w:rPr>
          <w:szCs w:val="26"/>
        </w:rPr>
        <w:t xml:space="preserve"> de la Ciudad del Transporte, ordena una superficie en torno a los 600.000 m</w:t>
      </w:r>
      <w:r w:rsidRPr="00AB34B3">
        <w:rPr>
          <w:szCs w:val="26"/>
          <w:vertAlign w:val="superscript"/>
        </w:rPr>
        <w:t>2</w:t>
      </w:r>
      <w:r>
        <w:rPr>
          <w:szCs w:val="26"/>
        </w:rPr>
        <w:t xml:space="preserve"> con los siguientes usos:</w:t>
      </w:r>
    </w:p>
    <w:p w:rsidR="00FA4191" w:rsidRPr="005A25DB" w:rsidRDefault="00FA4191" w:rsidP="00FA4191">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sidRPr="005A25DB">
        <w:rPr>
          <w:szCs w:val="26"/>
        </w:rPr>
        <w:t>Zona de Servicios</w:t>
      </w:r>
      <w:r>
        <w:rPr>
          <w:szCs w:val="26"/>
        </w:rPr>
        <w:t xml:space="preserve">: </w:t>
      </w:r>
      <w:r w:rsidRPr="005A25DB">
        <w:rPr>
          <w:szCs w:val="26"/>
        </w:rPr>
        <w:t>oficinas, hostelería y ocio, sanidad, mantenimiento, control de seguridad, transporte público, servicios</w:t>
      </w:r>
      <w:r>
        <w:rPr>
          <w:szCs w:val="26"/>
        </w:rPr>
        <w:t xml:space="preserve"> y</w:t>
      </w:r>
      <w:r w:rsidRPr="005A25DB">
        <w:rPr>
          <w:szCs w:val="26"/>
        </w:rPr>
        <w:t xml:space="preserve"> comercio</w:t>
      </w:r>
      <w:r>
        <w:rPr>
          <w:szCs w:val="26"/>
        </w:rPr>
        <w:t>.</w:t>
      </w:r>
    </w:p>
    <w:p w:rsidR="00FA4191" w:rsidRPr="005A25DB" w:rsidRDefault="00FA4191" w:rsidP="00FA4191">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sidRPr="005A25DB">
        <w:rPr>
          <w:szCs w:val="26"/>
        </w:rPr>
        <w:t>Zona de naves de transporte</w:t>
      </w:r>
      <w:r>
        <w:rPr>
          <w:szCs w:val="26"/>
        </w:rPr>
        <w:t xml:space="preserve"> y logística.</w:t>
      </w:r>
      <w:r w:rsidRPr="005A25DB">
        <w:rPr>
          <w:szCs w:val="26"/>
        </w:rPr>
        <w:t xml:space="preserve"> </w:t>
      </w:r>
    </w:p>
    <w:p w:rsidR="00FA4191" w:rsidRDefault="00FA4191" w:rsidP="00FA4191">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sidRPr="005A25DB">
        <w:rPr>
          <w:szCs w:val="26"/>
        </w:rPr>
        <w:t>Zona de Reserva</w:t>
      </w:r>
      <w:r>
        <w:rPr>
          <w:szCs w:val="26"/>
        </w:rPr>
        <w:t xml:space="preserve"> (2ª fase de la CT)</w:t>
      </w:r>
      <w:r w:rsidRPr="005A25DB">
        <w:rPr>
          <w:szCs w:val="26"/>
        </w:rPr>
        <w:t>: transporte y otros usos conexos, alm</w:t>
      </w:r>
      <w:r w:rsidRPr="005A25DB">
        <w:rPr>
          <w:szCs w:val="26"/>
        </w:rPr>
        <w:t>a</w:t>
      </w:r>
      <w:r w:rsidRPr="005A25DB">
        <w:rPr>
          <w:szCs w:val="26"/>
        </w:rPr>
        <w:t>cenami</w:t>
      </w:r>
      <w:r w:rsidR="00D80B58">
        <w:rPr>
          <w:szCs w:val="26"/>
        </w:rPr>
        <w:t>ento de materiales y maquinaria y</w:t>
      </w:r>
      <w:r w:rsidRPr="005A25DB">
        <w:rPr>
          <w:szCs w:val="26"/>
        </w:rPr>
        <w:t xml:space="preserve"> usos educativos.</w:t>
      </w:r>
      <w:r>
        <w:rPr>
          <w:szCs w:val="26"/>
        </w:rPr>
        <w:t xml:space="preserve"> Posteriormente m</w:t>
      </w:r>
      <w:r>
        <w:rPr>
          <w:szCs w:val="26"/>
        </w:rPr>
        <w:t>o</w:t>
      </w:r>
      <w:r>
        <w:rPr>
          <w:szCs w:val="26"/>
        </w:rPr>
        <w:t>dificados por los de servicios, oficinas y naves.</w:t>
      </w:r>
    </w:p>
    <w:p w:rsidR="00FA4191" w:rsidRDefault="00FA4191" w:rsidP="00DF0173">
      <w:pPr>
        <w:pStyle w:val="texto"/>
        <w:tabs>
          <w:tab w:val="clear" w:pos="2835"/>
          <w:tab w:val="clear" w:pos="3969"/>
          <w:tab w:val="clear" w:pos="5103"/>
          <w:tab w:val="clear" w:pos="6237"/>
          <w:tab w:val="clear" w:pos="7371"/>
        </w:tabs>
        <w:spacing w:after="240"/>
        <w:rPr>
          <w:szCs w:val="26"/>
        </w:rPr>
      </w:pPr>
      <w:r>
        <w:rPr>
          <w:szCs w:val="26"/>
        </w:rPr>
        <w:t xml:space="preserve">En resumen, estas fases presentan la siguiente configuración, después de las modificaciones del </w:t>
      </w:r>
      <w:r w:rsidR="00323A4D">
        <w:rPr>
          <w:szCs w:val="26"/>
        </w:rPr>
        <w:t>PSIS</w:t>
      </w:r>
      <w:r>
        <w:rPr>
          <w:szCs w:val="26"/>
        </w:rPr>
        <w:t>:</w:t>
      </w:r>
    </w:p>
    <w:tbl>
      <w:tblPr>
        <w:tblW w:w="9031" w:type="dxa"/>
        <w:jc w:val="center"/>
        <w:tblInd w:w="-325" w:type="dxa"/>
        <w:tblCellMar>
          <w:left w:w="70" w:type="dxa"/>
          <w:right w:w="70" w:type="dxa"/>
        </w:tblCellMar>
        <w:tblLook w:val="04A0" w:firstRow="1" w:lastRow="0" w:firstColumn="1" w:lastColumn="0" w:noHBand="0" w:noVBand="1"/>
      </w:tblPr>
      <w:tblGrid>
        <w:gridCol w:w="2836"/>
        <w:gridCol w:w="1139"/>
        <w:gridCol w:w="1497"/>
        <w:gridCol w:w="1971"/>
        <w:gridCol w:w="1588"/>
      </w:tblGrid>
      <w:tr w:rsidR="00FA4191" w:rsidRPr="00DC3CE7" w:rsidTr="00AE19B3">
        <w:trPr>
          <w:trHeight w:val="284"/>
          <w:jc w:val="center"/>
        </w:trPr>
        <w:tc>
          <w:tcPr>
            <w:tcW w:w="2836" w:type="dxa"/>
            <w:tcBorders>
              <w:top w:val="single" w:sz="4" w:space="0" w:color="auto"/>
              <w:bottom w:val="single" w:sz="4" w:space="0" w:color="auto"/>
            </w:tcBorders>
            <w:shd w:val="clear" w:color="auto" w:fill="B8CCE4" w:themeFill="accent1" w:themeFillTint="66"/>
            <w:noWrap/>
            <w:vAlign w:val="center"/>
          </w:tcPr>
          <w:p w:rsidR="00FA4191" w:rsidRPr="00AE19B3" w:rsidRDefault="00AE19B3" w:rsidP="00AE19B3">
            <w:pPr>
              <w:widowControl w:val="0"/>
              <w:spacing w:after="0"/>
              <w:ind w:left="44" w:firstLine="0"/>
              <w:jc w:val="left"/>
              <w:rPr>
                <w:rFonts w:ascii="Arial" w:hAnsi="Arial" w:cs="Arial"/>
                <w:color w:val="000000"/>
                <w:sz w:val="18"/>
                <w:szCs w:val="18"/>
                <w:lang w:eastAsia="es-ES"/>
              </w:rPr>
            </w:pPr>
            <w:r>
              <w:rPr>
                <w:rFonts w:ascii="Arial" w:hAnsi="Arial" w:cs="Arial"/>
                <w:color w:val="000000"/>
                <w:sz w:val="18"/>
                <w:szCs w:val="18"/>
                <w:lang w:eastAsia="es-ES"/>
              </w:rPr>
              <w:t>1ª y 2ª fase CT</w:t>
            </w:r>
            <w:r w:rsidR="00FA4191">
              <w:rPr>
                <w:rFonts w:ascii="Arial" w:hAnsi="Arial" w:cs="Arial"/>
                <w:color w:val="000000"/>
                <w:sz w:val="18"/>
                <w:szCs w:val="18"/>
                <w:lang w:eastAsia="es-ES"/>
              </w:rPr>
              <w:t>/</w:t>
            </w:r>
            <w:r>
              <w:rPr>
                <w:rFonts w:ascii="Arial" w:hAnsi="Arial" w:cs="Arial"/>
                <w:color w:val="000000"/>
                <w:sz w:val="18"/>
                <w:szCs w:val="18"/>
                <w:lang w:eastAsia="es-ES"/>
              </w:rPr>
              <w:t xml:space="preserve"> superficie</w:t>
            </w:r>
            <w:r w:rsidR="00FA4191">
              <w:rPr>
                <w:rFonts w:ascii="Arial" w:hAnsi="Arial" w:cs="Arial"/>
                <w:color w:val="000000"/>
                <w:sz w:val="18"/>
                <w:szCs w:val="18"/>
                <w:lang w:eastAsia="es-ES"/>
              </w:rPr>
              <w:t xml:space="preserve"> </w:t>
            </w:r>
            <w:r>
              <w:rPr>
                <w:rFonts w:ascii="Arial" w:hAnsi="Arial" w:cs="Arial"/>
                <w:color w:val="000000"/>
                <w:sz w:val="18"/>
                <w:szCs w:val="18"/>
                <w:lang w:eastAsia="es-ES"/>
              </w:rPr>
              <w:t>(</w:t>
            </w:r>
            <w:r w:rsidR="00FA4191">
              <w:rPr>
                <w:rFonts w:ascii="Arial" w:hAnsi="Arial" w:cs="Arial"/>
                <w:color w:val="000000"/>
                <w:sz w:val="18"/>
                <w:szCs w:val="18"/>
                <w:lang w:eastAsia="es-ES"/>
              </w:rPr>
              <w:t>m</w:t>
            </w:r>
            <w:r w:rsidR="00FA4191" w:rsidRPr="00475594">
              <w:rPr>
                <w:rFonts w:ascii="Arial" w:hAnsi="Arial" w:cs="Arial"/>
                <w:color w:val="000000"/>
                <w:sz w:val="18"/>
                <w:szCs w:val="18"/>
                <w:vertAlign w:val="superscript"/>
                <w:lang w:eastAsia="es-ES"/>
              </w:rPr>
              <w:t>2</w:t>
            </w:r>
            <w:r>
              <w:rPr>
                <w:rFonts w:ascii="Arial" w:hAnsi="Arial" w:cs="Arial"/>
                <w:color w:val="000000"/>
                <w:sz w:val="18"/>
                <w:szCs w:val="18"/>
                <w:lang w:eastAsia="es-ES"/>
              </w:rPr>
              <w:t>)</w:t>
            </w:r>
          </w:p>
        </w:tc>
        <w:tc>
          <w:tcPr>
            <w:tcW w:w="1139" w:type="dxa"/>
            <w:tcBorders>
              <w:top w:val="single" w:sz="4" w:space="0" w:color="auto"/>
              <w:bottom w:val="single" w:sz="4" w:space="0" w:color="auto"/>
            </w:tcBorders>
            <w:shd w:val="clear" w:color="auto" w:fill="B8CCE4" w:themeFill="accent1" w:themeFillTint="66"/>
            <w:vAlign w:val="center"/>
          </w:tcPr>
          <w:p w:rsidR="00FA4191" w:rsidRPr="000A2B37" w:rsidRDefault="00FA4191" w:rsidP="00DF0173">
            <w:pPr>
              <w:widowControl w:val="0"/>
              <w:spacing w:after="0"/>
              <w:ind w:left="75" w:firstLine="0"/>
              <w:jc w:val="right"/>
              <w:rPr>
                <w:rFonts w:ascii="Arial" w:hAnsi="Arial" w:cs="Arial"/>
                <w:color w:val="000000"/>
                <w:sz w:val="18"/>
                <w:szCs w:val="18"/>
                <w:lang w:eastAsia="es-ES"/>
              </w:rPr>
            </w:pPr>
            <w:r>
              <w:rPr>
                <w:rFonts w:ascii="Arial" w:hAnsi="Arial" w:cs="Arial"/>
                <w:color w:val="000000"/>
                <w:sz w:val="18"/>
                <w:szCs w:val="18"/>
                <w:lang w:eastAsia="es-ES"/>
              </w:rPr>
              <w:t>Área bruta</w:t>
            </w:r>
          </w:p>
        </w:tc>
        <w:tc>
          <w:tcPr>
            <w:tcW w:w="1497" w:type="dxa"/>
            <w:tcBorders>
              <w:top w:val="single" w:sz="4" w:space="0" w:color="auto"/>
              <w:bottom w:val="single" w:sz="4" w:space="0" w:color="auto"/>
            </w:tcBorders>
            <w:shd w:val="clear" w:color="auto" w:fill="B8CCE4" w:themeFill="accent1" w:themeFillTint="66"/>
            <w:vAlign w:val="center"/>
          </w:tcPr>
          <w:p w:rsidR="00FA4191" w:rsidRPr="000A2B37" w:rsidRDefault="00FA4191" w:rsidP="00DF0173">
            <w:pPr>
              <w:widowControl w:val="0"/>
              <w:spacing w:after="0"/>
              <w:ind w:left="25" w:firstLine="0"/>
              <w:jc w:val="right"/>
              <w:rPr>
                <w:rFonts w:ascii="Arial" w:hAnsi="Arial" w:cs="Arial"/>
                <w:color w:val="000000"/>
                <w:sz w:val="18"/>
                <w:szCs w:val="18"/>
                <w:lang w:eastAsia="es-ES"/>
              </w:rPr>
            </w:pPr>
            <w:r>
              <w:rPr>
                <w:rFonts w:ascii="Arial" w:hAnsi="Arial" w:cs="Arial"/>
                <w:color w:val="000000"/>
                <w:sz w:val="18"/>
                <w:szCs w:val="18"/>
                <w:lang w:eastAsia="es-ES"/>
              </w:rPr>
              <w:t>Área neta</w:t>
            </w:r>
          </w:p>
        </w:tc>
        <w:tc>
          <w:tcPr>
            <w:tcW w:w="1971" w:type="dxa"/>
            <w:tcBorders>
              <w:top w:val="single" w:sz="4" w:space="0" w:color="auto"/>
              <w:bottom w:val="single" w:sz="4" w:space="0" w:color="auto"/>
            </w:tcBorders>
            <w:shd w:val="clear" w:color="auto" w:fill="B8CCE4" w:themeFill="accent1" w:themeFillTint="66"/>
            <w:vAlign w:val="center"/>
          </w:tcPr>
          <w:p w:rsidR="00DF0173" w:rsidRDefault="00FA4191" w:rsidP="00DF0173">
            <w:pPr>
              <w:widowControl w:val="0"/>
              <w:spacing w:after="0"/>
              <w:ind w:left="87" w:firstLine="0"/>
              <w:jc w:val="right"/>
              <w:rPr>
                <w:rFonts w:ascii="Arial" w:hAnsi="Arial" w:cs="Arial"/>
                <w:color w:val="000000"/>
                <w:sz w:val="18"/>
                <w:szCs w:val="18"/>
                <w:lang w:eastAsia="es-ES"/>
              </w:rPr>
            </w:pPr>
            <w:r>
              <w:rPr>
                <w:rFonts w:ascii="Arial" w:hAnsi="Arial" w:cs="Arial"/>
                <w:color w:val="000000"/>
                <w:sz w:val="18"/>
                <w:szCs w:val="18"/>
                <w:lang w:eastAsia="es-ES"/>
              </w:rPr>
              <w:t xml:space="preserve">Zonas verdes y </w:t>
            </w:r>
          </w:p>
          <w:p w:rsidR="00FA4191" w:rsidRPr="000A2B37" w:rsidRDefault="00FA4191" w:rsidP="00DF0173">
            <w:pPr>
              <w:widowControl w:val="0"/>
              <w:spacing w:after="0"/>
              <w:ind w:left="87" w:firstLine="0"/>
              <w:jc w:val="right"/>
              <w:rPr>
                <w:rFonts w:ascii="Arial" w:hAnsi="Arial" w:cs="Arial"/>
                <w:color w:val="000000"/>
                <w:sz w:val="18"/>
                <w:szCs w:val="18"/>
                <w:lang w:eastAsia="es-ES"/>
              </w:rPr>
            </w:pPr>
            <w:r>
              <w:rPr>
                <w:rFonts w:ascii="Arial" w:hAnsi="Arial" w:cs="Arial"/>
                <w:color w:val="000000"/>
                <w:sz w:val="18"/>
                <w:szCs w:val="18"/>
                <w:lang w:eastAsia="es-ES"/>
              </w:rPr>
              <w:t>viales generales</w:t>
            </w:r>
          </w:p>
        </w:tc>
        <w:tc>
          <w:tcPr>
            <w:tcW w:w="1588" w:type="dxa"/>
            <w:tcBorders>
              <w:top w:val="single" w:sz="4" w:space="0" w:color="auto"/>
              <w:bottom w:val="single" w:sz="4" w:space="0" w:color="auto"/>
            </w:tcBorders>
            <w:shd w:val="clear" w:color="auto" w:fill="B8CCE4" w:themeFill="accent1" w:themeFillTint="66"/>
            <w:vAlign w:val="center"/>
          </w:tcPr>
          <w:p w:rsidR="00FA4191" w:rsidRDefault="00FA4191" w:rsidP="00DF0173">
            <w:pPr>
              <w:widowControl w:val="0"/>
              <w:spacing w:after="0"/>
              <w:ind w:firstLine="0"/>
              <w:jc w:val="right"/>
              <w:rPr>
                <w:rFonts w:ascii="Arial" w:hAnsi="Arial" w:cs="Arial"/>
                <w:color w:val="000000"/>
                <w:sz w:val="18"/>
                <w:szCs w:val="18"/>
                <w:lang w:eastAsia="es-ES"/>
              </w:rPr>
            </w:pPr>
            <w:r>
              <w:rPr>
                <w:rFonts w:ascii="Arial" w:hAnsi="Arial" w:cs="Arial"/>
                <w:color w:val="000000"/>
                <w:sz w:val="18"/>
                <w:szCs w:val="18"/>
                <w:lang w:eastAsia="es-ES"/>
              </w:rPr>
              <w:t>Edificables</w:t>
            </w:r>
          </w:p>
        </w:tc>
      </w:tr>
      <w:tr w:rsidR="00FA4191" w:rsidRPr="00DC3CE7" w:rsidTr="00AE19B3">
        <w:trPr>
          <w:trHeight w:val="284"/>
          <w:jc w:val="center"/>
        </w:trPr>
        <w:tc>
          <w:tcPr>
            <w:tcW w:w="2836" w:type="dxa"/>
            <w:tcBorders>
              <w:top w:val="single" w:sz="4" w:space="0" w:color="auto"/>
              <w:bottom w:val="single" w:sz="2" w:space="0" w:color="auto"/>
            </w:tcBorders>
            <w:shd w:val="clear" w:color="auto" w:fill="auto"/>
            <w:noWrap/>
            <w:vAlign w:val="center"/>
          </w:tcPr>
          <w:p w:rsidR="00FA4191" w:rsidRPr="000A2B37" w:rsidRDefault="00FA4191" w:rsidP="00DF0173">
            <w:pPr>
              <w:spacing w:after="0"/>
              <w:ind w:left="44" w:firstLine="0"/>
              <w:jc w:val="left"/>
              <w:rPr>
                <w:rFonts w:ascii="Arial Narrow" w:hAnsi="Arial Narrow"/>
                <w:color w:val="000000"/>
                <w:lang w:eastAsia="es-ES"/>
              </w:rPr>
            </w:pPr>
            <w:r>
              <w:rPr>
                <w:rFonts w:ascii="Arial Narrow" w:hAnsi="Arial Narrow"/>
                <w:color w:val="000000"/>
                <w:lang w:eastAsia="es-ES"/>
              </w:rPr>
              <w:t>Servicios</w:t>
            </w:r>
          </w:p>
        </w:tc>
        <w:tc>
          <w:tcPr>
            <w:tcW w:w="1139" w:type="dxa"/>
            <w:tcBorders>
              <w:top w:val="single" w:sz="4" w:space="0" w:color="auto"/>
              <w:bottom w:val="single" w:sz="2" w:space="0" w:color="auto"/>
            </w:tcBorders>
            <w:shd w:val="clear" w:color="auto" w:fill="auto"/>
            <w:noWrap/>
            <w:vAlign w:val="center"/>
          </w:tcPr>
          <w:p w:rsidR="00FA4191" w:rsidRPr="000A2B37" w:rsidRDefault="00FA4191" w:rsidP="00DF0173">
            <w:pPr>
              <w:spacing w:after="0"/>
              <w:ind w:left="75" w:firstLine="0"/>
              <w:jc w:val="right"/>
              <w:rPr>
                <w:rFonts w:ascii="Arial Narrow" w:hAnsi="Arial Narrow"/>
                <w:color w:val="000000"/>
                <w:lang w:eastAsia="es-ES"/>
              </w:rPr>
            </w:pPr>
            <w:r>
              <w:rPr>
                <w:rFonts w:ascii="Arial Narrow" w:hAnsi="Arial Narrow"/>
                <w:color w:val="000000"/>
                <w:lang w:eastAsia="es-ES"/>
              </w:rPr>
              <w:t>147.200</w:t>
            </w:r>
          </w:p>
        </w:tc>
        <w:tc>
          <w:tcPr>
            <w:tcW w:w="1497" w:type="dxa"/>
            <w:tcBorders>
              <w:top w:val="single" w:sz="4" w:space="0" w:color="auto"/>
              <w:bottom w:val="single" w:sz="2" w:space="0" w:color="auto"/>
            </w:tcBorders>
            <w:shd w:val="clear" w:color="auto" w:fill="auto"/>
            <w:noWrap/>
            <w:vAlign w:val="center"/>
          </w:tcPr>
          <w:p w:rsidR="00FA4191" w:rsidRPr="000A2B37" w:rsidRDefault="00FA4191" w:rsidP="00DF0173">
            <w:pPr>
              <w:spacing w:after="0"/>
              <w:ind w:left="25" w:firstLine="0"/>
              <w:jc w:val="right"/>
              <w:rPr>
                <w:rFonts w:ascii="Arial Narrow" w:hAnsi="Arial Narrow"/>
                <w:color w:val="000000"/>
                <w:lang w:eastAsia="es-ES"/>
              </w:rPr>
            </w:pPr>
            <w:r>
              <w:rPr>
                <w:rFonts w:ascii="Arial Narrow" w:hAnsi="Arial Narrow"/>
                <w:color w:val="000000"/>
                <w:lang w:eastAsia="es-ES"/>
              </w:rPr>
              <w:t>88.832</w:t>
            </w:r>
          </w:p>
        </w:tc>
        <w:tc>
          <w:tcPr>
            <w:tcW w:w="1971" w:type="dxa"/>
            <w:tcBorders>
              <w:top w:val="single" w:sz="4" w:space="0" w:color="auto"/>
              <w:bottom w:val="single" w:sz="2" w:space="0" w:color="auto"/>
            </w:tcBorders>
            <w:shd w:val="clear" w:color="auto" w:fill="auto"/>
            <w:noWrap/>
            <w:vAlign w:val="center"/>
          </w:tcPr>
          <w:p w:rsidR="00FA4191" w:rsidRPr="000A2B37" w:rsidRDefault="00FA4191" w:rsidP="00DF0173">
            <w:pPr>
              <w:spacing w:after="0"/>
              <w:ind w:left="87" w:right="86" w:firstLine="0"/>
              <w:jc w:val="right"/>
              <w:rPr>
                <w:rFonts w:ascii="Arial Narrow" w:hAnsi="Arial Narrow"/>
                <w:color w:val="000000"/>
                <w:lang w:eastAsia="es-ES"/>
              </w:rPr>
            </w:pPr>
            <w:r>
              <w:rPr>
                <w:rFonts w:ascii="Arial Narrow" w:hAnsi="Arial Narrow"/>
                <w:color w:val="000000"/>
                <w:lang w:eastAsia="es-ES"/>
              </w:rPr>
              <w:t>58.368</w:t>
            </w:r>
          </w:p>
        </w:tc>
        <w:tc>
          <w:tcPr>
            <w:tcW w:w="1588" w:type="dxa"/>
            <w:tcBorders>
              <w:top w:val="single" w:sz="4" w:space="0" w:color="auto"/>
              <w:bottom w:val="single" w:sz="2" w:space="0" w:color="auto"/>
            </w:tcBorders>
            <w:vAlign w:val="center"/>
          </w:tcPr>
          <w:p w:rsidR="00FA4191" w:rsidRPr="000A2B37" w:rsidRDefault="00FA4191" w:rsidP="00DF0173">
            <w:pPr>
              <w:spacing w:after="0"/>
              <w:ind w:firstLine="0"/>
              <w:jc w:val="right"/>
              <w:rPr>
                <w:rFonts w:ascii="Arial Narrow" w:hAnsi="Arial Narrow"/>
                <w:color w:val="000000"/>
                <w:lang w:eastAsia="es-ES"/>
              </w:rPr>
            </w:pPr>
            <w:r>
              <w:rPr>
                <w:rFonts w:ascii="Arial Narrow" w:hAnsi="Arial Narrow"/>
                <w:color w:val="000000"/>
                <w:lang w:eastAsia="es-ES"/>
              </w:rPr>
              <w:t>32.700</w:t>
            </w:r>
          </w:p>
        </w:tc>
      </w:tr>
      <w:tr w:rsidR="00FA4191" w:rsidRPr="00DC3CE7" w:rsidTr="00C54F50">
        <w:trPr>
          <w:trHeight w:val="284"/>
          <w:jc w:val="center"/>
        </w:trPr>
        <w:tc>
          <w:tcPr>
            <w:tcW w:w="2836" w:type="dxa"/>
            <w:tcBorders>
              <w:top w:val="single" w:sz="2" w:space="0" w:color="auto"/>
              <w:bottom w:val="single" w:sz="4" w:space="0" w:color="auto"/>
            </w:tcBorders>
            <w:shd w:val="clear" w:color="auto" w:fill="auto"/>
            <w:noWrap/>
            <w:vAlign w:val="center"/>
          </w:tcPr>
          <w:p w:rsidR="00FA4191" w:rsidRPr="000A2B37" w:rsidRDefault="00FA4191" w:rsidP="00DF0173">
            <w:pPr>
              <w:spacing w:after="0"/>
              <w:ind w:left="44" w:firstLine="0"/>
              <w:jc w:val="left"/>
              <w:rPr>
                <w:rFonts w:ascii="Arial Narrow" w:hAnsi="Arial Narrow"/>
                <w:color w:val="000000"/>
                <w:lang w:eastAsia="es-ES"/>
              </w:rPr>
            </w:pPr>
            <w:r>
              <w:rPr>
                <w:rFonts w:ascii="Arial Narrow" w:hAnsi="Arial Narrow"/>
                <w:color w:val="000000"/>
                <w:lang w:eastAsia="es-ES"/>
              </w:rPr>
              <w:t>Naves</w:t>
            </w:r>
          </w:p>
        </w:tc>
        <w:tc>
          <w:tcPr>
            <w:tcW w:w="1139" w:type="dxa"/>
            <w:tcBorders>
              <w:top w:val="single" w:sz="2" w:space="0" w:color="auto"/>
              <w:bottom w:val="single" w:sz="4" w:space="0" w:color="auto"/>
            </w:tcBorders>
            <w:shd w:val="clear" w:color="auto" w:fill="auto"/>
            <w:noWrap/>
            <w:vAlign w:val="center"/>
          </w:tcPr>
          <w:p w:rsidR="00FA4191" w:rsidRPr="000A2B37" w:rsidRDefault="00FA4191" w:rsidP="00DF0173">
            <w:pPr>
              <w:spacing w:after="0"/>
              <w:ind w:left="75" w:firstLine="0"/>
              <w:jc w:val="right"/>
              <w:rPr>
                <w:rFonts w:ascii="Arial Narrow" w:hAnsi="Arial Narrow"/>
                <w:color w:val="000000"/>
                <w:lang w:eastAsia="es-ES"/>
              </w:rPr>
            </w:pPr>
            <w:r>
              <w:rPr>
                <w:rFonts w:ascii="Arial Narrow" w:hAnsi="Arial Narrow"/>
                <w:color w:val="000000"/>
                <w:lang w:eastAsia="es-ES"/>
              </w:rPr>
              <w:t>241.455</w:t>
            </w:r>
          </w:p>
        </w:tc>
        <w:tc>
          <w:tcPr>
            <w:tcW w:w="1497" w:type="dxa"/>
            <w:tcBorders>
              <w:top w:val="single" w:sz="2" w:space="0" w:color="auto"/>
              <w:bottom w:val="single" w:sz="4" w:space="0" w:color="auto"/>
            </w:tcBorders>
            <w:shd w:val="clear" w:color="auto" w:fill="auto"/>
            <w:noWrap/>
            <w:vAlign w:val="center"/>
          </w:tcPr>
          <w:p w:rsidR="00FA4191" w:rsidRPr="000A2B37" w:rsidRDefault="00FA4191" w:rsidP="00DF0173">
            <w:pPr>
              <w:spacing w:after="0"/>
              <w:ind w:left="25" w:firstLine="0"/>
              <w:jc w:val="right"/>
              <w:rPr>
                <w:rFonts w:ascii="Arial Narrow" w:hAnsi="Arial Narrow"/>
                <w:color w:val="000000"/>
                <w:lang w:eastAsia="es-ES"/>
              </w:rPr>
            </w:pPr>
            <w:r>
              <w:rPr>
                <w:rFonts w:ascii="Arial Narrow" w:hAnsi="Arial Narrow"/>
                <w:color w:val="000000"/>
                <w:lang w:eastAsia="es-ES"/>
              </w:rPr>
              <w:t>189.706</w:t>
            </w:r>
          </w:p>
        </w:tc>
        <w:tc>
          <w:tcPr>
            <w:tcW w:w="1971" w:type="dxa"/>
            <w:tcBorders>
              <w:top w:val="single" w:sz="2" w:space="0" w:color="auto"/>
              <w:bottom w:val="single" w:sz="4" w:space="0" w:color="auto"/>
            </w:tcBorders>
            <w:shd w:val="clear" w:color="auto" w:fill="auto"/>
            <w:noWrap/>
            <w:vAlign w:val="center"/>
          </w:tcPr>
          <w:p w:rsidR="00FA4191" w:rsidRPr="000A2B37" w:rsidRDefault="00FA4191" w:rsidP="00DF0173">
            <w:pPr>
              <w:spacing w:after="0"/>
              <w:ind w:left="87" w:right="86" w:firstLine="0"/>
              <w:jc w:val="right"/>
              <w:rPr>
                <w:rFonts w:ascii="Arial Narrow" w:hAnsi="Arial Narrow"/>
                <w:color w:val="000000"/>
                <w:lang w:eastAsia="es-ES"/>
              </w:rPr>
            </w:pPr>
            <w:r>
              <w:rPr>
                <w:rFonts w:ascii="Arial Narrow" w:hAnsi="Arial Narrow"/>
                <w:color w:val="000000"/>
                <w:lang w:eastAsia="es-ES"/>
              </w:rPr>
              <w:t>51.749</w:t>
            </w:r>
          </w:p>
        </w:tc>
        <w:tc>
          <w:tcPr>
            <w:tcW w:w="1588" w:type="dxa"/>
            <w:tcBorders>
              <w:top w:val="single" w:sz="2" w:space="0" w:color="auto"/>
              <w:bottom w:val="single" w:sz="4" w:space="0" w:color="auto"/>
            </w:tcBorders>
            <w:vAlign w:val="center"/>
          </w:tcPr>
          <w:p w:rsidR="00FA4191" w:rsidRPr="000A2B37" w:rsidRDefault="00FA4191" w:rsidP="00DF0173">
            <w:pPr>
              <w:spacing w:after="0"/>
              <w:ind w:firstLine="0"/>
              <w:jc w:val="right"/>
              <w:rPr>
                <w:rFonts w:ascii="Arial Narrow" w:hAnsi="Arial Narrow"/>
                <w:color w:val="000000"/>
                <w:lang w:eastAsia="es-ES"/>
              </w:rPr>
            </w:pPr>
            <w:r>
              <w:rPr>
                <w:rFonts w:ascii="Arial Narrow" w:hAnsi="Arial Narrow"/>
                <w:color w:val="000000"/>
                <w:lang w:eastAsia="es-ES"/>
              </w:rPr>
              <w:t>105.700</w:t>
            </w:r>
          </w:p>
        </w:tc>
      </w:tr>
      <w:tr w:rsidR="00FA4191" w:rsidRPr="00DF0173" w:rsidTr="00C54F50">
        <w:trPr>
          <w:trHeight w:val="284"/>
          <w:jc w:val="center"/>
        </w:trPr>
        <w:tc>
          <w:tcPr>
            <w:tcW w:w="2836" w:type="dxa"/>
            <w:tcBorders>
              <w:top w:val="single" w:sz="4" w:space="0" w:color="auto"/>
              <w:bottom w:val="single" w:sz="4" w:space="0" w:color="auto"/>
            </w:tcBorders>
            <w:shd w:val="clear" w:color="auto" w:fill="auto"/>
            <w:noWrap/>
            <w:vAlign w:val="center"/>
          </w:tcPr>
          <w:p w:rsidR="00FA4191" w:rsidRPr="00DF0173" w:rsidRDefault="00FA4191" w:rsidP="00DF0173">
            <w:pPr>
              <w:spacing w:after="0"/>
              <w:ind w:left="44" w:firstLine="0"/>
              <w:jc w:val="left"/>
              <w:rPr>
                <w:rFonts w:ascii="Arial Narrow" w:hAnsi="Arial Narrow"/>
                <w:b/>
                <w:i/>
                <w:color w:val="000000"/>
                <w:lang w:eastAsia="es-ES"/>
              </w:rPr>
            </w:pPr>
            <w:r w:rsidRPr="00DF0173">
              <w:rPr>
                <w:rFonts w:ascii="Arial Narrow" w:hAnsi="Arial Narrow"/>
                <w:b/>
                <w:i/>
                <w:color w:val="000000"/>
                <w:lang w:eastAsia="es-ES"/>
              </w:rPr>
              <w:t>Total 1ª fase CT</w:t>
            </w:r>
          </w:p>
        </w:tc>
        <w:tc>
          <w:tcPr>
            <w:tcW w:w="1139" w:type="dxa"/>
            <w:tcBorders>
              <w:top w:val="single" w:sz="4" w:space="0" w:color="auto"/>
              <w:bottom w:val="single" w:sz="4" w:space="0" w:color="auto"/>
            </w:tcBorders>
            <w:shd w:val="clear" w:color="auto" w:fill="auto"/>
            <w:noWrap/>
            <w:vAlign w:val="center"/>
          </w:tcPr>
          <w:p w:rsidR="00FA4191" w:rsidRPr="00DF0173" w:rsidRDefault="00FA4191" w:rsidP="00DF0173">
            <w:pPr>
              <w:spacing w:after="0"/>
              <w:ind w:left="75" w:firstLine="0"/>
              <w:jc w:val="right"/>
              <w:rPr>
                <w:rFonts w:ascii="Arial Narrow" w:hAnsi="Arial Narrow"/>
                <w:b/>
                <w:i/>
                <w:color w:val="000000"/>
                <w:lang w:eastAsia="es-ES"/>
              </w:rPr>
            </w:pPr>
            <w:r w:rsidRPr="00DF0173">
              <w:rPr>
                <w:rFonts w:ascii="Arial Narrow" w:hAnsi="Arial Narrow"/>
                <w:b/>
                <w:i/>
                <w:color w:val="000000"/>
                <w:lang w:eastAsia="es-ES"/>
              </w:rPr>
              <w:t>388.655</w:t>
            </w:r>
          </w:p>
        </w:tc>
        <w:tc>
          <w:tcPr>
            <w:tcW w:w="1497" w:type="dxa"/>
            <w:tcBorders>
              <w:top w:val="single" w:sz="4" w:space="0" w:color="auto"/>
              <w:bottom w:val="single" w:sz="4" w:space="0" w:color="auto"/>
            </w:tcBorders>
            <w:shd w:val="clear" w:color="auto" w:fill="auto"/>
            <w:noWrap/>
            <w:vAlign w:val="center"/>
          </w:tcPr>
          <w:p w:rsidR="00FA4191" w:rsidRPr="00DF0173" w:rsidRDefault="00FA4191" w:rsidP="00DF0173">
            <w:pPr>
              <w:spacing w:after="0"/>
              <w:ind w:left="25" w:firstLine="0"/>
              <w:jc w:val="right"/>
              <w:rPr>
                <w:rFonts w:ascii="Arial Narrow" w:hAnsi="Arial Narrow"/>
                <w:b/>
                <w:i/>
                <w:color w:val="000000"/>
                <w:lang w:eastAsia="es-ES"/>
              </w:rPr>
            </w:pPr>
            <w:r w:rsidRPr="00DF0173">
              <w:rPr>
                <w:rFonts w:ascii="Arial Narrow" w:hAnsi="Arial Narrow"/>
                <w:b/>
                <w:i/>
                <w:color w:val="000000"/>
                <w:lang w:eastAsia="es-ES"/>
              </w:rPr>
              <w:t>278.538</w:t>
            </w:r>
          </w:p>
        </w:tc>
        <w:tc>
          <w:tcPr>
            <w:tcW w:w="1971" w:type="dxa"/>
            <w:tcBorders>
              <w:top w:val="single" w:sz="4" w:space="0" w:color="auto"/>
              <w:bottom w:val="single" w:sz="4" w:space="0" w:color="auto"/>
            </w:tcBorders>
            <w:shd w:val="clear" w:color="auto" w:fill="auto"/>
            <w:noWrap/>
            <w:vAlign w:val="center"/>
          </w:tcPr>
          <w:p w:rsidR="00FA4191" w:rsidRPr="00DF0173" w:rsidRDefault="00FA4191" w:rsidP="00DF0173">
            <w:pPr>
              <w:spacing w:after="0"/>
              <w:ind w:left="87" w:firstLine="0"/>
              <w:jc w:val="right"/>
              <w:rPr>
                <w:rFonts w:ascii="Arial Narrow" w:hAnsi="Arial Narrow"/>
                <w:b/>
                <w:i/>
                <w:color w:val="000000"/>
                <w:lang w:eastAsia="es-ES"/>
              </w:rPr>
            </w:pPr>
            <w:r w:rsidRPr="00DF0173">
              <w:rPr>
                <w:rFonts w:ascii="Arial Narrow" w:hAnsi="Arial Narrow"/>
                <w:b/>
                <w:i/>
                <w:color w:val="000000"/>
                <w:lang w:eastAsia="es-ES"/>
              </w:rPr>
              <w:t>110.117</w:t>
            </w:r>
          </w:p>
        </w:tc>
        <w:tc>
          <w:tcPr>
            <w:tcW w:w="1588" w:type="dxa"/>
            <w:tcBorders>
              <w:top w:val="single" w:sz="4" w:space="0" w:color="auto"/>
              <w:bottom w:val="single" w:sz="4" w:space="0" w:color="auto"/>
            </w:tcBorders>
            <w:shd w:val="clear" w:color="auto" w:fill="auto"/>
            <w:vAlign w:val="center"/>
          </w:tcPr>
          <w:p w:rsidR="00FA4191" w:rsidRPr="00DF0173" w:rsidRDefault="00FA4191" w:rsidP="00DF0173">
            <w:pPr>
              <w:spacing w:after="0"/>
              <w:ind w:firstLine="0"/>
              <w:jc w:val="right"/>
              <w:rPr>
                <w:rFonts w:ascii="Arial Narrow" w:hAnsi="Arial Narrow"/>
                <w:b/>
                <w:i/>
                <w:color w:val="000000"/>
                <w:lang w:eastAsia="es-ES"/>
              </w:rPr>
            </w:pPr>
            <w:r w:rsidRPr="00DF0173">
              <w:rPr>
                <w:rFonts w:ascii="Arial Narrow" w:hAnsi="Arial Narrow"/>
                <w:b/>
                <w:i/>
                <w:color w:val="000000"/>
                <w:lang w:eastAsia="es-ES"/>
              </w:rPr>
              <w:t>138.400</w:t>
            </w:r>
          </w:p>
        </w:tc>
      </w:tr>
      <w:tr w:rsidR="00FA4191" w:rsidRPr="00DC3CE7" w:rsidTr="00C54F50">
        <w:trPr>
          <w:trHeight w:val="284"/>
          <w:jc w:val="center"/>
        </w:trPr>
        <w:tc>
          <w:tcPr>
            <w:tcW w:w="2836" w:type="dxa"/>
            <w:tcBorders>
              <w:top w:val="single" w:sz="4" w:space="0" w:color="auto"/>
              <w:bottom w:val="single" w:sz="2" w:space="0" w:color="auto"/>
            </w:tcBorders>
            <w:shd w:val="clear" w:color="auto" w:fill="auto"/>
            <w:noWrap/>
            <w:vAlign w:val="center"/>
          </w:tcPr>
          <w:p w:rsidR="00FA4191" w:rsidRPr="000A2B37" w:rsidRDefault="00FA4191" w:rsidP="00DF0173">
            <w:pPr>
              <w:spacing w:after="0"/>
              <w:ind w:left="44" w:firstLine="0"/>
              <w:jc w:val="left"/>
              <w:rPr>
                <w:rFonts w:ascii="Arial Narrow" w:hAnsi="Arial Narrow"/>
                <w:color w:val="000000"/>
                <w:lang w:eastAsia="es-ES"/>
              </w:rPr>
            </w:pPr>
            <w:r>
              <w:rPr>
                <w:rFonts w:ascii="Arial Narrow" w:hAnsi="Arial Narrow"/>
                <w:color w:val="000000"/>
                <w:lang w:eastAsia="es-ES"/>
              </w:rPr>
              <w:t>Servicios y oficinas</w:t>
            </w:r>
          </w:p>
        </w:tc>
        <w:tc>
          <w:tcPr>
            <w:tcW w:w="1139" w:type="dxa"/>
            <w:tcBorders>
              <w:top w:val="single" w:sz="4" w:space="0" w:color="auto"/>
              <w:bottom w:val="single" w:sz="2" w:space="0" w:color="auto"/>
            </w:tcBorders>
            <w:shd w:val="clear" w:color="auto" w:fill="auto"/>
            <w:noWrap/>
            <w:vAlign w:val="center"/>
          </w:tcPr>
          <w:p w:rsidR="00FA4191" w:rsidRPr="000A2B37" w:rsidRDefault="00FA4191" w:rsidP="00DF0173">
            <w:pPr>
              <w:spacing w:after="0"/>
              <w:ind w:left="75" w:firstLine="0"/>
              <w:jc w:val="right"/>
              <w:rPr>
                <w:rFonts w:ascii="Arial Narrow" w:hAnsi="Arial Narrow"/>
                <w:color w:val="000000"/>
                <w:lang w:eastAsia="es-ES"/>
              </w:rPr>
            </w:pPr>
            <w:r>
              <w:rPr>
                <w:rFonts w:ascii="Arial Narrow" w:hAnsi="Arial Narrow"/>
                <w:color w:val="000000"/>
                <w:lang w:eastAsia="es-ES"/>
              </w:rPr>
              <w:t>16.811</w:t>
            </w:r>
          </w:p>
        </w:tc>
        <w:tc>
          <w:tcPr>
            <w:tcW w:w="1497" w:type="dxa"/>
            <w:tcBorders>
              <w:top w:val="single" w:sz="4" w:space="0" w:color="auto"/>
              <w:bottom w:val="single" w:sz="2" w:space="0" w:color="auto"/>
            </w:tcBorders>
            <w:shd w:val="clear" w:color="auto" w:fill="auto"/>
            <w:noWrap/>
            <w:vAlign w:val="center"/>
          </w:tcPr>
          <w:p w:rsidR="00FA4191" w:rsidRPr="000A2B37" w:rsidRDefault="00FA4191" w:rsidP="00DF0173">
            <w:pPr>
              <w:spacing w:after="0"/>
              <w:ind w:left="25" w:firstLine="0"/>
              <w:jc w:val="right"/>
              <w:rPr>
                <w:rFonts w:ascii="Arial Narrow" w:hAnsi="Arial Narrow"/>
                <w:color w:val="000000"/>
                <w:lang w:eastAsia="es-ES"/>
              </w:rPr>
            </w:pPr>
            <w:r>
              <w:rPr>
                <w:rFonts w:ascii="Arial Narrow" w:hAnsi="Arial Narrow"/>
                <w:color w:val="000000"/>
                <w:lang w:eastAsia="es-ES"/>
              </w:rPr>
              <w:t>9.088</w:t>
            </w:r>
          </w:p>
        </w:tc>
        <w:tc>
          <w:tcPr>
            <w:tcW w:w="1971" w:type="dxa"/>
            <w:tcBorders>
              <w:top w:val="single" w:sz="4" w:space="0" w:color="auto"/>
              <w:bottom w:val="single" w:sz="2" w:space="0" w:color="auto"/>
            </w:tcBorders>
            <w:shd w:val="clear" w:color="auto" w:fill="auto"/>
            <w:noWrap/>
            <w:vAlign w:val="center"/>
          </w:tcPr>
          <w:p w:rsidR="00FA4191" w:rsidRPr="000A2B37" w:rsidRDefault="00FA4191" w:rsidP="00DF0173">
            <w:pPr>
              <w:spacing w:after="0"/>
              <w:ind w:left="87" w:right="86" w:firstLine="0"/>
              <w:jc w:val="right"/>
              <w:rPr>
                <w:rFonts w:ascii="Arial Narrow" w:hAnsi="Arial Narrow"/>
                <w:color w:val="000000"/>
                <w:lang w:eastAsia="es-ES"/>
              </w:rPr>
            </w:pPr>
            <w:r>
              <w:rPr>
                <w:rFonts w:ascii="Arial Narrow" w:hAnsi="Arial Narrow"/>
                <w:color w:val="000000"/>
                <w:lang w:eastAsia="es-ES"/>
              </w:rPr>
              <w:t>7.723</w:t>
            </w:r>
          </w:p>
        </w:tc>
        <w:tc>
          <w:tcPr>
            <w:tcW w:w="1588" w:type="dxa"/>
            <w:tcBorders>
              <w:top w:val="single" w:sz="4" w:space="0" w:color="auto"/>
              <w:bottom w:val="single" w:sz="2" w:space="0" w:color="auto"/>
            </w:tcBorders>
            <w:vAlign w:val="center"/>
          </w:tcPr>
          <w:p w:rsidR="00FA4191" w:rsidRPr="000A2B37" w:rsidRDefault="00FA4191" w:rsidP="00DF0173">
            <w:pPr>
              <w:spacing w:after="0"/>
              <w:ind w:firstLine="0"/>
              <w:jc w:val="right"/>
              <w:rPr>
                <w:rFonts w:ascii="Arial Narrow" w:hAnsi="Arial Narrow"/>
                <w:color w:val="000000"/>
                <w:lang w:eastAsia="es-ES"/>
              </w:rPr>
            </w:pPr>
            <w:r>
              <w:rPr>
                <w:rFonts w:ascii="Arial Narrow" w:hAnsi="Arial Narrow"/>
                <w:color w:val="000000"/>
                <w:lang w:eastAsia="es-ES"/>
              </w:rPr>
              <w:t>4.166</w:t>
            </w:r>
          </w:p>
        </w:tc>
      </w:tr>
      <w:tr w:rsidR="00FA4191" w:rsidRPr="00DC3CE7" w:rsidTr="00C54F50">
        <w:trPr>
          <w:trHeight w:val="284"/>
          <w:jc w:val="center"/>
        </w:trPr>
        <w:tc>
          <w:tcPr>
            <w:tcW w:w="2836" w:type="dxa"/>
            <w:tcBorders>
              <w:top w:val="single" w:sz="2" w:space="0" w:color="auto"/>
              <w:bottom w:val="single" w:sz="4" w:space="0" w:color="auto"/>
            </w:tcBorders>
            <w:shd w:val="clear" w:color="auto" w:fill="auto"/>
            <w:noWrap/>
            <w:vAlign w:val="center"/>
          </w:tcPr>
          <w:p w:rsidR="00FA4191" w:rsidRPr="000A2B37" w:rsidRDefault="00FA4191" w:rsidP="00DF0173">
            <w:pPr>
              <w:spacing w:after="0"/>
              <w:ind w:left="44" w:firstLine="0"/>
              <w:jc w:val="left"/>
              <w:rPr>
                <w:rFonts w:ascii="Arial Narrow" w:hAnsi="Arial Narrow"/>
                <w:color w:val="000000"/>
                <w:lang w:eastAsia="es-ES"/>
              </w:rPr>
            </w:pPr>
            <w:r>
              <w:rPr>
                <w:rFonts w:ascii="Arial Narrow" w:hAnsi="Arial Narrow"/>
                <w:color w:val="000000"/>
                <w:lang w:eastAsia="es-ES"/>
              </w:rPr>
              <w:t>Naves</w:t>
            </w:r>
          </w:p>
        </w:tc>
        <w:tc>
          <w:tcPr>
            <w:tcW w:w="1139" w:type="dxa"/>
            <w:tcBorders>
              <w:top w:val="single" w:sz="2" w:space="0" w:color="auto"/>
              <w:bottom w:val="single" w:sz="4" w:space="0" w:color="auto"/>
            </w:tcBorders>
            <w:shd w:val="clear" w:color="auto" w:fill="auto"/>
            <w:noWrap/>
            <w:vAlign w:val="center"/>
          </w:tcPr>
          <w:p w:rsidR="00FA4191" w:rsidRPr="000A2B37" w:rsidRDefault="00FA4191" w:rsidP="00DF0173">
            <w:pPr>
              <w:spacing w:after="0"/>
              <w:ind w:left="75" w:firstLine="0"/>
              <w:jc w:val="right"/>
              <w:rPr>
                <w:rFonts w:ascii="Arial Narrow" w:hAnsi="Arial Narrow"/>
                <w:color w:val="000000"/>
                <w:lang w:eastAsia="es-ES"/>
              </w:rPr>
            </w:pPr>
            <w:r>
              <w:rPr>
                <w:rFonts w:ascii="Arial Narrow" w:hAnsi="Arial Narrow"/>
                <w:color w:val="000000"/>
                <w:lang w:eastAsia="es-ES"/>
              </w:rPr>
              <w:t>202.897</w:t>
            </w:r>
          </w:p>
        </w:tc>
        <w:tc>
          <w:tcPr>
            <w:tcW w:w="1497" w:type="dxa"/>
            <w:tcBorders>
              <w:top w:val="single" w:sz="2" w:space="0" w:color="auto"/>
              <w:bottom w:val="single" w:sz="4" w:space="0" w:color="auto"/>
            </w:tcBorders>
            <w:shd w:val="clear" w:color="auto" w:fill="auto"/>
            <w:noWrap/>
            <w:vAlign w:val="center"/>
          </w:tcPr>
          <w:p w:rsidR="00FA4191" w:rsidRPr="000A2B37" w:rsidRDefault="00FA4191" w:rsidP="00DF0173">
            <w:pPr>
              <w:spacing w:after="0"/>
              <w:ind w:left="25" w:firstLine="0"/>
              <w:jc w:val="right"/>
              <w:rPr>
                <w:rFonts w:ascii="Arial Narrow" w:hAnsi="Arial Narrow"/>
                <w:color w:val="000000"/>
                <w:lang w:eastAsia="es-ES"/>
              </w:rPr>
            </w:pPr>
            <w:r>
              <w:rPr>
                <w:rFonts w:ascii="Arial Narrow" w:hAnsi="Arial Narrow"/>
                <w:color w:val="000000"/>
                <w:lang w:eastAsia="es-ES"/>
              </w:rPr>
              <w:t>157.884</w:t>
            </w:r>
          </w:p>
        </w:tc>
        <w:tc>
          <w:tcPr>
            <w:tcW w:w="1971" w:type="dxa"/>
            <w:tcBorders>
              <w:top w:val="single" w:sz="2" w:space="0" w:color="auto"/>
              <w:bottom w:val="single" w:sz="4" w:space="0" w:color="auto"/>
            </w:tcBorders>
            <w:shd w:val="clear" w:color="auto" w:fill="auto"/>
            <w:noWrap/>
            <w:vAlign w:val="center"/>
          </w:tcPr>
          <w:p w:rsidR="00FA4191" w:rsidRPr="000A2B37" w:rsidRDefault="00FA4191" w:rsidP="00DF0173">
            <w:pPr>
              <w:spacing w:after="0"/>
              <w:ind w:left="87" w:right="86" w:firstLine="0"/>
              <w:jc w:val="right"/>
              <w:rPr>
                <w:rFonts w:ascii="Arial Narrow" w:hAnsi="Arial Narrow"/>
                <w:color w:val="000000"/>
                <w:lang w:eastAsia="es-ES"/>
              </w:rPr>
            </w:pPr>
            <w:r>
              <w:rPr>
                <w:rFonts w:ascii="Arial Narrow" w:hAnsi="Arial Narrow"/>
                <w:color w:val="000000"/>
                <w:lang w:eastAsia="es-ES"/>
              </w:rPr>
              <w:t>45.013</w:t>
            </w:r>
          </w:p>
        </w:tc>
        <w:tc>
          <w:tcPr>
            <w:tcW w:w="1588" w:type="dxa"/>
            <w:tcBorders>
              <w:top w:val="single" w:sz="2" w:space="0" w:color="auto"/>
              <w:bottom w:val="single" w:sz="4" w:space="0" w:color="auto"/>
            </w:tcBorders>
            <w:vAlign w:val="center"/>
          </w:tcPr>
          <w:p w:rsidR="00FA4191" w:rsidRPr="000A2B37" w:rsidRDefault="00FA4191" w:rsidP="00DF0173">
            <w:pPr>
              <w:spacing w:after="0"/>
              <w:ind w:firstLine="0"/>
              <w:jc w:val="right"/>
              <w:rPr>
                <w:rFonts w:ascii="Arial Narrow" w:hAnsi="Arial Narrow"/>
                <w:color w:val="000000"/>
                <w:lang w:eastAsia="es-ES"/>
              </w:rPr>
            </w:pPr>
            <w:r>
              <w:rPr>
                <w:rFonts w:ascii="Arial Narrow" w:hAnsi="Arial Narrow"/>
                <w:color w:val="000000"/>
                <w:lang w:eastAsia="es-ES"/>
              </w:rPr>
              <w:t>74.703</w:t>
            </w:r>
          </w:p>
        </w:tc>
      </w:tr>
      <w:tr w:rsidR="00FA4191" w:rsidRPr="00DF0173" w:rsidTr="00C54F50">
        <w:trPr>
          <w:trHeight w:val="284"/>
          <w:jc w:val="center"/>
        </w:trPr>
        <w:tc>
          <w:tcPr>
            <w:tcW w:w="2836" w:type="dxa"/>
            <w:tcBorders>
              <w:top w:val="single" w:sz="4" w:space="0" w:color="auto"/>
              <w:bottom w:val="single" w:sz="4" w:space="0" w:color="auto"/>
            </w:tcBorders>
            <w:shd w:val="clear" w:color="auto" w:fill="auto"/>
            <w:noWrap/>
            <w:vAlign w:val="center"/>
          </w:tcPr>
          <w:p w:rsidR="00FA4191" w:rsidRPr="00DF0173" w:rsidRDefault="00FA4191" w:rsidP="00DF0173">
            <w:pPr>
              <w:spacing w:after="0"/>
              <w:ind w:left="44" w:firstLine="0"/>
              <w:jc w:val="left"/>
              <w:rPr>
                <w:rFonts w:ascii="Arial Narrow" w:hAnsi="Arial Narrow"/>
                <w:b/>
                <w:i/>
                <w:color w:val="000000"/>
                <w:lang w:eastAsia="es-ES"/>
              </w:rPr>
            </w:pPr>
            <w:r w:rsidRPr="00DF0173">
              <w:rPr>
                <w:rFonts w:ascii="Arial Narrow" w:hAnsi="Arial Narrow"/>
                <w:b/>
                <w:i/>
                <w:color w:val="000000"/>
                <w:lang w:eastAsia="es-ES"/>
              </w:rPr>
              <w:t>Total 2ª fase CT</w:t>
            </w:r>
          </w:p>
        </w:tc>
        <w:tc>
          <w:tcPr>
            <w:tcW w:w="1139" w:type="dxa"/>
            <w:tcBorders>
              <w:top w:val="single" w:sz="4" w:space="0" w:color="auto"/>
              <w:bottom w:val="single" w:sz="4" w:space="0" w:color="auto"/>
            </w:tcBorders>
            <w:shd w:val="clear" w:color="auto" w:fill="auto"/>
            <w:noWrap/>
            <w:vAlign w:val="center"/>
          </w:tcPr>
          <w:p w:rsidR="00FA4191" w:rsidRPr="00DF0173" w:rsidRDefault="00FA4191" w:rsidP="00DF0173">
            <w:pPr>
              <w:spacing w:after="0"/>
              <w:ind w:left="75" w:firstLine="0"/>
              <w:jc w:val="right"/>
              <w:rPr>
                <w:rFonts w:ascii="Arial Narrow" w:hAnsi="Arial Narrow"/>
                <w:b/>
                <w:i/>
                <w:color w:val="000000"/>
                <w:lang w:eastAsia="es-ES"/>
              </w:rPr>
            </w:pPr>
            <w:r w:rsidRPr="00DF0173">
              <w:rPr>
                <w:rFonts w:ascii="Arial Narrow" w:hAnsi="Arial Narrow"/>
                <w:b/>
                <w:i/>
                <w:color w:val="000000"/>
                <w:lang w:eastAsia="es-ES"/>
              </w:rPr>
              <w:t>219.708</w:t>
            </w:r>
          </w:p>
        </w:tc>
        <w:tc>
          <w:tcPr>
            <w:tcW w:w="1497" w:type="dxa"/>
            <w:tcBorders>
              <w:top w:val="single" w:sz="4" w:space="0" w:color="auto"/>
              <w:bottom w:val="single" w:sz="4" w:space="0" w:color="auto"/>
            </w:tcBorders>
            <w:shd w:val="clear" w:color="auto" w:fill="auto"/>
            <w:noWrap/>
            <w:vAlign w:val="center"/>
          </w:tcPr>
          <w:p w:rsidR="00FA4191" w:rsidRPr="00DF0173" w:rsidRDefault="00FA4191" w:rsidP="00DF0173">
            <w:pPr>
              <w:spacing w:after="0"/>
              <w:ind w:left="25" w:firstLine="0"/>
              <w:jc w:val="right"/>
              <w:rPr>
                <w:rFonts w:ascii="Arial Narrow" w:hAnsi="Arial Narrow"/>
                <w:b/>
                <w:i/>
                <w:color w:val="000000"/>
                <w:lang w:eastAsia="es-ES"/>
              </w:rPr>
            </w:pPr>
            <w:r w:rsidRPr="00DF0173">
              <w:rPr>
                <w:rFonts w:ascii="Arial Narrow" w:hAnsi="Arial Narrow"/>
                <w:b/>
                <w:i/>
                <w:color w:val="000000"/>
                <w:lang w:eastAsia="es-ES"/>
              </w:rPr>
              <w:t>166.972</w:t>
            </w:r>
          </w:p>
        </w:tc>
        <w:tc>
          <w:tcPr>
            <w:tcW w:w="1971" w:type="dxa"/>
            <w:tcBorders>
              <w:top w:val="single" w:sz="4" w:space="0" w:color="auto"/>
              <w:bottom w:val="single" w:sz="4" w:space="0" w:color="auto"/>
            </w:tcBorders>
            <w:shd w:val="clear" w:color="auto" w:fill="auto"/>
            <w:noWrap/>
            <w:vAlign w:val="center"/>
          </w:tcPr>
          <w:p w:rsidR="00FA4191" w:rsidRPr="00DF0173" w:rsidRDefault="00FA4191" w:rsidP="00DF0173">
            <w:pPr>
              <w:spacing w:after="0"/>
              <w:ind w:left="87" w:firstLine="0"/>
              <w:jc w:val="right"/>
              <w:rPr>
                <w:rFonts w:ascii="Arial Narrow" w:hAnsi="Arial Narrow"/>
                <w:b/>
                <w:i/>
                <w:color w:val="000000"/>
                <w:lang w:eastAsia="es-ES"/>
              </w:rPr>
            </w:pPr>
            <w:r w:rsidRPr="00DF0173">
              <w:rPr>
                <w:rFonts w:ascii="Arial Narrow" w:hAnsi="Arial Narrow"/>
                <w:b/>
                <w:i/>
                <w:color w:val="000000"/>
                <w:lang w:eastAsia="es-ES"/>
              </w:rPr>
              <w:t>52.736</w:t>
            </w:r>
          </w:p>
        </w:tc>
        <w:tc>
          <w:tcPr>
            <w:tcW w:w="1588" w:type="dxa"/>
            <w:tcBorders>
              <w:top w:val="single" w:sz="4" w:space="0" w:color="auto"/>
              <w:bottom w:val="single" w:sz="4" w:space="0" w:color="auto"/>
            </w:tcBorders>
            <w:shd w:val="clear" w:color="auto" w:fill="auto"/>
            <w:vAlign w:val="center"/>
          </w:tcPr>
          <w:p w:rsidR="00FA4191" w:rsidRPr="00DF0173" w:rsidRDefault="00FA4191" w:rsidP="00DF0173">
            <w:pPr>
              <w:spacing w:after="0"/>
              <w:ind w:firstLine="0"/>
              <w:jc w:val="right"/>
              <w:rPr>
                <w:rFonts w:ascii="Arial Narrow" w:hAnsi="Arial Narrow"/>
                <w:b/>
                <w:i/>
                <w:color w:val="000000"/>
                <w:lang w:eastAsia="es-ES"/>
              </w:rPr>
            </w:pPr>
            <w:r w:rsidRPr="00DF0173">
              <w:rPr>
                <w:rFonts w:ascii="Arial Narrow" w:hAnsi="Arial Narrow"/>
                <w:b/>
                <w:i/>
                <w:color w:val="000000"/>
                <w:lang w:eastAsia="es-ES"/>
              </w:rPr>
              <w:t>78.869</w:t>
            </w:r>
          </w:p>
        </w:tc>
      </w:tr>
      <w:tr w:rsidR="00FA4191" w:rsidRPr="00DF0173" w:rsidTr="00AE19B3">
        <w:trPr>
          <w:trHeight w:val="284"/>
          <w:jc w:val="center"/>
        </w:trPr>
        <w:tc>
          <w:tcPr>
            <w:tcW w:w="2836" w:type="dxa"/>
            <w:tcBorders>
              <w:top w:val="single" w:sz="4" w:space="0" w:color="auto"/>
              <w:bottom w:val="single" w:sz="4" w:space="0" w:color="auto"/>
            </w:tcBorders>
            <w:shd w:val="clear" w:color="auto" w:fill="B8CCE4" w:themeFill="accent1" w:themeFillTint="66"/>
            <w:noWrap/>
            <w:vAlign w:val="center"/>
          </w:tcPr>
          <w:p w:rsidR="00FA4191" w:rsidRPr="00DF0173" w:rsidRDefault="00FA4191" w:rsidP="00DF0173">
            <w:pPr>
              <w:widowControl w:val="0"/>
              <w:spacing w:after="0"/>
              <w:ind w:left="44" w:firstLine="0"/>
              <w:jc w:val="left"/>
              <w:rPr>
                <w:rFonts w:ascii="Arial" w:hAnsi="Arial" w:cs="Arial"/>
                <w:color w:val="000000"/>
                <w:sz w:val="18"/>
                <w:szCs w:val="18"/>
                <w:lang w:eastAsia="es-ES"/>
              </w:rPr>
            </w:pPr>
            <w:r w:rsidRPr="00DF0173">
              <w:rPr>
                <w:rFonts w:ascii="Arial" w:hAnsi="Arial" w:cs="Arial"/>
                <w:color w:val="000000"/>
                <w:sz w:val="18"/>
                <w:szCs w:val="18"/>
                <w:lang w:eastAsia="es-ES"/>
              </w:rPr>
              <w:t>Total CT</w:t>
            </w:r>
          </w:p>
        </w:tc>
        <w:tc>
          <w:tcPr>
            <w:tcW w:w="1139" w:type="dxa"/>
            <w:tcBorders>
              <w:top w:val="single" w:sz="4" w:space="0" w:color="auto"/>
              <w:bottom w:val="single" w:sz="4" w:space="0" w:color="auto"/>
            </w:tcBorders>
            <w:shd w:val="clear" w:color="auto" w:fill="B8CCE4" w:themeFill="accent1" w:themeFillTint="66"/>
            <w:noWrap/>
            <w:vAlign w:val="center"/>
          </w:tcPr>
          <w:p w:rsidR="00FA4191" w:rsidRPr="00DF0173" w:rsidRDefault="00FA4191" w:rsidP="00DF0173">
            <w:pPr>
              <w:spacing w:after="0"/>
              <w:ind w:left="75" w:firstLine="0"/>
              <w:jc w:val="right"/>
              <w:rPr>
                <w:rFonts w:ascii="Arial" w:hAnsi="Arial" w:cs="Arial"/>
                <w:color w:val="000000"/>
                <w:sz w:val="18"/>
                <w:szCs w:val="18"/>
                <w:lang w:eastAsia="es-ES"/>
              </w:rPr>
            </w:pPr>
            <w:r w:rsidRPr="00DF0173">
              <w:rPr>
                <w:rFonts w:ascii="Arial" w:hAnsi="Arial" w:cs="Arial"/>
                <w:color w:val="000000"/>
                <w:sz w:val="18"/>
                <w:szCs w:val="18"/>
                <w:lang w:eastAsia="es-ES"/>
              </w:rPr>
              <w:t>608.363</w:t>
            </w:r>
          </w:p>
        </w:tc>
        <w:tc>
          <w:tcPr>
            <w:tcW w:w="1497" w:type="dxa"/>
            <w:tcBorders>
              <w:top w:val="single" w:sz="4" w:space="0" w:color="auto"/>
              <w:bottom w:val="single" w:sz="4" w:space="0" w:color="auto"/>
            </w:tcBorders>
            <w:shd w:val="clear" w:color="auto" w:fill="B8CCE4" w:themeFill="accent1" w:themeFillTint="66"/>
            <w:noWrap/>
            <w:vAlign w:val="center"/>
          </w:tcPr>
          <w:p w:rsidR="00FA4191" w:rsidRPr="00DF0173" w:rsidRDefault="00FA4191" w:rsidP="00DF0173">
            <w:pPr>
              <w:spacing w:after="0"/>
              <w:ind w:left="25" w:firstLine="0"/>
              <w:jc w:val="right"/>
              <w:rPr>
                <w:rFonts w:ascii="Arial" w:hAnsi="Arial" w:cs="Arial"/>
                <w:color w:val="000000"/>
                <w:sz w:val="18"/>
                <w:szCs w:val="18"/>
                <w:lang w:eastAsia="es-ES"/>
              </w:rPr>
            </w:pPr>
            <w:r w:rsidRPr="00DF0173">
              <w:rPr>
                <w:rFonts w:ascii="Arial" w:hAnsi="Arial" w:cs="Arial"/>
                <w:color w:val="000000"/>
                <w:sz w:val="18"/>
                <w:szCs w:val="18"/>
                <w:lang w:eastAsia="es-ES"/>
              </w:rPr>
              <w:t>445.510</w:t>
            </w:r>
          </w:p>
        </w:tc>
        <w:tc>
          <w:tcPr>
            <w:tcW w:w="1971" w:type="dxa"/>
            <w:tcBorders>
              <w:top w:val="single" w:sz="4" w:space="0" w:color="auto"/>
              <w:bottom w:val="single" w:sz="4" w:space="0" w:color="auto"/>
            </w:tcBorders>
            <w:shd w:val="clear" w:color="auto" w:fill="B8CCE4" w:themeFill="accent1" w:themeFillTint="66"/>
            <w:noWrap/>
            <w:vAlign w:val="center"/>
          </w:tcPr>
          <w:p w:rsidR="00FA4191" w:rsidRPr="00DF0173" w:rsidRDefault="00FA4191" w:rsidP="00DF0173">
            <w:pPr>
              <w:spacing w:after="0"/>
              <w:ind w:left="87" w:firstLine="0"/>
              <w:jc w:val="right"/>
              <w:rPr>
                <w:rFonts w:ascii="Arial" w:hAnsi="Arial" w:cs="Arial"/>
                <w:color w:val="000000"/>
                <w:sz w:val="18"/>
                <w:szCs w:val="18"/>
                <w:lang w:eastAsia="es-ES"/>
              </w:rPr>
            </w:pPr>
            <w:r w:rsidRPr="00DF0173">
              <w:rPr>
                <w:rFonts w:ascii="Arial" w:hAnsi="Arial" w:cs="Arial"/>
                <w:color w:val="000000"/>
                <w:sz w:val="18"/>
                <w:szCs w:val="18"/>
                <w:lang w:eastAsia="es-ES"/>
              </w:rPr>
              <w:t>162.853</w:t>
            </w:r>
          </w:p>
        </w:tc>
        <w:tc>
          <w:tcPr>
            <w:tcW w:w="1588" w:type="dxa"/>
            <w:tcBorders>
              <w:top w:val="single" w:sz="4" w:space="0" w:color="auto"/>
              <w:bottom w:val="single" w:sz="4" w:space="0" w:color="auto"/>
            </w:tcBorders>
            <w:shd w:val="clear" w:color="auto" w:fill="B8CCE4" w:themeFill="accent1" w:themeFillTint="66"/>
            <w:vAlign w:val="center"/>
          </w:tcPr>
          <w:p w:rsidR="00FA4191" w:rsidRPr="00DF0173" w:rsidRDefault="00FA4191" w:rsidP="00DF0173">
            <w:pPr>
              <w:spacing w:after="0"/>
              <w:ind w:firstLine="0"/>
              <w:jc w:val="right"/>
              <w:rPr>
                <w:rFonts w:ascii="Arial" w:hAnsi="Arial" w:cs="Arial"/>
                <w:color w:val="000000"/>
                <w:sz w:val="18"/>
                <w:szCs w:val="18"/>
                <w:lang w:eastAsia="es-ES"/>
              </w:rPr>
            </w:pPr>
            <w:r w:rsidRPr="00DF0173">
              <w:rPr>
                <w:rFonts w:ascii="Arial" w:hAnsi="Arial" w:cs="Arial"/>
                <w:color w:val="000000"/>
                <w:sz w:val="18"/>
                <w:szCs w:val="18"/>
                <w:lang w:eastAsia="es-ES"/>
              </w:rPr>
              <w:t>217.269</w:t>
            </w:r>
          </w:p>
        </w:tc>
      </w:tr>
    </w:tbl>
    <w:p w:rsidR="00FA4191" w:rsidRDefault="00FA4191" w:rsidP="00DF0173">
      <w:pPr>
        <w:pStyle w:val="texto"/>
        <w:tabs>
          <w:tab w:val="clear" w:pos="2835"/>
          <w:tab w:val="clear" w:pos="3969"/>
          <w:tab w:val="clear" w:pos="5103"/>
          <w:tab w:val="clear" w:pos="6237"/>
          <w:tab w:val="clear" w:pos="7371"/>
        </w:tabs>
        <w:spacing w:after="0"/>
        <w:rPr>
          <w:szCs w:val="26"/>
        </w:rPr>
      </w:pPr>
    </w:p>
    <w:p w:rsidR="004D22FC" w:rsidRDefault="004D22FC" w:rsidP="00FA4191">
      <w:pPr>
        <w:pStyle w:val="texto"/>
        <w:tabs>
          <w:tab w:val="clear" w:pos="2835"/>
          <w:tab w:val="clear" w:pos="3969"/>
          <w:tab w:val="clear" w:pos="5103"/>
          <w:tab w:val="clear" w:pos="6237"/>
          <w:tab w:val="clear" w:pos="7371"/>
        </w:tabs>
        <w:rPr>
          <w:szCs w:val="26"/>
        </w:rPr>
      </w:pPr>
    </w:p>
    <w:p w:rsidR="004D22FC" w:rsidRDefault="004D22FC" w:rsidP="00FA4191">
      <w:pPr>
        <w:pStyle w:val="texto"/>
        <w:tabs>
          <w:tab w:val="clear" w:pos="2835"/>
          <w:tab w:val="clear" w:pos="3969"/>
          <w:tab w:val="clear" w:pos="5103"/>
          <w:tab w:val="clear" w:pos="6237"/>
          <w:tab w:val="clear" w:pos="7371"/>
        </w:tabs>
        <w:rPr>
          <w:szCs w:val="26"/>
        </w:rPr>
      </w:pPr>
    </w:p>
    <w:p w:rsidR="00FA4191" w:rsidRDefault="007138DF" w:rsidP="00FA4191">
      <w:pPr>
        <w:pStyle w:val="texto"/>
        <w:tabs>
          <w:tab w:val="clear" w:pos="2835"/>
          <w:tab w:val="clear" w:pos="3969"/>
          <w:tab w:val="clear" w:pos="5103"/>
          <w:tab w:val="clear" w:pos="6237"/>
          <w:tab w:val="clear" w:pos="7371"/>
        </w:tabs>
        <w:rPr>
          <w:szCs w:val="26"/>
        </w:rPr>
      </w:pPr>
      <w:r w:rsidRPr="00C54F50">
        <w:rPr>
          <w:b/>
          <w:szCs w:val="26"/>
        </w:rPr>
        <w:t>13</w:t>
      </w:r>
      <w:r w:rsidR="00C54F50" w:rsidRPr="00C54F50">
        <w:rPr>
          <w:b/>
          <w:szCs w:val="26"/>
        </w:rPr>
        <w:t>.</w:t>
      </w:r>
      <w:r w:rsidR="00FA4191" w:rsidRPr="00C54F50">
        <w:rPr>
          <w:b/>
          <w:szCs w:val="26"/>
        </w:rPr>
        <w:t>ª</w:t>
      </w:r>
      <w:r w:rsidR="00FA4191">
        <w:rPr>
          <w:szCs w:val="26"/>
        </w:rPr>
        <w:t xml:space="preserve"> Las modificaciones que experimenta este PSIS se explica en:</w:t>
      </w:r>
    </w:p>
    <w:p w:rsidR="00FA4191" w:rsidRPr="001713E3" w:rsidRDefault="00FA4191" w:rsidP="00AB34B3">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sidRPr="001713E3">
        <w:rPr>
          <w:szCs w:val="26"/>
        </w:rPr>
        <w:t>La primera (1996), se justifica en una serie de circunstancias sobrevenidas desde su aprobación definitiva en 1991</w:t>
      </w:r>
      <w:r w:rsidR="00AB34B3" w:rsidRPr="001713E3">
        <w:rPr>
          <w:szCs w:val="26"/>
        </w:rPr>
        <w:t>, entre las que citamos</w:t>
      </w:r>
      <w:r w:rsidRPr="001713E3">
        <w:rPr>
          <w:szCs w:val="26"/>
        </w:rPr>
        <w:t>: En 1995 la s</w:t>
      </w:r>
      <w:r w:rsidRPr="001713E3">
        <w:rPr>
          <w:szCs w:val="26"/>
        </w:rPr>
        <w:t>o</w:t>
      </w:r>
      <w:r w:rsidRPr="001713E3">
        <w:rPr>
          <w:szCs w:val="26"/>
        </w:rPr>
        <w:t xml:space="preserve">ciedad </w:t>
      </w:r>
      <w:r w:rsidR="00AB34B3" w:rsidRPr="001713E3">
        <w:rPr>
          <w:szCs w:val="26"/>
        </w:rPr>
        <w:t xml:space="preserve">promotora </w:t>
      </w:r>
      <w:r w:rsidRPr="001713E3">
        <w:rPr>
          <w:szCs w:val="26"/>
        </w:rPr>
        <w:t>adjudicó a la oferta presentada por la UTE Sanco-GM el co</w:t>
      </w:r>
      <w:r w:rsidRPr="001713E3">
        <w:rPr>
          <w:szCs w:val="26"/>
        </w:rPr>
        <w:t>n</w:t>
      </w:r>
      <w:r w:rsidRPr="001713E3">
        <w:rPr>
          <w:szCs w:val="26"/>
        </w:rPr>
        <w:t>curso para la realización y desarrollo de la CT</w:t>
      </w:r>
      <w:r w:rsidR="000B1137" w:rsidRPr="001713E3">
        <w:rPr>
          <w:szCs w:val="26"/>
        </w:rPr>
        <w:t>;</w:t>
      </w:r>
      <w:r w:rsidRPr="001713E3">
        <w:rPr>
          <w:szCs w:val="26"/>
        </w:rPr>
        <w:t xml:space="preserve"> </w:t>
      </w:r>
      <w:r w:rsidR="000B1137" w:rsidRPr="001713E3">
        <w:rPr>
          <w:szCs w:val="26"/>
        </w:rPr>
        <w:t>l</w:t>
      </w:r>
      <w:r w:rsidRPr="001713E3">
        <w:rPr>
          <w:szCs w:val="26"/>
        </w:rPr>
        <w:t xml:space="preserve">a propuesta presentada por la UTE plantea modificaciones a la ordenación y desarrollo urbanístico inicial, </w:t>
      </w:r>
      <w:r w:rsidR="00D80B58" w:rsidRPr="001713E3">
        <w:rPr>
          <w:szCs w:val="26"/>
        </w:rPr>
        <w:t xml:space="preserve">por lo que al aceptarse tales </w:t>
      </w:r>
      <w:r w:rsidR="001713E3" w:rsidRPr="001713E3">
        <w:rPr>
          <w:szCs w:val="26"/>
        </w:rPr>
        <w:t>variantes</w:t>
      </w:r>
      <w:r w:rsidR="00FA2BAC" w:rsidRPr="001713E3">
        <w:rPr>
          <w:szCs w:val="26"/>
        </w:rPr>
        <w:t xml:space="preserve"> por la sociedad gestora</w:t>
      </w:r>
      <w:r w:rsidR="00D80B58" w:rsidRPr="001713E3">
        <w:rPr>
          <w:szCs w:val="26"/>
        </w:rPr>
        <w:t>,</w:t>
      </w:r>
      <w:r w:rsidR="00AB34B3" w:rsidRPr="001713E3">
        <w:rPr>
          <w:szCs w:val="26"/>
        </w:rPr>
        <w:t xml:space="preserve"> hubo de adapta</w:t>
      </w:r>
      <w:r w:rsidR="00AB34B3" w:rsidRPr="001713E3">
        <w:rPr>
          <w:szCs w:val="26"/>
        </w:rPr>
        <w:t>r</w:t>
      </w:r>
      <w:r w:rsidR="00FA2BAC" w:rsidRPr="001713E3">
        <w:rPr>
          <w:szCs w:val="26"/>
        </w:rPr>
        <w:t>se</w:t>
      </w:r>
      <w:r w:rsidR="00AB34B3" w:rsidRPr="001713E3">
        <w:rPr>
          <w:szCs w:val="26"/>
        </w:rPr>
        <w:t xml:space="preserve"> el PSIS a</w:t>
      </w:r>
      <w:r w:rsidR="000B1137" w:rsidRPr="001713E3">
        <w:rPr>
          <w:szCs w:val="26"/>
        </w:rPr>
        <w:t xml:space="preserve"> tal propuesta</w:t>
      </w:r>
      <w:r w:rsidR="00AB34B3" w:rsidRPr="001713E3">
        <w:rPr>
          <w:szCs w:val="26"/>
        </w:rPr>
        <w:t xml:space="preserve">. </w:t>
      </w:r>
    </w:p>
    <w:p w:rsidR="00FA4191" w:rsidRPr="00FA4191" w:rsidRDefault="00FA4191" w:rsidP="00FA4191">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 xml:space="preserve">La segunda (2000) para el desarrollo de la 2ª fase de la CT, modificando los usos previstos el inicial PSIS </w:t>
      </w:r>
      <w:r w:rsidR="00DF0173">
        <w:rPr>
          <w:szCs w:val="26"/>
        </w:rPr>
        <w:t>–</w:t>
      </w:r>
      <w:r w:rsidRPr="005A25DB">
        <w:rPr>
          <w:szCs w:val="26"/>
        </w:rPr>
        <w:t>"transporte y otros usos conexos", "almac</w:t>
      </w:r>
      <w:r w:rsidRPr="005A25DB">
        <w:rPr>
          <w:szCs w:val="26"/>
        </w:rPr>
        <w:t>e</w:t>
      </w:r>
      <w:r w:rsidRPr="005A25DB">
        <w:rPr>
          <w:szCs w:val="26"/>
        </w:rPr>
        <w:t>namiento de materiales y maquinaria" y "tolerado usos educati</w:t>
      </w:r>
      <w:r>
        <w:rPr>
          <w:szCs w:val="26"/>
        </w:rPr>
        <w:t>vos"</w:t>
      </w:r>
      <w:r w:rsidR="00DF0173">
        <w:rPr>
          <w:szCs w:val="26"/>
        </w:rPr>
        <w:t>–</w:t>
      </w:r>
      <w:r>
        <w:rPr>
          <w:szCs w:val="26"/>
        </w:rPr>
        <w:t xml:space="preserve"> por usos para los dos zonas que se contemplan en la misma</w:t>
      </w:r>
      <w:r w:rsidRPr="005A25DB">
        <w:rPr>
          <w:szCs w:val="26"/>
        </w:rPr>
        <w:t xml:space="preserve"> </w:t>
      </w:r>
      <w:r w:rsidR="00DF0173">
        <w:rPr>
          <w:szCs w:val="26"/>
        </w:rPr>
        <w:t>–</w:t>
      </w:r>
      <w:r w:rsidRPr="005A25DB">
        <w:rPr>
          <w:szCs w:val="26"/>
        </w:rPr>
        <w:t>la de servicios y la de n</w:t>
      </w:r>
      <w:r w:rsidRPr="005A25DB">
        <w:rPr>
          <w:szCs w:val="26"/>
        </w:rPr>
        <w:t>a</w:t>
      </w:r>
      <w:r>
        <w:rPr>
          <w:szCs w:val="26"/>
        </w:rPr>
        <w:t>ves</w:t>
      </w:r>
      <w:r w:rsidR="00DF0173">
        <w:rPr>
          <w:szCs w:val="26"/>
        </w:rPr>
        <w:t>–</w:t>
      </w:r>
      <w:r>
        <w:rPr>
          <w:szCs w:val="26"/>
        </w:rPr>
        <w:t xml:space="preserve"> </w:t>
      </w:r>
      <w:r w:rsidRPr="005A25DB">
        <w:rPr>
          <w:szCs w:val="26"/>
        </w:rPr>
        <w:t>acord</w:t>
      </w:r>
      <w:r>
        <w:rPr>
          <w:szCs w:val="26"/>
        </w:rPr>
        <w:t xml:space="preserve">es con los </w:t>
      </w:r>
      <w:r w:rsidRPr="005A25DB">
        <w:rPr>
          <w:szCs w:val="26"/>
        </w:rPr>
        <w:t>establecidos para la</w:t>
      </w:r>
      <w:r>
        <w:rPr>
          <w:szCs w:val="26"/>
        </w:rPr>
        <w:t xml:space="preserve"> 1ª fase de la CT.</w:t>
      </w:r>
    </w:p>
    <w:p w:rsidR="00FA4191" w:rsidRDefault="00FA4191" w:rsidP="005929D2">
      <w:pPr>
        <w:pStyle w:val="texto"/>
        <w:tabs>
          <w:tab w:val="clear" w:pos="2835"/>
          <w:tab w:val="clear" w:pos="3969"/>
          <w:tab w:val="clear" w:pos="5103"/>
          <w:tab w:val="clear" w:pos="6237"/>
          <w:tab w:val="clear" w:pos="7371"/>
        </w:tabs>
        <w:rPr>
          <w:szCs w:val="26"/>
        </w:rPr>
      </w:pPr>
      <w:r w:rsidRPr="00C54F50">
        <w:rPr>
          <w:b/>
          <w:szCs w:val="26"/>
        </w:rPr>
        <w:t>1</w:t>
      </w:r>
      <w:r w:rsidR="009B475D" w:rsidRPr="00C54F50">
        <w:rPr>
          <w:b/>
          <w:szCs w:val="26"/>
        </w:rPr>
        <w:t>4</w:t>
      </w:r>
      <w:r w:rsidR="00C54F50" w:rsidRPr="00C54F50">
        <w:rPr>
          <w:b/>
          <w:szCs w:val="26"/>
        </w:rPr>
        <w:t>.</w:t>
      </w:r>
      <w:r w:rsidRPr="00C54F50">
        <w:rPr>
          <w:b/>
          <w:szCs w:val="26"/>
        </w:rPr>
        <w:t>ª</w:t>
      </w:r>
      <w:r w:rsidRPr="005929D2">
        <w:rPr>
          <w:szCs w:val="26"/>
        </w:rPr>
        <w:t xml:space="preserve"> A este PSIS se le aplica para su tramitación y aprobación la Ley Foral 12/1986, de 11 de noviembre de Ordenación del Territorio. Del trabajo realiz</w:t>
      </w:r>
      <w:r w:rsidRPr="005929D2">
        <w:rPr>
          <w:szCs w:val="26"/>
        </w:rPr>
        <w:t>a</w:t>
      </w:r>
      <w:r w:rsidRPr="005929D2">
        <w:rPr>
          <w:szCs w:val="26"/>
        </w:rPr>
        <w:t>do se concluye que el proyecto presentado contiene la documentación establ</w:t>
      </w:r>
      <w:r w:rsidRPr="005929D2">
        <w:rPr>
          <w:szCs w:val="26"/>
        </w:rPr>
        <w:t>e</w:t>
      </w:r>
      <w:r w:rsidRPr="005929D2">
        <w:rPr>
          <w:szCs w:val="26"/>
        </w:rPr>
        <w:t>cida en el artículo 24 de la citada Ley Foral 12/1986 y se ha respetado el proc</w:t>
      </w:r>
      <w:r w:rsidRPr="005929D2">
        <w:rPr>
          <w:szCs w:val="26"/>
        </w:rPr>
        <w:t>e</w:t>
      </w:r>
      <w:r w:rsidRPr="005929D2">
        <w:rPr>
          <w:szCs w:val="26"/>
        </w:rPr>
        <w:t xml:space="preserve">dimiento para su aprobación regulado en el artículo 26 de la citada Ley Foral. </w:t>
      </w:r>
      <w:r w:rsidR="00D80B58">
        <w:rPr>
          <w:szCs w:val="26"/>
        </w:rPr>
        <w:t>L</w:t>
      </w:r>
      <w:r w:rsidRPr="005929D2">
        <w:rPr>
          <w:szCs w:val="26"/>
        </w:rPr>
        <w:t>a normativa urbanística</w:t>
      </w:r>
      <w:r w:rsidR="000B1137" w:rsidRPr="005929D2">
        <w:rPr>
          <w:szCs w:val="26"/>
        </w:rPr>
        <w:t xml:space="preserve"> o texto refundido</w:t>
      </w:r>
      <w:r w:rsidR="00D80B58">
        <w:rPr>
          <w:szCs w:val="26"/>
        </w:rPr>
        <w:t xml:space="preserve"> que lo regula </w:t>
      </w:r>
      <w:r w:rsidRPr="005929D2">
        <w:rPr>
          <w:szCs w:val="26"/>
        </w:rPr>
        <w:t xml:space="preserve">se publica en el BON </w:t>
      </w:r>
      <w:r w:rsidR="00D80B58">
        <w:rPr>
          <w:szCs w:val="26"/>
        </w:rPr>
        <w:t>en abril de</w:t>
      </w:r>
      <w:r w:rsidRPr="005929D2">
        <w:rPr>
          <w:szCs w:val="26"/>
        </w:rPr>
        <w:t xml:space="preserve"> 2016. </w:t>
      </w:r>
    </w:p>
    <w:p w:rsidR="00FF29AD" w:rsidRPr="005929D2" w:rsidRDefault="00FF29AD" w:rsidP="00FF29AD">
      <w:pPr>
        <w:pStyle w:val="texto"/>
        <w:tabs>
          <w:tab w:val="clear" w:pos="2835"/>
          <w:tab w:val="clear" w:pos="3969"/>
          <w:tab w:val="clear" w:pos="5103"/>
          <w:tab w:val="clear" w:pos="6237"/>
          <w:tab w:val="clear" w:pos="7371"/>
        </w:tabs>
        <w:rPr>
          <w:szCs w:val="26"/>
        </w:rPr>
      </w:pPr>
      <w:r>
        <w:rPr>
          <w:szCs w:val="26"/>
        </w:rPr>
        <w:t>La primera modificación se justifica básicamente en acomodar el PSIS a las variantes y mejoras incluidas en la propuesta presentada por la UTE.</w:t>
      </w:r>
    </w:p>
    <w:p w:rsidR="00FA4191" w:rsidRDefault="00FA4191" w:rsidP="007F218C">
      <w:pPr>
        <w:pStyle w:val="texto"/>
        <w:tabs>
          <w:tab w:val="clear" w:pos="2835"/>
          <w:tab w:val="clear" w:pos="3969"/>
          <w:tab w:val="clear" w:pos="5103"/>
          <w:tab w:val="clear" w:pos="6237"/>
          <w:tab w:val="clear" w:pos="7371"/>
        </w:tabs>
        <w:spacing w:after="120"/>
        <w:rPr>
          <w:szCs w:val="26"/>
        </w:rPr>
      </w:pPr>
      <w:r w:rsidRPr="00C54F50">
        <w:rPr>
          <w:b/>
          <w:szCs w:val="26"/>
        </w:rPr>
        <w:t>1</w:t>
      </w:r>
      <w:r w:rsidR="009B475D" w:rsidRPr="00C54F50">
        <w:rPr>
          <w:b/>
          <w:szCs w:val="26"/>
        </w:rPr>
        <w:t>5</w:t>
      </w:r>
      <w:r w:rsidR="00C54F50" w:rsidRPr="00C54F50">
        <w:rPr>
          <w:b/>
          <w:szCs w:val="26"/>
        </w:rPr>
        <w:t>.</w:t>
      </w:r>
      <w:r w:rsidRPr="00C54F50">
        <w:rPr>
          <w:b/>
          <w:szCs w:val="26"/>
        </w:rPr>
        <w:t>ª</w:t>
      </w:r>
      <w:r>
        <w:rPr>
          <w:szCs w:val="26"/>
        </w:rPr>
        <w:t xml:space="preserve"> El </w:t>
      </w:r>
      <w:r w:rsidR="005929D2">
        <w:rPr>
          <w:szCs w:val="26"/>
        </w:rPr>
        <w:t xml:space="preserve">segundo </w:t>
      </w:r>
      <w:r>
        <w:rPr>
          <w:szCs w:val="26"/>
        </w:rPr>
        <w:t>PSIS</w:t>
      </w:r>
      <w:r w:rsidR="005929D2">
        <w:rPr>
          <w:szCs w:val="26"/>
        </w:rPr>
        <w:t xml:space="preserve"> o</w:t>
      </w:r>
      <w:r>
        <w:rPr>
          <w:szCs w:val="26"/>
        </w:rPr>
        <w:t xml:space="preserve"> relativo a la ampliación de la CT</w:t>
      </w:r>
      <w:r w:rsidR="005929D2">
        <w:rPr>
          <w:szCs w:val="26"/>
        </w:rPr>
        <w:t>,</w:t>
      </w:r>
      <w:r>
        <w:rPr>
          <w:szCs w:val="26"/>
        </w:rPr>
        <w:t xml:space="preserve"> surge ante la alta ocupación observada en las dos fases anteriores y</w:t>
      </w:r>
      <w:r w:rsidR="005929D2">
        <w:rPr>
          <w:szCs w:val="26"/>
        </w:rPr>
        <w:t xml:space="preserve"> se</w:t>
      </w:r>
      <w:r>
        <w:rPr>
          <w:szCs w:val="26"/>
        </w:rPr>
        <w:t xml:space="preserve"> justific</w:t>
      </w:r>
      <w:r w:rsidR="005929D2">
        <w:rPr>
          <w:szCs w:val="26"/>
        </w:rPr>
        <w:t>ó</w:t>
      </w:r>
      <w:r>
        <w:rPr>
          <w:szCs w:val="26"/>
        </w:rPr>
        <w:t xml:space="preserve"> además en:</w:t>
      </w:r>
    </w:p>
    <w:p w:rsidR="00FA4191" w:rsidRDefault="00FA4191" w:rsidP="007F218C">
      <w:pPr>
        <w:pStyle w:val="texto"/>
        <w:numPr>
          <w:ilvl w:val="0"/>
          <w:numId w:val="1"/>
        </w:numPr>
        <w:tabs>
          <w:tab w:val="clear" w:pos="502"/>
          <w:tab w:val="clear" w:pos="2835"/>
          <w:tab w:val="clear" w:pos="3969"/>
          <w:tab w:val="clear" w:pos="5103"/>
          <w:tab w:val="clear" w:pos="6237"/>
          <w:tab w:val="clear" w:pos="7371"/>
          <w:tab w:val="left" w:pos="480"/>
          <w:tab w:val="num" w:pos="600"/>
        </w:tabs>
        <w:spacing w:after="120"/>
        <w:ind w:left="0" w:firstLine="290"/>
        <w:rPr>
          <w:szCs w:val="26"/>
        </w:rPr>
      </w:pPr>
      <w:r>
        <w:rPr>
          <w:szCs w:val="26"/>
        </w:rPr>
        <w:t>Proyectar la intermodalidad con la red ferroviaria.</w:t>
      </w:r>
    </w:p>
    <w:p w:rsidR="00FA4191" w:rsidRDefault="00FA4191" w:rsidP="007F218C">
      <w:pPr>
        <w:pStyle w:val="texto"/>
        <w:numPr>
          <w:ilvl w:val="0"/>
          <w:numId w:val="1"/>
        </w:numPr>
        <w:tabs>
          <w:tab w:val="clear" w:pos="502"/>
          <w:tab w:val="clear" w:pos="2835"/>
          <w:tab w:val="clear" w:pos="3969"/>
          <w:tab w:val="clear" w:pos="5103"/>
          <w:tab w:val="clear" w:pos="6237"/>
          <w:tab w:val="clear" w:pos="7371"/>
          <w:tab w:val="left" w:pos="480"/>
          <w:tab w:val="num" w:pos="600"/>
        </w:tabs>
        <w:spacing w:after="120"/>
        <w:ind w:left="0" w:firstLine="290"/>
        <w:rPr>
          <w:szCs w:val="26"/>
        </w:rPr>
      </w:pPr>
      <w:r>
        <w:rPr>
          <w:szCs w:val="26"/>
        </w:rPr>
        <w:t>Adecuar la tipología de las parcelas ofertadas a la demanda observada, e</w:t>
      </w:r>
      <w:r>
        <w:rPr>
          <w:szCs w:val="26"/>
        </w:rPr>
        <w:t>s</w:t>
      </w:r>
      <w:r>
        <w:rPr>
          <w:szCs w:val="26"/>
        </w:rPr>
        <w:t xml:space="preserve">pecialmente en cuanto al tamaño de su superficie y a la existencia de parcelas de edificación </w:t>
      </w:r>
      <w:r w:rsidR="00033721">
        <w:rPr>
          <w:szCs w:val="26"/>
        </w:rPr>
        <w:t>aislada</w:t>
      </w:r>
      <w:r>
        <w:rPr>
          <w:szCs w:val="26"/>
        </w:rPr>
        <w:t>.</w:t>
      </w:r>
    </w:p>
    <w:p w:rsidR="00FA4191" w:rsidRPr="00377877" w:rsidRDefault="00FA4191" w:rsidP="007F218C">
      <w:pPr>
        <w:pStyle w:val="texto"/>
        <w:numPr>
          <w:ilvl w:val="0"/>
          <w:numId w:val="1"/>
        </w:numPr>
        <w:tabs>
          <w:tab w:val="clear" w:pos="502"/>
          <w:tab w:val="clear" w:pos="2835"/>
          <w:tab w:val="clear" w:pos="3969"/>
          <w:tab w:val="clear" w:pos="5103"/>
          <w:tab w:val="clear" w:pos="6237"/>
          <w:tab w:val="clear" w:pos="7371"/>
          <w:tab w:val="left" w:pos="480"/>
          <w:tab w:val="num" w:pos="600"/>
        </w:tabs>
        <w:spacing w:after="120"/>
        <w:ind w:left="0" w:firstLine="290"/>
        <w:rPr>
          <w:szCs w:val="26"/>
        </w:rPr>
      </w:pPr>
      <w:r>
        <w:rPr>
          <w:szCs w:val="26"/>
        </w:rPr>
        <w:t>Implantar el régimen de alquiler de naves</w:t>
      </w:r>
      <w:r w:rsidR="00AA61F5">
        <w:rPr>
          <w:szCs w:val="26"/>
        </w:rPr>
        <w:t>, reservando a tal fin el 20 por ciento de la superficie total de naves.</w:t>
      </w:r>
    </w:p>
    <w:p w:rsidR="00D74DCC" w:rsidRDefault="00D74DCC" w:rsidP="007F218C">
      <w:pPr>
        <w:pStyle w:val="texto"/>
        <w:tabs>
          <w:tab w:val="clear" w:pos="2835"/>
          <w:tab w:val="clear" w:pos="3969"/>
          <w:tab w:val="clear" w:pos="5103"/>
          <w:tab w:val="clear" w:pos="6237"/>
          <w:tab w:val="clear" w:pos="7371"/>
        </w:tabs>
        <w:spacing w:after="120"/>
        <w:rPr>
          <w:szCs w:val="26"/>
        </w:rPr>
      </w:pPr>
      <w:r>
        <w:rPr>
          <w:szCs w:val="26"/>
        </w:rPr>
        <w:t>Para la redacción del</w:t>
      </w:r>
      <w:r w:rsidR="00CB2B34">
        <w:rPr>
          <w:szCs w:val="26"/>
        </w:rPr>
        <w:t xml:space="preserve"> nuevo</w:t>
      </w:r>
      <w:r>
        <w:rPr>
          <w:szCs w:val="26"/>
        </w:rPr>
        <w:t xml:space="preserve"> PSIS </w:t>
      </w:r>
      <w:r w:rsidR="005929D2">
        <w:rPr>
          <w:szCs w:val="26"/>
        </w:rPr>
        <w:t>de ampliación</w:t>
      </w:r>
      <w:r>
        <w:rPr>
          <w:szCs w:val="26"/>
        </w:rPr>
        <w:t>, el Departamento de Obras Públicas tramitó un concurso abierto con un importe de licitación de 165.797 euros (sin IVA). Al concurso se presentan tres ofertas, resulta</w:t>
      </w:r>
      <w:r w:rsidR="004E7A29">
        <w:rPr>
          <w:szCs w:val="26"/>
        </w:rPr>
        <w:t>n</w:t>
      </w:r>
      <w:r>
        <w:rPr>
          <w:szCs w:val="26"/>
        </w:rPr>
        <w:t xml:space="preserve">do adjudicataria la que obtiene una mayor puntuación de acuerdo con los criterios de valoración de los pliegos del citado concurso y por un importe de adjudicación de </w:t>
      </w:r>
      <w:r w:rsidRPr="00D74DCC">
        <w:rPr>
          <w:szCs w:val="26"/>
        </w:rPr>
        <w:t>160.000</w:t>
      </w:r>
      <w:r>
        <w:rPr>
          <w:szCs w:val="26"/>
        </w:rPr>
        <w:t xml:space="preserve"> euros. De la revisión de este expediente se concluye que en su tramitación y a</w:t>
      </w:r>
      <w:r>
        <w:rPr>
          <w:szCs w:val="26"/>
        </w:rPr>
        <w:t>d</w:t>
      </w:r>
      <w:r>
        <w:rPr>
          <w:szCs w:val="26"/>
        </w:rPr>
        <w:t xml:space="preserve">judicación se ha respetado la normativa aplicable. </w:t>
      </w:r>
    </w:p>
    <w:p w:rsidR="004D22FC" w:rsidRDefault="004D22FC" w:rsidP="007F218C">
      <w:pPr>
        <w:pStyle w:val="texto"/>
        <w:tabs>
          <w:tab w:val="clear" w:pos="2835"/>
          <w:tab w:val="clear" w:pos="3969"/>
          <w:tab w:val="clear" w:pos="5103"/>
          <w:tab w:val="clear" w:pos="6237"/>
          <w:tab w:val="clear" w:pos="7371"/>
        </w:tabs>
        <w:spacing w:after="120"/>
        <w:rPr>
          <w:szCs w:val="26"/>
        </w:rPr>
      </w:pPr>
    </w:p>
    <w:p w:rsidR="00FA4191" w:rsidRDefault="00FA4191" w:rsidP="007F218C">
      <w:pPr>
        <w:pStyle w:val="texto"/>
        <w:tabs>
          <w:tab w:val="clear" w:pos="2835"/>
          <w:tab w:val="clear" w:pos="3969"/>
          <w:tab w:val="clear" w:pos="5103"/>
          <w:tab w:val="clear" w:pos="6237"/>
          <w:tab w:val="clear" w:pos="7371"/>
        </w:tabs>
        <w:spacing w:after="120"/>
        <w:rPr>
          <w:szCs w:val="26"/>
        </w:rPr>
      </w:pPr>
      <w:r w:rsidRPr="00C54F50">
        <w:rPr>
          <w:b/>
          <w:szCs w:val="26"/>
        </w:rPr>
        <w:t>1</w:t>
      </w:r>
      <w:r w:rsidR="009B475D" w:rsidRPr="00C54F50">
        <w:rPr>
          <w:b/>
          <w:szCs w:val="26"/>
        </w:rPr>
        <w:t>6</w:t>
      </w:r>
      <w:r w:rsidR="00C54F50" w:rsidRPr="00C54F50">
        <w:rPr>
          <w:b/>
          <w:szCs w:val="26"/>
        </w:rPr>
        <w:t>.</w:t>
      </w:r>
      <w:r w:rsidRPr="00C54F50">
        <w:rPr>
          <w:b/>
          <w:szCs w:val="26"/>
        </w:rPr>
        <w:t>ª</w:t>
      </w:r>
      <w:r>
        <w:rPr>
          <w:szCs w:val="26"/>
        </w:rPr>
        <w:t xml:space="preserve"> La ampliación de la CT</w:t>
      </w:r>
      <w:r w:rsidR="00BE1D2D">
        <w:rPr>
          <w:szCs w:val="26"/>
        </w:rPr>
        <w:t>,</w:t>
      </w:r>
      <w:r w:rsidR="00BE1D2D" w:rsidRPr="00BE1D2D">
        <w:rPr>
          <w:szCs w:val="26"/>
        </w:rPr>
        <w:t xml:space="preserve"> </w:t>
      </w:r>
      <w:r w:rsidR="00BE1D2D">
        <w:rPr>
          <w:szCs w:val="26"/>
        </w:rPr>
        <w:t>con una superficie superior al millón de m</w:t>
      </w:r>
      <w:r w:rsidR="00BE1D2D" w:rsidRPr="00C4078E">
        <w:rPr>
          <w:szCs w:val="26"/>
          <w:vertAlign w:val="superscript"/>
        </w:rPr>
        <w:t>2</w:t>
      </w:r>
      <w:r w:rsidR="00BE1D2D">
        <w:rPr>
          <w:szCs w:val="26"/>
        </w:rPr>
        <w:t xml:space="preserve">, </w:t>
      </w:r>
      <w:r>
        <w:rPr>
          <w:szCs w:val="26"/>
        </w:rPr>
        <w:t>se configura en las siguientes áreas funcionales:</w:t>
      </w:r>
    </w:p>
    <w:p w:rsidR="00FA4191" w:rsidRPr="00ED005A" w:rsidRDefault="00FA4191" w:rsidP="007F218C">
      <w:pPr>
        <w:pStyle w:val="texto"/>
        <w:tabs>
          <w:tab w:val="clear" w:pos="2835"/>
          <w:tab w:val="clear" w:pos="3969"/>
          <w:tab w:val="clear" w:pos="5103"/>
          <w:tab w:val="clear" w:pos="6237"/>
          <w:tab w:val="clear" w:pos="7371"/>
          <w:tab w:val="num" w:pos="600"/>
        </w:tabs>
        <w:spacing w:after="120"/>
        <w:rPr>
          <w:szCs w:val="26"/>
        </w:rPr>
      </w:pPr>
      <w:r>
        <w:rPr>
          <w:szCs w:val="26"/>
        </w:rPr>
        <w:t xml:space="preserve">a) </w:t>
      </w:r>
      <w:r w:rsidRPr="00ED005A">
        <w:rPr>
          <w:szCs w:val="26"/>
        </w:rPr>
        <w:t>Centro de Servicios complementario</w:t>
      </w:r>
      <w:r w:rsidR="00BE1D2D">
        <w:rPr>
          <w:szCs w:val="26"/>
        </w:rPr>
        <w:t xml:space="preserve">, </w:t>
      </w:r>
      <w:r w:rsidRPr="00ED005A">
        <w:rPr>
          <w:szCs w:val="26"/>
        </w:rPr>
        <w:t>para proporcionar servicios básicos a trabajadores y usuarios de la zona</w:t>
      </w:r>
      <w:r>
        <w:rPr>
          <w:szCs w:val="26"/>
        </w:rPr>
        <w:t xml:space="preserve"> y para</w:t>
      </w:r>
      <w:r w:rsidRPr="00ED005A">
        <w:rPr>
          <w:szCs w:val="26"/>
        </w:rPr>
        <w:t xml:space="preserve"> desarrollar zonas deportivas</w:t>
      </w:r>
      <w:r>
        <w:rPr>
          <w:szCs w:val="26"/>
        </w:rPr>
        <w:t xml:space="preserve"> y</w:t>
      </w:r>
      <w:r w:rsidRPr="00ED005A">
        <w:rPr>
          <w:szCs w:val="26"/>
        </w:rPr>
        <w:t xml:space="preserve"> act</w:t>
      </w:r>
      <w:r w:rsidRPr="00ED005A">
        <w:rPr>
          <w:szCs w:val="26"/>
        </w:rPr>
        <w:t>i</w:t>
      </w:r>
      <w:r w:rsidRPr="00ED005A">
        <w:rPr>
          <w:szCs w:val="26"/>
        </w:rPr>
        <w:t>vidades de carácter efíme</w:t>
      </w:r>
      <w:r>
        <w:rPr>
          <w:szCs w:val="26"/>
        </w:rPr>
        <w:t>ro</w:t>
      </w:r>
      <w:r w:rsidRPr="00ED005A">
        <w:rPr>
          <w:szCs w:val="26"/>
        </w:rPr>
        <w:t>.</w:t>
      </w:r>
    </w:p>
    <w:p w:rsidR="00FA4191" w:rsidRDefault="00FA4191" w:rsidP="007F218C">
      <w:pPr>
        <w:pStyle w:val="texto"/>
        <w:tabs>
          <w:tab w:val="clear" w:pos="2835"/>
          <w:tab w:val="clear" w:pos="3969"/>
          <w:tab w:val="clear" w:pos="5103"/>
          <w:tab w:val="clear" w:pos="6237"/>
          <w:tab w:val="clear" w:pos="7371"/>
          <w:tab w:val="num" w:pos="600"/>
        </w:tabs>
        <w:spacing w:after="120"/>
        <w:rPr>
          <w:szCs w:val="26"/>
        </w:rPr>
      </w:pPr>
      <w:r>
        <w:rPr>
          <w:szCs w:val="26"/>
        </w:rPr>
        <w:t xml:space="preserve">b) </w:t>
      </w:r>
      <w:r w:rsidRPr="00ED005A">
        <w:rPr>
          <w:szCs w:val="26"/>
        </w:rPr>
        <w:t>Área intermodal</w:t>
      </w:r>
      <w:r>
        <w:rPr>
          <w:szCs w:val="26"/>
        </w:rPr>
        <w:t xml:space="preserve">. </w:t>
      </w:r>
      <w:r w:rsidRPr="00ED005A">
        <w:rPr>
          <w:szCs w:val="26"/>
        </w:rPr>
        <w:t>Concebida como zona de reserva para desarrollar el p</w:t>
      </w:r>
      <w:r w:rsidRPr="00ED005A">
        <w:rPr>
          <w:szCs w:val="26"/>
        </w:rPr>
        <w:t>o</w:t>
      </w:r>
      <w:r w:rsidRPr="00ED005A">
        <w:rPr>
          <w:szCs w:val="26"/>
        </w:rPr>
        <w:t xml:space="preserve">tencial del transporte de mercancías ferrocarril-carretera. </w:t>
      </w:r>
    </w:p>
    <w:p w:rsidR="00FA4191" w:rsidRDefault="00FA4191" w:rsidP="007F218C">
      <w:pPr>
        <w:pStyle w:val="texto"/>
        <w:tabs>
          <w:tab w:val="clear" w:pos="2835"/>
          <w:tab w:val="clear" w:pos="3969"/>
          <w:tab w:val="clear" w:pos="5103"/>
          <w:tab w:val="clear" w:pos="6237"/>
          <w:tab w:val="clear" w:pos="7371"/>
          <w:tab w:val="num" w:pos="600"/>
        </w:tabs>
        <w:spacing w:after="120"/>
        <w:rPr>
          <w:szCs w:val="26"/>
        </w:rPr>
      </w:pPr>
      <w:r>
        <w:rPr>
          <w:szCs w:val="26"/>
        </w:rPr>
        <w:t xml:space="preserve">c) </w:t>
      </w:r>
      <w:r w:rsidRPr="00ED005A">
        <w:rPr>
          <w:szCs w:val="26"/>
        </w:rPr>
        <w:t>Zona logística intermodal</w:t>
      </w:r>
      <w:r>
        <w:rPr>
          <w:szCs w:val="26"/>
        </w:rPr>
        <w:t xml:space="preserve">. </w:t>
      </w:r>
      <w:r w:rsidRPr="00ED005A">
        <w:rPr>
          <w:szCs w:val="26"/>
        </w:rPr>
        <w:t>Es el área especializada de la plataforma dest</w:t>
      </w:r>
      <w:r w:rsidRPr="00ED005A">
        <w:rPr>
          <w:szCs w:val="26"/>
        </w:rPr>
        <w:t>i</w:t>
      </w:r>
      <w:r w:rsidRPr="00ED005A">
        <w:rPr>
          <w:szCs w:val="26"/>
        </w:rPr>
        <w:t>nada a la implantación de Centros Logísticos de Empresa y</w:t>
      </w:r>
      <w:r w:rsidR="00B66D0B">
        <w:rPr>
          <w:szCs w:val="26"/>
        </w:rPr>
        <w:t>,</w:t>
      </w:r>
      <w:r w:rsidRPr="00ED005A">
        <w:rPr>
          <w:szCs w:val="26"/>
        </w:rPr>
        <w:t xml:space="preserve"> en general</w:t>
      </w:r>
      <w:r w:rsidR="00B66D0B">
        <w:rPr>
          <w:szCs w:val="26"/>
        </w:rPr>
        <w:t>,</w:t>
      </w:r>
      <w:r w:rsidRPr="00ED005A">
        <w:rPr>
          <w:szCs w:val="26"/>
        </w:rPr>
        <w:t xml:space="preserve"> para la ubicación de empresas que realicen actividades de almacenamiento, distrib</w:t>
      </w:r>
      <w:r w:rsidRPr="00ED005A">
        <w:rPr>
          <w:szCs w:val="26"/>
        </w:rPr>
        <w:t>u</w:t>
      </w:r>
      <w:r w:rsidRPr="00ED005A">
        <w:rPr>
          <w:szCs w:val="26"/>
        </w:rPr>
        <w:t>ción y gestión de stocks</w:t>
      </w:r>
      <w:r>
        <w:rPr>
          <w:szCs w:val="26"/>
        </w:rPr>
        <w:t xml:space="preserve">. </w:t>
      </w:r>
    </w:p>
    <w:p w:rsidR="00FA4191" w:rsidRDefault="00FA4191" w:rsidP="007F218C">
      <w:pPr>
        <w:pStyle w:val="texto"/>
        <w:tabs>
          <w:tab w:val="clear" w:pos="2835"/>
          <w:tab w:val="clear" w:pos="3969"/>
          <w:tab w:val="clear" w:pos="5103"/>
          <w:tab w:val="clear" w:pos="6237"/>
          <w:tab w:val="clear" w:pos="7371"/>
          <w:tab w:val="num" w:pos="600"/>
        </w:tabs>
        <w:spacing w:after="120"/>
        <w:rPr>
          <w:szCs w:val="26"/>
        </w:rPr>
      </w:pPr>
      <w:r>
        <w:rPr>
          <w:szCs w:val="26"/>
        </w:rPr>
        <w:t xml:space="preserve">d) </w:t>
      </w:r>
      <w:r w:rsidRPr="00ED005A">
        <w:rPr>
          <w:szCs w:val="26"/>
        </w:rPr>
        <w:t>Zona logística polivalente, para usos principalmente de almacenamiento.</w:t>
      </w:r>
    </w:p>
    <w:p w:rsidR="00FA4191" w:rsidRDefault="00FA4191" w:rsidP="00FA4191">
      <w:pPr>
        <w:pStyle w:val="texto"/>
        <w:tabs>
          <w:tab w:val="clear" w:pos="2835"/>
          <w:tab w:val="clear" w:pos="3969"/>
          <w:tab w:val="clear" w:pos="5103"/>
          <w:tab w:val="clear" w:pos="6237"/>
          <w:tab w:val="clear" w:pos="7371"/>
        </w:tabs>
        <w:rPr>
          <w:szCs w:val="26"/>
        </w:rPr>
      </w:pPr>
      <w:r>
        <w:rPr>
          <w:szCs w:val="26"/>
        </w:rPr>
        <w:t>La superficie total afectada por el PSIS de ampliación de la CT, después de la modificación, presenta la siguiente configuración:</w:t>
      </w:r>
    </w:p>
    <w:tbl>
      <w:tblPr>
        <w:tblW w:w="8929" w:type="dxa"/>
        <w:jc w:val="center"/>
        <w:tblCellMar>
          <w:left w:w="70" w:type="dxa"/>
          <w:right w:w="70" w:type="dxa"/>
        </w:tblCellMar>
        <w:tblLook w:val="04A0" w:firstRow="1" w:lastRow="0" w:firstColumn="1" w:lastColumn="0" w:noHBand="0" w:noVBand="1"/>
      </w:tblPr>
      <w:tblGrid>
        <w:gridCol w:w="8929"/>
      </w:tblGrid>
      <w:tr w:rsidR="00FA4191" w:rsidRPr="001E7752" w:rsidTr="004D22FC">
        <w:trPr>
          <w:trHeight w:val="300"/>
          <w:jc w:val="center"/>
        </w:trPr>
        <w:tc>
          <w:tcPr>
            <w:tcW w:w="8929" w:type="dxa"/>
            <w:shd w:val="clear" w:color="auto" w:fill="auto"/>
            <w:noWrap/>
            <w:vAlign w:val="center"/>
          </w:tcPr>
          <w:tbl>
            <w:tblPr>
              <w:tblW w:w="8918" w:type="dxa"/>
              <w:jc w:val="center"/>
              <w:tblCellMar>
                <w:left w:w="70" w:type="dxa"/>
                <w:right w:w="70" w:type="dxa"/>
              </w:tblCellMar>
              <w:tblLook w:val="04A0" w:firstRow="1" w:lastRow="0" w:firstColumn="1" w:lastColumn="0" w:noHBand="0" w:noVBand="1"/>
            </w:tblPr>
            <w:tblGrid>
              <w:gridCol w:w="5022"/>
              <w:gridCol w:w="1088"/>
              <w:gridCol w:w="1138"/>
              <w:gridCol w:w="1541"/>
            </w:tblGrid>
            <w:tr w:rsidR="00FA4191" w:rsidRPr="003A018D" w:rsidTr="007F218C">
              <w:trPr>
                <w:trHeight w:val="255"/>
                <w:jc w:val="center"/>
              </w:trPr>
              <w:tc>
                <w:tcPr>
                  <w:tcW w:w="5098" w:type="dxa"/>
                  <w:tcBorders>
                    <w:top w:val="single" w:sz="4" w:space="0" w:color="auto"/>
                    <w:bottom w:val="single" w:sz="4" w:space="0" w:color="auto"/>
                  </w:tcBorders>
                  <w:shd w:val="clear" w:color="auto" w:fill="B8CCE4" w:themeFill="accent1" w:themeFillTint="66"/>
                  <w:noWrap/>
                  <w:vAlign w:val="center"/>
                  <w:hideMark/>
                </w:tcPr>
                <w:p w:rsidR="00FA4191" w:rsidRPr="003A018D" w:rsidRDefault="00AE19B3" w:rsidP="004D22FC">
                  <w:pPr>
                    <w:widowControl w:val="0"/>
                    <w:spacing w:after="0"/>
                    <w:ind w:firstLine="0"/>
                    <w:rPr>
                      <w:rFonts w:ascii="Arial" w:hAnsi="Arial" w:cs="Arial"/>
                      <w:color w:val="000000"/>
                      <w:sz w:val="18"/>
                      <w:szCs w:val="18"/>
                      <w:lang w:eastAsia="es-ES"/>
                    </w:rPr>
                  </w:pPr>
                  <w:r>
                    <w:rPr>
                      <w:rFonts w:ascii="Arial" w:hAnsi="Arial" w:cs="Arial"/>
                      <w:color w:val="000000"/>
                      <w:sz w:val="18"/>
                      <w:szCs w:val="18"/>
                      <w:lang w:eastAsia="es-ES"/>
                    </w:rPr>
                    <w:t>3ª y 4ª fase CT</w:t>
                  </w:r>
                  <w:r w:rsidR="00FA4191">
                    <w:rPr>
                      <w:rFonts w:ascii="Arial" w:hAnsi="Arial" w:cs="Arial"/>
                      <w:color w:val="000000"/>
                      <w:sz w:val="18"/>
                      <w:szCs w:val="18"/>
                      <w:lang w:eastAsia="es-ES"/>
                    </w:rPr>
                    <w:t xml:space="preserve"> / superficie (m</w:t>
                  </w:r>
                  <w:r w:rsidR="00FA4191" w:rsidRPr="00553DDA">
                    <w:rPr>
                      <w:rFonts w:ascii="Arial" w:hAnsi="Arial" w:cs="Arial"/>
                      <w:color w:val="000000"/>
                      <w:sz w:val="18"/>
                      <w:szCs w:val="18"/>
                      <w:vertAlign w:val="superscript"/>
                      <w:lang w:eastAsia="es-ES"/>
                    </w:rPr>
                    <w:t>2</w:t>
                  </w:r>
                  <w:r w:rsidR="00FA4191">
                    <w:rPr>
                      <w:rFonts w:ascii="Arial" w:hAnsi="Arial" w:cs="Arial"/>
                      <w:color w:val="000000"/>
                      <w:sz w:val="18"/>
                      <w:szCs w:val="18"/>
                      <w:lang w:eastAsia="es-ES"/>
                    </w:rPr>
                    <w:t>)</w:t>
                  </w:r>
                </w:p>
              </w:tc>
              <w:tc>
                <w:tcPr>
                  <w:tcW w:w="1103" w:type="dxa"/>
                  <w:tcBorders>
                    <w:top w:val="single" w:sz="4" w:space="0" w:color="auto"/>
                    <w:bottom w:val="single" w:sz="4" w:space="0" w:color="auto"/>
                  </w:tcBorders>
                  <w:shd w:val="clear" w:color="auto" w:fill="B8CCE4" w:themeFill="accent1" w:themeFillTint="66"/>
                  <w:noWrap/>
                  <w:vAlign w:val="center"/>
                  <w:hideMark/>
                </w:tcPr>
                <w:p w:rsidR="00FA4191" w:rsidRPr="003A018D" w:rsidRDefault="00FA4191" w:rsidP="004D22FC">
                  <w:pPr>
                    <w:widowControl w:val="0"/>
                    <w:spacing w:after="0"/>
                    <w:ind w:firstLine="0"/>
                    <w:jc w:val="right"/>
                    <w:rPr>
                      <w:rFonts w:ascii="Arial" w:hAnsi="Arial" w:cs="Arial"/>
                      <w:color w:val="000000"/>
                      <w:sz w:val="18"/>
                      <w:szCs w:val="18"/>
                      <w:lang w:eastAsia="es-ES"/>
                    </w:rPr>
                  </w:pPr>
                  <w:r w:rsidRPr="003A018D">
                    <w:rPr>
                      <w:rFonts w:ascii="Arial" w:hAnsi="Arial" w:cs="Arial"/>
                      <w:color w:val="000000"/>
                      <w:sz w:val="18"/>
                      <w:szCs w:val="18"/>
                      <w:lang w:eastAsia="es-ES"/>
                    </w:rPr>
                    <w:t>3ª fase</w:t>
                  </w:r>
                </w:p>
              </w:tc>
              <w:tc>
                <w:tcPr>
                  <w:tcW w:w="1154" w:type="dxa"/>
                  <w:tcBorders>
                    <w:top w:val="single" w:sz="4" w:space="0" w:color="auto"/>
                    <w:bottom w:val="single" w:sz="4" w:space="0" w:color="auto"/>
                  </w:tcBorders>
                  <w:shd w:val="clear" w:color="auto" w:fill="B8CCE4" w:themeFill="accent1" w:themeFillTint="66"/>
                  <w:noWrap/>
                  <w:vAlign w:val="center"/>
                  <w:hideMark/>
                </w:tcPr>
                <w:p w:rsidR="00FA4191" w:rsidRPr="003A018D" w:rsidRDefault="00FA4191" w:rsidP="004D22FC">
                  <w:pPr>
                    <w:widowControl w:val="0"/>
                    <w:spacing w:after="0"/>
                    <w:ind w:firstLine="0"/>
                    <w:jc w:val="right"/>
                    <w:rPr>
                      <w:rFonts w:ascii="Arial" w:hAnsi="Arial" w:cs="Arial"/>
                      <w:color w:val="000000"/>
                      <w:sz w:val="18"/>
                      <w:szCs w:val="18"/>
                      <w:lang w:eastAsia="es-ES"/>
                    </w:rPr>
                  </w:pPr>
                  <w:r w:rsidRPr="003A018D">
                    <w:rPr>
                      <w:rFonts w:ascii="Arial" w:hAnsi="Arial" w:cs="Arial"/>
                      <w:color w:val="000000"/>
                      <w:sz w:val="18"/>
                      <w:szCs w:val="18"/>
                      <w:lang w:eastAsia="es-ES"/>
                    </w:rPr>
                    <w:t>4ª fase</w:t>
                  </w:r>
                </w:p>
              </w:tc>
              <w:tc>
                <w:tcPr>
                  <w:tcW w:w="1563" w:type="dxa"/>
                  <w:tcBorders>
                    <w:top w:val="single" w:sz="4" w:space="0" w:color="auto"/>
                    <w:bottom w:val="single" w:sz="4" w:space="0" w:color="auto"/>
                  </w:tcBorders>
                  <w:shd w:val="clear" w:color="auto" w:fill="B8CCE4" w:themeFill="accent1" w:themeFillTint="66"/>
                  <w:noWrap/>
                  <w:vAlign w:val="center"/>
                  <w:hideMark/>
                </w:tcPr>
                <w:p w:rsidR="00FA4191" w:rsidRPr="003A018D" w:rsidRDefault="00FA4191" w:rsidP="004D22FC">
                  <w:pPr>
                    <w:widowControl w:val="0"/>
                    <w:spacing w:after="0"/>
                    <w:ind w:firstLine="0"/>
                    <w:jc w:val="right"/>
                    <w:rPr>
                      <w:rFonts w:ascii="Arial" w:hAnsi="Arial" w:cs="Arial"/>
                      <w:color w:val="000000"/>
                      <w:sz w:val="18"/>
                      <w:szCs w:val="18"/>
                      <w:lang w:eastAsia="es-ES"/>
                    </w:rPr>
                  </w:pPr>
                  <w:r w:rsidRPr="003A018D">
                    <w:rPr>
                      <w:rFonts w:ascii="Arial" w:hAnsi="Arial" w:cs="Arial"/>
                      <w:color w:val="000000"/>
                      <w:sz w:val="18"/>
                      <w:szCs w:val="18"/>
                      <w:lang w:eastAsia="es-ES"/>
                    </w:rPr>
                    <w:t>Total ampliación</w:t>
                  </w:r>
                </w:p>
              </w:tc>
            </w:tr>
            <w:tr w:rsidR="00FA4191" w:rsidRPr="003A018D" w:rsidTr="007F218C">
              <w:trPr>
                <w:trHeight w:val="255"/>
                <w:jc w:val="center"/>
              </w:trPr>
              <w:tc>
                <w:tcPr>
                  <w:tcW w:w="5098" w:type="dxa"/>
                  <w:tcBorders>
                    <w:top w:val="single" w:sz="4" w:space="0" w:color="auto"/>
                    <w:bottom w:val="single" w:sz="2" w:space="0" w:color="auto"/>
                  </w:tcBorders>
                  <w:shd w:val="clear" w:color="auto" w:fill="auto"/>
                  <w:noWrap/>
                  <w:vAlign w:val="center"/>
                  <w:hideMark/>
                </w:tcPr>
                <w:p w:rsidR="00FA4191" w:rsidRPr="003A018D" w:rsidRDefault="00FA4191" w:rsidP="004D22FC">
                  <w:pPr>
                    <w:spacing w:after="0"/>
                    <w:ind w:firstLine="0"/>
                    <w:rPr>
                      <w:rFonts w:ascii="Arial Narrow" w:hAnsi="Arial Narrow"/>
                      <w:color w:val="000000"/>
                      <w:lang w:eastAsia="es-ES"/>
                    </w:rPr>
                  </w:pPr>
                  <w:r w:rsidRPr="003A018D">
                    <w:rPr>
                      <w:rFonts w:ascii="Arial Narrow" w:hAnsi="Arial Narrow"/>
                      <w:color w:val="000000"/>
                      <w:lang w:eastAsia="es-ES"/>
                    </w:rPr>
                    <w:t>Viales e infraestructuras</w:t>
                  </w:r>
                </w:p>
              </w:tc>
              <w:tc>
                <w:tcPr>
                  <w:tcW w:w="1103" w:type="dxa"/>
                  <w:tcBorders>
                    <w:top w:val="single" w:sz="4" w:space="0" w:color="auto"/>
                    <w:bottom w:val="single" w:sz="2" w:space="0" w:color="auto"/>
                  </w:tcBorders>
                  <w:shd w:val="clear" w:color="000000" w:fill="FFFFFF"/>
                  <w:vAlign w:val="center"/>
                  <w:hideMark/>
                </w:tcPr>
                <w:p w:rsidR="00FA4191" w:rsidRPr="003A018D" w:rsidRDefault="00FA4191" w:rsidP="004D22FC">
                  <w:pPr>
                    <w:spacing w:after="0"/>
                    <w:ind w:firstLine="0"/>
                    <w:jc w:val="right"/>
                    <w:rPr>
                      <w:rFonts w:ascii="Arial Narrow" w:hAnsi="Arial Narrow"/>
                      <w:color w:val="000000"/>
                      <w:lang w:eastAsia="es-ES"/>
                    </w:rPr>
                  </w:pPr>
                  <w:r w:rsidRPr="003A018D">
                    <w:rPr>
                      <w:rFonts w:ascii="Arial Narrow" w:hAnsi="Arial Narrow"/>
                      <w:color w:val="000000"/>
                      <w:lang w:eastAsia="es-ES"/>
                    </w:rPr>
                    <w:t>101.429</w:t>
                  </w:r>
                </w:p>
              </w:tc>
              <w:tc>
                <w:tcPr>
                  <w:tcW w:w="1154" w:type="dxa"/>
                  <w:tcBorders>
                    <w:top w:val="single" w:sz="4" w:space="0" w:color="auto"/>
                    <w:bottom w:val="single" w:sz="2" w:space="0" w:color="auto"/>
                  </w:tcBorders>
                  <w:shd w:val="clear" w:color="000000" w:fill="FFFFFF"/>
                  <w:vAlign w:val="center"/>
                  <w:hideMark/>
                </w:tcPr>
                <w:p w:rsidR="00FA4191" w:rsidRPr="003A018D" w:rsidRDefault="00FA4191" w:rsidP="004D22FC">
                  <w:pPr>
                    <w:spacing w:after="0"/>
                    <w:ind w:firstLine="0"/>
                    <w:jc w:val="right"/>
                    <w:rPr>
                      <w:rFonts w:ascii="Arial Narrow" w:hAnsi="Arial Narrow"/>
                      <w:color w:val="000000"/>
                      <w:lang w:eastAsia="es-ES"/>
                    </w:rPr>
                  </w:pPr>
                  <w:r w:rsidRPr="003A018D">
                    <w:rPr>
                      <w:rFonts w:ascii="Arial Narrow" w:hAnsi="Arial Narrow"/>
                      <w:color w:val="000000"/>
                      <w:lang w:eastAsia="es-ES"/>
                    </w:rPr>
                    <w:t>76.682</w:t>
                  </w:r>
                </w:p>
              </w:tc>
              <w:tc>
                <w:tcPr>
                  <w:tcW w:w="1563" w:type="dxa"/>
                  <w:tcBorders>
                    <w:top w:val="single" w:sz="4" w:space="0" w:color="auto"/>
                    <w:bottom w:val="single" w:sz="2" w:space="0" w:color="auto"/>
                  </w:tcBorders>
                  <w:shd w:val="clear" w:color="000000" w:fill="FFFFFF"/>
                  <w:vAlign w:val="center"/>
                  <w:hideMark/>
                </w:tcPr>
                <w:p w:rsidR="00FA4191" w:rsidRPr="003A018D" w:rsidRDefault="00FA4191" w:rsidP="004D22FC">
                  <w:pPr>
                    <w:spacing w:after="0"/>
                    <w:ind w:right="86" w:firstLine="0"/>
                    <w:jc w:val="right"/>
                    <w:rPr>
                      <w:rFonts w:ascii="Arial Narrow" w:hAnsi="Arial Narrow"/>
                      <w:color w:val="000000"/>
                      <w:lang w:eastAsia="es-ES"/>
                    </w:rPr>
                  </w:pPr>
                  <w:r w:rsidRPr="003A018D">
                    <w:rPr>
                      <w:rFonts w:ascii="Arial Narrow" w:hAnsi="Arial Narrow"/>
                      <w:color w:val="000000"/>
                      <w:lang w:eastAsia="es-ES"/>
                    </w:rPr>
                    <w:t>178.111</w:t>
                  </w:r>
                </w:p>
              </w:tc>
            </w:tr>
            <w:tr w:rsidR="00FA4191" w:rsidRPr="003A018D" w:rsidTr="007F218C">
              <w:trPr>
                <w:trHeight w:val="255"/>
                <w:jc w:val="center"/>
              </w:trPr>
              <w:tc>
                <w:tcPr>
                  <w:tcW w:w="5098" w:type="dxa"/>
                  <w:tcBorders>
                    <w:top w:val="single" w:sz="2" w:space="0" w:color="auto"/>
                    <w:bottom w:val="single" w:sz="2" w:space="0" w:color="auto"/>
                  </w:tcBorders>
                  <w:shd w:val="clear" w:color="auto" w:fill="auto"/>
                  <w:noWrap/>
                  <w:vAlign w:val="center"/>
                  <w:hideMark/>
                </w:tcPr>
                <w:p w:rsidR="00FA4191" w:rsidRPr="003A018D" w:rsidRDefault="00FA4191" w:rsidP="004D22FC">
                  <w:pPr>
                    <w:spacing w:after="0"/>
                    <w:ind w:firstLine="0"/>
                    <w:rPr>
                      <w:rFonts w:ascii="Arial Narrow" w:hAnsi="Arial Narrow"/>
                      <w:color w:val="000000"/>
                      <w:lang w:eastAsia="es-ES"/>
                    </w:rPr>
                  </w:pPr>
                  <w:r w:rsidRPr="003A018D">
                    <w:rPr>
                      <w:rFonts w:ascii="Arial Narrow" w:hAnsi="Arial Narrow"/>
                      <w:color w:val="000000"/>
                      <w:lang w:eastAsia="es-ES"/>
                    </w:rPr>
                    <w:t>Zonas verdes</w:t>
                  </w:r>
                </w:p>
              </w:tc>
              <w:tc>
                <w:tcPr>
                  <w:tcW w:w="1103" w:type="dxa"/>
                  <w:tcBorders>
                    <w:top w:val="single" w:sz="2" w:space="0" w:color="auto"/>
                    <w:bottom w:val="single" w:sz="2" w:space="0" w:color="auto"/>
                  </w:tcBorders>
                  <w:shd w:val="clear" w:color="000000" w:fill="FFFFFF"/>
                  <w:vAlign w:val="center"/>
                  <w:hideMark/>
                </w:tcPr>
                <w:p w:rsidR="00FA4191" w:rsidRPr="003A018D" w:rsidRDefault="00FA4191" w:rsidP="004D22FC">
                  <w:pPr>
                    <w:spacing w:after="0"/>
                    <w:ind w:firstLine="0"/>
                    <w:jc w:val="right"/>
                    <w:rPr>
                      <w:rFonts w:ascii="Arial Narrow" w:hAnsi="Arial Narrow"/>
                      <w:color w:val="000000"/>
                      <w:lang w:eastAsia="es-ES"/>
                    </w:rPr>
                  </w:pPr>
                  <w:r w:rsidRPr="003A018D">
                    <w:rPr>
                      <w:rFonts w:ascii="Arial Narrow" w:hAnsi="Arial Narrow"/>
                      <w:color w:val="000000"/>
                      <w:lang w:eastAsia="es-ES"/>
                    </w:rPr>
                    <w:t>90.683</w:t>
                  </w:r>
                </w:p>
              </w:tc>
              <w:tc>
                <w:tcPr>
                  <w:tcW w:w="1154" w:type="dxa"/>
                  <w:tcBorders>
                    <w:top w:val="single" w:sz="2" w:space="0" w:color="auto"/>
                    <w:bottom w:val="single" w:sz="2" w:space="0" w:color="auto"/>
                  </w:tcBorders>
                  <w:shd w:val="clear" w:color="000000" w:fill="FFFFFF"/>
                  <w:vAlign w:val="center"/>
                  <w:hideMark/>
                </w:tcPr>
                <w:p w:rsidR="00FA4191" w:rsidRPr="003A018D" w:rsidRDefault="00FA4191" w:rsidP="004D22FC">
                  <w:pPr>
                    <w:spacing w:after="0"/>
                    <w:ind w:firstLine="0"/>
                    <w:jc w:val="right"/>
                    <w:rPr>
                      <w:rFonts w:ascii="Arial Narrow" w:hAnsi="Arial Narrow"/>
                      <w:color w:val="000000"/>
                      <w:lang w:eastAsia="es-ES"/>
                    </w:rPr>
                  </w:pPr>
                  <w:r w:rsidRPr="003A018D">
                    <w:rPr>
                      <w:rFonts w:ascii="Arial Narrow" w:hAnsi="Arial Narrow"/>
                      <w:color w:val="000000"/>
                      <w:lang w:eastAsia="es-ES"/>
                    </w:rPr>
                    <w:t>76.348</w:t>
                  </w:r>
                </w:p>
              </w:tc>
              <w:tc>
                <w:tcPr>
                  <w:tcW w:w="1563" w:type="dxa"/>
                  <w:tcBorders>
                    <w:top w:val="single" w:sz="2" w:space="0" w:color="auto"/>
                    <w:bottom w:val="single" w:sz="2" w:space="0" w:color="auto"/>
                  </w:tcBorders>
                  <w:shd w:val="clear" w:color="000000" w:fill="FFFFFF"/>
                  <w:vAlign w:val="center"/>
                  <w:hideMark/>
                </w:tcPr>
                <w:p w:rsidR="00FA4191" w:rsidRPr="003A018D" w:rsidRDefault="00FA4191" w:rsidP="004D22FC">
                  <w:pPr>
                    <w:spacing w:after="0"/>
                    <w:ind w:right="86" w:firstLine="0"/>
                    <w:jc w:val="right"/>
                    <w:rPr>
                      <w:rFonts w:ascii="Arial Narrow" w:hAnsi="Arial Narrow"/>
                      <w:color w:val="000000"/>
                      <w:lang w:eastAsia="es-ES"/>
                    </w:rPr>
                  </w:pPr>
                  <w:r w:rsidRPr="003A018D">
                    <w:rPr>
                      <w:rFonts w:ascii="Arial Narrow" w:hAnsi="Arial Narrow"/>
                      <w:color w:val="000000"/>
                      <w:lang w:eastAsia="es-ES"/>
                    </w:rPr>
                    <w:t>167.031</w:t>
                  </w:r>
                </w:p>
              </w:tc>
            </w:tr>
            <w:tr w:rsidR="00FA4191" w:rsidRPr="003A018D" w:rsidTr="007F218C">
              <w:trPr>
                <w:trHeight w:val="255"/>
                <w:jc w:val="center"/>
              </w:trPr>
              <w:tc>
                <w:tcPr>
                  <w:tcW w:w="5098" w:type="dxa"/>
                  <w:tcBorders>
                    <w:top w:val="single" w:sz="2" w:space="0" w:color="auto"/>
                    <w:bottom w:val="single" w:sz="2" w:space="0" w:color="auto"/>
                  </w:tcBorders>
                  <w:shd w:val="clear" w:color="auto" w:fill="auto"/>
                  <w:noWrap/>
                  <w:vAlign w:val="center"/>
                  <w:hideMark/>
                </w:tcPr>
                <w:p w:rsidR="00FA4191" w:rsidRPr="003A018D" w:rsidRDefault="00FA4191" w:rsidP="004D22FC">
                  <w:pPr>
                    <w:spacing w:after="0"/>
                    <w:ind w:firstLine="0"/>
                    <w:rPr>
                      <w:rFonts w:ascii="Arial Narrow" w:hAnsi="Arial Narrow"/>
                      <w:color w:val="000000"/>
                      <w:lang w:eastAsia="es-ES"/>
                    </w:rPr>
                  </w:pPr>
                  <w:r w:rsidRPr="003A018D">
                    <w:rPr>
                      <w:rFonts w:ascii="Arial Narrow" w:hAnsi="Arial Narrow"/>
                      <w:color w:val="000000"/>
                      <w:lang w:eastAsia="es-ES"/>
                    </w:rPr>
                    <w:t>Zonas dotacionales</w:t>
                  </w:r>
                </w:p>
              </w:tc>
              <w:tc>
                <w:tcPr>
                  <w:tcW w:w="1103" w:type="dxa"/>
                  <w:tcBorders>
                    <w:top w:val="single" w:sz="2" w:space="0" w:color="auto"/>
                    <w:bottom w:val="single" w:sz="2" w:space="0" w:color="auto"/>
                  </w:tcBorders>
                  <w:shd w:val="clear" w:color="000000" w:fill="FFFFFF"/>
                  <w:vAlign w:val="center"/>
                  <w:hideMark/>
                </w:tcPr>
                <w:p w:rsidR="00FA4191" w:rsidRPr="003A018D" w:rsidRDefault="00FA4191" w:rsidP="004D22FC">
                  <w:pPr>
                    <w:spacing w:after="0"/>
                    <w:ind w:firstLine="0"/>
                    <w:jc w:val="right"/>
                    <w:rPr>
                      <w:rFonts w:ascii="Arial Narrow" w:hAnsi="Arial Narrow"/>
                      <w:color w:val="000000"/>
                      <w:lang w:eastAsia="es-ES"/>
                    </w:rPr>
                  </w:pPr>
                  <w:r w:rsidRPr="003A018D">
                    <w:rPr>
                      <w:rFonts w:ascii="Arial Narrow" w:hAnsi="Arial Narrow"/>
                      <w:color w:val="000000"/>
                      <w:lang w:eastAsia="es-ES"/>
                    </w:rPr>
                    <w:t>28.617</w:t>
                  </w:r>
                </w:p>
              </w:tc>
              <w:tc>
                <w:tcPr>
                  <w:tcW w:w="1154" w:type="dxa"/>
                  <w:tcBorders>
                    <w:top w:val="single" w:sz="2" w:space="0" w:color="auto"/>
                    <w:bottom w:val="single" w:sz="2" w:space="0" w:color="auto"/>
                  </w:tcBorders>
                  <w:shd w:val="clear" w:color="000000" w:fill="FFFFFF"/>
                  <w:vAlign w:val="center"/>
                  <w:hideMark/>
                </w:tcPr>
                <w:p w:rsidR="00FA4191" w:rsidRPr="003A018D" w:rsidRDefault="00FA4191" w:rsidP="004D22FC">
                  <w:pPr>
                    <w:spacing w:after="0"/>
                    <w:ind w:firstLine="0"/>
                    <w:jc w:val="right"/>
                    <w:rPr>
                      <w:rFonts w:ascii="Arial Narrow" w:hAnsi="Arial Narrow"/>
                      <w:color w:val="000000"/>
                      <w:lang w:eastAsia="es-ES"/>
                    </w:rPr>
                  </w:pPr>
                  <w:r w:rsidRPr="003A018D">
                    <w:rPr>
                      <w:rFonts w:ascii="Arial Narrow" w:hAnsi="Arial Narrow"/>
                      <w:color w:val="000000"/>
                      <w:lang w:eastAsia="es-ES"/>
                    </w:rPr>
                    <w:t>13.055</w:t>
                  </w:r>
                </w:p>
              </w:tc>
              <w:tc>
                <w:tcPr>
                  <w:tcW w:w="1563" w:type="dxa"/>
                  <w:tcBorders>
                    <w:top w:val="single" w:sz="2" w:space="0" w:color="auto"/>
                    <w:bottom w:val="single" w:sz="2" w:space="0" w:color="auto"/>
                  </w:tcBorders>
                  <w:shd w:val="clear" w:color="000000" w:fill="FFFFFF"/>
                  <w:vAlign w:val="center"/>
                  <w:hideMark/>
                </w:tcPr>
                <w:p w:rsidR="00FA4191" w:rsidRPr="003A018D" w:rsidRDefault="00FA4191" w:rsidP="004D22FC">
                  <w:pPr>
                    <w:spacing w:after="0"/>
                    <w:ind w:right="86" w:firstLine="0"/>
                    <w:jc w:val="right"/>
                    <w:rPr>
                      <w:rFonts w:ascii="Arial Narrow" w:hAnsi="Arial Narrow"/>
                      <w:color w:val="000000"/>
                      <w:lang w:eastAsia="es-ES"/>
                    </w:rPr>
                  </w:pPr>
                  <w:r w:rsidRPr="003A018D">
                    <w:rPr>
                      <w:rFonts w:ascii="Arial Narrow" w:hAnsi="Arial Narrow"/>
                      <w:color w:val="000000"/>
                      <w:lang w:eastAsia="es-ES"/>
                    </w:rPr>
                    <w:t>41.672</w:t>
                  </w:r>
                </w:p>
              </w:tc>
            </w:tr>
            <w:tr w:rsidR="00FA4191" w:rsidRPr="003A018D" w:rsidTr="007F218C">
              <w:trPr>
                <w:trHeight w:val="255"/>
                <w:jc w:val="center"/>
              </w:trPr>
              <w:tc>
                <w:tcPr>
                  <w:tcW w:w="5098" w:type="dxa"/>
                  <w:tcBorders>
                    <w:top w:val="single" w:sz="2" w:space="0" w:color="auto"/>
                    <w:bottom w:val="single" w:sz="2" w:space="0" w:color="auto"/>
                  </w:tcBorders>
                  <w:shd w:val="clear" w:color="auto" w:fill="auto"/>
                  <w:noWrap/>
                  <w:vAlign w:val="center"/>
                  <w:hideMark/>
                </w:tcPr>
                <w:p w:rsidR="00FA4191" w:rsidRPr="003A018D" w:rsidRDefault="00FA4191" w:rsidP="004D22FC">
                  <w:pPr>
                    <w:spacing w:after="0"/>
                    <w:ind w:firstLine="0"/>
                    <w:rPr>
                      <w:rFonts w:ascii="Arial Narrow" w:hAnsi="Arial Narrow"/>
                      <w:color w:val="000000"/>
                      <w:lang w:eastAsia="es-ES"/>
                    </w:rPr>
                  </w:pPr>
                  <w:r w:rsidRPr="003A018D">
                    <w:rPr>
                      <w:rFonts w:ascii="Arial Narrow" w:hAnsi="Arial Narrow"/>
                      <w:color w:val="000000"/>
                      <w:lang w:eastAsia="es-ES"/>
                    </w:rPr>
                    <w:t>Plataforma intermodal</w:t>
                  </w:r>
                </w:p>
              </w:tc>
              <w:tc>
                <w:tcPr>
                  <w:tcW w:w="1103" w:type="dxa"/>
                  <w:tcBorders>
                    <w:top w:val="single" w:sz="2" w:space="0" w:color="auto"/>
                    <w:bottom w:val="single" w:sz="2" w:space="0" w:color="auto"/>
                  </w:tcBorders>
                  <w:shd w:val="clear" w:color="000000" w:fill="FFFFFF"/>
                  <w:vAlign w:val="center"/>
                  <w:hideMark/>
                </w:tcPr>
                <w:p w:rsidR="00FA4191" w:rsidRPr="003A018D" w:rsidRDefault="00FA4191" w:rsidP="004D22FC">
                  <w:pPr>
                    <w:spacing w:after="0"/>
                    <w:ind w:firstLine="0"/>
                    <w:jc w:val="right"/>
                    <w:rPr>
                      <w:rFonts w:ascii="Arial Narrow" w:hAnsi="Arial Narrow"/>
                      <w:color w:val="000000"/>
                      <w:lang w:eastAsia="es-ES"/>
                    </w:rPr>
                  </w:pPr>
                  <w:r w:rsidRPr="003A018D">
                    <w:rPr>
                      <w:rFonts w:ascii="Arial Narrow" w:hAnsi="Arial Narrow"/>
                      <w:color w:val="000000"/>
                      <w:lang w:eastAsia="es-ES"/>
                    </w:rPr>
                    <w:t>0</w:t>
                  </w:r>
                </w:p>
              </w:tc>
              <w:tc>
                <w:tcPr>
                  <w:tcW w:w="1154" w:type="dxa"/>
                  <w:tcBorders>
                    <w:top w:val="single" w:sz="2" w:space="0" w:color="auto"/>
                    <w:bottom w:val="single" w:sz="2" w:space="0" w:color="auto"/>
                  </w:tcBorders>
                  <w:shd w:val="clear" w:color="000000" w:fill="FFFFFF"/>
                  <w:vAlign w:val="center"/>
                  <w:hideMark/>
                </w:tcPr>
                <w:p w:rsidR="00FA4191" w:rsidRPr="003A018D" w:rsidRDefault="00FA4191" w:rsidP="004D22FC">
                  <w:pPr>
                    <w:spacing w:after="0"/>
                    <w:ind w:firstLine="0"/>
                    <w:jc w:val="right"/>
                    <w:rPr>
                      <w:rFonts w:ascii="Arial Narrow" w:hAnsi="Arial Narrow"/>
                      <w:color w:val="000000"/>
                      <w:lang w:eastAsia="es-ES"/>
                    </w:rPr>
                  </w:pPr>
                  <w:r w:rsidRPr="003A018D">
                    <w:rPr>
                      <w:rFonts w:ascii="Arial Narrow" w:hAnsi="Arial Narrow"/>
                      <w:color w:val="000000"/>
                      <w:lang w:eastAsia="es-ES"/>
                    </w:rPr>
                    <w:t>65.648</w:t>
                  </w:r>
                </w:p>
              </w:tc>
              <w:tc>
                <w:tcPr>
                  <w:tcW w:w="1563" w:type="dxa"/>
                  <w:tcBorders>
                    <w:top w:val="single" w:sz="2" w:space="0" w:color="auto"/>
                    <w:bottom w:val="single" w:sz="2" w:space="0" w:color="auto"/>
                  </w:tcBorders>
                  <w:shd w:val="clear" w:color="000000" w:fill="FFFFFF"/>
                  <w:vAlign w:val="center"/>
                  <w:hideMark/>
                </w:tcPr>
                <w:p w:rsidR="00FA4191" w:rsidRPr="003A018D" w:rsidRDefault="00FA4191" w:rsidP="004D22FC">
                  <w:pPr>
                    <w:spacing w:after="0"/>
                    <w:ind w:right="86" w:firstLine="0"/>
                    <w:jc w:val="right"/>
                    <w:rPr>
                      <w:rFonts w:ascii="Arial Narrow" w:hAnsi="Arial Narrow"/>
                      <w:color w:val="000000"/>
                      <w:lang w:eastAsia="es-ES"/>
                    </w:rPr>
                  </w:pPr>
                  <w:r w:rsidRPr="003A018D">
                    <w:rPr>
                      <w:rFonts w:ascii="Arial Narrow" w:hAnsi="Arial Narrow"/>
                      <w:color w:val="000000"/>
                      <w:lang w:eastAsia="es-ES"/>
                    </w:rPr>
                    <w:t>65.648</w:t>
                  </w:r>
                </w:p>
              </w:tc>
            </w:tr>
            <w:tr w:rsidR="00FA4191" w:rsidRPr="003A018D" w:rsidTr="007F218C">
              <w:trPr>
                <w:trHeight w:val="255"/>
                <w:jc w:val="center"/>
              </w:trPr>
              <w:tc>
                <w:tcPr>
                  <w:tcW w:w="5098" w:type="dxa"/>
                  <w:tcBorders>
                    <w:top w:val="single" w:sz="2" w:space="0" w:color="auto"/>
                    <w:bottom w:val="single" w:sz="2" w:space="0" w:color="auto"/>
                  </w:tcBorders>
                  <w:shd w:val="clear" w:color="auto" w:fill="auto"/>
                  <w:noWrap/>
                  <w:vAlign w:val="center"/>
                  <w:hideMark/>
                </w:tcPr>
                <w:p w:rsidR="00FA4191" w:rsidRPr="003A018D" w:rsidRDefault="00FA4191" w:rsidP="004D22FC">
                  <w:pPr>
                    <w:spacing w:after="0"/>
                    <w:ind w:firstLine="0"/>
                    <w:rPr>
                      <w:rFonts w:ascii="Arial Narrow" w:hAnsi="Arial Narrow"/>
                      <w:color w:val="000000"/>
                      <w:lang w:eastAsia="es-ES"/>
                    </w:rPr>
                  </w:pPr>
                  <w:r w:rsidRPr="003A018D">
                    <w:rPr>
                      <w:rFonts w:ascii="Arial Narrow" w:hAnsi="Arial Narrow"/>
                      <w:color w:val="000000"/>
                      <w:lang w:eastAsia="es-ES"/>
                    </w:rPr>
                    <w:t>Naves zona intermodal</w:t>
                  </w:r>
                </w:p>
              </w:tc>
              <w:tc>
                <w:tcPr>
                  <w:tcW w:w="1103" w:type="dxa"/>
                  <w:tcBorders>
                    <w:top w:val="single" w:sz="2" w:space="0" w:color="auto"/>
                    <w:bottom w:val="single" w:sz="2" w:space="0" w:color="auto"/>
                  </w:tcBorders>
                  <w:shd w:val="clear" w:color="000000" w:fill="FFFFFF"/>
                  <w:vAlign w:val="center"/>
                  <w:hideMark/>
                </w:tcPr>
                <w:p w:rsidR="00FA4191" w:rsidRPr="003A018D" w:rsidRDefault="00FA4191" w:rsidP="004D22FC">
                  <w:pPr>
                    <w:spacing w:after="0"/>
                    <w:ind w:firstLine="0"/>
                    <w:jc w:val="right"/>
                    <w:rPr>
                      <w:rFonts w:ascii="Arial Narrow" w:hAnsi="Arial Narrow"/>
                      <w:color w:val="000000"/>
                      <w:lang w:eastAsia="es-ES"/>
                    </w:rPr>
                  </w:pPr>
                  <w:r w:rsidRPr="003A018D">
                    <w:rPr>
                      <w:rFonts w:ascii="Arial Narrow" w:hAnsi="Arial Narrow"/>
                      <w:color w:val="000000"/>
                      <w:lang w:eastAsia="es-ES"/>
                    </w:rPr>
                    <w:t>0</w:t>
                  </w:r>
                </w:p>
              </w:tc>
              <w:tc>
                <w:tcPr>
                  <w:tcW w:w="1154" w:type="dxa"/>
                  <w:tcBorders>
                    <w:top w:val="single" w:sz="2" w:space="0" w:color="auto"/>
                    <w:bottom w:val="single" w:sz="2" w:space="0" w:color="auto"/>
                  </w:tcBorders>
                  <w:shd w:val="clear" w:color="000000" w:fill="FFFFFF"/>
                  <w:vAlign w:val="center"/>
                  <w:hideMark/>
                </w:tcPr>
                <w:p w:rsidR="00FA4191" w:rsidRPr="003A018D" w:rsidRDefault="00FA4191" w:rsidP="004D22FC">
                  <w:pPr>
                    <w:spacing w:after="0"/>
                    <w:ind w:firstLine="0"/>
                    <w:jc w:val="right"/>
                    <w:rPr>
                      <w:rFonts w:ascii="Arial Narrow" w:hAnsi="Arial Narrow"/>
                      <w:color w:val="000000"/>
                      <w:lang w:eastAsia="es-ES"/>
                    </w:rPr>
                  </w:pPr>
                  <w:r w:rsidRPr="003A018D">
                    <w:rPr>
                      <w:rFonts w:ascii="Arial Narrow" w:hAnsi="Arial Narrow"/>
                      <w:color w:val="000000"/>
                      <w:lang w:eastAsia="es-ES"/>
                    </w:rPr>
                    <w:t>53.181</w:t>
                  </w:r>
                </w:p>
              </w:tc>
              <w:tc>
                <w:tcPr>
                  <w:tcW w:w="1563" w:type="dxa"/>
                  <w:tcBorders>
                    <w:top w:val="single" w:sz="2" w:space="0" w:color="auto"/>
                    <w:bottom w:val="single" w:sz="2" w:space="0" w:color="auto"/>
                  </w:tcBorders>
                  <w:shd w:val="clear" w:color="000000" w:fill="FFFFFF"/>
                  <w:vAlign w:val="center"/>
                  <w:hideMark/>
                </w:tcPr>
                <w:p w:rsidR="00FA4191" w:rsidRPr="003A018D" w:rsidRDefault="00FA4191" w:rsidP="004D22FC">
                  <w:pPr>
                    <w:spacing w:after="0"/>
                    <w:ind w:right="86" w:firstLine="0"/>
                    <w:jc w:val="right"/>
                    <w:rPr>
                      <w:rFonts w:ascii="Arial Narrow" w:hAnsi="Arial Narrow"/>
                      <w:color w:val="000000"/>
                      <w:lang w:eastAsia="es-ES"/>
                    </w:rPr>
                  </w:pPr>
                  <w:r w:rsidRPr="003A018D">
                    <w:rPr>
                      <w:rFonts w:ascii="Arial Narrow" w:hAnsi="Arial Narrow"/>
                      <w:color w:val="000000"/>
                      <w:lang w:eastAsia="es-ES"/>
                    </w:rPr>
                    <w:t>53.181</w:t>
                  </w:r>
                </w:p>
              </w:tc>
            </w:tr>
            <w:tr w:rsidR="00FA4191" w:rsidRPr="003A018D" w:rsidTr="007F218C">
              <w:trPr>
                <w:trHeight w:val="255"/>
                <w:jc w:val="center"/>
              </w:trPr>
              <w:tc>
                <w:tcPr>
                  <w:tcW w:w="5098" w:type="dxa"/>
                  <w:tcBorders>
                    <w:top w:val="single" w:sz="2" w:space="0" w:color="auto"/>
                    <w:bottom w:val="single" w:sz="2" w:space="0" w:color="auto"/>
                  </w:tcBorders>
                  <w:shd w:val="clear" w:color="auto" w:fill="auto"/>
                  <w:noWrap/>
                  <w:vAlign w:val="center"/>
                  <w:hideMark/>
                </w:tcPr>
                <w:p w:rsidR="00FA4191" w:rsidRPr="003A018D" w:rsidRDefault="00FA4191" w:rsidP="004D22FC">
                  <w:pPr>
                    <w:spacing w:after="0"/>
                    <w:ind w:firstLine="0"/>
                    <w:rPr>
                      <w:rFonts w:ascii="Arial Narrow" w:hAnsi="Arial Narrow"/>
                      <w:color w:val="000000"/>
                      <w:lang w:eastAsia="es-ES"/>
                    </w:rPr>
                  </w:pPr>
                  <w:r w:rsidRPr="003A018D">
                    <w:rPr>
                      <w:rFonts w:ascii="Arial Narrow" w:hAnsi="Arial Narrow"/>
                      <w:color w:val="000000"/>
                      <w:lang w:eastAsia="es-ES"/>
                    </w:rPr>
                    <w:t>Naves edificación adosada</w:t>
                  </w:r>
                </w:p>
              </w:tc>
              <w:tc>
                <w:tcPr>
                  <w:tcW w:w="1103" w:type="dxa"/>
                  <w:tcBorders>
                    <w:top w:val="single" w:sz="2" w:space="0" w:color="auto"/>
                    <w:bottom w:val="single" w:sz="2" w:space="0" w:color="auto"/>
                  </w:tcBorders>
                  <w:shd w:val="clear" w:color="000000" w:fill="FFFFFF"/>
                  <w:vAlign w:val="center"/>
                  <w:hideMark/>
                </w:tcPr>
                <w:p w:rsidR="00FA4191" w:rsidRPr="003A018D" w:rsidRDefault="00FA4191" w:rsidP="004D22FC">
                  <w:pPr>
                    <w:spacing w:after="0"/>
                    <w:ind w:firstLine="0"/>
                    <w:jc w:val="right"/>
                    <w:rPr>
                      <w:rFonts w:ascii="Arial Narrow" w:hAnsi="Arial Narrow"/>
                      <w:color w:val="000000"/>
                      <w:lang w:eastAsia="es-ES"/>
                    </w:rPr>
                  </w:pPr>
                  <w:r w:rsidRPr="003A018D">
                    <w:rPr>
                      <w:rFonts w:ascii="Arial Narrow" w:hAnsi="Arial Narrow"/>
                      <w:color w:val="000000"/>
                      <w:lang w:eastAsia="es-ES"/>
                    </w:rPr>
                    <w:t>152.137</w:t>
                  </w:r>
                </w:p>
              </w:tc>
              <w:tc>
                <w:tcPr>
                  <w:tcW w:w="1154" w:type="dxa"/>
                  <w:tcBorders>
                    <w:top w:val="single" w:sz="2" w:space="0" w:color="auto"/>
                    <w:bottom w:val="single" w:sz="2" w:space="0" w:color="auto"/>
                  </w:tcBorders>
                  <w:shd w:val="clear" w:color="000000" w:fill="FFFFFF"/>
                  <w:vAlign w:val="center"/>
                  <w:hideMark/>
                </w:tcPr>
                <w:p w:rsidR="00FA4191" w:rsidRPr="003A018D" w:rsidRDefault="00FA4191" w:rsidP="004D22FC">
                  <w:pPr>
                    <w:spacing w:after="0"/>
                    <w:ind w:firstLine="0"/>
                    <w:jc w:val="right"/>
                    <w:rPr>
                      <w:rFonts w:ascii="Arial Narrow" w:hAnsi="Arial Narrow"/>
                      <w:color w:val="000000"/>
                      <w:lang w:eastAsia="es-ES"/>
                    </w:rPr>
                  </w:pPr>
                  <w:r w:rsidRPr="003A018D">
                    <w:rPr>
                      <w:rFonts w:ascii="Arial Narrow" w:hAnsi="Arial Narrow"/>
                      <w:color w:val="000000"/>
                      <w:lang w:eastAsia="es-ES"/>
                    </w:rPr>
                    <w:t>97.824</w:t>
                  </w:r>
                </w:p>
              </w:tc>
              <w:tc>
                <w:tcPr>
                  <w:tcW w:w="1563" w:type="dxa"/>
                  <w:tcBorders>
                    <w:top w:val="single" w:sz="2" w:space="0" w:color="auto"/>
                    <w:bottom w:val="single" w:sz="2" w:space="0" w:color="auto"/>
                  </w:tcBorders>
                  <w:shd w:val="clear" w:color="000000" w:fill="FFFFFF"/>
                  <w:vAlign w:val="center"/>
                  <w:hideMark/>
                </w:tcPr>
                <w:p w:rsidR="00FA4191" w:rsidRPr="003A018D" w:rsidRDefault="00FA4191" w:rsidP="004D22FC">
                  <w:pPr>
                    <w:spacing w:after="0"/>
                    <w:ind w:right="86" w:firstLine="0"/>
                    <w:jc w:val="right"/>
                    <w:rPr>
                      <w:rFonts w:ascii="Arial Narrow" w:hAnsi="Arial Narrow"/>
                      <w:color w:val="000000"/>
                      <w:lang w:eastAsia="es-ES"/>
                    </w:rPr>
                  </w:pPr>
                  <w:r w:rsidRPr="003A018D">
                    <w:rPr>
                      <w:rFonts w:ascii="Arial Narrow" w:hAnsi="Arial Narrow"/>
                      <w:color w:val="000000"/>
                      <w:lang w:eastAsia="es-ES"/>
                    </w:rPr>
                    <w:t>249.961</w:t>
                  </w:r>
                </w:p>
              </w:tc>
            </w:tr>
            <w:tr w:rsidR="00FA4191" w:rsidRPr="003A018D" w:rsidTr="007F218C">
              <w:trPr>
                <w:trHeight w:val="255"/>
                <w:jc w:val="center"/>
              </w:trPr>
              <w:tc>
                <w:tcPr>
                  <w:tcW w:w="5098" w:type="dxa"/>
                  <w:tcBorders>
                    <w:top w:val="single" w:sz="2" w:space="0" w:color="auto"/>
                    <w:bottom w:val="single" w:sz="2" w:space="0" w:color="auto"/>
                  </w:tcBorders>
                  <w:shd w:val="clear" w:color="auto" w:fill="auto"/>
                  <w:noWrap/>
                  <w:vAlign w:val="center"/>
                  <w:hideMark/>
                </w:tcPr>
                <w:p w:rsidR="00FA4191" w:rsidRPr="003A018D" w:rsidRDefault="00FA4191" w:rsidP="004D22FC">
                  <w:pPr>
                    <w:spacing w:after="0"/>
                    <w:ind w:firstLine="0"/>
                    <w:rPr>
                      <w:rFonts w:ascii="Arial Narrow" w:hAnsi="Arial Narrow"/>
                      <w:color w:val="000000"/>
                      <w:lang w:eastAsia="es-ES"/>
                    </w:rPr>
                  </w:pPr>
                  <w:r w:rsidRPr="003A018D">
                    <w:rPr>
                      <w:rFonts w:ascii="Arial Narrow" w:hAnsi="Arial Narrow"/>
                      <w:color w:val="000000"/>
                      <w:lang w:eastAsia="es-ES"/>
                    </w:rPr>
                    <w:t>Naves edificación aislada</w:t>
                  </w:r>
                </w:p>
              </w:tc>
              <w:tc>
                <w:tcPr>
                  <w:tcW w:w="1103" w:type="dxa"/>
                  <w:tcBorders>
                    <w:top w:val="single" w:sz="2" w:space="0" w:color="auto"/>
                    <w:bottom w:val="single" w:sz="2" w:space="0" w:color="auto"/>
                  </w:tcBorders>
                  <w:shd w:val="clear" w:color="000000" w:fill="FFFFFF"/>
                  <w:vAlign w:val="center"/>
                  <w:hideMark/>
                </w:tcPr>
                <w:p w:rsidR="00FA4191" w:rsidRPr="003A018D" w:rsidRDefault="00FA4191" w:rsidP="004D22FC">
                  <w:pPr>
                    <w:spacing w:after="0"/>
                    <w:ind w:firstLine="0"/>
                    <w:jc w:val="right"/>
                    <w:rPr>
                      <w:rFonts w:ascii="Arial Narrow" w:hAnsi="Arial Narrow"/>
                      <w:color w:val="000000"/>
                      <w:lang w:eastAsia="es-ES"/>
                    </w:rPr>
                  </w:pPr>
                  <w:r w:rsidRPr="003A018D">
                    <w:rPr>
                      <w:rFonts w:ascii="Arial Narrow" w:hAnsi="Arial Narrow"/>
                      <w:color w:val="000000"/>
                      <w:lang w:eastAsia="es-ES"/>
                    </w:rPr>
                    <w:t>234.321</w:t>
                  </w:r>
                </w:p>
              </w:tc>
              <w:tc>
                <w:tcPr>
                  <w:tcW w:w="1154" w:type="dxa"/>
                  <w:tcBorders>
                    <w:top w:val="single" w:sz="2" w:space="0" w:color="auto"/>
                    <w:bottom w:val="single" w:sz="2" w:space="0" w:color="auto"/>
                  </w:tcBorders>
                  <w:shd w:val="clear" w:color="000000" w:fill="FFFFFF"/>
                  <w:vAlign w:val="center"/>
                  <w:hideMark/>
                </w:tcPr>
                <w:p w:rsidR="00FA4191" w:rsidRPr="003A018D" w:rsidRDefault="00FA4191" w:rsidP="004D22FC">
                  <w:pPr>
                    <w:spacing w:after="0"/>
                    <w:ind w:firstLine="0"/>
                    <w:jc w:val="right"/>
                    <w:rPr>
                      <w:rFonts w:ascii="Arial Narrow" w:hAnsi="Arial Narrow"/>
                      <w:color w:val="000000"/>
                      <w:lang w:eastAsia="es-ES"/>
                    </w:rPr>
                  </w:pPr>
                  <w:r w:rsidRPr="003A018D">
                    <w:rPr>
                      <w:rFonts w:ascii="Arial Narrow" w:hAnsi="Arial Narrow"/>
                      <w:color w:val="000000"/>
                      <w:lang w:eastAsia="es-ES"/>
                    </w:rPr>
                    <w:t>0</w:t>
                  </w:r>
                </w:p>
              </w:tc>
              <w:tc>
                <w:tcPr>
                  <w:tcW w:w="1563" w:type="dxa"/>
                  <w:tcBorders>
                    <w:top w:val="single" w:sz="2" w:space="0" w:color="auto"/>
                    <w:bottom w:val="single" w:sz="2" w:space="0" w:color="auto"/>
                  </w:tcBorders>
                  <w:shd w:val="clear" w:color="000000" w:fill="FFFFFF"/>
                  <w:vAlign w:val="center"/>
                  <w:hideMark/>
                </w:tcPr>
                <w:p w:rsidR="00FA4191" w:rsidRPr="003A018D" w:rsidRDefault="00FA4191" w:rsidP="004D22FC">
                  <w:pPr>
                    <w:spacing w:after="0"/>
                    <w:ind w:right="86" w:firstLine="0"/>
                    <w:jc w:val="right"/>
                    <w:rPr>
                      <w:rFonts w:ascii="Arial Narrow" w:hAnsi="Arial Narrow"/>
                      <w:color w:val="000000"/>
                      <w:lang w:eastAsia="es-ES"/>
                    </w:rPr>
                  </w:pPr>
                  <w:r w:rsidRPr="003A018D">
                    <w:rPr>
                      <w:rFonts w:ascii="Arial Narrow" w:hAnsi="Arial Narrow"/>
                      <w:color w:val="000000"/>
                      <w:lang w:eastAsia="es-ES"/>
                    </w:rPr>
                    <w:t>234.321</w:t>
                  </w:r>
                </w:p>
              </w:tc>
            </w:tr>
            <w:tr w:rsidR="00FA4191" w:rsidRPr="003A018D" w:rsidTr="007F218C">
              <w:trPr>
                <w:trHeight w:val="255"/>
                <w:jc w:val="center"/>
              </w:trPr>
              <w:tc>
                <w:tcPr>
                  <w:tcW w:w="5098" w:type="dxa"/>
                  <w:tcBorders>
                    <w:top w:val="single" w:sz="2" w:space="0" w:color="auto"/>
                    <w:bottom w:val="single" w:sz="2" w:space="0" w:color="auto"/>
                  </w:tcBorders>
                  <w:shd w:val="clear" w:color="auto" w:fill="auto"/>
                  <w:noWrap/>
                  <w:vAlign w:val="center"/>
                  <w:hideMark/>
                </w:tcPr>
                <w:p w:rsidR="00FA4191" w:rsidRPr="003A018D" w:rsidRDefault="00FA4191" w:rsidP="004D22FC">
                  <w:pPr>
                    <w:spacing w:after="0"/>
                    <w:ind w:firstLine="0"/>
                    <w:rPr>
                      <w:rFonts w:ascii="Arial Narrow" w:hAnsi="Arial Narrow"/>
                      <w:color w:val="000000"/>
                      <w:lang w:eastAsia="es-ES"/>
                    </w:rPr>
                  </w:pPr>
                  <w:r w:rsidRPr="003A018D">
                    <w:rPr>
                      <w:rFonts w:ascii="Arial Narrow" w:hAnsi="Arial Narrow"/>
                      <w:color w:val="000000"/>
                      <w:lang w:eastAsia="es-ES"/>
                    </w:rPr>
                    <w:t>Aparcamiento vehículos pesados</w:t>
                  </w:r>
                </w:p>
              </w:tc>
              <w:tc>
                <w:tcPr>
                  <w:tcW w:w="1103" w:type="dxa"/>
                  <w:tcBorders>
                    <w:top w:val="single" w:sz="2" w:space="0" w:color="auto"/>
                    <w:bottom w:val="single" w:sz="2" w:space="0" w:color="auto"/>
                  </w:tcBorders>
                  <w:shd w:val="clear" w:color="000000" w:fill="FFFFFF"/>
                  <w:vAlign w:val="center"/>
                  <w:hideMark/>
                </w:tcPr>
                <w:p w:rsidR="00FA4191" w:rsidRPr="003A018D" w:rsidRDefault="00FA4191" w:rsidP="004D22FC">
                  <w:pPr>
                    <w:spacing w:after="0"/>
                    <w:ind w:firstLine="0"/>
                    <w:jc w:val="right"/>
                    <w:rPr>
                      <w:rFonts w:ascii="Arial Narrow" w:hAnsi="Arial Narrow"/>
                      <w:color w:val="000000"/>
                      <w:lang w:eastAsia="es-ES"/>
                    </w:rPr>
                  </w:pPr>
                  <w:r w:rsidRPr="003A018D">
                    <w:rPr>
                      <w:rFonts w:ascii="Arial Narrow" w:hAnsi="Arial Narrow"/>
                      <w:color w:val="000000"/>
                      <w:lang w:eastAsia="es-ES"/>
                    </w:rPr>
                    <w:t>25.749</w:t>
                  </w:r>
                </w:p>
              </w:tc>
              <w:tc>
                <w:tcPr>
                  <w:tcW w:w="1154" w:type="dxa"/>
                  <w:tcBorders>
                    <w:top w:val="single" w:sz="2" w:space="0" w:color="auto"/>
                    <w:bottom w:val="single" w:sz="2" w:space="0" w:color="auto"/>
                  </w:tcBorders>
                  <w:shd w:val="clear" w:color="000000" w:fill="FFFFFF"/>
                  <w:vAlign w:val="center"/>
                  <w:hideMark/>
                </w:tcPr>
                <w:p w:rsidR="00FA4191" w:rsidRPr="003A018D" w:rsidRDefault="00FA4191" w:rsidP="004D22FC">
                  <w:pPr>
                    <w:spacing w:after="0"/>
                    <w:ind w:firstLine="0"/>
                    <w:jc w:val="right"/>
                    <w:rPr>
                      <w:rFonts w:ascii="Arial Narrow" w:hAnsi="Arial Narrow"/>
                      <w:color w:val="000000"/>
                      <w:lang w:eastAsia="es-ES"/>
                    </w:rPr>
                  </w:pPr>
                  <w:r w:rsidRPr="003A018D">
                    <w:rPr>
                      <w:rFonts w:ascii="Arial Narrow" w:hAnsi="Arial Narrow"/>
                      <w:color w:val="000000"/>
                      <w:lang w:eastAsia="es-ES"/>
                    </w:rPr>
                    <w:t>0</w:t>
                  </w:r>
                </w:p>
              </w:tc>
              <w:tc>
                <w:tcPr>
                  <w:tcW w:w="1563" w:type="dxa"/>
                  <w:tcBorders>
                    <w:top w:val="single" w:sz="2" w:space="0" w:color="auto"/>
                    <w:bottom w:val="single" w:sz="2" w:space="0" w:color="auto"/>
                  </w:tcBorders>
                  <w:shd w:val="clear" w:color="000000" w:fill="FFFFFF"/>
                  <w:vAlign w:val="center"/>
                  <w:hideMark/>
                </w:tcPr>
                <w:p w:rsidR="00FA4191" w:rsidRPr="003A018D" w:rsidRDefault="00FA4191" w:rsidP="004D22FC">
                  <w:pPr>
                    <w:spacing w:after="0"/>
                    <w:ind w:right="86" w:firstLine="0"/>
                    <w:jc w:val="right"/>
                    <w:rPr>
                      <w:rFonts w:ascii="Arial Narrow" w:hAnsi="Arial Narrow"/>
                      <w:color w:val="000000"/>
                      <w:lang w:eastAsia="es-ES"/>
                    </w:rPr>
                  </w:pPr>
                  <w:r w:rsidRPr="003A018D">
                    <w:rPr>
                      <w:rFonts w:ascii="Arial Narrow" w:hAnsi="Arial Narrow"/>
                      <w:color w:val="000000"/>
                      <w:lang w:eastAsia="es-ES"/>
                    </w:rPr>
                    <w:t>25.749</w:t>
                  </w:r>
                </w:p>
              </w:tc>
            </w:tr>
            <w:tr w:rsidR="00FA4191" w:rsidRPr="003A018D" w:rsidTr="007F218C">
              <w:trPr>
                <w:trHeight w:val="255"/>
                <w:jc w:val="center"/>
              </w:trPr>
              <w:tc>
                <w:tcPr>
                  <w:tcW w:w="5098" w:type="dxa"/>
                  <w:tcBorders>
                    <w:top w:val="single" w:sz="2" w:space="0" w:color="auto"/>
                    <w:bottom w:val="single" w:sz="2" w:space="0" w:color="auto"/>
                  </w:tcBorders>
                  <w:shd w:val="clear" w:color="auto" w:fill="B8CCE4" w:themeFill="accent1" w:themeFillTint="66"/>
                  <w:noWrap/>
                  <w:vAlign w:val="center"/>
                  <w:hideMark/>
                </w:tcPr>
                <w:p w:rsidR="00FA4191" w:rsidRPr="003A018D" w:rsidRDefault="00FA4191" w:rsidP="004D22FC">
                  <w:pPr>
                    <w:widowControl w:val="0"/>
                    <w:spacing w:after="0"/>
                    <w:ind w:firstLine="0"/>
                    <w:rPr>
                      <w:rFonts w:ascii="Arial" w:hAnsi="Arial" w:cs="Arial"/>
                      <w:color w:val="000000"/>
                      <w:sz w:val="18"/>
                      <w:szCs w:val="18"/>
                      <w:lang w:eastAsia="es-ES"/>
                    </w:rPr>
                  </w:pPr>
                  <w:r w:rsidRPr="003A018D">
                    <w:rPr>
                      <w:rFonts w:ascii="Arial" w:hAnsi="Arial" w:cs="Arial"/>
                      <w:color w:val="000000"/>
                      <w:sz w:val="18"/>
                      <w:szCs w:val="18"/>
                      <w:lang w:eastAsia="es-ES"/>
                    </w:rPr>
                    <w:t>Total superficie ampliación</w:t>
                  </w:r>
                  <w:r>
                    <w:rPr>
                      <w:rFonts w:ascii="Arial" w:hAnsi="Arial" w:cs="Arial"/>
                      <w:color w:val="000000"/>
                      <w:sz w:val="18"/>
                      <w:szCs w:val="18"/>
                      <w:lang w:eastAsia="es-ES"/>
                    </w:rPr>
                    <w:t xml:space="preserve"> CT</w:t>
                  </w:r>
                </w:p>
              </w:tc>
              <w:tc>
                <w:tcPr>
                  <w:tcW w:w="1103" w:type="dxa"/>
                  <w:tcBorders>
                    <w:top w:val="single" w:sz="2" w:space="0" w:color="auto"/>
                    <w:bottom w:val="single" w:sz="2" w:space="0" w:color="auto"/>
                  </w:tcBorders>
                  <w:shd w:val="clear" w:color="auto" w:fill="B8CCE4" w:themeFill="accent1" w:themeFillTint="66"/>
                  <w:vAlign w:val="center"/>
                  <w:hideMark/>
                </w:tcPr>
                <w:p w:rsidR="00FA4191" w:rsidRPr="003A018D" w:rsidRDefault="00FA4191" w:rsidP="004D22FC">
                  <w:pPr>
                    <w:widowControl w:val="0"/>
                    <w:spacing w:after="0"/>
                    <w:ind w:firstLine="0"/>
                    <w:jc w:val="right"/>
                    <w:rPr>
                      <w:rFonts w:ascii="Arial" w:hAnsi="Arial" w:cs="Arial"/>
                      <w:color w:val="000000"/>
                      <w:sz w:val="18"/>
                      <w:szCs w:val="18"/>
                      <w:lang w:eastAsia="es-ES"/>
                    </w:rPr>
                  </w:pPr>
                  <w:r w:rsidRPr="003A018D">
                    <w:rPr>
                      <w:rFonts w:ascii="Arial" w:hAnsi="Arial" w:cs="Arial"/>
                      <w:color w:val="000000"/>
                      <w:sz w:val="18"/>
                      <w:szCs w:val="18"/>
                      <w:lang w:eastAsia="es-ES"/>
                    </w:rPr>
                    <w:t>632.936</w:t>
                  </w:r>
                </w:p>
              </w:tc>
              <w:tc>
                <w:tcPr>
                  <w:tcW w:w="1154" w:type="dxa"/>
                  <w:tcBorders>
                    <w:top w:val="single" w:sz="2" w:space="0" w:color="auto"/>
                    <w:bottom w:val="single" w:sz="2" w:space="0" w:color="auto"/>
                  </w:tcBorders>
                  <w:shd w:val="clear" w:color="auto" w:fill="B8CCE4" w:themeFill="accent1" w:themeFillTint="66"/>
                  <w:vAlign w:val="center"/>
                  <w:hideMark/>
                </w:tcPr>
                <w:p w:rsidR="00FA4191" w:rsidRPr="003A018D" w:rsidRDefault="00FA4191" w:rsidP="004D22FC">
                  <w:pPr>
                    <w:widowControl w:val="0"/>
                    <w:spacing w:after="0"/>
                    <w:ind w:firstLine="0"/>
                    <w:jc w:val="right"/>
                    <w:rPr>
                      <w:rFonts w:ascii="Arial" w:hAnsi="Arial" w:cs="Arial"/>
                      <w:color w:val="000000"/>
                      <w:sz w:val="18"/>
                      <w:szCs w:val="18"/>
                      <w:lang w:eastAsia="es-ES"/>
                    </w:rPr>
                  </w:pPr>
                  <w:r w:rsidRPr="003A018D">
                    <w:rPr>
                      <w:rFonts w:ascii="Arial" w:hAnsi="Arial" w:cs="Arial"/>
                      <w:color w:val="000000"/>
                      <w:sz w:val="18"/>
                      <w:szCs w:val="18"/>
                      <w:lang w:eastAsia="es-ES"/>
                    </w:rPr>
                    <w:t>382.738</w:t>
                  </w:r>
                </w:p>
              </w:tc>
              <w:tc>
                <w:tcPr>
                  <w:tcW w:w="1563" w:type="dxa"/>
                  <w:tcBorders>
                    <w:top w:val="single" w:sz="2" w:space="0" w:color="auto"/>
                    <w:bottom w:val="single" w:sz="2" w:space="0" w:color="auto"/>
                  </w:tcBorders>
                  <w:shd w:val="clear" w:color="auto" w:fill="B8CCE4" w:themeFill="accent1" w:themeFillTint="66"/>
                  <w:vAlign w:val="center"/>
                  <w:hideMark/>
                </w:tcPr>
                <w:p w:rsidR="00FA4191" w:rsidRPr="003A018D" w:rsidRDefault="00FA4191" w:rsidP="004D22FC">
                  <w:pPr>
                    <w:widowControl w:val="0"/>
                    <w:spacing w:after="0"/>
                    <w:ind w:right="86" w:firstLine="0"/>
                    <w:jc w:val="right"/>
                    <w:rPr>
                      <w:rFonts w:ascii="Arial" w:hAnsi="Arial" w:cs="Arial"/>
                      <w:color w:val="000000"/>
                      <w:sz w:val="18"/>
                      <w:szCs w:val="18"/>
                      <w:lang w:eastAsia="es-ES"/>
                    </w:rPr>
                  </w:pPr>
                  <w:r w:rsidRPr="003A018D">
                    <w:rPr>
                      <w:rFonts w:ascii="Arial" w:hAnsi="Arial" w:cs="Arial"/>
                      <w:color w:val="000000"/>
                      <w:sz w:val="18"/>
                      <w:szCs w:val="18"/>
                      <w:lang w:eastAsia="es-ES"/>
                    </w:rPr>
                    <w:t>1.015.674</w:t>
                  </w:r>
                </w:p>
              </w:tc>
            </w:tr>
            <w:tr w:rsidR="00FA4191" w:rsidRPr="003A018D" w:rsidTr="007F218C">
              <w:trPr>
                <w:trHeight w:val="255"/>
                <w:jc w:val="center"/>
              </w:trPr>
              <w:tc>
                <w:tcPr>
                  <w:tcW w:w="5098" w:type="dxa"/>
                  <w:tcBorders>
                    <w:top w:val="single" w:sz="2" w:space="0" w:color="auto"/>
                    <w:bottom w:val="single" w:sz="4" w:space="0" w:color="auto"/>
                  </w:tcBorders>
                  <w:shd w:val="clear" w:color="auto" w:fill="B8CCE4" w:themeFill="accent1" w:themeFillTint="66"/>
                  <w:noWrap/>
                  <w:vAlign w:val="center"/>
                  <w:hideMark/>
                </w:tcPr>
                <w:p w:rsidR="00FA4191" w:rsidRPr="003A018D" w:rsidRDefault="00FA4191" w:rsidP="004D22FC">
                  <w:pPr>
                    <w:widowControl w:val="0"/>
                    <w:spacing w:after="0"/>
                    <w:ind w:firstLine="0"/>
                    <w:rPr>
                      <w:rFonts w:ascii="Arial" w:hAnsi="Arial" w:cs="Arial"/>
                      <w:color w:val="000000"/>
                      <w:sz w:val="18"/>
                      <w:szCs w:val="18"/>
                      <w:lang w:eastAsia="es-ES"/>
                    </w:rPr>
                  </w:pPr>
                  <w:r w:rsidRPr="003A018D">
                    <w:rPr>
                      <w:rFonts w:ascii="Arial" w:hAnsi="Arial" w:cs="Arial"/>
                      <w:color w:val="000000"/>
                      <w:sz w:val="18"/>
                      <w:szCs w:val="18"/>
                      <w:lang w:eastAsia="es-ES"/>
                    </w:rPr>
                    <w:t>Total superficie construida</w:t>
                  </w:r>
                </w:p>
              </w:tc>
              <w:tc>
                <w:tcPr>
                  <w:tcW w:w="1103" w:type="dxa"/>
                  <w:tcBorders>
                    <w:top w:val="single" w:sz="2" w:space="0" w:color="auto"/>
                    <w:bottom w:val="single" w:sz="4" w:space="0" w:color="auto"/>
                  </w:tcBorders>
                  <w:shd w:val="clear" w:color="auto" w:fill="B8CCE4" w:themeFill="accent1" w:themeFillTint="66"/>
                  <w:vAlign w:val="center"/>
                  <w:hideMark/>
                </w:tcPr>
                <w:p w:rsidR="00FA4191" w:rsidRPr="003A018D" w:rsidRDefault="00FA4191" w:rsidP="004D22FC">
                  <w:pPr>
                    <w:widowControl w:val="0"/>
                    <w:spacing w:after="0"/>
                    <w:ind w:firstLine="0"/>
                    <w:jc w:val="right"/>
                    <w:rPr>
                      <w:rFonts w:ascii="Arial" w:hAnsi="Arial" w:cs="Arial"/>
                      <w:color w:val="000000"/>
                      <w:sz w:val="18"/>
                      <w:szCs w:val="18"/>
                      <w:lang w:eastAsia="es-ES"/>
                    </w:rPr>
                  </w:pPr>
                  <w:r w:rsidRPr="003A018D">
                    <w:rPr>
                      <w:rFonts w:ascii="Arial" w:hAnsi="Arial" w:cs="Arial"/>
                      <w:color w:val="000000"/>
                      <w:sz w:val="18"/>
                      <w:szCs w:val="18"/>
                      <w:lang w:eastAsia="es-ES"/>
                    </w:rPr>
                    <w:t>248.059</w:t>
                  </w:r>
                </w:p>
              </w:tc>
              <w:tc>
                <w:tcPr>
                  <w:tcW w:w="1154" w:type="dxa"/>
                  <w:tcBorders>
                    <w:top w:val="single" w:sz="2" w:space="0" w:color="auto"/>
                    <w:bottom w:val="single" w:sz="4" w:space="0" w:color="auto"/>
                  </w:tcBorders>
                  <w:shd w:val="clear" w:color="auto" w:fill="B8CCE4" w:themeFill="accent1" w:themeFillTint="66"/>
                  <w:vAlign w:val="center"/>
                  <w:hideMark/>
                </w:tcPr>
                <w:p w:rsidR="00FA4191" w:rsidRPr="003A018D" w:rsidRDefault="00FA4191" w:rsidP="004D22FC">
                  <w:pPr>
                    <w:widowControl w:val="0"/>
                    <w:spacing w:after="0"/>
                    <w:ind w:firstLine="0"/>
                    <w:jc w:val="right"/>
                    <w:rPr>
                      <w:rFonts w:ascii="Arial" w:hAnsi="Arial" w:cs="Arial"/>
                      <w:color w:val="000000"/>
                      <w:sz w:val="18"/>
                      <w:szCs w:val="18"/>
                      <w:lang w:eastAsia="es-ES"/>
                    </w:rPr>
                  </w:pPr>
                  <w:r w:rsidRPr="003A018D">
                    <w:rPr>
                      <w:rFonts w:ascii="Arial" w:hAnsi="Arial" w:cs="Arial"/>
                      <w:color w:val="000000"/>
                      <w:sz w:val="18"/>
                      <w:szCs w:val="18"/>
                      <w:lang w:eastAsia="es-ES"/>
                    </w:rPr>
                    <w:t>161.461</w:t>
                  </w:r>
                </w:p>
              </w:tc>
              <w:tc>
                <w:tcPr>
                  <w:tcW w:w="1563" w:type="dxa"/>
                  <w:tcBorders>
                    <w:top w:val="single" w:sz="2" w:space="0" w:color="auto"/>
                    <w:bottom w:val="single" w:sz="4" w:space="0" w:color="auto"/>
                  </w:tcBorders>
                  <w:shd w:val="clear" w:color="auto" w:fill="B8CCE4" w:themeFill="accent1" w:themeFillTint="66"/>
                  <w:vAlign w:val="center"/>
                  <w:hideMark/>
                </w:tcPr>
                <w:p w:rsidR="00FA4191" w:rsidRPr="003A018D" w:rsidRDefault="00FA4191" w:rsidP="004D22FC">
                  <w:pPr>
                    <w:widowControl w:val="0"/>
                    <w:spacing w:after="0"/>
                    <w:ind w:right="86" w:firstLine="0"/>
                    <w:jc w:val="right"/>
                    <w:rPr>
                      <w:rFonts w:ascii="Arial" w:hAnsi="Arial" w:cs="Arial"/>
                      <w:color w:val="000000"/>
                      <w:sz w:val="18"/>
                      <w:szCs w:val="18"/>
                      <w:lang w:eastAsia="es-ES"/>
                    </w:rPr>
                  </w:pPr>
                  <w:r w:rsidRPr="003A018D">
                    <w:rPr>
                      <w:rFonts w:ascii="Arial" w:hAnsi="Arial" w:cs="Arial"/>
                      <w:color w:val="000000"/>
                      <w:sz w:val="18"/>
                      <w:szCs w:val="18"/>
                      <w:lang w:eastAsia="es-ES"/>
                    </w:rPr>
                    <w:t>409.520</w:t>
                  </w:r>
                </w:p>
              </w:tc>
            </w:tr>
          </w:tbl>
          <w:p w:rsidR="00FA4191" w:rsidRPr="001E7752" w:rsidRDefault="00FA4191" w:rsidP="004D22FC">
            <w:pPr>
              <w:pStyle w:val="texto"/>
              <w:tabs>
                <w:tab w:val="clear" w:pos="2835"/>
                <w:tab w:val="clear" w:pos="3969"/>
                <w:tab w:val="clear" w:pos="5103"/>
                <w:tab w:val="clear" w:pos="6237"/>
                <w:tab w:val="clear" w:pos="7371"/>
                <w:tab w:val="num" w:pos="600"/>
              </w:tabs>
              <w:spacing w:after="0"/>
              <w:rPr>
                <w:szCs w:val="26"/>
              </w:rPr>
            </w:pPr>
          </w:p>
        </w:tc>
      </w:tr>
    </w:tbl>
    <w:p w:rsidR="005E356C" w:rsidRDefault="005E356C" w:rsidP="00C54F50">
      <w:pPr>
        <w:pStyle w:val="texto"/>
        <w:tabs>
          <w:tab w:val="clear" w:pos="2835"/>
          <w:tab w:val="clear" w:pos="3969"/>
          <w:tab w:val="clear" w:pos="5103"/>
          <w:tab w:val="clear" w:pos="6237"/>
          <w:tab w:val="clear" w:pos="7371"/>
        </w:tabs>
        <w:spacing w:after="0"/>
        <w:rPr>
          <w:szCs w:val="26"/>
        </w:rPr>
      </w:pPr>
    </w:p>
    <w:p w:rsidR="00FA4191" w:rsidRDefault="00B56BB6" w:rsidP="00FA4191">
      <w:pPr>
        <w:pStyle w:val="texto"/>
        <w:tabs>
          <w:tab w:val="clear" w:pos="2835"/>
          <w:tab w:val="clear" w:pos="3969"/>
          <w:tab w:val="clear" w:pos="5103"/>
          <w:tab w:val="clear" w:pos="6237"/>
          <w:tab w:val="clear" w:pos="7371"/>
        </w:tabs>
        <w:rPr>
          <w:szCs w:val="26"/>
        </w:rPr>
      </w:pPr>
      <w:r w:rsidRPr="00C54F50">
        <w:rPr>
          <w:b/>
          <w:szCs w:val="26"/>
        </w:rPr>
        <w:t>1</w:t>
      </w:r>
      <w:r w:rsidR="009B475D" w:rsidRPr="00C54F50">
        <w:rPr>
          <w:b/>
          <w:szCs w:val="26"/>
        </w:rPr>
        <w:t>7</w:t>
      </w:r>
      <w:r w:rsidR="00C54F50" w:rsidRPr="00C54F50">
        <w:rPr>
          <w:b/>
          <w:szCs w:val="26"/>
        </w:rPr>
        <w:t>.</w:t>
      </w:r>
      <w:r w:rsidRPr="00C54F50">
        <w:rPr>
          <w:b/>
          <w:szCs w:val="26"/>
        </w:rPr>
        <w:t>ª</w:t>
      </w:r>
      <w:r>
        <w:rPr>
          <w:szCs w:val="26"/>
        </w:rPr>
        <w:t xml:space="preserve"> </w:t>
      </w:r>
      <w:r w:rsidR="00FA4191">
        <w:rPr>
          <w:szCs w:val="26"/>
        </w:rPr>
        <w:t>Sobre las modificaciones de</w:t>
      </w:r>
      <w:r w:rsidR="005929D2">
        <w:rPr>
          <w:szCs w:val="26"/>
        </w:rPr>
        <w:t xml:space="preserve"> este nuevo</w:t>
      </w:r>
      <w:r w:rsidR="00FA4191">
        <w:rPr>
          <w:szCs w:val="26"/>
        </w:rPr>
        <w:t xml:space="preserve"> PSIS de la ampliación de la CT</w:t>
      </w:r>
      <w:r w:rsidR="005929D2">
        <w:rPr>
          <w:szCs w:val="26"/>
        </w:rPr>
        <w:t>, señalamos:</w:t>
      </w:r>
    </w:p>
    <w:p w:rsidR="000B1137" w:rsidRDefault="00FA4191" w:rsidP="00B56BB6">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sidRPr="000B1137">
        <w:rPr>
          <w:szCs w:val="26"/>
        </w:rPr>
        <w:t xml:space="preserve"> La primera (200</w:t>
      </w:r>
      <w:r w:rsidR="004E7A29">
        <w:rPr>
          <w:szCs w:val="26"/>
        </w:rPr>
        <w:t>6</w:t>
      </w:r>
      <w:r w:rsidRPr="000B1137">
        <w:rPr>
          <w:szCs w:val="26"/>
        </w:rPr>
        <w:t>), para acomodar el PSIS a la propuesta</w:t>
      </w:r>
      <w:r w:rsidR="005E356C">
        <w:rPr>
          <w:szCs w:val="26"/>
        </w:rPr>
        <w:t xml:space="preserve"> de </w:t>
      </w:r>
      <w:r w:rsidR="00E306E4">
        <w:rPr>
          <w:szCs w:val="26"/>
        </w:rPr>
        <w:t xml:space="preserve">variantes o </w:t>
      </w:r>
      <w:r w:rsidR="005E356C">
        <w:rPr>
          <w:szCs w:val="26"/>
        </w:rPr>
        <w:t>mejoras</w:t>
      </w:r>
      <w:r w:rsidRPr="000B1137">
        <w:rPr>
          <w:szCs w:val="26"/>
        </w:rPr>
        <w:t xml:space="preserve"> presentada por la UTE ganadora del concurso de la 3ª fase de la CT</w:t>
      </w:r>
      <w:r w:rsidR="00E306E4">
        <w:rPr>
          <w:szCs w:val="26"/>
        </w:rPr>
        <w:t xml:space="preserve"> y aceptadas previamente por la sociedad gestora</w:t>
      </w:r>
      <w:r w:rsidRPr="000B1137">
        <w:rPr>
          <w:szCs w:val="26"/>
        </w:rPr>
        <w:t>.</w:t>
      </w:r>
      <w:r w:rsidRPr="000B1137">
        <w:rPr>
          <w:i/>
          <w:szCs w:val="26"/>
        </w:rPr>
        <w:t xml:space="preserve"> </w:t>
      </w:r>
      <w:r w:rsidRPr="000B1137">
        <w:rPr>
          <w:szCs w:val="26"/>
        </w:rPr>
        <w:t>El objeto de esta modificación no afecta a</w:t>
      </w:r>
      <w:r w:rsidRPr="00A677C5">
        <w:t xml:space="preserve"> las determina</w:t>
      </w:r>
      <w:r>
        <w:t xml:space="preserve">ciones fundamentales del </w:t>
      </w:r>
      <w:r w:rsidRPr="00A677C5">
        <w:t>PSIS de la ampliación y es respetuosa con sus estándares urbanísticos, incrementa las superficies destin</w:t>
      </w:r>
      <w:r w:rsidRPr="00A677C5">
        <w:t>a</w:t>
      </w:r>
      <w:r w:rsidRPr="00A677C5">
        <w:t>das a espacios libres, zonas verdes, viales y aparcamientos</w:t>
      </w:r>
      <w:r>
        <w:t xml:space="preserve">, quedando como </w:t>
      </w:r>
      <w:r w:rsidRPr="000B1137">
        <w:rPr>
          <w:szCs w:val="26"/>
        </w:rPr>
        <w:t>parcela privada los 30.000 m</w:t>
      </w:r>
      <w:r w:rsidRPr="000B1137">
        <w:rPr>
          <w:szCs w:val="26"/>
          <w:vertAlign w:val="superscript"/>
        </w:rPr>
        <w:t>2</w:t>
      </w:r>
      <w:r w:rsidRPr="000B1137">
        <w:rPr>
          <w:szCs w:val="26"/>
        </w:rPr>
        <w:t xml:space="preserve"> de la franja arbolada del límite Este de la a</w:t>
      </w:r>
      <w:r w:rsidRPr="000B1137">
        <w:rPr>
          <w:szCs w:val="26"/>
        </w:rPr>
        <w:t>m</w:t>
      </w:r>
      <w:r w:rsidRPr="000B1137">
        <w:rPr>
          <w:szCs w:val="26"/>
        </w:rPr>
        <w:t>pliación y se mantiene prácticamente igual la edificabilidad y el aprovech</w:t>
      </w:r>
      <w:r w:rsidRPr="000B1137">
        <w:rPr>
          <w:szCs w:val="26"/>
        </w:rPr>
        <w:t>a</w:t>
      </w:r>
      <w:r w:rsidRPr="000B1137">
        <w:rPr>
          <w:szCs w:val="26"/>
        </w:rPr>
        <w:t xml:space="preserve">miento tipo. </w:t>
      </w:r>
    </w:p>
    <w:p w:rsidR="00FA4191" w:rsidRPr="000B1137" w:rsidRDefault="00FA4191" w:rsidP="00B56BB6">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sidRPr="000B1137">
        <w:rPr>
          <w:szCs w:val="26"/>
        </w:rPr>
        <w:t>Está en trámite actualmente una segunda modificación para adecuar los uso</w:t>
      </w:r>
      <w:r w:rsidR="000B1137">
        <w:rPr>
          <w:szCs w:val="26"/>
        </w:rPr>
        <w:t xml:space="preserve">s de los terrenos </w:t>
      </w:r>
      <w:r w:rsidRPr="000B1137">
        <w:rPr>
          <w:szCs w:val="26"/>
        </w:rPr>
        <w:t>a</w:t>
      </w:r>
      <w:r w:rsidR="000B1137">
        <w:rPr>
          <w:szCs w:val="26"/>
        </w:rPr>
        <w:t>l replanteamiento de la configuración de la 4ª fase</w:t>
      </w:r>
      <w:r w:rsidRPr="000B1137">
        <w:rPr>
          <w:szCs w:val="26"/>
        </w:rPr>
        <w:t xml:space="preserve"> y una vez descartado, a medio plazo, su conexión directa con la red ferroviaria.</w:t>
      </w:r>
    </w:p>
    <w:p w:rsidR="00FA4191" w:rsidRPr="00D646C1" w:rsidRDefault="00FA4191" w:rsidP="00FA4191">
      <w:pPr>
        <w:pStyle w:val="texto"/>
        <w:tabs>
          <w:tab w:val="clear" w:pos="2835"/>
          <w:tab w:val="clear" w:pos="3969"/>
          <w:tab w:val="clear" w:pos="5103"/>
          <w:tab w:val="clear" w:pos="6237"/>
          <w:tab w:val="clear" w:pos="7371"/>
        </w:tabs>
        <w:rPr>
          <w:szCs w:val="26"/>
        </w:rPr>
      </w:pPr>
      <w:r w:rsidRPr="00C54F50">
        <w:rPr>
          <w:b/>
          <w:szCs w:val="26"/>
        </w:rPr>
        <w:t>1</w:t>
      </w:r>
      <w:r w:rsidR="009B475D" w:rsidRPr="00C54F50">
        <w:rPr>
          <w:b/>
          <w:szCs w:val="26"/>
        </w:rPr>
        <w:t>8</w:t>
      </w:r>
      <w:r w:rsidR="00C54F50" w:rsidRPr="00C54F50">
        <w:rPr>
          <w:b/>
          <w:szCs w:val="26"/>
        </w:rPr>
        <w:t>.</w:t>
      </w:r>
      <w:r w:rsidRPr="00C54F50">
        <w:rPr>
          <w:b/>
          <w:szCs w:val="26"/>
        </w:rPr>
        <w:t>ª</w:t>
      </w:r>
      <w:r w:rsidRPr="00D646C1">
        <w:rPr>
          <w:szCs w:val="26"/>
        </w:rPr>
        <w:t xml:space="preserve"> De la revisión efectuada sobre la tramitación y aprobación del PSIS s</w:t>
      </w:r>
      <w:r w:rsidRPr="00D646C1">
        <w:rPr>
          <w:szCs w:val="26"/>
        </w:rPr>
        <w:t>o</w:t>
      </w:r>
      <w:r w:rsidRPr="00D646C1">
        <w:rPr>
          <w:szCs w:val="26"/>
        </w:rPr>
        <w:t>bre la ampliación de la CT concluimos que, en términos generales, se ha ad</w:t>
      </w:r>
      <w:r w:rsidRPr="00D646C1">
        <w:rPr>
          <w:szCs w:val="26"/>
        </w:rPr>
        <w:t>e</w:t>
      </w:r>
      <w:r w:rsidRPr="00D646C1">
        <w:rPr>
          <w:szCs w:val="26"/>
        </w:rPr>
        <w:t>cuado a lo establecido en los artículos 43 y 45 de la Ley Foral 35/2002, de 20 de diciembre, de Ordenación del Territorio y Urbanismo.</w:t>
      </w:r>
    </w:p>
    <w:p w:rsidR="00FA4191" w:rsidRDefault="00FA4191" w:rsidP="007F218C">
      <w:pPr>
        <w:pStyle w:val="texto"/>
        <w:tabs>
          <w:tab w:val="clear" w:pos="2835"/>
          <w:tab w:val="clear" w:pos="3969"/>
          <w:tab w:val="clear" w:pos="5103"/>
          <w:tab w:val="clear" w:pos="6237"/>
          <w:tab w:val="clear" w:pos="7371"/>
        </w:tabs>
        <w:spacing w:after="240"/>
        <w:rPr>
          <w:szCs w:val="26"/>
        </w:rPr>
      </w:pPr>
      <w:r w:rsidRPr="00D646C1">
        <w:rPr>
          <w:szCs w:val="26"/>
        </w:rPr>
        <w:t xml:space="preserve">La modificación de este PSIS se ha tramitado siguiendo y cumpliendo los requisitos necesarios para </w:t>
      </w:r>
      <w:r w:rsidR="005929D2" w:rsidRPr="00D646C1">
        <w:rPr>
          <w:szCs w:val="26"/>
        </w:rPr>
        <w:t>la</w:t>
      </w:r>
      <w:r w:rsidRPr="00D646C1">
        <w:rPr>
          <w:szCs w:val="26"/>
        </w:rPr>
        <w:t xml:space="preserve"> aprobación de un PSIS</w:t>
      </w:r>
      <w:r w:rsidR="005929D2" w:rsidRPr="00D646C1">
        <w:rPr>
          <w:szCs w:val="26"/>
        </w:rPr>
        <w:t>, lo</w:t>
      </w:r>
      <w:r w:rsidR="004E7A29">
        <w:rPr>
          <w:szCs w:val="26"/>
        </w:rPr>
        <w:t xml:space="preserve"> que resulta razonable</w:t>
      </w:r>
      <w:r w:rsidR="005929D2" w:rsidRPr="00D646C1">
        <w:rPr>
          <w:szCs w:val="26"/>
        </w:rPr>
        <w:t xml:space="preserve"> tenido en cuenta que se trata de una revisión del mismo. </w:t>
      </w:r>
      <w:r w:rsidR="009D2288">
        <w:rPr>
          <w:szCs w:val="26"/>
        </w:rPr>
        <w:t>Su justificación se e</w:t>
      </w:r>
      <w:r w:rsidR="009D2288">
        <w:rPr>
          <w:szCs w:val="26"/>
        </w:rPr>
        <w:t>n</w:t>
      </w:r>
      <w:r w:rsidR="009D2288">
        <w:rPr>
          <w:szCs w:val="26"/>
        </w:rPr>
        <w:t xml:space="preserve">cuentra en la aceptación por la sociedad gestora de las variantes y mejoras </w:t>
      </w:r>
      <w:r w:rsidR="00C84CCD">
        <w:rPr>
          <w:szCs w:val="26"/>
        </w:rPr>
        <w:t>co</w:t>
      </w:r>
      <w:r w:rsidR="00C84CCD">
        <w:rPr>
          <w:szCs w:val="26"/>
        </w:rPr>
        <w:t>n</w:t>
      </w:r>
      <w:r w:rsidR="00C84CCD">
        <w:rPr>
          <w:szCs w:val="26"/>
        </w:rPr>
        <w:t>templadas</w:t>
      </w:r>
      <w:r w:rsidR="009D2288">
        <w:rPr>
          <w:szCs w:val="26"/>
        </w:rPr>
        <w:t xml:space="preserve"> en la propuesta presentada por la UTE.</w:t>
      </w:r>
    </w:p>
    <w:p w:rsidR="00E94F98" w:rsidRPr="004D22FC" w:rsidRDefault="00E94F98" w:rsidP="00E94F98">
      <w:pPr>
        <w:pStyle w:val="atitulo2"/>
        <w:rPr>
          <w:spacing w:val="6"/>
        </w:rPr>
      </w:pPr>
      <w:bookmarkStart w:id="40" w:name="_Toc515531872"/>
      <w:r w:rsidRPr="004D22FC">
        <w:rPr>
          <w:spacing w:val="6"/>
        </w:rPr>
        <w:t>IV.3. El proceso expropiatorio de los terrenos de la Ciudad del Transporte</w:t>
      </w:r>
      <w:bookmarkEnd w:id="40"/>
    </w:p>
    <w:p w:rsidR="00E94F98" w:rsidRDefault="00A62F1C" w:rsidP="00E94F98">
      <w:pPr>
        <w:pStyle w:val="texto"/>
        <w:tabs>
          <w:tab w:val="clear" w:pos="2835"/>
          <w:tab w:val="clear" w:pos="3969"/>
          <w:tab w:val="clear" w:pos="5103"/>
          <w:tab w:val="clear" w:pos="6237"/>
          <w:tab w:val="clear" w:pos="7371"/>
        </w:tabs>
        <w:rPr>
          <w:szCs w:val="26"/>
        </w:rPr>
      </w:pPr>
      <w:r w:rsidRPr="00C54F50">
        <w:rPr>
          <w:b/>
          <w:szCs w:val="26"/>
        </w:rPr>
        <w:t>1</w:t>
      </w:r>
      <w:r w:rsidR="00052A89" w:rsidRPr="00C54F50">
        <w:rPr>
          <w:b/>
          <w:szCs w:val="26"/>
        </w:rPr>
        <w:t>9</w:t>
      </w:r>
      <w:r w:rsidR="00C54F50" w:rsidRPr="00C54F50">
        <w:rPr>
          <w:b/>
          <w:szCs w:val="26"/>
        </w:rPr>
        <w:t>.</w:t>
      </w:r>
      <w:r w:rsidR="00E94F98" w:rsidRPr="00C54F50">
        <w:rPr>
          <w:b/>
          <w:szCs w:val="26"/>
        </w:rPr>
        <w:t>ª</w:t>
      </w:r>
      <w:r w:rsidR="00E94F98">
        <w:rPr>
          <w:szCs w:val="26"/>
        </w:rPr>
        <w:t xml:space="preserve"> Con carácter previo conviene precisar que el Gobierno de Navarra as</w:t>
      </w:r>
      <w:r w:rsidR="00E94F98">
        <w:rPr>
          <w:szCs w:val="26"/>
        </w:rPr>
        <w:t>u</w:t>
      </w:r>
      <w:r w:rsidR="00E94F98">
        <w:rPr>
          <w:szCs w:val="26"/>
        </w:rPr>
        <w:t>mió la financiación de las expropiaciones de los terrenos de la CT a través de:</w:t>
      </w:r>
    </w:p>
    <w:p w:rsidR="00E94F98" w:rsidRDefault="00E94F98" w:rsidP="00E94F98">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Convenio de cooperación firmado en 1993 y 1994 entre la sociedad TTCP, SA y el Gobierno de Navarra por lo que éste financiaba los terrenos de la CT.</w:t>
      </w:r>
    </w:p>
    <w:p w:rsidR="00E94F98" w:rsidRPr="005F5633" w:rsidRDefault="00E94F98" w:rsidP="00E94F98">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Acuerdo del Gobierno de Navarra de 18 de marzo de 2015 en el que se manifiesta la voluntad del Gobierno de Navarra de mantener los compromisos adquiridos en el anterior convenio y de seguir apoyando a Nasuvinsa en el desarrollo de la CT, especialmente en lo referente a los importes para la adqu</w:t>
      </w:r>
      <w:r>
        <w:rPr>
          <w:szCs w:val="26"/>
        </w:rPr>
        <w:t>i</w:t>
      </w:r>
      <w:r>
        <w:rPr>
          <w:szCs w:val="26"/>
        </w:rPr>
        <w:t>sición de los terrenos.</w:t>
      </w:r>
    </w:p>
    <w:p w:rsidR="00E94F98" w:rsidRDefault="00052A89" w:rsidP="00E94F98">
      <w:pPr>
        <w:pStyle w:val="texto"/>
        <w:tabs>
          <w:tab w:val="clear" w:pos="2835"/>
          <w:tab w:val="clear" w:pos="3969"/>
          <w:tab w:val="clear" w:pos="5103"/>
          <w:tab w:val="clear" w:pos="6237"/>
          <w:tab w:val="clear" w:pos="7371"/>
        </w:tabs>
        <w:rPr>
          <w:szCs w:val="26"/>
        </w:rPr>
      </w:pPr>
      <w:r w:rsidRPr="00C54F50">
        <w:rPr>
          <w:b/>
          <w:szCs w:val="26"/>
        </w:rPr>
        <w:t>20</w:t>
      </w:r>
      <w:r w:rsidR="00C54F50" w:rsidRPr="00C54F50">
        <w:rPr>
          <w:b/>
          <w:szCs w:val="26"/>
        </w:rPr>
        <w:t>.</w:t>
      </w:r>
      <w:r w:rsidR="00E94F98" w:rsidRPr="00C54F50">
        <w:rPr>
          <w:b/>
          <w:szCs w:val="26"/>
        </w:rPr>
        <w:t>ª</w:t>
      </w:r>
      <w:r w:rsidR="00E94F98" w:rsidRPr="00080123">
        <w:rPr>
          <w:szCs w:val="26"/>
        </w:rPr>
        <w:t xml:space="preserve"> El p</w:t>
      </w:r>
      <w:r w:rsidR="00E94F98">
        <w:rPr>
          <w:szCs w:val="26"/>
        </w:rPr>
        <w:t>ro</w:t>
      </w:r>
      <w:r w:rsidR="00E94F98" w:rsidRPr="00080123">
        <w:rPr>
          <w:szCs w:val="26"/>
        </w:rPr>
        <w:t>c</w:t>
      </w:r>
      <w:r w:rsidR="00E94F98">
        <w:rPr>
          <w:szCs w:val="26"/>
        </w:rPr>
        <w:t>e</w:t>
      </w:r>
      <w:r w:rsidR="00E94F98" w:rsidRPr="00080123">
        <w:rPr>
          <w:szCs w:val="26"/>
        </w:rPr>
        <w:t>so exp</w:t>
      </w:r>
      <w:r w:rsidR="00E94F98">
        <w:rPr>
          <w:szCs w:val="26"/>
        </w:rPr>
        <w:t>ropiatorio d</w:t>
      </w:r>
      <w:r w:rsidR="00E94F98" w:rsidRPr="00080123">
        <w:rPr>
          <w:szCs w:val="26"/>
        </w:rPr>
        <w:t>e</w:t>
      </w:r>
      <w:r w:rsidR="00E94F98">
        <w:rPr>
          <w:szCs w:val="26"/>
        </w:rPr>
        <w:t xml:space="preserve"> </w:t>
      </w:r>
      <w:r w:rsidR="00E94F98" w:rsidRPr="00080123">
        <w:rPr>
          <w:szCs w:val="26"/>
        </w:rPr>
        <w:t>los terrenos de la CT ha sido largo, compl</w:t>
      </w:r>
      <w:r w:rsidR="00E94F98" w:rsidRPr="00080123">
        <w:rPr>
          <w:szCs w:val="26"/>
        </w:rPr>
        <w:t>e</w:t>
      </w:r>
      <w:r w:rsidR="00E94F98" w:rsidRPr="00080123">
        <w:rPr>
          <w:szCs w:val="26"/>
        </w:rPr>
        <w:t>jo</w:t>
      </w:r>
      <w:r w:rsidR="00E94F98">
        <w:rPr>
          <w:szCs w:val="26"/>
        </w:rPr>
        <w:t>, con una judicialización relevante y, finalmente, con una importante reperc</w:t>
      </w:r>
      <w:r w:rsidR="00E94F98">
        <w:rPr>
          <w:szCs w:val="26"/>
        </w:rPr>
        <w:t>u</w:t>
      </w:r>
      <w:r w:rsidR="000F1239">
        <w:rPr>
          <w:szCs w:val="26"/>
        </w:rPr>
        <w:t xml:space="preserve">sión </w:t>
      </w:r>
      <w:r w:rsidR="00E94F98">
        <w:rPr>
          <w:szCs w:val="26"/>
        </w:rPr>
        <w:t xml:space="preserve">sobre los recursos públicos. </w:t>
      </w:r>
    </w:p>
    <w:p w:rsidR="00E94F98" w:rsidRDefault="00E94F98" w:rsidP="00E94F98">
      <w:pPr>
        <w:pStyle w:val="texto"/>
        <w:tabs>
          <w:tab w:val="clear" w:pos="2835"/>
          <w:tab w:val="clear" w:pos="3969"/>
          <w:tab w:val="clear" w:pos="5103"/>
          <w:tab w:val="clear" w:pos="6237"/>
          <w:tab w:val="clear" w:pos="7371"/>
        </w:tabs>
        <w:rPr>
          <w:szCs w:val="26"/>
        </w:rPr>
      </w:pPr>
      <w:r>
        <w:rPr>
          <w:szCs w:val="26"/>
        </w:rPr>
        <w:t>Así, prácticamente no existieron acuerdos amistosos con los propietarios por lo que hubo de acudirse al Jurado de Expropiación; las resoluciones de éste fueros recurridas –bien por los propietarios, bien por el Gobierno de Navarra o por ambos</w:t>
      </w:r>
      <w:r w:rsidR="007F218C">
        <w:rPr>
          <w:szCs w:val="26"/>
        </w:rPr>
        <w:t>–</w:t>
      </w:r>
      <w:r>
        <w:rPr>
          <w:szCs w:val="26"/>
        </w:rPr>
        <w:t xml:space="preserve"> ante la Sala de lo Contencioso-Administrativo del Tribunal Sup</w:t>
      </w:r>
      <w:r>
        <w:rPr>
          <w:szCs w:val="26"/>
        </w:rPr>
        <w:t>e</w:t>
      </w:r>
      <w:r>
        <w:rPr>
          <w:szCs w:val="26"/>
        </w:rPr>
        <w:t>rior de J</w:t>
      </w:r>
      <w:r w:rsidR="000F1239">
        <w:rPr>
          <w:szCs w:val="26"/>
        </w:rPr>
        <w:t xml:space="preserve">usticia de Navarra (TSJN); y, </w:t>
      </w:r>
      <w:r w:rsidR="005C3FA9">
        <w:rPr>
          <w:szCs w:val="26"/>
        </w:rPr>
        <w:t>finalmente, en</w:t>
      </w:r>
      <w:r>
        <w:rPr>
          <w:szCs w:val="26"/>
        </w:rPr>
        <w:t xml:space="preserve"> casación</w:t>
      </w:r>
      <w:r w:rsidR="000F1239">
        <w:rPr>
          <w:szCs w:val="26"/>
        </w:rPr>
        <w:t>,</w:t>
      </w:r>
      <w:r>
        <w:rPr>
          <w:szCs w:val="26"/>
        </w:rPr>
        <w:t xml:space="preserve"> ante el Tribunal Supremo, con cuyo fallo finalizaba el proceso judicial.</w:t>
      </w:r>
    </w:p>
    <w:p w:rsidR="00E94F98" w:rsidRDefault="00BB0DF9" w:rsidP="00E94F98">
      <w:pPr>
        <w:pStyle w:val="texto"/>
        <w:tabs>
          <w:tab w:val="clear" w:pos="2835"/>
          <w:tab w:val="clear" w:pos="3969"/>
          <w:tab w:val="clear" w:pos="5103"/>
          <w:tab w:val="clear" w:pos="6237"/>
          <w:tab w:val="clear" w:pos="7371"/>
        </w:tabs>
        <w:rPr>
          <w:szCs w:val="26"/>
        </w:rPr>
      </w:pPr>
      <w:r>
        <w:rPr>
          <w:szCs w:val="26"/>
        </w:rPr>
        <w:t>E</w:t>
      </w:r>
      <w:r w:rsidR="00E94F98">
        <w:rPr>
          <w:szCs w:val="26"/>
        </w:rPr>
        <w:t>l proceso expropiatorio de los terrenos de la 1ª y 2ª fase se inicia a primeros de 1994 y los últimos pagos se efectúan en 2007; sobre la 3ª y 4ª fase, se inicia a primeros de 2005 y los últimos pagos se efectúan en 2017.</w:t>
      </w:r>
    </w:p>
    <w:p w:rsidR="00D62876" w:rsidRDefault="00D62876" w:rsidP="007F218C">
      <w:pPr>
        <w:pStyle w:val="texto"/>
        <w:tabs>
          <w:tab w:val="clear" w:pos="2835"/>
          <w:tab w:val="clear" w:pos="3969"/>
          <w:tab w:val="clear" w:pos="5103"/>
          <w:tab w:val="clear" w:pos="6237"/>
          <w:tab w:val="clear" w:pos="7371"/>
        </w:tabs>
        <w:spacing w:after="240"/>
        <w:rPr>
          <w:szCs w:val="26"/>
        </w:rPr>
      </w:pPr>
    </w:p>
    <w:p w:rsidR="00D62876" w:rsidRDefault="00D62876" w:rsidP="007F218C">
      <w:pPr>
        <w:pStyle w:val="texto"/>
        <w:tabs>
          <w:tab w:val="clear" w:pos="2835"/>
          <w:tab w:val="clear" w:pos="3969"/>
          <w:tab w:val="clear" w:pos="5103"/>
          <w:tab w:val="clear" w:pos="6237"/>
          <w:tab w:val="clear" w:pos="7371"/>
        </w:tabs>
        <w:spacing w:after="240"/>
        <w:rPr>
          <w:szCs w:val="26"/>
        </w:rPr>
      </w:pPr>
    </w:p>
    <w:p w:rsidR="00D62876" w:rsidRDefault="00D62876" w:rsidP="007F218C">
      <w:pPr>
        <w:pStyle w:val="texto"/>
        <w:tabs>
          <w:tab w:val="clear" w:pos="2835"/>
          <w:tab w:val="clear" w:pos="3969"/>
          <w:tab w:val="clear" w:pos="5103"/>
          <w:tab w:val="clear" w:pos="6237"/>
          <w:tab w:val="clear" w:pos="7371"/>
        </w:tabs>
        <w:spacing w:after="240"/>
        <w:rPr>
          <w:szCs w:val="26"/>
        </w:rPr>
      </w:pPr>
    </w:p>
    <w:p w:rsidR="00D62876" w:rsidRDefault="00D62876" w:rsidP="007F218C">
      <w:pPr>
        <w:pStyle w:val="texto"/>
        <w:tabs>
          <w:tab w:val="clear" w:pos="2835"/>
          <w:tab w:val="clear" w:pos="3969"/>
          <w:tab w:val="clear" w:pos="5103"/>
          <w:tab w:val="clear" w:pos="6237"/>
          <w:tab w:val="clear" w:pos="7371"/>
        </w:tabs>
        <w:spacing w:after="240"/>
        <w:rPr>
          <w:szCs w:val="26"/>
        </w:rPr>
      </w:pPr>
    </w:p>
    <w:p w:rsidR="00E94F98" w:rsidRDefault="00B56BB6" w:rsidP="007F218C">
      <w:pPr>
        <w:pStyle w:val="texto"/>
        <w:tabs>
          <w:tab w:val="clear" w:pos="2835"/>
          <w:tab w:val="clear" w:pos="3969"/>
          <w:tab w:val="clear" w:pos="5103"/>
          <w:tab w:val="clear" w:pos="6237"/>
          <w:tab w:val="clear" w:pos="7371"/>
        </w:tabs>
        <w:spacing w:after="240"/>
        <w:rPr>
          <w:szCs w:val="26"/>
        </w:rPr>
      </w:pPr>
      <w:r w:rsidRPr="00C54F50">
        <w:rPr>
          <w:b/>
          <w:szCs w:val="26"/>
        </w:rPr>
        <w:t>2</w:t>
      </w:r>
      <w:r w:rsidR="00052A89" w:rsidRPr="00C54F50">
        <w:rPr>
          <w:b/>
          <w:szCs w:val="26"/>
        </w:rPr>
        <w:t>1</w:t>
      </w:r>
      <w:r w:rsidR="00C54F50" w:rsidRPr="00C54F50">
        <w:rPr>
          <w:b/>
          <w:szCs w:val="26"/>
        </w:rPr>
        <w:t>.</w:t>
      </w:r>
      <w:r w:rsidR="00E94F98" w:rsidRPr="00C54F50">
        <w:rPr>
          <w:b/>
          <w:szCs w:val="26"/>
        </w:rPr>
        <w:t xml:space="preserve">ª </w:t>
      </w:r>
      <w:r w:rsidR="00BB0DF9">
        <w:rPr>
          <w:szCs w:val="26"/>
        </w:rPr>
        <w:t>Todas las</w:t>
      </w:r>
      <w:r w:rsidR="00AB42DE">
        <w:rPr>
          <w:szCs w:val="26"/>
        </w:rPr>
        <w:t xml:space="preserve"> expropiaciones de la CT se </w:t>
      </w:r>
      <w:r w:rsidR="00BB0DF9">
        <w:rPr>
          <w:szCs w:val="26"/>
        </w:rPr>
        <w:t>efectu</w:t>
      </w:r>
      <w:r w:rsidR="00AB42DE">
        <w:rPr>
          <w:szCs w:val="26"/>
        </w:rPr>
        <w:t>aron</w:t>
      </w:r>
      <w:r w:rsidR="00BB0DF9">
        <w:rPr>
          <w:szCs w:val="26"/>
        </w:rPr>
        <w:t xml:space="preserve"> por </w:t>
      </w:r>
      <w:r w:rsidR="000F1239">
        <w:rPr>
          <w:szCs w:val="26"/>
        </w:rPr>
        <w:t>el p</w:t>
      </w:r>
      <w:r w:rsidR="00AB42DE">
        <w:rPr>
          <w:szCs w:val="26"/>
        </w:rPr>
        <w:t>ro</w:t>
      </w:r>
      <w:r w:rsidR="000F1239">
        <w:rPr>
          <w:szCs w:val="26"/>
        </w:rPr>
        <w:t>cedimiento de urgencia</w:t>
      </w:r>
      <w:r w:rsidR="00AB42DE">
        <w:rPr>
          <w:szCs w:val="26"/>
        </w:rPr>
        <w:t xml:space="preserve">. </w:t>
      </w:r>
      <w:r w:rsidR="00E94F98">
        <w:rPr>
          <w:szCs w:val="26"/>
        </w:rPr>
        <w:t xml:space="preserve">El coste total de las </w:t>
      </w:r>
      <w:r w:rsidR="00BB0DF9">
        <w:rPr>
          <w:szCs w:val="26"/>
        </w:rPr>
        <w:t>mismas</w:t>
      </w:r>
      <w:r w:rsidR="00E94F98">
        <w:rPr>
          <w:szCs w:val="26"/>
        </w:rPr>
        <w:t xml:space="preserve"> ha ascendido a un impor</w:t>
      </w:r>
      <w:r w:rsidR="00BB0DF9">
        <w:rPr>
          <w:szCs w:val="26"/>
        </w:rPr>
        <w:t xml:space="preserve">te </w:t>
      </w:r>
      <w:r w:rsidR="00E94F98">
        <w:rPr>
          <w:szCs w:val="26"/>
        </w:rPr>
        <w:t>de 91,</w:t>
      </w:r>
      <w:r w:rsidR="00535BC4">
        <w:rPr>
          <w:szCs w:val="26"/>
        </w:rPr>
        <w:t>89</w:t>
      </w:r>
      <w:r w:rsidR="00E94F98">
        <w:rPr>
          <w:szCs w:val="26"/>
        </w:rPr>
        <w:t xml:space="preserve"> m</w:t>
      </w:r>
      <w:r w:rsidR="00E94F98">
        <w:rPr>
          <w:szCs w:val="26"/>
        </w:rPr>
        <w:t>i</w:t>
      </w:r>
      <w:r w:rsidR="00E94F98">
        <w:rPr>
          <w:szCs w:val="26"/>
        </w:rPr>
        <w:t>llones de euros, incluido el justiprecio, el premio de afección –cinco por ciento sobre el justiprecio</w:t>
      </w:r>
      <w:r w:rsidR="007F218C">
        <w:rPr>
          <w:szCs w:val="26"/>
        </w:rPr>
        <w:t>–</w:t>
      </w:r>
      <w:r w:rsidR="00E94F98">
        <w:rPr>
          <w:szCs w:val="26"/>
        </w:rPr>
        <w:t xml:space="preserve"> y los intereses legales de demora.</w:t>
      </w:r>
      <w:r w:rsidR="00BE1D2D">
        <w:rPr>
          <w:szCs w:val="26"/>
        </w:rPr>
        <w:t xml:space="preserve"> En concreto:</w:t>
      </w:r>
    </w:p>
    <w:tbl>
      <w:tblPr>
        <w:tblW w:w="8767" w:type="dxa"/>
        <w:jc w:val="center"/>
        <w:tblCellMar>
          <w:left w:w="70" w:type="dxa"/>
          <w:right w:w="70" w:type="dxa"/>
        </w:tblCellMar>
        <w:tblLook w:val="04A0" w:firstRow="1" w:lastRow="0" w:firstColumn="1" w:lastColumn="0" w:noHBand="0" w:noVBand="1"/>
      </w:tblPr>
      <w:tblGrid>
        <w:gridCol w:w="6114"/>
        <w:gridCol w:w="2653"/>
      </w:tblGrid>
      <w:tr w:rsidR="00E94F98" w:rsidRPr="000A2B37" w:rsidTr="00C54F50">
        <w:trPr>
          <w:trHeight w:val="284"/>
          <w:jc w:val="center"/>
        </w:trPr>
        <w:tc>
          <w:tcPr>
            <w:tcW w:w="6114" w:type="dxa"/>
            <w:tcBorders>
              <w:top w:val="single" w:sz="4" w:space="0" w:color="auto"/>
              <w:bottom w:val="single" w:sz="4" w:space="0" w:color="auto"/>
            </w:tcBorders>
            <w:shd w:val="clear" w:color="auto" w:fill="B8CCE4" w:themeFill="accent1" w:themeFillTint="66"/>
            <w:noWrap/>
            <w:vAlign w:val="center"/>
          </w:tcPr>
          <w:p w:rsidR="00E94F98" w:rsidRPr="000A2B37" w:rsidRDefault="00E94F98" w:rsidP="006631AF">
            <w:pPr>
              <w:widowControl w:val="0"/>
              <w:spacing w:after="0"/>
              <w:ind w:firstLine="0"/>
              <w:jc w:val="left"/>
              <w:rPr>
                <w:rFonts w:ascii="Arial" w:hAnsi="Arial" w:cs="Arial"/>
                <w:color w:val="000000"/>
                <w:sz w:val="18"/>
                <w:szCs w:val="18"/>
                <w:lang w:eastAsia="es-ES"/>
              </w:rPr>
            </w:pPr>
            <w:r>
              <w:rPr>
                <w:rFonts w:ascii="Arial" w:hAnsi="Arial" w:cs="Arial"/>
                <w:color w:val="000000"/>
                <w:sz w:val="18"/>
                <w:szCs w:val="18"/>
                <w:lang w:eastAsia="es-ES"/>
              </w:rPr>
              <w:t>Expropiaciones CT</w:t>
            </w:r>
          </w:p>
        </w:tc>
        <w:tc>
          <w:tcPr>
            <w:tcW w:w="2653" w:type="dxa"/>
            <w:tcBorders>
              <w:top w:val="single" w:sz="4" w:space="0" w:color="auto"/>
              <w:bottom w:val="single" w:sz="4" w:space="0" w:color="auto"/>
            </w:tcBorders>
            <w:shd w:val="clear" w:color="auto" w:fill="B8CCE4" w:themeFill="accent1" w:themeFillTint="66"/>
            <w:vAlign w:val="center"/>
          </w:tcPr>
          <w:p w:rsidR="00E94F98" w:rsidRPr="000A2B37" w:rsidRDefault="00E94F98" w:rsidP="00C54F50">
            <w:pPr>
              <w:widowControl w:val="0"/>
              <w:spacing w:after="0"/>
              <w:ind w:left="-5" w:firstLine="0"/>
              <w:jc w:val="right"/>
              <w:rPr>
                <w:rFonts w:ascii="Arial" w:hAnsi="Arial" w:cs="Arial"/>
                <w:color w:val="000000"/>
                <w:sz w:val="18"/>
                <w:szCs w:val="18"/>
                <w:lang w:eastAsia="es-ES"/>
              </w:rPr>
            </w:pPr>
            <w:r>
              <w:rPr>
                <w:rFonts w:ascii="Arial" w:hAnsi="Arial" w:cs="Arial"/>
                <w:color w:val="000000"/>
                <w:sz w:val="18"/>
                <w:szCs w:val="18"/>
                <w:lang w:eastAsia="es-ES"/>
              </w:rPr>
              <w:t>Gasto final</w:t>
            </w:r>
            <w:r w:rsidR="0054724F">
              <w:rPr>
                <w:rFonts w:ascii="Arial" w:hAnsi="Arial" w:cs="Arial"/>
                <w:color w:val="000000"/>
                <w:sz w:val="18"/>
                <w:szCs w:val="18"/>
                <w:lang w:eastAsia="es-ES"/>
              </w:rPr>
              <w:t xml:space="preserve"> (s</w:t>
            </w:r>
            <w:r w:rsidR="005E356C">
              <w:rPr>
                <w:rFonts w:ascii="Arial" w:hAnsi="Arial" w:cs="Arial"/>
                <w:color w:val="000000"/>
                <w:sz w:val="18"/>
                <w:szCs w:val="18"/>
                <w:lang w:eastAsia="es-ES"/>
              </w:rPr>
              <w:t>/</w:t>
            </w:r>
            <w:r w:rsidR="0054724F">
              <w:rPr>
                <w:rFonts w:ascii="Arial" w:hAnsi="Arial" w:cs="Arial"/>
                <w:color w:val="000000"/>
                <w:sz w:val="18"/>
                <w:szCs w:val="18"/>
                <w:lang w:eastAsia="es-ES"/>
              </w:rPr>
              <w:t xml:space="preserve"> sentencias)</w:t>
            </w:r>
          </w:p>
        </w:tc>
      </w:tr>
      <w:tr w:rsidR="00E94F98" w:rsidRPr="00D94497" w:rsidTr="00C54F50">
        <w:trPr>
          <w:trHeight w:val="284"/>
          <w:jc w:val="center"/>
        </w:trPr>
        <w:tc>
          <w:tcPr>
            <w:tcW w:w="6114" w:type="dxa"/>
            <w:tcBorders>
              <w:top w:val="single" w:sz="4" w:space="0" w:color="auto"/>
              <w:bottom w:val="single" w:sz="2" w:space="0" w:color="auto"/>
            </w:tcBorders>
            <w:shd w:val="clear" w:color="auto" w:fill="auto"/>
            <w:noWrap/>
            <w:vAlign w:val="center"/>
          </w:tcPr>
          <w:p w:rsidR="00E94F98" w:rsidRPr="00287369" w:rsidRDefault="00E94F98" w:rsidP="006631AF">
            <w:pPr>
              <w:spacing w:after="0"/>
              <w:ind w:firstLine="0"/>
              <w:jc w:val="left"/>
              <w:rPr>
                <w:rFonts w:ascii="Arial Narrow" w:hAnsi="Arial Narrow"/>
                <w:color w:val="000000"/>
                <w:lang w:eastAsia="es-ES"/>
              </w:rPr>
            </w:pPr>
            <w:r w:rsidRPr="00287369">
              <w:rPr>
                <w:rFonts w:ascii="Arial Narrow" w:hAnsi="Arial Narrow"/>
                <w:color w:val="000000"/>
                <w:lang w:eastAsia="es-ES"/>
              </w:rPr>
              <w:t>Principal (incluido premio afección)</w:t>
            </w:r>
          </w:p>
        </w:tc>
        <w:tc>
          <w:tcPr>
            <w:tcW w:w="2653" w:type="dxa"/>
            <w:tcBorders>
              <w:top w:val="single" w:sz="4" w:space="0" w:color="auto"/>
              <w:bottom w:val="single" w:sz="2" w:space="0" w:color="auto"/>
            </w:tcBorders>
            <w:shd w:val="clear" w:color="auto" w:fill="auto"/>
            <w:noWrap/>
            <w:vAlign w:val="center"/>
          </w:tcPr>
          <w:p w:rsidR="00E94F98" w:rsidRPr="00D94497" w:rsidRDefault="00E94F98" w:rsidP="006631AF">
            <w:pPr>
              <w:spacing w:after="0"/>
              <w:ind w:left="-5" w:firstLine="0"/>
              <w:jc w:val="right"/>
              <w:rPr>
                <w:rFonts w:ascii="Arial Narrow" w:hAnsi="Arial Narrow"/>
                <w:color w:val="000000"/>
                <w:lang w:eastAsia="es-ES"/>
              </w:rPr>
            </w:pPr>
            <w:r>
              <w:rPr>
                <w:rFonts w:ascii="Arial Narrow" w:hAnsi="Arial Narrow"/>
                <w:color w:val="000000"/>
                <w:lang w:eastAsia="es-ES"/>
              </w:rPr>
              <w:t>66.737.310</w:t>
            </w:r>
          </w:p>
        </w:tc>
      </w:tr>
      <w:tr w:rsidR="00E94F98" w:rsidRPr="00D94497" w:rsidTr="00C54F50">
        <w:trPr>
          <w:trHeight w:val="284"/>
          <w:jc w:val="center"/>
        </w:trPr>
        <w:tc>
          <w:tcPr>
            <w:tcW w:w="6114" w:type="dxa"/>
            <w:tcBorders>
              <w:top w:val="single" w:sz="2" w:space="0" w:color="auto"/>
              <w:bottom w:val="single" w:sz="2" w:space="0" w:color="auto"/>
            </w:tcBorders>
            <w:shd w:val="clear" w:color="auto" w:fill="auto"/>
            <w:noWrap/>
            <w:vAlign w:val="center"/>
          </w:tcPr>
          <w:p w:rsidR="00E94F98" w:rsidRPr="00287369" w:rsidRDefault="00E94F98" w:rsidP="006631AF">
            <w:pPr>
              <w:spacing w:after="0"/>
              <w:ind w:firstLine="0"/>
              <w:jc w:val="left"/>
              <w:rPr>
                <w:rFonts w:ascii="Arial Narrow" w:hAnsi="Arial Narrow"/>
                <w:color w:val="000000"/>
                <w:lang w:eastAsia="es-ES"/>
              </w:rPr>
            </w:pPr>
            <w:r w:rsidRPr="00287369">
              <w:rPr>
                <w:rFonts w:ascii="Arial Narrow" w:hAnsi="Arial Narrow"/>
                <w:color w:val="000000"/>
                <w:lang w:eastAsia="es-ES"/>
              </w:rPr>
              <w:t>Intereses legales</w:t>
            </w:r>
          </w:p>
        </w:tc>
        <w:tc>
          <w:tcPr>
            <w:tcW w:w="2653" w:type="dxa"/>
            <w:tcBorders>
              <w:top w:val="single" w:sz="2" w:space="0" w:color="auto"/>
              <w:bottom w:val="single" w:sz="2" w:space="0" w:color="auto"/>
            </w:tcBorders>
            <w:shd w:val="clear" w:color="auto" w:fill="auto"/>
            <w:noWrap/>
            <w:vAlign w:val="center"/>
          </w:tcPr>
          <w:p w:rsidR="00E94F98" w:rsidRPr="00D94497" w:rsidRDefault="009D08F7" w:rsidP="006631AF">
            <w:pPr>
              <w:spacing w:after="0"/>
              <w:ind w:left="-5" w:firstLine="0"/>
              <w:jc w:val="right"/>
              <w:rPr>
                <w:rFonts w:ascii="Arial Narrow" w:hAnsi="Arial Narrow"/>
                <w:color w:val="000000"/>
                <w:lang w:eastAsia="es-ES"/>
              </w:rPr>
            </w:pPr>
            <w:r>
              <w:rPr>
                <w:rFonts w:ascii="Arial Narrow" w:hAnsi="Arial Narrow"/>
                <w:color w:val="000000"/>
                <w:lang w:eastAsia="es-ES"/>
              </w:rPr>
              <w:t>25.148.894</w:t>
            </w:r>
          </w:p>
        </w:tc>
      </w:tr>
      <w:tr w:rsidR="00E94F98" w:rsidRPr="006631AF" w:rsidTr="00C54F50">
        <w:trPr>
          <w:trHeight w:val="284"/>
          <w:jc w:val="center"/>
        </w:trPr>
        <w:tc>
          <w:tcPr>
            <w:tcW w:w="6114" w:type="dxa"/>
            <w:tcBorders>
              <w:top w:val="single" w:sz="2" w:space="0" w:color="auto"/>
              <w:bottom w:val="single" w:sz="2" w:space="0" w:color="auto"/>
            </w:tcBorders>
            <w:shd w:val="clear" w:color="auto" w:fill="B8CCE4" w:themeFill="accent1" w:themeFillTint="66"/>
            <w:noWrap/>
            <w:vAlign w:val="center"/>
          </w:tcPr>
          <w:p w:rsidR="00E94F98" w:rsidRPr="006631AF" w:rsidRDefault="00E94F98" w:rsidP="006631AF">
            <w:pPr>
              <w:widowControl w:val="0"/>
              <w:spacing w:after="0"/>
              <w:ind w:firstLine="0"/>
              <w:jc w:val="left"/>
              <w:rPr>
                <w:rFonts w:ascii="Arial" w:hAnsi="Arial" w:cs="Arial"/>
                <w:color w:val="000000"/>
                <w:sz w:val="18"/>
                <w:szCs w:val="18"/>
                <w:lang w:eastAsia="es-ES"/>
              </w:rPr>
            </w:pPr>
            <w:r w:rsidRPr="006631AF">
              <w:rPr>
                <w:rFonts w:ascii="Arial" w:hAnsi="Arial" w:cs="Arial"/>
                <w:color w:val="000000"/>
                <w:sz w:val="18"/>
                <w:szCs w:val="18"/>
                <w:lang w:eastAsia="es-ES"/>
              </w:rPr>
              <w:t>Total</w:t>
            </w:r>
          </w:p>
        </w:tc>
        <w:tc>
          <w:tcPr>
            <w:tcW w:w="2653" w:type="dxa"/>
            <w:tcBorders>
              <w:top w:val="single" w:sz="2" w:space="0" w:color="auto"/>
              <w:bottom w:val="single" w:sz="2" w:space="0" w:color="auto"/>
            </w:tcBorders>
            <w:shd w:val="clear" w:color="auto" w:fill="B8CCE4" w:themeFill="accent1" w:themeFillTint="66"/>
            <w:noWrap/>
            <w:vAlign w:val="center"/>
          </w:tcPr>
          <w:p w:rsidR="00E94F98" w:rsidRPr="006631AF" w:rsidRDefault="009D08F7" w:rsidP="006631AF">
            <w:pPr>
              <w:spacing w:after="0"/>
              <w:ind w:left="-5" w:firstLine="0"/>
              <w:jc w:val="right"/>
              <w:rPr>
                <w:rFonts w:ascii="Arial" w:hAnsi="Arial" w:cs="Arial"/>
                <w:color w:val="000000"/>
                <w:sz w:val="18"/>
                <w:szCs w:val="18"/>
                <w:lang w:eastAsia="es-ES"/>
              </w:rPr>
            </w:pPr>
            <w:r w:rsidRPr="006631AF">
              <w:rPr>
                <w:rFonts w:ascii="Arial" w:hAnsi="Arial" w:cs="Arial"/>
                <w:color w:val="000000"/>
                <w:sz w:val="18"/>
                <w:szCs w:val="18"/>
                <w:lang w:eastAsia="es-ES"/>
              </w:rPr>
              <w:t>91.886.204</w:t>
            </w:r>
          </w:p>
        </w:tc>
      </w:tr>
      <w:tr w:rsidR="00D0728A" w:rsidRPr="00D94497" w:rsidTr="00C54F50">
        <w:trPr>
          <w:trHeight w:val="284"/>
          <w:jc w:val="center"/>
        </w:trPr>
        <w:tc>
          <w:tcPr>
            <w:tcW w:w="6114" w:type="dxa"/>
            <w:tcBorders>
              <w:top w:val="single" w:sz="2" w:space="0" w:color="auto"/>
              <w:bottom w:val="single" w:sz="2" w:space="0" w:color="auto"/>
            </w:tcBorders>
            <w:shd w:val="clear" w:color="auto" w:fill="auto"/>
            <w:noWrap/>
            <w:vAlign w:val="center"/>
          </w:tcPr>
          <w:p w:rsidR="00D0728A" w:rsidRPr="00287369" w:rsidRDefault="00D0728A" w:rsidP="006631AF">
            <w:pPr>
              <w:widowControl w:val="0"/>
              <w:spacing w:after="0"/>
              <w:ind w:firstLine="0"/>
              <w:jc w:val="left"/>
              <w:rPr>
                <w:rFonts w:ascii="Arial" w:hAnsi="Arial" w:cs="Arial"/>
                <w:color w:val="000000"/>
                <w:sz w:val="18"/>
                <w:szCs w:val="18"/>
                <w:lang w:eastAsia="es-ES"/>
              </w:rPr>
            </w:pPr>
          </w:p>
        </w:tc>
        <w:tc>
          <w:tcPr>
            <w:tcW w:w="2653" w:type="dxa"/>
            <w:tcBorders>
              <w:top w:val="single" w:sz="2" w:space="0" w:color="auto"/>
              <w:bottom w:val="single" w:sz="2" w:space="0" w:color="auto"/>
            </w:tcBorders>
            <w:shd w:val="clear" w:color="auto" w:fill="auto"/>
            <w:noWrap/>
            <w:vAlign w:val="center"/>
          </w:tcPr>
          <w:p w:rsidR="00D0728A" w:rsidRDefault="00D0728A" w:rsidP="006631AF">
            <w:pPr>
              <w:spacing w:after="0"/>
              <w:ind w:left="-5" w:firstLine="0"/>
              <w:jc w:val="right"/>
              <w:rPr>
                <w:rFonts w:ascii="Arial Narrow" w:hAnsi="Arial Narrow"/>
                <w:b/>
                <w:color w:val="000000"/>
                <w:lang w:eastAsia="es-ES"/>
              </w:rPr>
            </w:pPr>
          </w:p>
        </w:tc>
      </w:tr>
      <w:tr w:rsidR="009B475D" w:rsidRPr="006631AF" w:rsidTr="00C54F50">
        <w:trPr>
          <w:trHeight w:val="284"/>
          <w:jc w:val="center"/>
        </w:trPr>
        <w:tc>
          <w:tcPr>
            <w:tcW w:w="6114" w:type="dxa"/>
            <w:tcBorders>
              <w:top w:val="single" w:sz="2" w:space="0" w:color="auto"/>
              <w:bottom w:val="single" w:sz="2" w:space="0" w:color="auto"/>
            </w:tcBorders>
            <w:shd w:val="clear" w:color="auto" w:fill="B8CCE4" w:themeFill="accent1" w:themeFillTint="66"/>
            <w:noWrap/>
            <w:vAlign w:val="center"/>
          </w:tcPr>
          <w:p w:rsidR="009B475D" w:rsidRPr="001F10F1" w:rsidRDefault="009B475D" w:rsidP="006631AF">
            <w:pPr>
              <w:widowControl w:val="0"/>
              <w:spacing w:after="0"/>
              <w:ind w:firstLine="0"/>
              <w:jc w:val="left"/>
              <w:rPr>
                <w:rFonts w:ascii="Arial" w:hAnsi="Arial" w:cs="Arial"/>
                <w:color w:val="000000"/>
                <w:sz w:val="18"/>
                <w:szCs w:val="18"/>
                <w:lang w:eastAsia="es-ES"/>
              </w:rPr>
            </w:pPr>
            <w:r w:rsidRPr="001F10F1">
              <w:rPr>
                <w:rFonts w:ascii="Arial" w:hAnsi="Arial" w:cs="Arial"/>
                <w:color w:val="000000"/>
                <w:sz w:val="18"/>
                <w:szCs w:val="18"/>
                <w:lang w:eastAsia="es-ES"/>
              </w:rPr>
              <w:t>Precio</w:t>
            </w:r>
            <w:r w:rsidR="00D70573" w:rsidRPr="001F10F1">
              <w:rPr>
                <w:rFonts w:ascii="Arial" w:hAnsi="Arial" w:cs="Arial"/>
                <w:color w:val="000000"/>
                <w:sz w:val="18"/>
                <w:szCs w:val="18"/>
                <w:lang w:eastAsia="es-ES"/>
              </w:rPr>
              <w:t xml:space="preserve"> final</w:t>
            </w:r>
            <w:r w:rsidRPr="001F10F1">
              <w:rPr>
                <w:rFonts w:ascii="Arial" w:hAnsi="Arial" w:cs="Arial"/>
                <w:color w:val="000000"/>
                <w:sz w:val="18"/>
                <w:szCs w:val="18"/>
                <w:lang w:eastAsia="es-ES"/>
              </w:rPr>
              <w:t xml:space="preserve">  €/m</w:t>
            </w:r>
            <w:r w:rsidRPr="00383480">
              <w:rPr>
                <w:rFonts w:ascii="Arial" w:hAnsi="Arial" w:cs="Arial"/>
                <w:color w:val="000000"/>
                <w:sz w:val="18"/>
                <w:szCs w:val="18"/>
                <w:vertAlign w:val="superscript"/>
                <w:lang w:eastAsia="es-ES"/>
              </w:rPr>
              <w:t>2</w:t>
            </w:r>
            <w:r w:rsidRPr="001F10F1">
              <w:rPr>
                <w:rFonts w:ascii="Arial" w:hAnsi="Arial" w:cs="Arial"/>
                <w:color w:val="000000"/>
                <w:sz w:val="18"/>
                <w:szCs w:val="18"/>
                <w:lang w:eastAsia="es-ES"/>
              </w:rPr>
              <w:t xml:space="preserve"> (incluido premio afección) 1ª y 2ª fase (2002)</w:t>
            </w:r>
          </w:p>
        </w:tc>
        <w:tc>
          <w:tcPr>
            <w:tcW w:w="2653" w:type="dxa"/>
            <w:tcBorders>
              <w:top w:val="single" w:sz="2" w:space="0" w:color="auto"/>
              <w:bottom w:val="single" w:sz="2" w:space="0" w:color="auto"/>
            </w:tcBorders>
            <w:shd w:val="clear" w:color="auto" w:fill="B8CCE4" w:themeFill="accent1" w:themeFillTint="66"/>
            <w:noWrap/>
            <w:vAlign w:val="center"/>
          </w:tcPr>
          <w:p w:rsidR="009B475D" w:rsidRPr="001F10F1" w:rsidRDefault="009B475D" w:rsidP="006631AF">
            <w:pPr>
              <w:spacing w:after="0"/>
              <w:ind w:left="-5" w:firstLine="0"/>
              <w:jc w:val="right"/>
              <w:rPr>
                <w:rFonts w:ascii="Arial" w:hAnsi="Arial" w:cs="Arial"/>
                <w:color w:val="000000"/>
                <w:sz w:val="18"/>
                <w:szCs w:val="18"/>
                <w:lang w:eastAsia="es-ES"/>
              </w:rPr>
            </w:pPr>
            <w:r w:rsidRPr="001F10F1">
              <w:rPr>
                <w:rFonts w:ascii="Arial" w:hAnsi="Arial" w:cs="Arial"/>
                <w:color w:val="000000"/>
                <w:sz w:val="18"/>
                <w:szCs w:val="18"/>
                <w:lang w:eastAsia="es-ES"/>
              </w:rPr>
              <w:t>12,64</w:t>
            </w:r>
            <w:r w:rsidR="00003674" w:rsidRPr="001F10F1">
              <w:rPr>
                <w:rFonts w:ascii="Arial" w:hAnsi="Arial" w:cs="Arial"/>
                <w:color w:val="000000"/>
                <w:sz w:val="18"/>
                <w:szCs w:val="18"/>
                <w:lang w:eastAsia="es-ES"/>
              </w:rPr>
              <w:t xml:space="preserve"> a </w:t>
            </w:r>
            <w:r w:rsidRPr="001F10F1">
              <w:rPr>
                <w:rFonts w:ascii="Arial" w:hAnsi="Arial" w:cs="Arial"/>
                <w:color w:val="000000"/>
                <w:sz w:val="18"/>
                <w:szCs w:val="18"/>
                <w:lang w:eastAsia="es-ES"/>
              </w:rPr>
              <w:t>20,60</w:t>
            </w:r>
          </w:p>
        </w:tc>
      </w:tr>
      <w:tr w:rsidR="009B475D" w:rsidRPr="006631AF" w:rsidTr="00C54F50">
        <w:trPr>
          <w:trHeight w:val="284"/>
          <w:jc w:val="center"/>
        </w:trPr>
        <w:tc>
          <w:tcPr>
            <w:tcW w:w="6114" w:type="dxa"/>
            <w:tcBorders>
              <w:top w:val="single" w:sz="2" w:space="0" w:color="auto"/>
              <w:bottom w:val="single" w:sz="4" w:space="0" w:color="auto"/>
            </w:tcBorders>
            <w:shd w:val="clear" w:color="auto" w:fill="B8CCE4" w:themeFill="accent1" w:themeFillTint="66"/>
            <w:noWrap/>
            <w:vAlign w:val="center"/>
          </w:tcPr>
          <w:p w:rsidR="009B475D" w:rsidRPr="001F10F1" w:rsidRDefault="009B475D" w:rsidP="006631AF">
            <w:pPr>
              <w:widowControl w:val="0"/>
              <w:spacing w:after="0"/>
              <w:ind w:firstLine="0"/>
              <w:jc w:val="left"/>
              <w:rPr>
                <w:rFonts w:ascii="Arial" w:hAnsi="Arial" w:cs="Arial"/>
                <w:color w:val="000000"/>
                <w:sz w:val="18"/>
                <w:szCs w:val="18"/>
                <w:lang w:eastAsia="es-ES"/>
              </w:rPr>
            </w:pPr>
            <w:r w:rsidRPr="001F10F1">
              <w:rPr>
                <w:rFonts w:ascii="Arial" w:hAnsi="Arial" w:cs="Arial"/>
                <w:color w:val="000000"/>
                <w:sz w:val="18"/>
                <w:szCs w:val="18"/>
                <w:lang w:eastAsia="es-ES"/>
              </w:rPr>
              <w:t>Precio</w:t>
            </w:r>
            <w:r w:rsidR="00D70573" w:rsidRPr="001F10F1">
              <w:rPr>
                <w:rFonts w:ascii="Arial" w:hAnsi="Arial" w:cs="Arial"/>
                <w:color w:val="000000"/>
                <w:sz w:val="18"/>
                <w:szCs w:val="18"/>
                <w:lang w:eastAsia="es-ES"/>
              </w:rPr>
              <w:t xml:space="preserve"> final</w:t>
            </w:r>
            <w:r w:rsidRPr="001F10F1">
              <w:rPr>
                <w:rFonts w:ascii="Arial" w:hAnsi="Arial" w:cs="Arial"/>
                <w:color w:val="000000"/>
                <w:sz w:val="18"/>
                <w:szCs w:val="18"/>
                <w:lang w:eastAsia="es-ES"/>
              </w:rPr>
              <w:t xml:space="preserve">  €/m</w:t>
            </w:r>
            <w:r w:rsidRPr="00383480">
              <w:rPr>
                <w:rFonts w:ascii="Arial" w:hAnsi="Arial" w:cs="Arial"/>
                <w:color w:val="000000"/>
                <w:sz w:val="18"/>
                <w:szCs w:val="18"/>
                <w:vertAlign w:val="superscript"/>
                <w:lang w:eastAsia="es-ES"/>
              </w:rPr>
              <w:t>2</w:t>
            </w:r>
            <w:r w:rsidRPr="001F10F1">
              <w:rPr>
                <w:rFonts w:ascii="Arial" w:hAnsi="Arial" w:cs="Arial"/>
                <w:color w:val="000000"/>
                <w:sz w:val="18"/>
                <w:szCs w:val="18"/>
                <w:lang w:eastAsia="es-ES"/>
              </w:rPr>
              <w:t xml:space="preserve"> (incluido premio afección) 3ª y 4ª fase (2015)</w:t>
            </w:r>
          </w:p>
        </w:tc>
        <w:tc>
          <w:tcPr>
            <w:tcW w:w="2653" w:type="dxa"/>
            <w:tcBorders>
              <w:top w:val="single" w:sz="2" w:space="0" w:color="auto"/>
              <w:bottom w:val="single" w:sz="4" w:space="0" w:color="auto"/>
            </w:tcBorders>
            <w:shd w:val="clear" w:color="auto" w:fill="B8CCE4" w:themeFill="accent1" w:themeFillTint="66"/>
            <w:noWrap/>
            <w:vAlign w:val="center"/>
          </w:tcPr>
          <w:p w:rsidR="009B475D" w:rsidRPr="001F10F1" w:rsidRDefault="009B475D" w:rsidP="006631AF">
            <w:pPr>
              <w:spacing w:after="0"/>
              <w:ind w:left="-5" w:firstLine="0"/>
              <w:jc w:val="right"/>
              <w:rPr>
                <w:rFonts w:ascii="Arial" w:hAnsi="Arial" w:cs="Arial"/>
                <w:color w:val="000000"/>
                <w:sz w:val="18"/>
                <w:szCs w:val="18"/>
                <w:lang w:eastAsia="es-ES"/>
              </w:rPr>
            </w:pPr>
            <w:r w:rsidRPr="001F10F1">
              <w:rPr>
                <w:rFonts w:ascii="Arial" w:hAnsi="Arial" w:cs="Arial"/>
                <w:color w:val="000000"/>
                <w:sz w:val="18"/>
                <w:szCs w:val="18"/>
                <w:lang w:eastAsia="es-ES"/>
              </w:rPr>
              <w:t>55,71 a 59,94</w:t>
            </w:r>
          </w:p>
        </w:tc>
      </w:tr>
    </w:tbl>
    <w:p w:rsidR="009D08F7" w:rsidRDefault="009D08F7" w:rsidP="007F218C">
      <w:pPr>
        <w:pStyle w:val="texto"/>
        <w:tabs>
          <w:tab w:val="clear" w:pos="2835"/>
          <w:tab w:val="clear" w:pos="3969"/>
          <w:tab w:val="clear" w:pos="5103"/>
          <w:tab w:val="clear" w:pos="6237"/>
          <w:tab w:val="clear" w:pos="7371"/>
        </w:tabs>
        <w:spacing w:after="0"/>
        <w:ind w:firstLine="0"/>
        <w:rPr>
          <w:szCs w:val="26"/>
        </w:rPr>
      </w:pPr>
    </w:p>
    <w:p w:rsidR="00052A89" w:rsidRDefault="00E94F98" w:rsidP="00E94F98">
      <w:pPr>
        <w:pStyle w:val="texto"/>
        <w:tabs>
          <w:tab w:val="clear" w:pos="2835"/>
          <w:tab w:val="clear" w:pos="3969"/>
          <w:tab w:val="clear" w:pos="5103"/>
          <w:tab w:val="clear" w:pos="6237"/>
          <w:tab w:val="clear" w:pos="7371"/>
        </w:tabs>
        <w:rPr>
          <w:szCs w:val="26"/>
        </w:rPr>
      </w:pPr>
      <w:r>
        <w:rPr>
          <w:szCs w:val="26"/>
        </w:rPr>
        <w:t>Destacamos que los intereses legales de demora han supuesto un montante de 2</w:t>
      </w:r>
      <w:r w:rsidR="009D08F7">
        <w:rPr>
          <w:szCs w:val="26"/>
        </w:rPr>
        <w:t>5,15</w:t>
      </w:r>
      <w:r>
        <w:rPr>
          <w:szCs w:val="26"/>
        </w:rPr>
        <w:t xml:space="preserve"> millones</w:t>
      </w:r>
      <w:r w:rsidR="009D08F7">
        <w:rPr>
          <w:szCs w:val="26"/>
        </w:rPr>
        <w:t xml:space="preserve"> de euros</w:t>
      </w:r>
      <w:r>
        <w:rPr>
          <w:szCs w:val="26"/>
        </w:rPr>
        <w:t>, es decir, el 27 por ciento del importe total.</w:t>
      </w:r>
    </w:p>
    <w:p w:rsidR="00E94F98" w:rsidRPr="00D646C1" w:rsidRDefault="00052A89" w:rsidP="00E94F98">
      <w:pPr>
        <w:pStyle w:val="texto"/>
        <w:tabs>
          <w:tab w:val="clear" w:pos="2835"/>
          <w:tab w:val="clear" w:pos="3969"/>
          <w:tab w:val="clear" w:pos="5103"/>
          <w:tab w:val="clear" w:pos="6237"/>
          <w:tab w:val="clear" w:pos="7371"/>
        </w:tabs>
        <w:rPr>
          <w:szCs w:val="26"/>
        </w:rPr>
      </w:pPr>
      <w:r w:rsidRPr="00D646C1">
        <w:rPr>
          <w:szCs w:val="26"/>
        </w:rPr>
        <w:t>El precio</w:t>
      </w:r>
      <w:r w:rsidR="00376E95" w:rsidRPr="00D646C1">
        <w:rPr>
          <w:szCs w:val="26"/>
        </w:rPr>
        <w:t xml:space="preserve"> final por sentencia del</w:t>
      </w:r>
      <w:r w:rsidRPr="00D646C1">
        <w:rPr>
          <w:szCs w:val="26"/>
        </w:rPr>
        <w:t xml:space="preserve"> m</w:t>
      </w:r>
      <w:r w:rsidRPr="00D646C1">
        <w:rPr>
          <w:szCs w:val="26"/>
          <w:vertAlign w:val="superscript"/>
        </w:rPr>
        <w:t>2</w:t>
      </w:r>
      <w:r w:rsidR="00E94F98" w:rsidRPr="00D646C1">
        <w:rPr>
          <w:szCs w:val="26"/>
        </w:rPr>
        <w:t xml:space="preserve"> </w:t>
      </w:r>
      <w:r w:rsidR="00706FE0" w:rsidRPr="00D646C1">
        <w:rPr>
          <w:szCs w:val="26"/>
        </w:rPr>
        <w:t xml:space="preserve">del terreno </w:t>
      </w:r>
      <w:r w:rsidRPr="00D646C1">
        <w:rPr>
          <w:szCs w:val="26"/>
        </w:rPr>
        <w:t>entre las</w:t>
      </w:r>
      <w:r w:rsidR="00535BC4" w:rsidRPr="00D646C1">
        <w:rPr>
          <w:szCs w:val="26"/>
        </w:rPr>
        <w:t xml:space="preserve"> distintas</w:t>
      </w:r>
      <w:r w:rsidRPr="00D646C1">
        <w:rPr>
          <w:szCs w:val="26"/>
        </w:rPr>
        <w:t xml:space="preserve"> fases de la CT experimenta, igualmente, un incremento relevante</w:t>
      </w:r>
      <w:r w:rsidR="00706FE0" w:rsidRPr="00D646C1">
        <w:rPr>
          <w:szCs w:val="26"/>
        </w:rPr>
        <w:t>, cuando se trata de terr</w:t>
      </w:r>
      <w:r w:rsidR="00706FE0" w:rsidRPr="00D646C1">
        <w:rPr>
          <w:szCs w:val="26"/>
        </w:rPr>
        <w:t>e</w:t>
      </w:r>
      <w:r w:rsidR="00706FE0" w:rsidRPr="00D646C1">
        <w:rPr>
          <w:szCs w:val="26"/>
        </w:rPr>
        <w:t>nos de naturaleza y productividad semejantes</w:t>
      </w:r>
      <w:r w:rsidR="00FD1ACC" w:rsidRPr="00D646C1">
        <w:rPr>
          <w:szCs w:val="26"/>
        </w:rPr>
        <w:t xml:space="preserve"> y </w:t>
      </w:r>
      <w:r w:rsidR="00AB42DE" w:rsidRPr="00D646C1">
        <w:rPr>
          <w:szCs w:val="26"/>
        </w:rPr>
        <w:t xml:space="preserve">todos </w:t>
      </w:r>
      <w:r w:rsidR="00FD1ACC" w:rsidRPr="00D646C1">
        <w:rPr>
          <w:szCs w:val="26"/>
        </w:rPr>
        <w:t>clasificados</w:t>
      </w:r>
      <w:r w:rsidR="00AB42DE" w:rsidRPr="00D646C1">
        <w:rPr>
          <w:szCs w:val="26"/>
        </w:rPr>
        <w:t>, por los PSIS,</w:t>
      </w:r>
      <w:r w:rsidR="00FD1ACC" w:rsidRPr="00D646C1">
        <w:rPr>
          <w:szCs w:val="26"/>
        </w:rPr>
        <w:t xml:space="preserve"> como suelo urbanizable de uso industrial.</w:t>
      </w:r>
    </w:p>
    <w:p w:rsidR="00E94F98" w:rsidRPr="00080123" w:rsidRDefault="00A62F1C" w:rsidP="00E94F98">
      <w:pPr>
        <w:pStyle w:val="texto"/>
        <w:tabs>
          <w:tab w:val="clear" w:pos="2835"/>
          <w:tab w:val="clear" w:pos="3969"/>
          <w:tab w:val="clear" w:pos="5103"/>
          <w:tab w:val="clear" w:pos="6237"/>
          <w:tab w:val="clear" w:pos="7371"/>
        </w:tabs>
        <w:rPr>
          <w:szCs w:val="26"/>
        </w:rPr>
      </w:pPr>
      <w:r w:rsidRPr="00C54F50">
        <w:rPr>
          <w:b/>
          <w:szCs w:val="26"/>
        </w:rPr>
        <w:t>2</w:t>
      </w:r>
      <w:r w:rsidR="00052A89" w:rsidRPr="00C54F50">
        <w:rPr>
          <w:b/>
          <w:szCs w:val="26"/>
        </w:rPr>
        <w:t>2</w:t>
      </w:r>
      <w:r w:rsidR="00C54F50" w:rsidRPr="00C54F50">
        <w:rPr>
          <w:b/>
          <w:szCs w:val="26"/>
        </w:rPr>
        <w:t>.</w:t>
      </w:r>
      <w:r w:rsidR="00E94F98" w:rsidRPr="00C54F50">
        <w:rPr>
          <w:b/>
          <w:szCs w:val="26"/>
        </w:rPr>
        <w:t>ª</w:t>
      </w:r>
      <w:r w:rsidR="00E94F98">
        <w:rPr>
          <w:szCs w:val="26"/>
        </w:rPr>
        <w:t xml:space="preserve"> Expropiaciones de la 1ª y 2ª fase de la CT. El coste de las expropiaci</w:t>
      </w:r>
      <w:r w:rsidR="00E94F98">
        <w:rPr>
          <w:szCs w:val="26"/>
        </w:rPr>
        <w:t>o</w:t>
      </w:r>
      <w:r w:rsidR="00E94F98">
        <w:rPr>
          <w:szCs w:val="26"/>
        </w:rPr>
        <w:t>nes de estas fases ha ascendido a</w:t>
      </w:r>
      <w:r w:rsidR="00B66D0B">
        <w:rPr>
          <w:szCs w:val="26"/>
        </w:rPr>
        <w:t xml:space="preserve"> </w:t>
      </w:r>
      <w:r w:rsidR="00E94F98">
        <w:rPr>
          <w:szCs w:val="26"/>
        </w:rPr>
        <w:t>17,47 millones de euros, incluido el justipr</w:t>
      </w:r>
      <w:r w:rsidR="00E94F98">
        <w:rPr>
          <w:szCs w:val="26"/>
        </w:rPr>
        <w:t>e</w:t>
      </w:r>
      <w:r w:rsidR="00E94F98">
        <w:rPr>
          <w:szCs w:val="26"/>
        </w:rPr>
        <w:t>cio de los terrenos, el premio de afección –cinco por ciento sobre el justipr</w:t>
      </w:r>
      <w:r w:rsidR="00E94F98">
        <w:rPr>
          <w:szCs w:val="26"/>
        </w:rPr>
        <w:t>e</w:t>
      </w:r>
      <w:r w:rsidR="00E94F98">
        <w:rPr>
          <w:szCs w:val="26"/>
        </w:rPr>
        <w:t>cio</w:t>
      </w:r>
      <w:r w:rsidR="006631AF">
        <w:rPr>
          <w:szCs w:val="26"/>
        </w:rPr>
        <w:t>–</w:t>
      </w:r>
      <w:r w:rsidR="00E94F98">
        <w:rPr>
          <w:szCs w:val="26"/>
        </w:rPr>
        <w:t xml:space="preserve"> y los intereses legales de demora.</w:t>
      </w:r>
    </w:p>
    <w:p w:rsidR="00E94F98" w:rsidRDefault="00E94F98" w:rsidP="00E94F98">
      <w:pPr>
        <w:pStyle w:val="texto"/>
        <w:tabs>
          <w:tab w:val="clear" w:pos="2835"/>
          <w:tab w:val="clear" w:pos="3969"/>
          <w:tab w:val="clear" w:pos="5103"/>
          <w:tab w:val="clear" w:pos="6237"/>
          <w:tab w:val="clear" w:pos="7371"/>
        </w:tabs>
        <w:rPr>
          <w:szCs w:val="26"/>
        </w:rPr>
      </w:pPr>
      <w:r>
        <w:rPr>
          <w:szCs w:val="26"/>
        </w:rPr>
        <w:t>Según la resolución del Jurado de Expropiación</w:t>
      </w:r>
      <w:r w:rsidR="00EF3572">
        <w:rPr>
          <w:szCs w:val="26"/>
        </w:rPr>
        <w:t xml:space="preserve"> de 1997</w:t>
      </w:r>
      <w:r>
        <w:rPr>
          <w:szCs w:val="26"/>
        </w:rPr>
        <w:t>, el coste de los mismos hubiera supuesto un desembolso total de 1,39 millones de euros.</w:t>
      </w:r>
    </w:p>
    <w:p w:rsidR="005E356C" w:rsidRDefault="00E94F98" w:rsidP="00D62876">
      <w:pPr>
        <w:pStyle w:val="texto"/>
        <w:tabs>
          <w:tab w:val="clear" w:pos="2835"/>
          <w:tab w:val="clear" w:pos="3969"/>
          <w:tab w:val="clear" w:pos="5103"/>
          <w:tab w:val="clear" w:pos="6237"/>
          <w:tab w:val="clear" w:pos="7371"/>
        </w:tabs>
        <w:spacing w:after="240"/>
        <w:rPr>
          <w:szCs w:val="26"/>
        </w:rPr>
      </w:pPr>
      <w:r>
        <w:rPr>
          <w:szCs w:val="26"/>
        </w:rPr>
        <w:t xml:space="preserve">En el cuadro siguiente se comparan ambos importes para una superficie </w:t>
      </w:r>
      <w:r w:rsidR="00976C0A">
        <w:rPr>
          <w:szCs w:val="26"/>
        </w:rPr>
        <w:t>s</w:t>
      </w:r>
      <w:r w:rsidR="00976C0A">
        <w:rPr>
          <w:szCs w:val="26"/>
        </w:rPr>
        <w:t>u</w:t>
      </w:r>
      <w:r w:rsidR="00976C0A">
        <w:rPr>
          <w:szCs w:val="26"/>
        </w:rPr>
        <w:t>perior a los 600.</w:t>
      </w:r>
      <w:r>
        <w:rPr>
          <w:szCs w:val="26"/>
        </w:rPr>
        <w:t>000 m</w:t>
      </w:r>
      <w:r w:rsidRPr="00225C42">
        <w:rPr>
          <w:szCs w:val="26"/>
          <w:vertAlign w:val="superscript"/>
        </w:rPr>
        <w:t>2</w:t>
      </w:r>
      <w:r>
        <w:rPr>
          <w:szCs w:val="26"/>
        </w:rPr>
        <w:t>.</w:t>
      </w:r>
    </w:p>
    <w:tbl>
      <w:tblPr>
        <w:tblW w:w="8836" w:type="dxa"/>
        <w:jc w:val="center"/>
        <w:tblInd w:w="48" w:type="dxa"/>
        <w:tblCellMar>
          <w:left w:w="70" w:type="dxa"/>
          <w:right w:w="70" w:type="dxa"/>
        </w:tblCellMar>
        <w:tblLook w:val="04A0" w:firstRow="1" w:lastRow="0" w:firstColumn="1" w:lastColumn="0" w:noHBand="0" w:noVBand="1"/>
      </w:tblPr>
      <w:tblGrid>
        <w:gridCol w:w="3032"/>
        <w:gridCol w:w="2724"/>
        <w:gridCol w:w="3080"/>
      </w:tblGrid>
      <w:tr w:rsidR="00E94F98" w:rsidRPr="000A2B37" w:rsidTr="00C54F50">
        <w:trPr>
          <w:trHeight w:val="255"/>
          <w:jc w:val="center"/>
        </w:trPr>
        <w:tc>
          <w:tcPr>
            <w:tcW w:w="3032" w:type="dxa"/>
            <w:tcBorders>
              <w:top w:val="single" w:sz="4" w:space="0" w:color="auto"/>
              <w:bottom w:val="single" w:sz="4" w:space="0" w:color="auto"/>
            </w:tcBorders>
            <w:shd w:val="clear" w:color="auto" w:fill="B8CCE4" w:themeFill="accent1" w:themeFillTint="66"/>
            <w:noWrap/>
            <w:vAlign w:val="center"/>
          </w:tcPr>
          <w:p w:rsidR="00E94F98" w:rsidRPr="000A2B37" w:rsidRDefault="00E94F98" w:rsidP="00C54F50">
            <w:pPr>
              <w:widowControl w:val="0"/>
              <w:spacing w:after="0"/>
              <w:ind w:left="-37" w:firstLine="37"/>
              <w:jc w:val="left"/>
              <w:rPr>
                <w:rFonts w:ascii="Arial" w:hAnsi="Arial" w:cs="Arial"/>
                <w:color w:val="000000"/>
                <w:sz w:val="18"/>
                <w:szCs w:val="18"/>
                <w:lang w:eastAsia="es-ES"/>
              </w:rPr>
            </w:pPr>
            <w:r>
              <w:rPr>
                <w:rFonts w:ascii="Arial" w:hAnsi="Arial" w:cs="Arial"/>
                <w:color w:val="000000"/>
                <w:sz w:val="18"/>
                <w:szCs w:val="18"/>
                <w:lang w:eastAsia="es-ES"/>
              </w:rPr>
              <w:t>Expropiaciones 1ª y 2ª fase CTP</w:t>
            </w:r>
          </w:p>
        </w:tc>
        <w:tc>
          <w:tcPr>
            <w:tcW w:w="2724" w:type="dxa"/>
            <w:tcBorders>
              <w:top w:val="single" w:sz="4" w:space="0" w:color="auto"/>
              <w:bottom w:val="single" w:sz="4" w:space="0" w:color="auto"/>
            </w:tcBorders>
            <w:shd w:val="clear" w:color="auto" w:fill="B8CCE4" w:themeFill="accent1" w:themeFillTint="66"/>
            <w:vAlign w:val="center"/>
          </w:tcPr>
          <w:p w:rsidR="00EF3572" w:rsidRPr="000A2B37" w:rsidRDefault="00E94F98" w:rsidP="006631AF">
            <w:pPr>
              <w:widowControl w:val="0"/>
              <w:spacing w:after="0"/>
              <w:ind w:left="37" w:firstLine="0"/>
              <w:jc w:val="right"/>
              <w:rPr>
                <w:rFonts w:ascii="Arial" w:hAnsi="Arial" w:cs="Arial"/>
                <w:color w:val="000000"/>
                <w:sz w:val="18"/>
                <w:szCs w:val="18"/>
                <w:lang w:eastAsia="es-ES"/>
              </w:rPr>
            </w:pPr>
            <w:r>
              <w:rPr>
                <w:rFonts w:ascii="Arial" w:hAnsi="Arial" w:cs="Arial"/>
                <w:color w:val="000000"/>
                <w:sz w:val="18"/>
                <w:szCs w:val="18"/>
                <w:lang w:eastAsia="es-ES"/>
              </w:rPr>
              <w:t>Jurado de Expropiación</w:t>
            </w:r>
            <w:r w:rsidR="006631AF">
              <w:rPr>
                <w:rFonts w:ascii="Arial" w:hAnsi="Arial" w:cs="Arial"/>
                <w:color w:val="000000"/>
                <w:sz w:val="18"/>
                <w:szCs w:val="18"/>
                <w:lang w:eastAsia="es-ES"/>
              </w:rPr>
              <w:t xml:space="preserve"> </w:t>
            </w:r>
            <w:r w:rsidR="00EF3572">
              <w:rPr>
                <w:rFonts w:ascii="Arial" w:hAnsi="Arial" w:cs="Arial"/>
                <w:color w:val="000000"/>
                <w:sz w:val="18"/>
                <w:szCs w:val="18"/>
                <w:lang w:eastAsia="es-ES"/>
              </w:rPr>
              <w:t>(1997)</w:t>
            </w:r>
          </w:p>
        </w:tc>
        <w:tc>
          <w:tcPr>
            <w:tcW w:w="3080" w:type="dxa"/>
            <w:tcBorders>
              <w:top w:val="single" w:sz="4" w:space="0" w:color="auto"/>
              <w:bottom w:val="single" w:sz="4" w:space="0" w:color="auto"/>
            </w:tcBorders>
            <w:shd w:val="clear" w:color="auto" w:fill="B8CCE4" w:themeFill="accent1" w:themeFillTint="66"/>
            <w:vAlign w:val="center"/>
          </w:tcPr>
          <w:p w:rsidR="00EF3572" w:rsidRPr="000A2B37" w:rsidRDefault="00E94F98" w:rsidP="00C54F50">
            <w:pPr>
              <w:widowControl w:val="0"/>
              <w:spacing w:after="0"/>
              <w:ind w:left="67" w:firstLine="0"/>
              <w:jc w:val="right"/>
              <w:rPr>
                <w:rFonts w:ascii="Arial" w:hAnsi="Arial" w:cs="Arial"/>
                <w:color w:val="000000"/>
                <w:sz w:val="18"/>
                <w:szCs w:val="18"/>
                <w:lang w:eastAsia="es-ES"/>
              </w:rPr>
            </w:pPr>
            <w:r>
              <w:rPr>
                <w:rFonts w:ascii="Arial" w:hAnsi="Arial" w:cs="Arial"/>
                <w:color w:val="000000"/>
                <w:sz w:val="18"/>
                <w:szCs w:val="18"/>
                <w:lang w:eastAsia="es-ES"/>
              </w:rPr>
              <w:t>Gasto Final</w:t>
            </w:r>
            <w:r w:rsidR="0021746A">
              <w:rPr>
                <w:rFonts w:ascii="Arial" w:hAnsi="Arial" w:cs="Arial"/>
                <w:color w:val="000000"/>
                <w:sz w:val="18"/>
                <w:szCs w:val="18"/>
                <w:lang w:eastAsia="es-ES"/>
              </w:rPr>
              <w:t xml:space="preserve"> s/ sentencias</w:t>
            </w:r>
            <w:r w:rsidR="00C54F50">
              <w:rPr>
                <w:rFonts w:ascii="Arial" w:hAnsi="Arial" w:cs="Arial"/>
                <w:color w:val="000000"/>
                <w:sz w:val="18"/>
                <w:szCs w:val="18"/>
                <w:lang w:eastAsia="es-ES"/>
              </w:rPr>
              <w:t xml:space="preserve"> </w:t>
            </w:r>
            <w:r w:rsidR="00EF3572">
              <w:rPr>
                <w:rFonts w:ascii="Arial" w:hAnsi="Arial" w:cs="Arial"/>
                <w:color w:val="000000"/>
                <w:sz w:val="18"/>
                <w:szCs w:val="18"/>
                <w:lang w:eastAsia="es-ES"/>
              </w:rPr>
              <w:t>(2007)</w:t>
            </w:r>
          </w:p>
        </w:tc>
      </w:tr>
      <w:tr w:rsidR="00E94F98" w:rsidRPr="000A2B37" w:rsidTr="00C54F50">
        <w:trPr>
          <w:trHeight w:val="255"/>
          <w:jc w:val="center"/>
        </w:trPr>
        <w:tc>
          <w:tcPr>
            <w:tcW w:w="3032" w:type="dxa"/>
            <w:tcBorders>
              <w:top w:val="single" w:sz="4" w:space="0" w:color="auto"/>
              <w:bottom w:val="single" w:sz="2" w:space="0" w:color="auto"/>
            </w:tcBorders>
            <w:shd w:val="clear" w:color="auto" w:fill="auto"/>
            <w:noWrap/>
            <w:vAlign w:val="center"/>
          </w:tcPr>
          <w:p w:rsidR="00E94F98" w:rsidRPr="000A2B37" w:rsidRDefault="00E94F98" w:rsidP="00C54F50">
            <w:pPr>
              <w:spacing w:after="0"/>
              <w:ind w:left="-37" w:firstLine="37"/>
              <w:jc w:val="left"/>
              <w:rPr>
                <w:rFonts w:ascii="Arial Narrow" w:hAnsi="Arial Narrow"/>
                <w:color w:val="000000"/>
                <w:lang w:eastAsia="es-ES"/>
              </w:rPr>
            </w:pPr>
            <w:r>
              <w:rPr>
                <w:rFonts w:ascii="Arial Narrow" w:hAnsi="Arial Narrow"/>
                <w:color w:val="000000"/>
                <w:lang w:eastAsia="es-ES"/>
              </w:rPr>
              <w:t>Precio  €/m</w:t>
            </w:r>
            <w:r w:rsidRPr="0052593A">
              <w:rPr>
                <w:rFonts w:ascii="Arial Narrow" w:hAnsi="Arial Narrow"/>
                <w:color w:val="000000"/>
                <w:vertAlign w:val="superscript"/>
                <w:lang w:eastAsia="es-ES"/>
              </w:rPr>
              <w:t>2</w:t>
            </w:r>
            <w:r>
              <w:rPr>
                <w:rFonts w:ascii="Arial Narrow" w:hAnsi="Arial Narrow"/>
                <w:color w:val="000000"/>
                <w:lang w:eastAsia="es-ES"/>
              </w:rPr>
              <w:t xml:space="preserve"> </w:t>
            </w:r>
            <w:r w:rsidRPr="00150B05">
              <w:rPr>
                <w:rFonts w:ascii="Arial Narrow" w:hAnsi="Arial Narrow"/>
                <w:color w:val="000000"/>
                <w:lang w:eastAsia="es-ES"/>
              </w:rPr>
              <w:t>(incluido premio afección)</w:t>
            </w:r>
            <w:r>
              <w:rPr>
                <w:rFonts w:ascii="Arial Narrow" w:hAnsi="Arial Narrow"/>
                <w:color w:val="000000"/>
                <w:lang w:eastAsia="es-ES"/>
              </w:rPr>
              <w:t xml:space="preserve"> </w:t>
            </w:r>
          </w:p>
        </w:tc>
        <w:tc>
          <w:tcPr>
            <w:tcW w:w="2724" w:type="dxa"/>
            <w:tcBorders>
              <w:top w:val="single" w:sz="4" w:space="0" w:color="auto"/>
              <w:bottom w:val="single" w:sz="2" w:space="0" w:color="auto"/>
            </w:tcBorders>
            <w:shd w:val="clear" w:color="auto" w:fill="auto"/>
            <w:noWrap/>
            <w:vAlign w:val="center"/>
          </w:tcPr>
          <w:p w:rsidR="00E94F98" w:rsidRPr="00D94497" w:rsidRDefault="00E94F98" w:rsidP="006631AF">
            <w:pPr>
              <w:spacing w:after="0"/>
              <w:ind w:left="37" w:firstLine="0"/>
              <w:jc w:val="right"/>
              <w:rPr>
                <w:rFonts w:ascii="Arial Narrow" w:hAnsi="Arial Narrow"/>
                <w:color w:val="000000"/>
                <w:lang w:eastAsia="es-ES"/>
              </w:rPr>
            </w:pPr>
            <w:r>
              <w:rPr>
                <w:rFonts w:ascii="Arial Narrow" w:hAnsi="Arial Narrow"/>
                <w:color w:val="000000"/>
                <w:lang w:eastAsia="es-ES"/>
              </w:rPr>
              <w:t>1,86</w:t>
            </w:r>
          </w:p>
        </w:tc>
        <w:tc>
          <w:tcPr>
            <w:tcW w:w="3080" w:type="dxa"/>
            <w:tcBorders>
              <w:top w:val="single" w:sz="4" w:space="0" w:color="auto"/>
              <w:bottom w:val="single" w:sz="2" w:space="0" w:color="auto"/>
            </w:tcBorders>
            <w:vAlign w:val="center"/>
          </w:tcPr>
          <w:p w:rsidR="00E94F98" w:rsidRPr="000A2B37" w:rsidRDefault="00E94F98" w:rsidP="006631AF">
            <w:pPr>
              <w:spacing w:after="0"/>
              <w:ind w:left="67" w:firstLine="0"/>
              <w:jc w:val="right"/>
              <w:rPr>
                <w:rFonts w:ascii="Arial Narrow" w:hAnsi="Arial Narrow"/>
                <w:color w:val="000000"/>
                <w:lang w:eastAsia="es-ES"/>
              </w:rPr>
            </w:pPr>
            <w:r>
              <w:rPr>
                <w:rFonts w:ascii="Arial Narrow" w:hAnsi="Arial Narrow"/>
                <w:color w:val="000000"/>
                <w:lang w:eastAsia="es-ES"/>
              </w:rPr>
              <w:t>12,64 - 20,60</w:t>
            </w:r>
          </w:p>
        </w:tc>
      </w:tr>
      <w:tr w:rsidR="00E94F98" w:rsidRPr="006631AF" w:rsidTr="00C54F50">
        <w:trPr>
          <w:trHeight w:val="255"/>
          <w:jc w:val="center"/>
        </w:trPr>
        <w:tc>
          <w:tcPr>
            <w:tcW w:w="3032" w:type="dxa"/>
            <w:tcBorders>
              <w:top w:val="single" w:sz="2" w:space="0" w:color="auto"/>
              <w:bottom w:val="single" w:sz="2" w:space="0" w:color="auto"/>
            </w:tcBorders>
            <w:shd w:val="clear" w:color="auto" w:fill="auto"/>
            <w:noWrap/>
            <w:vAlign w:val="center"/>
          </w:tcPr>
          <w:p w:rsidR="00E94F98" w:rsidRPr="006631AF" w:rsidRDefault="00E94F98" w:rsidP="00C54F50">
            <w:pPr>
              <w:spacing w:after="0"/>
              <w:ind w:left="-37" w:firstLine="37"/>
              <w:jc w:val="left"/>
              <w:rPr>
                <w:rFonts w:ascii="Arial Narrow" w:hAnsi="Arial Narrow"/>
                <w:b/>
                <w:color w:val="000000"/>
                <w:lang w:eastAsia="es-ES"/>
              </w:rPr>
            </w:pPr>
            <w:r w:rsidRPr="006631AF">
              <w:rPr>
                <w:rFonts w:ascii="Arial Narrow" w:hAnsi="Arial Narrow"/>
                <w:b/>
                <w:color w:val="000000"/>
                <w:lang w:eastAsia="es-ES"/>
              </w:rPr>
              <w:t>Importe total</w:t>
            </w:r>
          </w:p>
        </w:tc>
        <w:tc>
          <w:tcPr>
            <w:tcW w:w="2724" w:type="dxa"/>
            <w:tcBorders>
              <w:top w:val="single" w:sz="2" w:space="0" w:color="auto"/>
              <w:bottom w:val="single" w:sz="2" w:space="0" w:color="auto"/>
            </w:tcBorders>
            <w:shd w:val="clear" w:color="auto" w:fill="auto"/>
            <w:noWrap/>
            <w:vAlign w:val="center"/>
          </w:tcPr>
          <w:p w:rsidR="00E94F98" w:rsidRPr="006631AF" w:rsidRDefault="00E94F98" w:rsidP="006631AF">
            <w:pPr>
              <w:spacing w:after="0"/>
              <w:ind w:left="37" w:firstLine="0"/>
              <w:jc w:val="right"/>
              <w:rPr>
                <w:rFonts w:ascii="Arial Narrow" w:hAnsi="Arial Narrow"/>
                <w:b/>
                <w:color w:val="000000"/>
                <w:lang w:eastAsia="es-ES"/>
              </w:rPr>
            </w:pPr>
            <w:r w:rsidRPr="006631AF">
              <w:rPr>
                <w:rFonts w:ascii="Arial Narrow" w:hAnsi="Arial Narrow"/>
                <w:b/>
                <w:color w:val="000000"/>
                <w:lang w:eastAsia="es-ES"/>
              </w:rPr>
              <w:t>1.393.993</w:t>
            </w:r>
          </w:p>
        </w:tc>
        <w:tc>
          <w:tcPr>
            <w:tcW w:w="3080" w:type="dxa"/>
            <w:tcBorders>
              <w:top w:val="single" w:sz="2" w:space="0" w:color="auto"/>
              <w:bottom w:val="single" w:sz="2" w:space="0" w:color="auto"/>
            </w:tcBorders>
            <w:vAlign w:val="center"/>
          </w:tcPr>
          <w:p w:rsidR="00E94F98" w:rsidRPr="006631AF" w:rsidRDefault="00E94F98" w:rsidP="006631AF">
            <w:pPr>
              <w:spacing w:after="0"/>
              <w:ind w:left="67" w:firstLine="0"/>
              <w:jc w:val="right"/>
              <w:rPr>
                <w:rFonts w:ascii="Arial Narrow" w:hAnsi="Arial Narrow"/>
                <w:b/>
                <w:color w:val="000000"/>
                <w:lang w:eastAsia="es-ES"/>
              </w:rPr>
            </w:pPr>
            <w:r w:rsidRPr="006631AF">
              <w:rPr>
                <w:rFonts w:ascii="Arial Narrow" w:hAnsi="Arial Narrow"/>
                <w:b/>
                <w:color w:val="000000"/>
                <w:lang w:eastAsia="es-ES"/>
              </w:rPr>
              <w:t>17.472.452</w:t>
            </w:r>
          </w:p>
        </w:tc>
      </w:tr>
      <w:tr w:rsidR="00E94F98" w:rsidRPr="000A2B37" w:rsidTr="00C54F50">
        <w:trPr>
          <w:trHeight w:val="255"/>
          <w:jc w:val="center"/>
        </w:trPr>
        <w:tc>
          <w:tcPr>
            <w:tcW w:w="3032" w:type="dxa"/>
            <w:tcBorders>
              <w:top w:val="single" w:sz="2" w:space="0" w:color="auto"/>
              <w:bottom w:val="single" w:sz="2" w:space="0" w:color="auto"/>
            </w:tcBorders>
            <w:shd w:val="clear" w:color="auto" w:fill="auto"/>
            <w:noWrap/>
            <w:vAlign w:val="center"/>
          </w:tcPr>
          <w:p w:rsidR="00E94F98" w:rsidRPr="00C54F50" w:rsidRDefault="00E94F98" w:rsidP="00C54F50">
            <w:pPr>
              <w:spacing w:after="0"/>
              <w:ind w:left="-37" w:firstLine="37"/>
              <w:jc w:val="left"/>
              <w:rPr>
                <w:rFonts w:ascii="Arial Narrow" w:hAnsi="Arial Narrow"/>
                <w:color w:val="000000"/>
                <w:lang w:eastAsia="es-ES"/>
              </w:rPr>
            </w:pPr>
            <w:r w:rsidRPr="00C54F50">
              <w:rPr>
                <w:rFonts w:ascii="Arial Narrow" w:hAnsi="Arial Narrow"/>
                <w:color w:val="000000"/>
                <w:lang w:eastAsia="es-ES"/>
              </w:rPr>
              <w:t>Principal (incluido premio afección)</w:t>
            </w:r>
          </w:p>
        </w:tc>
        <w:tc>
          <w:tcPr>
            <w:tcW w:w="2724" w:type="dxa"/>
            <w:tcBorders>
              <w:top w:val="single" w:sz="2" w:space="0" w:color="auto"/>
              <w:bottom w:val="single" w:sz="2" w:space="0" w:color="auto"/>
            </w:tcBorders>
            <w:shd w:val="clear" w:color="auto" w:fill="auto"/>
            <w:noWrap/>
            <w:vAlign w:val="center"/>
          </w:tcPr>
          <w:p w:rsidR="00E94F98" w:rsidRPr="00D94497" w:rsidRDefault="00E94F98" w:rsidP="006631AF">
            <w:pPr>
              <w:spacing w:after="0"/>
              <w:ind w:left="37" w:firstLine="0"/>
              <w:jc w:val="right"/>
              <w:rPr>
                <w:rFonts w:ascii="Arial Narrow" w:hAnsi="Arial Narrow"/>
                <w:color w:val="000000"/>
                <w:lang w:eastAsia="es-ES"/>
              </w:rPr>
            </w:pPr>
            <w:r>
              <w:rPr>
                <w:rFonts w:ascii="Arial Narrow" w:hAnsi="Arial Narrow"/>
                <w:color w:val="000000"/>
                <w:lang w:eastAsia="es-ES"/>
              </w:rPr>
              <w:t>1.164.808</w:t>
            </w:r>
          </w:p>
        </w:tc>
        <w:tc>
          <w:tcPr>
            <w:tcW w:w="3080" w:type="dxa"/>
            <w:tcBorders>
              <w:top w:val="single" w:sz="2" w:space="0" w:color="auto"/>
              <w:bottom w:val="single" w:sz="2" w:space="0" w:color="auto"/>
            </w:tcBorders>
            <w:vAlign w:val="center"/>
          </w:tcPr>
          <w:p w:rsidR="00E94F98" w:rsidRPr="000A2B37" w:rsidRDefault="00E94F98" w:rsidP="006631AF">
            <w:pPr>
              <w:spacing w:after="0"/>
              <w:ind w:left="67" w:firstLine="0"/>
              <w:jc w:val="right"/>
              <w:rPr>
                <w:rFonts w:ascii="Arial Narrow" w:hAnsi="Arial Narrow"/>
                <w:color w:val="000000"/>
                <w:lang w:eastAsia="es-ES"/>
              </w:rPr>
            </w:pPr>
            <w:r>
              <w:rPr>
                <w:rFonts w:ascii="Arial Narrow" w:hAnsi="Arial Narrow"/>
                <w:color w:val="000000"/>
                <w:lang w:eastAsia="es-ES"/>
              </w:rPr>
              <w:t>11.197.525</w:t>
            </w:r>
          </w:p>
        </w:tc>
      </w:tr>
      <w:tr w:rsidR="00E94F98" w:rsidRPr="000A2B37" w:rsidTr="00C54F50">
        <w:trPr>
          <w:trHeight w:val="255"/>
          <w:jc w:val="center"/>
        </w:trPr>
        <w:tc>
          <w:tcPr>
            <w:tcW w:w="3032" w:type="dxa"/>
            <w:tcBorders>
              <w:top w:val="single" w:sz="2" w:space="0" w:color="auto"/>
              <w:bottom w:val="single" w:sz="4" w:space="0" w:color="auto"/>
            </w:tcBorders>
            <w:shd w:val="clear" w:color="auto" w:fill="auto"/>
            <w:noWrap/>
            <w:vAlign w:val="center"/>
          </w:tcPr>
          <w:p w:rsidR="00E94F98" w:rsidRPr="00C54F50" w:rsidRDefault="00E94F98" w:rsidP="00C54F50">
            <w:pPr>
              <w:spacing w:after="0"/>
              <w:ind w:left="-37" w:firstLine="37"/>
              <w:jc w:val="left"/>
              <w:rPr>
                <w:rFonts w:ascii="Arial Narrow" w:hAnsi="Arial Narrow"/>
                <w:color w:val="000000"/>
                <w:lang w:eastAsia="es-ES"/>
              </w:rPr>
            </w:pPr>
            <w:r w:rsidRPr="00C54F50">
              <w:rPr>
                <w:rFonts w:ascii="Arial Narrow" w:hAnsi="Arial Narrow"/>
                <w:color w:val="000000"/>
                <w:lang w:eastAsia="es-ES"/>
              </w:rPr>
              <w:t>Intereses legales</w:t>
            </w:r>
          </w:p>
        </w:tc>
        <w:tc>
          <w:tcPr>
            <w:tcW w:w="2724" w:type="dxa"/>
            <w:tcBorders>
              <w:top w:val="single" w:sz="2" w:space="0" w:color="auto"/>
              <w:bottom w:val="single" w:sz="4" w:space="0" w:color="auto"/>
            </w:tcBorders>
            <w:shd w:val="clear" w:color="auto" w:fill="auto"/>
            <w:noWrap/>
            <w:vAlign w:val="center"/>
          </w:tcPr>
          <w:p w:rsidR="00E94F98" w:rsidRPr="00D94497" w:rsidRDefault="00E94F98" w:rsidP="006631AF">
            <w:pPr>
              <w:spacing w:after="0"/>
              <w:ind w:left="37" w:firstLine="0"/>
              <w:jc w:val="right"/>
              <w:rPr>
                <w:rFonts w:ascii="Arial Narrow" w:hAnsi="Arial Narrow"/>
                <w:color w:val="000000"/>
                <w:lang w:eastAsia="es-ES"/>
              </w:rPr>
            </w:pPr>
            <w:r>
              <w:rPr>
                <w:rFonts w:ascii="Arial Narrow" w:hAnsi="Arial Narrow"/>
                <w:color w:val="000000"/>
                <w:lang w:eastAsia="es-ES"/>
              </w:rPr>
              <w:t>229.185</w:t>
            </w:r>
          </w:p>
        </w:tc>
        <w:tc>
          <w:tcPr>
            <w:tcW w:w="3080" w:type="dxa"/>
            <w:tcBorders>
              <w:top w:val="single" w:sz="2" w:space="0" w:color="auto"/>
              <w:bottom w:val="single" w:sz="4" w:space="0" w:color="auto"/>
            </w:tcBorders>
            <w:vAlign w:val="center"/>
          </w:tcPr>
          <w:p w:rsidR="00E94F98" w:rsidRPr="000A2B37" w:rsidRDefault="00E94F98" w:rsidP="006631AF">
            <w:pPr>
              <w:spacing w:after="0"/>
              <w:ind w:left="67" w:firstLine="0"/>
              <w:jc w:val="right"/>
              <w:rPr>
                <w:rFonts w:ascii="Arial Narrow" w:hAnsi="Arial Narrow"/>
                <w:color w:val="000000"/>
                <w:lang w:eastAsia="es-ES"/>
              </w:rPr>
            </w:pPr>
            <w:r>
              <w:rPr>
                <w:rFonts w:ascii="Arial Narrow" w:hAnsi="Arial Narrow"/>
                <w:color w:val="000000"/>
                <w:lang w:eastAsia="es-ES"/>
              </w:rPr>
              <w:t>6.274.927</w:t>
            </w:r>
          </w:p>
        </w:tc>
      </w:tr>
    </w:tbl>
    <w:p w:rsidR="00121AD6" w:rsidRDefault="00121AD6" w:rsidP="00D62876">
      <w:pPr>
        <w:pStyle w:val="texto"/>
        <w:tabs>
          <w:tab w:val="clear" w:pos="2835"/>
          <w:tab w:val="clear" w:pos="3969"/>
          <w:tab w:val="clear" w:pos="5103"/>
          <w:tab w:val="clear" w:pos="6237"/>
          <w:tab w:val="clear" w:pos="7371"/>
        </w:tabs>
        <w:spacing w:after="0"/>
        <w:rPr>
          <w:szCs w:val="26"/>
        </w:rPr>
      </w:pPr>
    </w:p>
    <w:p w:rsidR="00E94F98" w:rsidRDefault="00E94F98" w:rsidP="00E94F98">
      <w:pPr>
        <w:pStyle w:val="texto"/>
        <w:tabs>
          <w:tab w:val="clear" w:pos="2835"/>
          <w:tab w:val="clear" w:pos="3969"/>
          <w:tab w:val="clear" w:pos="5103"/>
          <w:tab w:val="clear" w:pos="6237"/>
          <w:tab w:val="clear" w:pos="7371"/>
        </w:tabs>
        <w:rPr>
          <w:szCs w:val="26"/>
        </w:rPr>
      </w:pPr>
      <w:r>
        <w:rPr>
          <w:szCs w:val="26"/>
        </w:rPr>
        <w:t>Destacamos la importante diferencia entre el precio por m</w:t>
      </w:r>
      <w:r w:rsidRPr="00607E81">
        <w:rPr>
          <w:szCs w:val="26"/>
          <w:vertAlign w:val="superscript"/>
        </w:rPr>
        <w:t>2</w:t>
      </w:r>
      <w:r>
        <w:rPr>
          <w:szCs w:val="26"/>
        </w:rPr>
        <w:t xml:space="preserve"> fijado por el J</w:t>
      </w:r>
      <w:r>
        <w:rPr>
          <w:szCs w:val="26"/>
        </w:rPr>
        <w:t>u</w:t>
      </w:r>
      <w:r>
        <w:rPr>
          <w:szCs w:val="26"/>
        </w:rPr>
        <w:t>rado de Expropiación y el finalmente aplicado por la sentencia judicial firme. Igualmente, el relevante gasto derivado de los intereses legales de demora</w:t>
      </w:r>
      <w:r w:rsidR="00B66D0B">
        <w:rPr>
          <w:szCs w:val="26"/>
        </w:rPr>
        <w:t>:</w:t>
      </w:r>
      <w:r>
        <w:rPr>
          <w:szCs w:val="26"/>
        </w:rPr>
        <w:t xml:space="preserve"> el 36 por ciento del importe total.</w:t>
      </w:r>
    </w:p>
    <w:p w:rsidR="00D62876" w:rsidRDefault="00D62876" w:rsidP="00E94F98">
      <w:pPr>
        <w:pStyle w:val="texto"/>
        <w:tabs>
          <w:tab w:val="clear" w:pos="2835"/>
          <w:tab w:val="clear" w:pos="3969"/>
          <w:tab w:val="clear" w:pos="5103"/>
          <w:tab w:val="clear" w:pos="6237"/>
          <w:tab w:val="clear" w:pos="7371"/>
        </w:tabs>
        <w:rPr>
          <w:szCs w:val="26"/>
        </w:rPr>
      </w:pPr>
    </w:p>
    <w:p w:rsidR="00D62876" w:rsidRDefault="00D62876" w:rsidP="00E94F98">
      <w:pPr>
        <w:pStyle w:val="texto"/>
        <w:tabs>
          <w:tab w:val="clear" w:pos="2835"/>
          <w:tab w:val="clear" w:pos="3969"/>
          <w:tab w:val="clear" w:pos="5103"/>
          <w:tab w:val="clear" w:pos="6237"/>
          <w:tab w:val="clear" w:pos="7371"/>
        </w:tabs>
        <w:rPr>
          <w:szCs w:val="26"/>
        </w:rPr>
      </w:pPr>
    </w:p>
    <w:p w:rsidR="00E94F98" w:rsidRDefault="00A62F1C" w:rsidP="00E94F98">
      <w:pPr>
        <w:pStyle w:val="texto"/>
        <w:tabs>
          <w:tab w:val="clear" w:pos="2835"/>
          <w:tab w:val="clear" w:pos="3969"/>
          <w:tab w:val="clear" w:pos="5103"/>
          <w:tab w:val="clear" w:pos="6237"/>
          <w:tab w:val="clear" w:pos="7371"/>
        </w:tabs>
        <w:rPr>
          <w:szCs w:val="26"/>
        </w:rPr>
      </w:pPr>
      <w:r w:rsidRPr="00C54F50">
        <w:rPr>
          <w:b/>
          <w:szCs w:val="26"/>
        </w:rPr>
        <w:t>2</w:t>
      </w:r>
      <w:r w:rsidR="00052A89" w:rsidRPr="00C54F50">
        <w:rPr>
          <w:b/>
          <w:szCs w:val="26"/>
        </w:rPr>
        <w:t>3</w:t>
      </w:r>
      <w:r w:rsidR="00C54F50" w:rsidRPr="00C54F50">
        <w:rPr>
          <w:b/>
          <w:szCs w:val="26"/>
        </w:rPr>
        <w:t>.</w:t>
      </w:r>
      <w:r w:rsidR="00E94F98" w:rsidRPr="00C54F50">
        <w:rPr>
          <w:b/>
          <w:szCs w:val="26"/>
        </w:rPr>
        <w:t>ª</w:t>
      </w:r>
      <w:r w:rsidR="00C54F50">
        <w:rPr>
          <w:szCs w:val="26"/>
        </w:rPr>
        <w:t xml:space="preserve"> </w:t>
      </w:r>
      <w:r w:rsidR="00E94F98">
        <w:rPr>
          <w:szCs w:val="26"/>
        </w:rPr>
        <w:t>La financiación de estos gastos de expropiaciones de la 1ª y 2ª fase se efectúa:</w:t>
      </w:r>
    </w:p>
    <w:p w:rsidR="00E94F98" w:rsidRDefault="00E94F98" w:rsidP="00E94F98">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La aportación de 1,39 millones de euros prevista en el convenio de coop</w:t>
      </w:r>
      <w:r>
        <w:rPr>
          <w:szCs w:val="26"/>
        </w:rPr>
        <w:t>e</w:t>
      </w:r>
      <w:r>
        <w:rPr>
          <w:szCs w:val="26"/>
        </w:rPr>
        <w:t>ración</w:t>
      </w:r>
      <w:r w:rsidR="00B66D0B">
        <w:rPr>
          <w:szCs w:val="26"/>
        </w:rPr>
        <w:t>,</w:t>
      </w:r>
      <w:r>
        <w:rPr>
          <w:szCs w:val="26"/>
        </w:rPr>
        <w:t xml:space="preserve"> firmado en 1993 y 1994 entre el Gobierno de Navarra y la sociedad ge</w:t>
      </w:r>
      <w:r>
        <w:rPr>
          <w:szCs w:val="26"/>
        </w:rPr>
        <w:t>s</w:t>
      </w:r>
      <w:r>
        <w:rPr>
          <w:szCs w:val="26"/>
        </w:rPr>
        <w:t>tora TTCP, SA.</w:t>
      </w:r>
    </w:p>
    <w:p w:rsidR="00E94F98" w:rsidRDefault="00E94F98" w:rsidP="00E94F98">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La financiación adicional de estos gastos de expropiaciones –un aumento de 16,08 millones de euros sobre las previsiones del Jurado- se efectúa fund</w:t>
      </w:r>
      <w:r>
        <w:rPr>
          <w:szCs w:val="26"/>
        </w:rPr>
        <w:t>a</w:t>
      </w:r>
      <w:r>
        <w:rPr>
          <w:szCs w:val="26"/>
        </w:rPr>
        <w:t>mentalmente al amparo del citado convenio de cooperación y por:</w:t>
      </w:r>
    </w:p>
    <w:p w:rsidR="00E94F98" w:rsidRDefault="00E94F98" w:rsidP="00E94F98">
      <w:pPr>
        <w:pStyle w:val="texto"/>
        <w:tabs>
          <w:tab w:val="clear" w:pos="2835"/>
          <w:tab w:val="clear" w:pos="3969"/>
          <w:tab w:val="clear" w:pos="5103"/>
          <w:tab w:val="clear" w:pos="6237"/>
          <w:tab w:val="clear" w:pos="7371"/>
        </w:tabs>
        <w:rPr>
          <w:szCs w:val="26"/>
        </w:rPr>
      </w:pPr>
      <w:r>
        <w:rPr>
          <w:szCs w:val="26"/>
        </w:rPr>
        <w:t>a) Concesión en 2006 por el Gobierno de Navarra de una subvención finali</w:t>
      </w:r>
      <w:r>
        <w:rPr>
          <w:szCs w:val="26"/>
        </w:rPr>
        <w:t>s</w:t>
      </w:r>
      <w:r>
        <w:rPr>
          <w:szCs w:val="26"/>
        </w:rPr>
        <w:t>ta de cuatro millones de euros.</w:t>
      </w:r>
    </w:p>
    <w:p w:rsidR="00E94F98" w:rsidRDefault="00E94F98" w:rsidP="00E94F98">
      <w:pPr>
        <w:pStyle w:val="texto"/>
        <w:tabs>
          <w:tab w:val="clear" w:pos="2835"/>
          <w:tab w:val="clear" w:pos="3969"/>
          <w:tab w:val="clear" w:pos="5103"/>
          <w:tab w:val="clear" w:pos="6237"/>
          <w:tab w:val="clear" w:pos="7371"/>
        </w:tabs>
        <w:rPr>
          <w:szCs w:val="26"/>
        </w:rPr>
      </w:pPr>
      <w:r>
        <w:rPr>
          <w:szCs w:val="26"/>
        </w:rPr>
        <w:t>b) Incremento de la participación de la sociedad CTP, SA en los precios de venta de naves y edificaciones de la 2ª fase. Este incremento le supuso unos i</w:t>
      </w:r>
      <w:r>
        <w:rPr>
          <w:szCs w:val="26"/>
        </w:rPr>
        <w:t>n</w:t>
      </w:r>
      <w:r>
        <w:rPr>
          <w:szCs w:val="26"/>
        </w:rPr>
        <w:t>gresos extraordinarios de 4,1 millones de euros.</w:t>
      </w:r>
    </w:p>
    <w:p w:rsidR="00E94F98" w:rsidRPr="00BB36CE" w:rsidRDefault="00E94F98" w:rsidP="00E94F98">
      <w:pPr>
        <w:pStyle w:val="texto"/>
        <w:tabs>
          <w:tab w:val="clear" w:pos="2835"/>
          <w:tab w:val="clear" w:pos="3969"/>
          <w:tab w:val="clear" w:pos="5103"/>
          <w:tab w:val="clear" w:pos="6237"/>
          <w:tab w:val="clear" w:pos="7371"/>
        </w:tabs>
        <w:rPr>
          <w:szCs w:val="26"/>
        </w:rPr>
      </w:pPr>
      <w:r>
        <w:rPr>
          <w:szCs w:val="26"/>
        </w:rPr>
        <w:t xml:space="preserve">c) </w:t>
      </w:r>
      <w:r w:rsidRPr="00BB36CE">
        <w:rPr>
          <w:szCs w:val="26"/>
        </w:rPr>
        <w:t>Recursos obtenidos de las ampliaciones del capital de la sociedad gestora, suscrito y desembolsado prácticamente en su totalidad por el Gobierno de N</w:t>
      </w:r>
      <w:r w:rsidRPr="00BB36CE">
        <w:rPr>
          <w:szCs w:val="26"/>
        </w:rPr>
        <w:t>a</w:t>
      </w:r>
      <w:r w:rsidRPr="00BB36CE">
        <w:rPr>
          <w:szCs w:val="26"/>
        </w:rPr>
        <w:t>varra.</w:t>
      </w:r>
    </w:p>
    <w:p w:rsidR="00E94F98" w:rsidRPr="00212A87" w:rsidRDefault="00A62F1C" w:rsidP="00D62876">
      <w:pPr>
        <w:pStyle w:val="texto"/>
        <w:tabs>
          <w:tab w:val="clear" w:pos="2835"/>
          <w:tab w:val="clear" w:pos="3969"/>
          <w:tab w:val="clear" w:pos="5103"/>
          <w:tab w:val="clear" w:pos="6237"/>
          <w:tab w:val="clear" w:pos="7371"/>
        </w:tabs>
        <w:spacing w:after="120"/>
        <w:rPr>
          <w:szCs w:val="26"/>
        </w:rPr>
      </w:pPr>
      <w:r w:rsidRPr="00C54F50">
        <w:rPr>
          <w:b/>
          <w:szCs w:val="26"/>
        </w:rPr>
        <w:t>2</w:t>
      </w:r>
      <w:r w:rsidR="00052A89" w:rsidRPr="00C54F50">
        <w:rPr>
          <w:b/>
          <w:szCs w:val="26"/>
        </w:rPr>
        <w:t>4</w:t>
      </w:r>
      <w:r w:rsidR="00C54F50" w:rsidRPr="00C54F50">
        <w:rPr>
          <w:b/>
          <w:szCs w:val="26"/>
        </w:rPr>
        <w:t>.</w:t>
      </w:r>
      <w:r w:rsidR="00E94F98" w:rsidRPr="00C54F50">
        <w:rPr>
          <w:b/>
          <w:szCs w:val="26"/>
        </w:rPr>
        <w:t>ª</w:t>
      </w:r>
      <w:r w:rsidR="00E94F98" w:rsidRPr="00212A87">
        <w:rPr>
          <w:szCs w:val="26"/>
        </w:rPr>
        <w:t xml:space="preserve"> Expropiaciones de la 3ª y 4ª fase de la CT. El coste de los terrenos e</w:t>
      </w:r>
      <w:r w:rsidR="00E94F98" w:rsidRPr="00212A87">
        <w:rPr>
          <w:szCs w:val="26"/>
        </w:rPr>
        <w:t>x</w:t>
      </w:r>
      <w:r w:rsidR="00E94F98" w:rsidRPr="00212A87">
        <w:rPr>
          <w:szCs w:val="26"/>
        </w:rPr>
        <w:t>propiados para la 3ª y 4ª fase de la Ciudad del Transporte ha supuesto un coste final de 7</w:t>
      </w:r>
      <w:r w:rsidR="00B41758">
        <w:rPr>
          <w:szCs w:val="26"/>
        </w:rPr>
        <w:t>4,41</w:t>
      </w:r>
      <w:r w:rsidR="00E94F98" w:rsidRPr="00212A87">
        <w:rPr>
          <w:szCs w:val="26"/>
        </w:rPr>
        <w:t xml:space="preserve"> millones de euros, incluido el justiprecio, el premio de afección y los intereses legales de demora; estos últimos han </w:t>
      </w:r>
      <w:r w:rsidR="008E2EBA">
        <w:rPr>
          <w:szCs w:val="26"/>
        </w:rPr>
        <w:t>ascendido a</w:t>
      </w:r>
      <w:r w:rsidR="00E94F98" w:rsidRPr="00212A87">
        <w:rPr>
          <w:szCs w:val="26"/>
        </w:rPr>
        <w:t xml:space="preserve"> 18,</w:t>
      </w:r>
      <w:r w:rsidR="00B41758">
        <w:rPr>
          <w:szCs w:val="26"/>
        </w:rPr>
        <w:t>87</w:t>
      </w:r>
      <w:r w:rsidR="00E94F98" w:rsidRPr="00212A87">
        <w:rPr>
          <w:szCs w:val="26"/>
        </w:rPr>
        <w:t xml:space="preserve"> millones de euros, es decir, el 25 por ciento del importe total.</w:t>
      </w:r>
    </w:p>
    <w:p w:rsidR="00E94F98" w:rsidRPr="00212A87" w:rsidRDefault="00E94F98" w:rsidP="006631AF">
      <w:pPr>
        <w:pStyle w:val="texto"/>
        <w:tabs>
          <w:tab w:val="clear" w:pos="2835"/>
          <w:tab w:val="clear" w:pos="3969"/>
          <w:tab w:val="clear" w:pos="5103"/>
          <w:tab w:val="clear" w:pos="6237"/>
          <w:tab w:val="clear" w:pos="7371"/>
        </w:tabs>
        <w:rPr>
          <w:szCs w:val="26"/>
        </w:rPr>
      </w:pPr>
      <w:r w:rsidRPr="00212A87">
        <w:rPr>
          <w:szCs w:val="26"/>
        </w:rPr>
        <w:t>Según la resolución del Jurado de Expropiación</w:t>
      </w:r>
      <w:r w:rsidR="00EF3572">
        <w:rPr>
          <w:szCs w:val="26"/>
        </w:rPr>
        <w:t xml:space="preserve"> de 2008</w:t>
      </w:r>
      <w:r w:rsidRPr="00212A87">
        <w:rPr>
          <w:szCs w:val="26"/>
        </w:rPr>
        <w:t>, el desembolso total hubiera sido de 23,20 millones de euros.</w:t>
      </w:r>
    </w:p>
    <w:p w:rsidR="00E94F98" w:rsidRPr="00212A87" w:rsidRDefault="00E94F98" w:rsidP="00DA68E2">
      <w:pPr>
        <w:pStyle w:val="texto"/>
        <w:tabs>
          <w:tab w:val="clear" w:pos="2835"/>
          <w:tab w:val="clear" w:pos="3969"/>
          <w:tab w:val="clear" w:pos="5103"/>
          <w:tab w:val="clear" w:pos="6237"/>
          <w:tab w:val="clear" w:pos="7371"/>
        </w:tabs>
        <w:spacing w:after="240"/>
        <w:rPr>
          <w:szCs w:val="26"/>
        </w:rPr>
      </w:pPr>
      <w:r>
        <w:rPr>
          <w:szCs w:val="26"/>
        </w:rPr>
        <w:t>En el cuadro siguiente se comparan ambos importes para una superficie s</w:t>
      </w:r>
      <w:r>
        <w:rPr>
          <w:szCs w:val="26"/>
        </w:rPr>
        <w:t>u</w:t>
      </w:r>
      <w:r>
        <w:rPr>
          <w:szCs w:val="26"/>
        </w:rPr>
        <w:t>perior al millón de m</w:t>
      </w:r>
      <w:r w:rsidRPr="00225C42">
        <w:rPr>
          <w:szCs w:val="26"/>
          <w:vertAlign w:val="superscript"/>
        </w:rPr>
        <w:t>2</w:t>
      </w:r>
      <w:r>
        <w:rPr>
          <w:szCs w:val="26"/>
        </w:rPr>
        <w:t>.</w:t>
      </w:r>
    </w:p>
    <w:tbl>
      <w:tblPr>
        <w:tblW w:w="8867" w:type="dxa"/>
        <w:jc w:val="center"/>
        <w:tblCellMar>
          <w:left w:w="70" w:type="dxa"/>
          <w:right w:w="70" w:type="dxa"/>
        </w:tblCellMar>
        <w:tblLook w:val="04A0" w:firstRow="1" w:lastRow="0" w:firstColumn="1" w:lastColumn="0" w:noHBand="0" w:noVBand="1"/>
      </w:tblPr>
      <w:tblGrid>
        <w:gridCol w:w="3266"/>
        <w:gridCol w:w="2790"/>
        <w:gridCol w:w="2811"/>
      </w:tblGrid>
      <w:tr w:rsidR="00E94F98" w:rsidRPr="000A2B37" w:rsidTr="00C54F50">
        <w:trPr>
          <w:trHeight w:val="284"/>
          <w:jc w:val="center"/>
        </w:trPr>
        <w:tc>
          <w:tcPr>
            <w:tcW w:w="3266" w:type="dxa"/>
            <w:tcBorders>
              <w:top w:val="single" w:sz="4" w:space="0" w:color="auto"/>
              <w:bottom w:val="single" w:sz="4" w:space="0" w:color="auto"/>
            </w:tcBorders>
            <w:shd w:val="clear" w:color="auto" w:fill="B8CCE4" w:themeFill="accent1" w:themeFillTint="66"/>
            <w:noWrap/>
            <w:vAlign w:val="center"/>
          </w:tcPr>
          <w:p w:rsidR="00E94F98" w:rsidRPr="000A2B37" w:rsidRDefault="00E94F98" w:rsidP="006631AF">
            <w:pPr>
              <w:widowControl w:val="0"/>
              <w:spacing w:after="0"/>
              <w:ind w:firstLine="0"/>
              <w:jc w:val="left"/>
              <w:rPr>
                <w:rFonts w:ascii="Arial" w:hAnsi="Arial" w:cs="Arial"/>
                <w:color w:val="000000"/>
                <w:sz w:val="18"/>
                <w:szCs w:val="18"/>
                <w:lang w:eastAsia="es-ES"/>
              </w:rPr>
            </w:pPr>
            <w:r>
              <w:rPr>
                <w:rFonts w:ascii="Arial" w:hAnsi="Arial" w:cs="Arial"/>
                <w:color w:val="000000"/>
                <w:sz w:val="18"/>
                <w:szCs w:val="18"/>
                <w:lang w:eastAsia="es-ES"/>
              </w:rPr>
              <w:t>Expropiaciones 3ª y 4ª fase CTP</w:t>
            </w:r>
          </w:p>
        </w:tc>
        <w:tc>
          <w:tcPr>
            <w:tcW w:w="2790" w:type="dxa"/>
            <w:tcBorders>
              <w:top w:val="single" w:sz="4" w:space="0" w:color="auto"/>
              <w:bottom w:val="single" w:sz="4" w:space="0" w:color="auto"/>
            </w:tcBorders>
            <w:shd w:val="clear" w:color="auto" w:fill="B8CCE4" w:themeFill="accent1" w:themeFillTint="66"/>
            <w:vAlign w:val="center"/>
          </w:tcPr>
          <w:p w:rsidR="00EF3572" w:rsidRPr="000A2B37" w:rsidRDefault="00E94F98" w:rsidP="00C54F50">
            <w:pPr>
              <w:widowControl w:val="0"/>
              <w:spacing w:after="0"/>
              <w:ind w:left="13" w:firstLine="0"/>
              <w:jc w:val="right"/>
              <w:rPr>
                <w:rFonts w:ascii="Arial" w:hAnsi="Arial" w:cs="Arial"/>
                <w:color w:val="000000"/>
                <w:sz w:val="18"/>
                <w:szCs w:val="18"/>
                <w:lang w:eastAsia="es-ES"/>
              </w:rPr>
            </w:pPr>
            <w:r>
              <w:rPr>
                <w:rFonts w:ascii="Arial" w:hAnsi="Arial" w:cs="Arial"/>
                <w:color w:val="000000"/>
                <w:sz w:val="18"/>
                <w:szCs w:val="18"/>
                <w:lang w:eastAsia="es-ES"/>
              </w:rPr>
              <w:t>Jurado de Expropiación</w:t>
            </w:r>
            <w:r w:rsidR="006631AF">
              <w:rPr>
                <w:rFonts w:ascii="Arial" w:hAnsi="Arial" w:cs="Arial"/>
                <w:color w:val="000000"/>
                <w:sz w:val="18"/>
                <w:szCs w:val="18"/>
                <w:lang w:eastAsia="es-ES"/>
              </w:rPr>
              <w:t xml:space="preserve"> </w:t>
            </w:r>
            <w:r w:rsidR="00EF3572">
              <w:rPr>
                <w:rFonts w:ascii="Arial" w:hAnsi="Arial" w:cs="Arial"/>
                <w:color w:val="000000"/>
                <w:sz w:val="18"/>
                <w:szCs w:val="18"/>
                <w:lang w:eastAsia="es-ES"/>
              </w:rPr>
              <w:t>(2008)</w:t>
            </w:r>
          </w:p>
        </w:tc>
        <w:tc>
          <w:tcPr>
            <w:tcW w:w="2811" w:type="dxa"/>
            <w:tcBorders>
              <w:top w:val="single" w:sz="4" w:space="0" w:color="auto"/>
              <w:bottom w:val="single" w:sz="4" w:space="0" w:color="auto"/>
            </w:tcBorders>
            <w:shd w:val="clear" w:color="auto" w:fill="B8CCE4" w:themeFill="accent1" w:themeFillTint="66"/>
            <w:vAlign w:val="center"/>
          </w:tcPr>
          <w:p w:rsidR="00F708BB" w:rsidRPr="000A2B37" w:rsidRDefault="00E94F98" w:rsidP="00C54F50">
            <w:pPr>
              <w:widowControl w:val="0"/>
              <w:spacing w:after="0"/>
              <w:ind w:left="48" w:firstLine="0"/>
              <w:jc w:val="right"/>
              <w:rPr>
                <w:rFonts w:ascii="Arial" w:hAnsi="Arial" w:cs="Arial"/>
                <w:color w:val="000000"/>
                <w:sz w:val="18"/>
                <w:szCs w:val="18"/>
                <w:lang w:eastAsia="es-ES"/>
              </w:rPr>
            </w:pPr>
            <w:r>
              <w:rPr>
                <w:rFonts w:ascii="Arial" w:hAnsi="Arial" w:cs="Arial"/>
                <w:color w:val="000000"/>
                <w:sz w:val="18"/>
                <w:szCs w:val="18"/>
                <w:lang w:eastAsia="es-ES"/>
              </w:rPr>
              <w:t>Gasto Final</w:t>
            </w:r>
            <w:r w:rsidR="006631AF">
              <w:rPr>
                <w:rFonts w:ascii="Arial" w:hAnsi="Arial" w:cs="Arial"/>
                <w:color w:val="000000"/>
                <w:sz w:val="18"/>
                <w:szCs w:val="18"/>
                <w:lang w:eastAsia="es-ES"/>
              </w:rPr>
              <w:t xml:space="preserve"> </w:t>
            </w:r>
            <w:r w:rsidR="0021746A">
              <w:rPr>
                <w:rFonts w:ascii="Arial" w:hAnsi="Arial" w:cs="Arial"/>
                <w:color w:val="000000"/>
                <w:sz w:val="18"/>
                <w:szCs w:val="18"/>
                <w:lang w:eastAsia="es-ES"/>
              </w:rPr>
              <w:t>s/ sentencias</w:t>
            </w:r>
            <w:r w:rsidR="00C54F50">
              <w:rPr>
                <w:rFonts w:ascii="Arial" w:hAnsi="Arial" w:cs="Arial"/>
                <w:color w:val="000000"/>
                <w:sz w:val="18"/>
                <w:szCs w:val="18"/>
                <w:lang w:eastAsia="es-ES"/>
              </w:rPr>
              <w:t xml:space="preserve"> </w:t>
            </w:r>
            <w:r w:rsidR="00F708BB">
              <w:rPr>
                <w:rFonts w:ascii="Arial" w:hAnsi="Arial" w:cs="Arial"/>
                <w:color w:val="000000"/>
                <w:sz w:val="18"/>
                <w:szCs w:val="18"/>
                <w:lang w:eastAsia="es-ES"/>
              </w:rPr>
              <w:t>(2017)</w:t>
            </w:r>
          </w:p>
        </w:tc>
      </w:tr>
      <w:tr w:rsidR="00E94F98" w:rsidRPr="000A2B37" w:rsidTr="00C54F50">
        <w:trPr>
          <w:trHeight w:val="284"/>
          <w:jc w:val="center"/>
        </w:trPr>
        <w:tc>
          <w:tcPr>
            <w:tcW w:w="3266" w:type="dxa"/>
            <w:tcBorders>
              <w:top w:val="single" w:sz="4" w:space="0" w:color="auto"/>
              <w:bottom w:val="single" w:sz="2" w:space="0" w:color="auto"/>
            </w:tcBorders>
            <w:shd w:val="clear" w:color="auto" w:fill="auto"/>
            <w:noWrap/>
            <w:vAlign w:val="center"/>
          </w:tcPr>
          <w:p w:rsidR="00E94F98" w:rsidRPr="000A2B37" w:rsidRDefault="00E94F98" w:rsidP="006631AF">
            <w:pPr>
              <w:spacing w:after="0"/>
              <w:ind w:firstLine="0"/>
              <w:jc w:val="left"/>
              <w:rPr>
                <w:rFonts w:ascii="Arial Narrow" w:hAnsi="Arial Narrow"/>
                <w:color w:val="000000"/>
                <w:lang w:eastAsia="es-ES"/>
              </w:rPr>
            </w:pPr>
            <w:r>
              <w:rPr>
                <w:rFonts w:ascii="Arial Narrow" w:hAnsi="Arial Narrow"/>
                <w:color w:val="000000"/>
                <w:lang w:eastAsia="es-ES"/>
              </w:rPr>
              <w:t>Precio  €/m</w:t>
            </w:r>
            <w:r w:rsidRPr="0052593A">
              <w:rPr>
                <w:rFonts w:ascii="Arial Narrow" w:hAnsi="Arial Narrow"/>
                <w:color w:val="000000"/>
                <w:vertAlign w:val="superscript"/>
                <w:lang w:eastAsia="es-ES"/>
              </w:rPr>
              <w:t>2</w:t>
            </w:r>
            <w:r>
              <w:rPr>
                <w:rFonts w:ascii="Arial Narrow" w:hAnsi="Arial Narrow"/>
                <w:color w:val="000000"/>
                <w:lang w:eastAsia="es-ES"/>
              </w:rPr>
              <w:t xml:space="preserve"> </w:t>
            </w:r>
            <w:r w:rsidRPr="00150B05">
              <w:rPr>
                <w:rFonts w:ascii="Arial Narrow" w:hAnsi="Arial Narrow"/>
                <w:color w:val="000000"/>
                <w:lang w:eastAsia="es-ES"/>
              </w:rPr>
              <w:t>(incluido premio afección)</w:t>
            </w:r>
            <w:r>
              <w:rPr>
                <w:rFonts w:ascii="Arial Narrow" w:hAnsi="Arial Narrow"/>
                <w:color w:val="000000"/>
                <w:lang w:eastAsia="es-ES"/>
              </w:rPr>
              <w:t xml:space="preserve"> </w:t>
            </w:r>
          </w:p>
        </w:tc>
        <w:tc>
          <w:tcPr>
            <w:tcW w:w="2790" w:type="dxa"/>
            <w:tcBorders>
              <w:top w:val="single" w:sz="4" w:space="0" w:color="auto"/>
              <w:bottom w:val="single" w:sz="2" w:space="0" w:color="auto"/>
            </w:tcBorders>
            <w:shd w:val="clear" w:color="auto" w:fill="auto"/>
            <w:noWrap/>
            <w:vAlign w:val="center"/>
          </w:tcPr>
          <w:p w:rsidR="00E94F98" w:rsidRPr="00D94497" w:rsidRDefault="00E94F98" w:rsidP="00AB03EE">
            <w:pPr>
              <w:spacing w:after="0"/>
              <w:ind w:left="56" w:firstLine="0"/>
              <w:jc w:val="right"/>
              <w:rPr>
                <w:rFonts w:ascii="Arial Narrow" w:hAnsi="Arial Narrow"/>
                <w:color w:val="000000"/>
                <w:lang w:eastAsia="es-ES"/>
              </w:rPr>
            </w:pPr>
            <w:r>
              <w:rPr>
                <w:rFonts w:ascii="Arial Narrow" w:hAnsi="Arial Narrow"/>
                <w:color w:val="000000"/>
                <w:lang w:eastAsia="es-ES"/>
              </w:rPr>
              <w:t>21,01</w:t>
            </w:r>
          </w:p>
        </w:tc>
        <w:tc>
          <w:tcPr>
            <w:tcW w:w="2811" w:type="dxa"/>
            <w:tcBorders>
              <w:top w:val="single" w:sz="4" w:space="0" w:color="auto"/>
              <w:bottom w:val="single" w:sz="2" w:space="0" w:color="auto"/>
            </w:tcBorders>
            <w:vAlign w:val="center"/>
          </w:tcPr>
          <w:p w:rsidR="00E94F98" w:rsidRPr="000A2B37" w:rsidRDefault="00E94F98" w:rsidP="00DA68E2">
            <w:pPr>
              <w:spacing w:after="0"/>
              <w:ind w:left="56" w:firstLine="0"/>
              <w:jc w:val="right"/>
              <w:rPr>
                <w:rFonts w:ascii="Arial Narrow" w:hAnsi="Arial Narrow"/>
                <w:color w:val="000000"/>
                <w:lang w:eastAsia="es-ES"/>
              </w:rPr>
            </w:pPr>
            <w:r w:rsidRPr="00E214A3">
              <w:rPr>
                <w:rFonts w:ascii="Arial Narrow" w:hAnsi="Arial Narrow"/>
                <w:color w:val="000000"/>
                <w:lang w:eastAsia="es-ES"/>
              </w:rPr>
              <w:t>55,71 a 59,94</w:t>
            </w:r>
          </w:p>
        </w:tc>
      </w:tr>
      <w:tr w:rsidR="00E94F98" w:rsidRPr="006631AF" w:rsidTr="00C54F50">
        <w:trPr>
          <w:trHeight w:val="284"/>
          <w:jc w:val="center"/>
        </w:trPr>
        <w:tc>
          <w:tcPr>
            <w:tcW w:w="3266" w:type="dxa"/>
            <w:tcBorders>
              <w:top w:val="single" w:sz="2" w:space="0" w:color="auto"/>
              <w:bottom w:val="single" w:sz="2" w:space="0" w:color="auto"/>
            </w:tcBorders>
            <w:shd w:val="clear" w:color="auto" w:fill="auto"/>
            <w:noWrap/>
            <w:vAlign w:val="center"/>
          </w:tcPr>
          <w:p w:rsidR="00E94F98" w:rsidRPr="006631AF" w:rsidRDefault="00E94F98" w:rsidP="006631AF">
            <w:pPr>
              <w:spacing w:after="0"/>
              <w:ind w:firstLine="0"/>
              <w:jc w:val="left"/>
              <w:rPr>
                <w:rFonts w:ascii="Arial Narrow" w:hAnsi="Arial Narrow"/>
                <w:b/>
                <w:color w:val="000000"/>
                <w:lang w:eastAsia="es-ES"/>
              </w:rPr>
            </w:pPr>
            <w:r w:rsidRPr="006631AF">
              <w:rPr>
                <w:rFonts w:ascii="Arial Narrow" w:hAnsi="Arial Narrow"/>
                <w:b/>
                <w:color w:val="000000"/>
                <w:lang w:eastAsia="es-ES"/>
              </w:rPr>
              <w:t>Importe total</w:t>
            </w:r>
          </w:p>
        </w:tc>
        <w:tc>
          <w:tcPr>
            <w:tcW w:w="2790" w:type="dxa"/>
            <w:tcBorders>
              <w:top w:val="single" w:sz="2" w:space="0" w:color="auto"/>
              <w:bottom w:val="single" w:sz="2" w:space="0" w:color="auto"/>
            </w:tcBorders>
            <w:shd w:val="clear" w:color="auto" w:fill="auto"/>
            <w:noWrap/>
            <w:vAlign w:val="center"/>
          </w:tcPr>
          <w:p w:rsidR="00E94F98" w:rsidRPr="006631AF" w:rsidRDefault="00E94F98" w:rsidP="00AB03EE">
            <w:pPr>
              <w:spacing w:after="0"/>
              <w:ind w:left="56" w:firstLine="0"/>
              <w:jc w:val="right"/>
              <w:rPr>
                <w:rFonts w:ascii="Arial Narrow" w:hAnsi="Arial Narrow"/>
                <w:b/>
                <w:color w:val="000000"/>
                <w:lang w:eastAsia="es-ES"/>
              </w:rPr>
            </w:pPr>
            <w:r w:rsidRPr="006631AF">
              <w:rPr>
                <w:rFonts w:ascii="Arial Narrow" w:hAnsi="Arial Narrow"/>
                <w:b/>
                <w:color w:val="000000"/>
                <w:lang w:eastAsia="es-ES"/>
              </w:rPr>
              <w:t>23.197.346</w:t>
            </w:r>
          </w:p>
        </w:tc>
        <w:tc>
          <w:tcPr>
            <w:tcW w:w="2811" w:type="dxa"/>
            <w:tcBorders>
              <w:top w:val="single" w:sz="2" w:space="0" w:color="auto"/>
              <w:bottom w:val="single" w:sz="2" w:space="0" w:color="auto"/>
            </w:tcBorders>
            <w:vAlign w:val="center"/>
          </w:tcPr>
          <w:p w:rsidR="00E94F98" w:rsidRPr="006631AF" w:rsidRDefault="00B41758" w:rsidP="00DA68E2">
            <w:pPr>
              <w:spacing w:after="0"/>
              <w:ind w:left="56" w:firstLine="0"/>
              <w:jc w:val="right"/>
              <w:rPr>
                <w:rFonts w:ascii="Arial Narrow" w:hAnsi="Arial Narrow"/>
                <w:b/>
                <w:color w:val="000000"/>
                <w:lang w:eastAsia="es-ES"/>
              </w:rPr>
            </w:pPr>
            <w:r w:rsidRPr="006631AF">
              <w:rPr>
                <w:rFonts w:ascii="Arial Narrow" w:hAnsi="Arial Narrow"/>
                <w:b/>
                <w:color w:val="000000"/>
                <w:lang w:eastAsia="es-ES"/>
              </w:rPr>
              <w:t>74.413.752</w:t>
            </w:r>
          </w:p>
        </w:tc>
      </w:tr>
      <w:tr w:rsidR="00E94F98" w:rsidRPr="000A2B37" w:rsidTr="00C54F50">
        <w:trPr>
          <w:trHeight w:val="284"/>
          <w:jc w:val="center"/>
        </w:trPr>
        <w:tc>
          <w:tcPr>
            <w:tcW w:w="3266" w:type="dxa"/>
            <w:tcBorders>
              <w:top w:val="single" w:sz="2" w:space="0" w:color="auto"/>
              <w:bottom w:val="single" w:sz="2" w:space="0" w:color="auto"/>
            </w:tcBorders>
            <w:shd w:val="clear" w:color="auto" w:fill="auto"/>
            <w:noWrap/>
            <w:vAlign w:val="center"/>
          </w:tcPr>
          <w:p w:rsidR="00E94F98" w:rsidRPr="006631AF" w:rsidRDefault="00E94F98" w:rsidP="006631AF">
            <w:pPr>
              <w:spacing w:after="0"/>
              <w:ind w:firstLine="0"/>
              <w:jc w:val="left"/>
              <w:rPr>
                <w:rFonts w:ascii="Arial Narrow" w:hAnsi="Arial Narrow"/>
                <w:color w:val="000000"/>
                <w:lang w:eastAsia="es-ES"/>
              </w:rPr>
            </w:pPr>
            <w:r w:rsidRPr="006631AF">
              <w:rPr>
                <w:rFonts w:ascii="Arial Narrow" w:hAnsi="Arial Narrow"/>
                <w:color w:val="000000"/>
                <w:lang w:eastAsia="es-ES"/>
              </w:rPr>
              <w:t>Principal (incluido premio afección)</w:t>
            </w:r>
          </w:p>
        </w:tc>
        <w:tc>
          <w:tcPr>
            <w:tcW w:w="2790" w:type="dxa"/>
            <w:tcBorders>
              <w:top w:val="single" w:sz="2" w:space="0" w:color="auto"/>
              <w:bottom w:val="single" w:sz="2" w:space="0" w:color="auto"/>
            </w:tcBorders>
            <w:shd w:val="clear" w:color="auto" w:fill="auto"/>
            <w:noWrap/>
            <w:vAlign w:val="center"/>
          </w:tcPr>
          <w:p w:rsidR="00E94F98" w:rsidRPr="00D94497" w:rsidRDefault="00E94F98" w:rsidP="00AB03EE">
            <w:pPr>
              <w:spacing w:after="0"/>
              <w:ind w:left="56" w:firstLine="0"/>
              <w:jc w:val="right"/>
              <w:rPr>
                <w:rFonts w:ascii="Arial Narrow" w:hAnsi="Arial Narrow"/>
                <w:color w:val="000000"/>
                <w:lang w:eastAsia="es-ES"/>
              </w:rPr>
            </w:pPr>
            <w:r>
              <w:rPr>
                <w:rFonts w:ascii="Arial Narrow" w:hAnsi="Arial Narrow"/>
                <w:color w:val="000000"/>
                <w:lang w:eastAsia="es-ES"/>
              </w:rPr>
              <w:t>21.097.292</w:t>
            </w:r>
          </w:p>
        </w:tc>
        <w:tc>
          <w:tcPr>
            <w:tcW w:w="2811" w:type="dxa"/>
            <w:tcBorders>
              <w:top w:val="single" w:sz="2" w:space="0" w:color="auto"/>
              <w:bottom w:val="single" w:sz="2" w:space="0" w:color="auto"/>
            </w:tcBorders>
            <w:vAlign w:val="center"/>
          </w:tcPr>
          <w:p w:rsidR="00E94F98" w:rsidRPr="000A2B37" w:rsidRDefault="00E94F98" w:rsidP="00DA68E2">
            <w:pPr>
              <w:spacing w:after="0"/>
              <w:ind w:left="56" w:firstLine="0"/>
              <w:jc w:val="right"/>
              <w:rPr>
                <w:rFonts w:ascii="Arial Narrow" w:hAnsi="Arial Narrow"/>
                <w:color w:val="000000"/>
                <w:lang w:eastAsia="es-ES"/>
              </w:rPr>
            </w:pPr>
            <w:r>
              <w:rPr>
                <w:rFonts w:ascii="Arial Narrow" w:hAnsi="Arial Narrow"/>
                <w:color w:val="000000"/>
                <w:lang w:eastAsia="es-ES"/>
              </w:rPr>
              <w:t>55.539.785</w:t>
            </w:r>
          </w:p>
        </w:tc>
      </w:tr>
      <w:tr w:rsidR="00E94F98" w:rsidRPr="000A2B37" w:rsidTr="00C54F50">
        <w:trPr>
          <w:trHeight w:val="284"/>
          <w:jc w:val="center"/>
        </w:trPr>
        <w:tc>
          <w:tcPr>
            <w:tcW w:w="3266" w:type="dxa"/>
            <w:tcBorders>
              <w:top w:val="single" w:sz="2" w:space="0" w:color="auto"/>
              <w:bottom w:val="single" w:sz="4" w:space="0" w:color="auto"/>
            </w:tcBorders>
            <w:shd w:val="clear" w:color="auto" w:fill="auto"/>
            <w:noWrap/>
            <w:vAlign w:val="center"/>
          </w:tcPr>
          <w:p w:rsidR="00E94F98" w:rsidRPr="006631AF" w:rsidRDefault="00E94F98" w:rsidP="006631AF">
            <w:pPr>
              <w:spacing w:after="0"/>
              <w:ind w:firstLine="0"/>
              <w:jc w:val="left"/>
              <w:rPr>
                <w:rFonts w:ascii="Arial Narrow" w:hAnsi="Arial Narrow"/>
                <w:color w:val="000000"/>
                <w:lang w:eastAsia="es-ES"/>
              </w:rPr>
            </w:pPr>
            <w:r w:rsidRPr="006631AF">
              <w:rPr>
                <w:rFonts w:ascii="Arial Narrow" w:hAnsi="Arial Narrow"/>
                <w:color w:val="000000"/>
                <w:lang w:eastAsia="es-ES"/>
              </w:rPr>
              <w:t>Intereses legales</w:t>
            </w:r>
          </w:p>
        </w:tc>
        <w:tc>
          <w:tcPr>
            <w:tcW w:w="2790" w:type="dxa"/>
            <w:tcBorders>
              <w:top w:val="single" w:sz="2" w:space="0" w:color="auto"/>
              <w:bottom w:val="single" w:sz="4" w:space="0" w:color="auto"/>
            </w:tcBorders>
            <w:shd w:val="clear" w:color="auto" w:fill="auto"/>
            <w:noWrap/>
            <w:vAlign w:val="center"/>
          </w:tcPr>
          <w:p w:rsidR="00E94F98" w:rsidRPr="00D94497" w:rsidRDefault="00E94F98" w:rsidP="00AB03EE">
            <w:pPr>
              <w:spacing w:after="0"/>
              <w:ind w:left="56" w:firstLine="0"/>
              <w:jc w:val="right"/>
              <w:rPr>
                <w:rFonts w:ascii="Arial Narrow" w:hAnsi="Arial Narrow"/>
                <w:color w:val="000000"/>
                <w:lang w:eastAsia="es-ES"/>
              </w:rPr>
            </w:pPr>
            <w:r>
              <w:rPr>
                <w:rFonts w:ascii="Arial Narrow" w:hAnsi="Arial Narrow"/>
                <w:color w:val="000000"/>
                <w:lang w:eastAsia="es-ES"/>
              </w:rPr>
              <w:t>2.100.054</w:t>
            </w:r>
          </w:p>
        </w:tc>
        <w:tc>
          <w:tcPr>
            <w:tcW w:w="2811" w:type="dxa"/>
            <w:tcBorders>
              <w:top w:val="single" w:sz="2" w:space="0" w:color="auto"/>
              <w:bottom w:val="single" w:sz="4" w:space="0" w:color="auto"/>
            </w:tcBorders>
            <w:vAlign w:val="center"/>
          </w:tcPr>
          <w:p w:rsidR="00E94F98" w:rsidRPr="000A2B37" w:rsidRDefault="00B41758" w:rsidP="00DA68E2">
            <w:pPr>
              <w:spacing w:after="0"/>
              <w:ind w:left="56" w:firstLine="0"/>
              <w:jc w:val="right"/>
              <w:rPr>
                <w:rFonts w:ascii="Arial Narrow" w:hAnsi="Arial Narrow"/>
                <w:color w:val="000000"/>
                <w:lang w:eastAsia="es-ES"/>
              </w:rPr>
            </w:pPr>
            <w:r>
              <w:rPr>
                <w:rFonts w:ascii="Arial Narrow" w:hAnsi="Arial Narrow"/>
                <w:color w:val="000000"/>
                <w:lang w:eastAsia="es-ES"/>
              </w:rPr>
              <w:t>18.873.967</w:t>
            </w:r>
          </w:p>
        </w:tc>
      </w:tr>
    </w:tbl>
    <w:p w:rsidR="00E94F98" w:rsidRPr="006631AF" w:rsidRDefault="00E94F98" w:rsidP="00DA68E2">
      <w:pPr>
        <w:pStyle w:val="texto"/>
        <w:tabs>
          <w:tab w:val="clear" w:pos="2835"/>
          <w:tab w:val="clear" w:pos="3969"/>
          <w:tab w:val="clear" w:pos="5103"/>
          <w:tab w:val="clear" w:pos="6237"/>
          <w:tab w:val="clear" w:pos="7371"/>
        </w:tabs>
        <w:spacing w:before="240" w:after="240"/>
        <w:rPr>
          <w:spacing w:val="2"/>
          <w:szCs w:val="26"/>
        </w:rPr>
      </w:pPr>
      <w:r w:rsidRPr="006631AF">
        <w:rPr>
          <w:spacing w:val="2"/>
          <w:szCs w:val="26"/>
        </w:rPr>
        <w:t>Destacamos la evolución del precio por m</w:t>
      </w:r>
      <w:r w:rsidRPr="006631AF">
        <w:rPr>
          <w:spacing w:val="2"/>
          <w:szCs w:val="26"/>
          <w:vertAlign w:val="superscript"/>
        </w:rPr>
        <w:t>2</w:t>
      </w:r>
      <w:r w:rsidRPr="006631AF">
        <w:rPr>
          <w:spacing w:val="2"/>
          <w:szCs w:val="26"/>
        </w:rPr>
        <w:t>; así</w:t>
      </w:r>
      <w:r w:rsidR="00C17913" w:rsidRPr="006631AF">
        <w:rPr>
          <w:spacing w:val="2"/>
          <w:szCs w:val="26"/>
        </w:rPr>
        <w:t>,</w:t>
      </w:r>
      <w:r w:rsidRPr="006631AF">
        <w:rPr>
          <w:spacing w:val="2"/>
          <w:szCs w:val="26"/>
        </w:rPr>
        <w:t xml:space="preserve"> en el cuadro siguiente se mue</w:t>
      </w:r>
      <w:r w:rsidRPr="006631AF">
        <w:rPr>
          <w:spacing w:val="2"/>
          <w:szCs w:val="26"/>
        </w:rPr>
        <w:t>s</w:t>
      </w:r>
      <w:r w:rsidRPr="006631AF">
        <w:rPr>
          <w:spacing w:val="2"/>
          <w:szCs w:val="26"/>
        </w:rPr>
        <w:t>tra las distintas valoraciones aplicadas, sin considerar el premio de afec</w:t>
      </w:r>
      <w:r w:rsidR="00BE1D2D" w:rsidRPr="006631AF">
        <w:rPr>
          <w:spacing w:val="2"/>
          <w:szCs w:val="26"/>
        </w:rPr>
        <w:t>ción:</w:t>
      </w:r>
    </w:p>
    <w:tbl>
      <w:tblPr>
        <w:tblW w:w="8953" w:type="dxa"/>
        <w:jc w:val="center"/>
        <w:tblInd w:w="44" w:type="dxa"/>
        <w:tblCellMar>
          <w:left w:w="70" w:type="dxa"/>
          <w:right w:w="70" w:type="dxa"/>
        </w:tblCellMar>
        <w:tblLook w:val="04A0" w:firstRow="1" w:lastRow="0" w:firstColumn="1" w:lastColumn="0" w:noHBand="0" w:noVBand="1"/>
      </w:tblPr>
      <w:tblGrid>
        <w:gridCol w:w="6823"/>
        <w:gridCol w:w="2130"/>
      </w:tblGrid>
      <w:tr w:rsidR="00E94F98" w:rsidRPr="000A2B37" w:rsidTr="00C54F50">
        <w:trPr>
          <w:trHeight w:val="284"/>
          <w:jc w:val="center"/>
        </w:trPr>
        <w:tc>
          <w:tcPr>
            <w:tcW w:w="6823" w:type="dxa"/>
            <w:tcBorders>
              <w:top w:val="single" w:sz="4" w:space="0" w:color="auto"/>
              <w:bottom w:val="single" w:sz="4" w:space="0" w:color="auto"/>
            </w:tcBorders>
            <w:shd w:val="clear" w:color="auto" w:fill="B8CCE4" w:themeFill="accent1" w:themeFillTint="66"/>
            <w:noWrap/>
            <w:vAlign w:val="center"/>
          </w:tcPr>
          <w:p w:rsidR="00E94F98" w:rsidRPr="0021746A" w:rsidRDefault="001F10F1" w:rsidP="001F10F1">
            <w:pPr>
              <w:widowControl w:val="0"/>
              <w:spacing w:after="0"/>
              <w:ind w:firstLine="0"/>
              <w:jc w:val="left"/>
              <w:rPr>
                <w:rFonts w:ascii="Arial" w:hAnsi="Arial" w:cs="Arial"/>
                <w:color w:val="000000"/>
                <w:sz w:val="18"/>
                <w:szCs w:val="18"/>
                <w:lang w:eastAsia="es-ES"/>
              </w:rPr>
            </w:pPr>
            <w:r>
              <w:rPr>
                <w:rFonts w:ascii="Arial" w:hAnsi="Arial" w:cs="Arial"/>
                <w:color w:val="000000"/>
                <w:sz w:val="18"/>
                <w:szCs w:val="18"/>
                <w:lang w:eastAsia="es-ES"/>
              </w:rPr>
              <w:t xml:space="preserve">Expropiaciones </w:t>
            </w:r>
            <w:r w:rsidR="0070222F">
              <w:rPr>
                <w:rFonts w:ascii="Arial" w:hAnsi="Arial" w:cs="Arial"/>
                <w:color w:val="000000"/>
                <w:sz w:val="18"/>
                <w:szCs w:val="18"/>
                <w:lang w:eastAsia="es-ES"/>
              </w:rPr>
              <w:t xml:space="preserve">3ª y 4ª fase de la CT. </w:t>
            </w:r>
            <w:r w:rsidR="005E356C">
              <w:rPr>
                <w:rFonts w:ascii="Arial" w:hAnsi="Arial" w:cs="Arial"/>
                <w:color w:val="000000"/>
                <w:sz w:val="18"/>
                <w:szCs w:val="18"/>
                <w:lang w:eastAsia="es-ES"/>
              </w:rPr>
              <w:t>Euro</w:t>
            </w:r>
            <w:r w:rsidR="004B65F0">
              <w:rPr>
                <w:rFonts w:ascii="Arial" w:hAnsi="Arial" w:cs="Arial"/>
                <w:color w:val="000000"/>
                <w:sz w:val="18"/>
                <w:szCs w:val="18"/>
                <w:lang w:eastAsia="es-ES"/>
              </w:rPr>
              <w:t xml:space="preserve"> </w:t>
            </w:r>
            <w:r w:rsidR="00E94F98">
              <w:rPr>
                <w:rFonts w:ascii="Arial" w:hAnsi="Arial" w:cs="Arial"/>
                <w:color w:val="000000"/>
                <w:sz w:val="18"/>
                <w:szCs w:val="18"/>
                <w:lang w:eastAsia="es-ES"/>
              </w:rPr>
              <w:t>por m</w:t>
            </w:r>
            <w:r w:rsidR="00E94F98" w:rsidRPr="00212A87">
              <w:rPr>
                <w:rFonts w:ascii="Arial" w:hAnsi="Arial" w:cs="Arial"/>
                <w:color w:val="000000"/>
                <w:sz w:val="18"/>
                <w:szCs w:val="18"/>
                <w:vertAlign w:val="superscript"/>
                <w:lang w:eastAsia="es-ES"/>
              </w:rPr>
              <w:t>2</w:t>
            </w:r>
            <w:r w:rsidR="0021746A">
              <w:rPr>
                <w:rFonts w:ascii="Arial" w:hAnsi="Arial" w:cs="Arial"/>
                <w:color w:val="000000"/>
                <w:sz w:val="18"/>
                <w:szCs w:val="18"/>
                <w:vertAlign w:val="superscript"/>
                <w:lang w:eastAsia="es-ES"/>
              </w:rPr>
              <w:t xml:space="preserve"> </w:t>
            </w:r>
            <w:r w:rsidR="0021746A">
              <w:rPr>
                <w:rFonts w:ascii="Arial" w:hAnsi="Arial" w:cs="Arial"/>
                <w:color w:val="000000"/>
                <w:sz w:val="18"/>
                <w:szCs w:val="18"/>
                <w:lang w:eastAsia="es-ES"/>
              </w:rPr>
              <w:t>(sin premio de afección)</w:t>
            </w:r>
          </w:p>
        </w:tc>
        <w:tc>
          <w:tcPr>
            <w:tcW w:w="2130" w:type="dxa"/>
            <w:tcBorders>
              <w:top w:val="single" w:sz="4" w:space="0" w:color="auto"/>
              <w:bottom w:val="single" w:sz="4" w:space="0" w:color="auto"/>
            </w:tcBorders>
            <w:shd w:val="clear" w:color="auto" w:fill="B8CCE4" w:themeFill="accent1" w:themeFillTint="66"/>
            <w:vAlign w:val="center"/>
          </w:tcPr>
          <w:p w:rsidR="00E94F98" w:rsidRPr="000A2B37" w:rsidRDefault="00E94F98" w:rsidP="006631AF">
            <w:pPr>
              <w:widowControl w:val="0"/>
              <w:spacing w:after="0"/>
              <w:ind w:firstLine="0"/>
              <w:jc w:val="right"/>
              <w:rPr>
                <w:rFonts w:ascii="Arial" w:hAnsi="Arial" w:cs="Arial"/>
                <w:color w:val="000000"/>
                <w:sz w:val="18"/>
                <w:szCs w:val="18"/>
                <w:lang w:eastAsia="es-ES"/>
              </w:rPr>
            </w:pPr>
            <w:r>
              <w:rPr>
                <w:rFonts w:ascii="Arial" w:hAnsi="Arial" w:cs="Arial"/>
                <w:color w:val="000000"/>
                <w:sz w:val="18"/>
                <w:szCs w:val="18"/>
                <w:lang w:eastAsia="es-ES"/>
              </w:rPr>
              <w:t xml:space="preserve">Importe </w:t>
            </w:r>
          </w:p>
        </w:tc>
      </w:tr>
      <w:tr w:rsidR="00E94F98" w:rsidRPr="00D94497" w:rsidTr="00C54F50">
        <w:trPr>
          <w:trHeight w:val="284"/>
          <w:jc w:val="center"/>
        </w:trPr>
        <w:tc>
          <w:tcPr>
            <w:tcW w:w="6823" w:type="dxa"/>
            <w:tcBorders>
              <w:top w:val="single" w:sz="4" w:space="0" w:color="auto"/>
              <w:bottom w:val="single" w:sz="2" w:space="0" w:color="auto"/>
            </w:tcBorders>
            <w:shd w:val="clear" w:color="auto" w:fill="auto"/>
            <w:noWrap/>
            <w:vAlign w:val="center"/>
          </w:tcPr>
          <w:p w:rsidR="00E94F98" w:rsidRPr="000A2B37" w:rsidRDefault="00E94F98" w:rsidP="006631AF">
            <w:pPr>
              <w:spacing w:after="0"/>
              <w:ind w:firstLine="0"/>
              <w:jc w:val="left"/>
              <w:rPr>
                <w:rFonts w:ascii="Arial Narrow" w:hAnsi="Arial Narrow"/>
                <w:color w:val="000000"/>
                <w:lang w:eastAsia="es-ES"/>
              </w:rPr>
            </w:pPr>
            <w:r>
              <w:rPr>
                <w:rFonts w:ascii="Arial Narrow" w:hAnsi="Arial Narrow"/>
                <w:color w:val="000000"/>
                <w:lang w:eastAsia="es-ES"/>
              </w:rPr>
              <w:t>Hoja de aprecio propietarios</w:t>
            </w:r>
          </w:p>
        </w:tc>
        <w:tc>
          <w:tcPr>
            <w:tcW w:w="2130" w:type="dxa"/>
            <w:tcBorders>
              <w:top w:val="single" w:sz="4" w:space="0" w:color="auto"/>
              <w:bottom w:val="single" w:sz="2" w:space="0" w:color="auto"/>
            </w:tcBorders>
            <w:shd w:val="clear" w:color="auto" w:fill="auto"/>
            <w:noWrap/>
            <w:vAlign w:val="center"/>
          </w:tcPr>
          <w:p w:rsidR="00E94F98" w:rsidRPr="00D94497" w:rsidRDefault="00E94F98" w:rsidP="006631AF">
            <w:pPr>
              <w:spacing w:after="0"/>
              <w:ind w:firstLine="0"/>
              <w:jc w:val="right"/>
              <w:rPr>
                <w:rFonts w:ascii="Arial Narrow" w:hAnsi="Arial Narrow"/>
                <w:color w:val="000000"/>
                <w:lang w:eastAsia="es-ES"/>
              </w:rPr>
            </w:pPr>
            <w:r>
              <w:rPr>
                <w:rFonts w:ascii="Arial Narrow" w:hAnsi="Arial Narrow"/>
                <w:color w:val="000000"/>
                <w:lang w:eastAsia="es-ES"/>
              </w:rPr>
              <w:t xml:space="preserve">50,79 </w:t>
            </w:r>
            <w:r w:rsidR="00003674">
              <w:rPr>
                <w:rFonts w:ascii="Arial Narrow" w:hAnsi="Arial Narrow"/>
                <w:color w:val="000000"/>
                <w:lang w:eastAsia="es-ES"/>
              </w:rPr>
              <w:t xml:space="preserve">a </w:t>
            </w:r>
            <w:r>
              <w:rPr>
                <w:rFonts w:ascii="Arial Narrow" w:hAnsi="Arial Narrow"/>
                <w:color w:val="000000"/>
                <w:lang w:eastAsia="es-ES"/>
              </w:rPr>
              <w:t xml:space="preserve"> 57,09</w:t>
            </w:r>
          </w:p>
        </w:tc>
      </w:tr>
      <w:tr w:rsidR="00E94F98" w:rsidRPr="00D94497" w:rsidTr="00C54F50">
        <w:trPr>
          <w:trHeight w:val="284"/>
          <w:jc w:val="center"/>
        </w:trPr>
        <w:tc>
          <w:tcPr>
            <w:tcW w:w="6823" w:type="dxa"/>
            <w:tcBorders>
              <w:top w:val="single" w:sz="2" w:space="0" w:color="auto"/>
              <w:bottom w:val="single" w:sz="2" w:space="0" w:color="auto"/>
            </w:tcBorders>
            <w:shd w:val="clear" w:color="auto" w:fill="auto"/>
            <w:noWrap/>
            <w:vAlign w:val="center"/>
          </w:tcPr>
          <w:p w:rsidR="00E94F98" w:rsidRPr="000A2B37" w:rsidRDefault="00E94F98" w:rsidP="006631AF">
            <w:pPr>
              <w:spacing w:after="0"/>
              <w:ind w:firstLine="0"/>
              <w:jc w:val="left"/>
              <w:rPr>
                <w:rFonts w:ascii="Arial Narrow" w:hAnsi="Arial Narrow"/>
                <w:color w:val="000000"/>
                <w:lang w:eastAsia="es-ES"/>
              </w:rPr>
            </w:pPr>
            <w:r>
              <w:rPr>
                <w:rFonts w:ascii="Arial Narrow" w:hAnsi="Arial Narrow"/>
                <w:color w:val="000000"/>
                <w:lang w:eastAsia="es-ES"/>
              </w:rPr>
              <w:t>Hoja de aprecio de la Administración</w:t>
            </w:r>
          </w:p>
        </w:tc>
        <w:tc>
          <w:tcPr>
            <w:tcW w:w="2130" w:type="dxa"/>
            <w:tcBorders>
              <w:top w:val="single" w:sz="2" w:space="0" w:color="auto"/>
              <w:bottom w:val="single" w:sz="2" w:space="0" w:color="auto"/>
            </w:tcBorders>
            <w:shd w:val="clear" w:color="auto" w:fill="auto"/>
            <w:noWrap/>
            <w:vAlign w:val="center"/>
          </w:tcPr>
          <w:p w:rsidR="00E94F98" w:rsidRPr="00212A87" w:rsidRDefault="00E94F98" w:rsidP="006631AF">
            <w:pPr>
              <w:spacing w:after="0"/>
              <w:ind w:firstLine="0"/>
              <w:jc w:val="right"/>
              <w:rPr>
                <w:rFonts w:ascii="Arial Narrow" w:hAnsi="Arial Narrow"/>
                <w:color w:val="000000"/>
                <w:lang w:eastAsia="es-ES"/>
              </w:rPr>
            </w:pPr>
            <w:r w:rsidRPr="00212A87">
              <w:rPr>
                <w:rFonts w:ascii="Arial Narrow" w:hAnsi="Arial Narrow"/>
                <w:color w:val="000000"/>
                <w:lang w:eastAsia="es-ES"/>
              </w:rPr>
              <w:t>11,02</w:t>
            </w:r>
          </w:p>
        </w:tc>
      </w:tr>
      <w:tr w:rsidR="00E94F98" w:rsidRPr="00D94497" w:rsidTr="00C54F50">
        <w:trPr>
          <w:trHeight w:val="284"/>
          <w:jc w:val="center"/>
        </w:trPr>
        <w:tc>
          <w:tcPr>
            <w:tcW w:w="6823" w:type="dxa"/>
            <w:tcBorders>
              <w:top w:val="single" w:sz="2" w:space="0" w:color="auto"/>
              <w:bottom w:val="single" w:sz="2" w:space="0" w:color="auto"/>
            </w:tcBorders>
            <w:shd w:val="clear" w:color="auto" w:fill="auto"/>
            <w:noWrap/>
            <w:vAlign w:val="center"/>
          </w:tcPr>
          <w:p w:rsidR="00E94F98" w:rsidRPr="00212A87" w:rsidRDefault="00E94F98" w:rsidP="006631AF">
            <w:pPr>
              <w:spacing w:after="0"/>
              <w:ind w:firstLine="0"/>
              <w:jc w:val="left"/>
              <w:rPr>
                <w:rFonts w:ascii="Arial Narrow" w:hAnsi="Arial Narrow"/>
                <w:color w:val="000000"/>
                <w:lang w:eastAsia="es-ES"/>
              </w:rPr>
            </w:pPr>
            <w:r>
              <w:rPr>
                <w:rFonts w:ascii="Arial Narrow" w:hAnsi="Arial Narrow"/>
                <w:color w:val="000000"/>
                <w:lang w:eastAsia="es-ES"/>
              </w:rPr>
              <w:t>Jurado de Expropiación de Navarra</w:t>
            </w:r>
          </w:p>
        </w:tc>
        <w:tc>
          <w:tcPr>
            <w:tcW w:w="2130" w:type="dxa"/>
            <w:tcBorders>
              <w:top w:val="single" w:sz="2" w:space="0" w:color="auto"/>
              <w:bottom w:val="single" w:sz="2" w:space="0" w:color="auto"/>
            </w:tcBorders>
            <w:shd w:val="clear" w:color="auto" w:fill="auto"/>
            <w:noWrap/>
            <w:vAlign w:val="center"/>
          </w:tcPr>
          <w:p w:rsidR="00E94F98" w:rsidRPr="00D94497" w:rsidRDefault="00E94F98" w:rsidP="006631AF">
            <w:pPr>
              <w:spacing w:after="0"/>
              <w:ind w:firstLine="0"/>
              <w:jc w:val="right"/>
              <w:rPr>
                <w:rFonts w:ascii="Arial Narrow" w:hAnsi="Arial Narrow"/>
                <w:color w:val="000000"/>
                <w:lang w:eastAsia="es-ES"/>
              </w:rPr>
            </w:pPr>
            <w:r>
              <w:rPr>
                <w:rFonts w:ascii="Arial Narrow" w:hAnsi="Arial Narrow"/>
                <w:color w:val="000000"/>
                <w:lang w:eastAsia="es-ES"/>
              </w:rPr>
              <w:t>20,01</w:t>
            </w:r>
          </w:p>
        </w:tc>
      </w:tr>
      <w:tr w:rsidR="00E94F98" w:rsidRPr="00D94497" w:rsidTr="00C54F50">
        <w:trPr>
          <w:trHeight w:val="284"/>
          <w:jc w:val="center"/>
        </w:trPr>
        <w:tc>
          <w:tcPr>
            <w:tcW w:w="6823" w:type="dxa"/>
            <w:tcBorders>
              <w:top w:val="single" w:sz="2" w:space="0" w:color="auto"/>
              <w:bottom w:val="single" w:sz="4" w:space="0" w:color="auto"/>
            </w:tcBorders>
            <w:shd w:val="clear" w:color="auto" w:fill="auto"/>
            <w:noWrap/>
            <w:vAlign w:val="center"/>
          </w:tcPr>
          <w:p w:rsidR="00E94F98" w:rsidRPr="00212A87" w:rsidRDefault="00E94F98" w:rsidP="006631AF">
            <w:pPr>
              <w:spacing w:after="0"/>
              <w:ind w:firstLine="0"/>
              <w:jc w:val="left"/>
              <w:rPr>
                <w:rFonts w:ascii="Arial Narrow" w:hAnsi="Arial Narrow"/>
                <w:color w:val="000000"/>
                <w:lang w:eastAsia="es-ES"/>
              </w:rPr>
            </w:pPr>
            <w:r>
              <w:rPr>
                <w:rFonts w:ascii="Arial Narrow" w:hAnsi="Arial Narrow"/>
                <w:color w:val="000000"/>
                <w:lang w:eastAsia="es-ES"/>
              </w:rPr>
              <w:t>Sentencias firmes</w:t>
            </w:r>
          </w:p>
        </w:tc>
        <w:tc>
          <w:tcPr>
            <w:tcW w:w="2130" w:type="dxa"/>
            <w:tcBorders>
              <w:top w:val="single" w:sz="2" w:space="0" w:color="auto"/>
              <w:bottom w:val="single" w:sz="4" w:space="0" w:color="auto"/>
            </w:tcBorders>
            <w:shd w:val="clear" w:color="auto" w:fill="auto"/>
            <w:noWrap/>
            <w:vAlign w:val="center"/>
          </w:tcPr>
          <w:p w:rsidR="00E94F98" w:rsidRPr="00D94497" w:rsidRDefault="00E94F98" w:rsidP="006631AF">
            <w:pPr>
              <w:spacing w:after="0"/>
              <w:ind w:firstLine="0"/>
              <w:jc w:val="right"/>
              <w:rPr>
                <w:rFonts w:ascii="Arial Narrow" w:hAnsi="Arial Narrow"/>
                <w:color w:val="000000"/>
                <w:lang w:eastAsia="es-ES"/>
              </w:rPr>
            </w:pPr>
            <w:r>
              <w:rPr>
                <w:rFonts w:ascii="Arial Narrow" w:hAnsi="Arial Narrow"/>
                <w:color w:val="000000"/>
                <w:lang w:eastAsia="es-ES"/>
              </w:rPr>
              <w:t xml:space="preserve">53,06 </w:t>
            </w:r>
            <w:r w:rsidR="00003674">
              <w:rPr>
                <w:rFonts w:ascii="Arial Narrow" w:hAnsi="Arial Narrow"/>
                <w:color w:val="000000"/>
                <w:lang w:eastAsia="es-ES"/>
              </w:rPr>
              <w:t>a</w:t>
            </w:r>
            <w:r>
              <w:rPr>
                <w:rFonts w:ascii="Arial Narrow" w:hAnsi="Arial Narrow"/>
                <w:color w:val="000000"/>
                <w:lang w:eastAsia="es-ES"/>
              </w:rPr>
              <w:t xml:space="preserve"> 57,09</w:t>
            </w:r>
          </w:p>
        </w:tc>
      </w:tr>
    </w:tbl>
    <w:p w:rsidR="00E94F98" w:rsidRDefault="00E94F98" w:rsidP="006631AF">
      <w:pPr>
        <w:pStyle w:val="texto"/>
        <w:tabs>
          <w:tab w:val="clear" w:pos="2835"/>
          <w:tab w:val="clear" w:pos="3969"/>
          <w:tab w:val="clear" w:pos="5103"/>
          <w:tab w:val="clear" w:pos="6237"/>
          <w:tab w:val="clear" w:pos="7371"/>
        </w:tabs>
        <w:spacing w:before="240"/>
        <w:rPr>
          <w:szCs w:val="26"/>
        </w:rPr>
      </w:pPr>
      <w:r>
        <w:rPr>
          <w:szCs w:val="26"/>
        </w:rPr>
        <w:t xml:space="preserve">Como se observa, los importes </w:t>
      </w:r>
      <w:r w:rsidR="00C17913">
        <w:rPr>
          <w:szCs w:val="26"/>
        </w:rPr>
        <w:t xml:space="preserve">unitarios </w:t>
      </w:r>
      <w:r>
        <w:rPr>
          <w:szCs w:val="26"/>
        </w:rPr>
        <w:t>finales pagados</w:t>
      </w:r>
      <w:r w:rsidR="00C17913">
        <w:rPr>
          <w:szCs w:val="26"/>
        </w:rPr>
        <w:t xml:space="preserve"> por los terrenos</w:t>
      </w:r>
      <w:r>
        <w:rPr>
          <w:szCs w:val="26"/>
        </w:rPr>
        <w:t xml:space="preserve"> son prácticamente coincidentes con los que presentaron los propietarios en su hoja de aprecio.</w:t>
      </w:r>
    </w:p>
    <w:p w:rsidR="0049525B" w:rsidRPr="00E1739F" w:rsidRDefault="00ED5724" w:rsidP="00E94F98">
      <w:pPr>
        <w:pStyle w:val="texto"/>
        <w:tabs>
          <w:tab w:val="clear" w:pos="2835"/>
          <w:tab w:val="clear" w:pos="3969"/>
          <w:tab w:val="clear" w:pos="5103"/>
          <w:tab w:val="clear" w:pos="6237"/>
          <w:tab w:val="clear" w:pos="7371"/>
        </w:tabs>
        <w:rPr>
          <w:szCs w:val="26"/>
        </w:rPr>
      </w:pPr>
      <w:r w:rsidRPr="00E1739F">
        <w:rPr>
          <w:szCs w:val="26"/>
        </w:rPr>
        <w:t>Tod</w:t>
      </w:r>
      <w:r w:rsidR="004B65F0" w:rsidRPr="00E1739F">
        <w:rPr>
          <w:szCs w:val="26"/>
        </w:rPr>
        <w:t>as las valoraciones</w:t>
      </w:r>
      <w:r w:rsidR="008E2EBA" w:rsidRPr="00E1739F">
        <w:rPr>
          <w:szCs w:val="26"/>
        </w:rPr>
        <w:t xml:space="preserve"> de suelo anteriores </w:t>
      </w:r>
      <w:r w:rsidR="0049525B" w:rsidRPr="00E1739F">
        <w:rPr>
          <w:szCs w:val="26"/>
        </w:rPr>
        <w:t>están calculad</w:t>
      </w:r>
      <w:r w:rsidR="004B65F0" w:rsidRPr="00E1739F">
        <w:rPr>
          <w:szCs w:val="26"/>
        </w:rPr>
        <w:t>as</w:t>
      </w:r>
      <w:r w:rsidR="008E2EBA" w:rsidRPr="00E1739F">
        <w:rPr>
          <w:szCs w:val="26"/>
        </w:rPr>
        <w:t xml:space="preserve"> </w:t>
      </w:r>
      <w:r w:rsidR="0049525B" w:rsidRPr="00E1739F">
        <w:rPr>
          <w:szCs w:val="26"/>
        </w:rPr>
        <w:t xml:space="preserve">de acuerdo </w:t>
      </w:r>
      <w:r w:rsidRPr="00E1739F">
        <w:rPr>
          <w:szCs w:val="26"/>
        </w:rPr>
        <w:t>con el</w:t>
      </w:r>
      <w:r w:rsidR="0049525B" w:rsidRPr="00E1739F">
        <w:rPr>
          <w:szCs w:val="26"/>
        </w:rPr>
        <w:t xml:space="preserve"> método residual dinámico; la variación entre ell</w:t>
      </w:r>
      <w:r w:rsidR="004B65F0" w:rsidRPr="00E1739F">
        <w:rPr>
          <w:szCs w:val="26"/>
        </w:rPr>
        <w:t>as</w:t>
      </w:r>
      <w:r w:rsidR="0049525B" w:rsidRPr="00E1739F">
        <w:rPr>
          <w:szCs w:val="26"/>
        </w:rPr>
        <w:t xml:space="preserve"> </w:t>
      </w:r>
      <w:r w:rsidR="004B65F0" w:rsidRPr="00E1739F">
        <w:rPr>
          <w:szCs w:val="26"/>
        </w:rPr>
        <w:t>deriva de</w:t>
      </w:r>
      <w:r w:rsidR="0049525B" w:rsidRPr="00E1739F">
        <w:rPr>
          <w:szCs w:val="26"/>
        </w:rPr>
        <w:t xml:space="preserve"> la utilización de</w:t>
      </w:r>
      <w:r w:rsidR="008E2EBA" w:rsidRPr="00E1739F">
        <w:rPr>
          <w:szCs w:val="26"/>
        </w:rPr>
        <w:t xml:space="preserve"> hipótesis y</w:t>
      </w:r>
      <w:r w:rsidR="0049525B" w:rsidRPr="00E1739F">
        <w:rPr>
          <w:szCs w:val="26"/>
        </w:rPr>
        <w:t xml:space="preserve"> parámetros distintos para cuantificar</w:t>
      </w:r>
      <w:r w:rsidR="008E2EBA" w:rsidRPr="00E1739F">
        <w:rPr>
          <w:szCs w:val="26"/>
        </w:rPr>
        <w:t xml:space="preserve"> o justificar básicamente</w:t>
      </w:r>
      <w:r w:rsidR="0049525B" w:rsidRPr="00E1739F">
        <w:rPr>
          <w:szCs w:val="26"/>
        </w:rPr>
        <w:t xml:space="preserve"> el v</w:t>
      </w:r>
      <w:r w:rsidR="0049525B" w:rsidRPr="00E1739F">
        <w:rPr>
          <w:szCs w:val="26"/>
        </w:rPr>
        <w:t>a</w:t>
      </w:r>
      <w:r w:rsidR="0049525B" w:rsidRPr="00E1739F">
        <w:rPr>
          <w:szCs w:val="26"/>
        </w:rPr>
        <w:t>lor de mercado de los terre</w:t>
      </w:r>
      <w:r w:rsidR="00C17913" w:rsidRPr="00E1739F">
        <w:rPr>
          <w:szCs w:val="26"/>
        </w:rPr>
        <w:t>nos y el coste de la edificación.</w:t>
      </w:r>
    </w:p>
    <w:p w:rsidR="00E94F98" w:rsidRPr="00F97E01" w:rsidRDefault="00A62F1C" w:rsidP="00E94F98">
      <w:pPr>
        <w:pStyle w:val="texto"/>
        <w:tabs>
          <w:tab w:val="clear" w:pos="2835"/>
          <w:tab w:val="clear" w:pos="3969"/>
          <w:tab w:val="clear" w:pos="5103"/>
          <w:tab w:val="clear" w:pos="6237"/>
          <w:tab w:val="clear" w:pos="7371"/>
        </w:tabs>
        <w:rPr>
          <w:szCs w:val="26"/>
        </w:rPr>
      </w:pPr>
      <w:r w:rsidRPr="00C54F50">
        <w:rPr>
          <w:b/>
          <w:szCs w:val="26"/>
        </w:rPr>
        <w:t>2</w:t>
      </w:r>
      <w:r w:rsidR="0049525B" w:rsidRPr="00C54F50">
        <w:rPr>
          <w:b/>
          <w:szCs w:val="26"/>
        </w:rPr>
        <w:t>5</w:t>
      </w:r>
      <w:r w:rsidR="00C54F50" w:rsidRPr="00C54F50">
        <w:rPr>
          <w:b/>
          <w:szCs w:val="26"/>
        </w:rPr>
        <w:t>.</w:t>
      </w:r>
      <w:r w:rsidR="00E94F98" w:rsidRPr="00C54F50">
        <w:rPr>
          <w:b/>
          <w:szCs w:val="26"/>
        </w:rPr>
        <w:t>ª</w:t>
      </w:r>
      <w:r w:rsidR="00E94F98">
        <w:rPr>
          <w:szCs w:val="26"/>
        </w:rPr>
        <w:t xml:space="preserve"> Para la financiación de estas expropiaciones de los terrenos de la a</w:t>
      </w:r>
      <w:r w:rsidR="00E94F98">
        <w:rPr>
          <w:szCs w:val="26"/>
        </w:rPr>
        <w:t>m</w:t>
      </w:r>
      <w:r w:rsidR="00E94F98">
        <w:rPr>
          <w:szCs w:val="26"/>
        </w:rPr>
        <w:t xml:space="preserve">pliación de la CT y como resultado del citado acuerdo del Gobierno de Navarra de marzo de 2015, </w:t>
      </w:r>
      <w:r w:rsidR="00E94F98" w:rsidRPr="00F97E01">
        <w:rPr>
          <w:szCs w:val="26"/>
        </w:rPr>
        <w:t>se aprueba</w:t>
      </w:r>
      <w:r w:rsidR="00E94F98">
        <w:rPr>
          <w:szCs w:val="26"/>
        </w:rPr>
        <w:t xml:space="preserve"> en mayo de 2017 </w:t>
      </w:r>
      <w:r w:rsidR="00E94F98" w:rsidRPr="00F97E01">
        <w:rPr>
          <w:szCs w:val="26"/>
        </w:rPr>
        <w:t xml:space="preserve"> la Ley Foral 5/2017, de conc</w:t>
      </w:r>
      <w:r w:rsidR="00E94F98" w:rsidRPr="00F97E01">
        <w:rPr>
          <w:szCs w:val="26"/>
        </w:rPr>
        <w:t>e</w:t>
      </w:r>
      <w:r w:rsidR="00E94F98" w:rsidRPr="00F97E01">
        <w:rPr>
          <w:szCs w:val="26"/>
        </w:rPr>
        <w:t>sión de un crédito extraordinario de 25 millones de euros a la partida “</w:t>
      </w:r>
      <w:r w:rsidR="00E94F98" w:rsidRPr="00E62051">
        <w:rPr>
          <w:i/>
          <w:szCs w:val="26"/>
        </w:rPr>
        <w:t>Transf</w:t>
      </w:r>
      <w:r w:rsidR="00E94F98" w:rsidRPr="00E62051">
        <w:rPr>
          <w:i/>
          <w:szCs w:val="26"/>
        </w:rPr>
        <w:t>e</w:t>
      </w:r>
      <w:r w:rsidR="00E94F98" w:rsidRPr="00E62051">
        <w:rPr>
          <w:i/>
          <w:szCs w:val="26"/>
        </w:rPr>
        <w:t>rencias corrientes a Nasuvinsa. Sentencia Ciudad del Transporte</w:t>
      </w:r>
      <w:r w:rsidR="00E94F98" w:rsidRPr="00F97E01">
        <w:rPr>
          <w:szCs w:val="26"/>
        </w:rPr>
        <w:t>” para hacer frente a la</w:t>
      </w:r>
      <w:r w:rsidR="00E94F98">
        <w:rPr>
          <w:szCs w:val="26"/>
        </w:rPr>
        <w:t>s</w:t>
      </w:r>
      <w:r w:rsidR="00E94F98" w:rsidRPr="00F97E01">
        <w:rPr>
          <w:szCs w:val="26"/>
        </w:rPr>
        <w:t xml:space="preserve"> sentencia</w:t>
      </w:r>
      <w:r w:rsidR="00E94F98">
        <w:rPr>
          <w:szCs w:val="26"/>
        </w:rPr>
        <w:t>s</w:t>
      </w:r>
      <w:r w:rsidR="00E94F98" w:rsidRPr="00F97E01">
        <w:rPr>
          <w:szCs w:val="26"/>
        </w:rPr>
        <w:t xml:space="preserve"> sobre fijación de justiprecio del Plan de Ampliación de la Ciudad del Transporte. Igualmente</w:t>
      </w:r>
      <w:r w:rsidR="00B66D0B">
        <w:rPr>
          <w:szCs w:val="26"/>
        </w:rPr>
        <w:t>,</w:t>
      </w:r>
      <w:r w:rsidR="00E94F98" w:rsidRPr="00F97E01">
        <w:rPr>
          <w:szCs w:val="26"/>
        </w:rPr>
        <w:t xml:space="preserve"> </w:t>
      </w:r>
      <w:r w:rsidR="00E94F98">
        <w:rPr>
          <w:szCs w:val="26"/>
        </w:rPr>
        <w:t>por</w:t>
      </w:r>
      <w:r w:rsidR="00E94F98" w:rsidRPr="00F97E01">
        <w:rPr>
          <w:szCs w:val="26"/>
        </w:rPr>
        <w:t xml:space="preserve"> dicha Ley Foral se modifica la Ley Foral 24/2016, de Presupuestos Generales de Navarra para 2017, en el sentido de declarar como ampliable la citada partida de Nasuvinsa.</w:t>
      </w:r>
    </w:p>
    <w:p w:rsidR="00E94F98" w:rsidRDefault="00E94F98" w:rsidP="00E94F98">
      <w:pPr>
        <w:pStyle w:val="texto"/>
        <w:tabs>
          <w:tab w:val="clear" w:pos="2835"/>
          <w:tab w:val="clear" w:pos="3969"/>
          <w:tab w:val="clear" w:pos="5103"/>
          <w:tab w:val="clear" w:pos="6237"/>
          <w:tab w:val="clear" w:pos="7371"/>
        </w:tabs>
        <w:rPr>
          <w:szCs w:val="26"/>
        </w:rPr>
      </w:pPr>
      <w:r w:rsidRPr="00F97E01">
        <w:rPr>
          <w:szCs w:val="26"/>
        </w:rPr>
        <w:t xml:space="preserve">Por acuerdo del Gobierno de Navarra de 19 de julio de 2017 se amplía el crédito de dicha partida en 26,5 millones de euros. </w:t>
      </w:r>
      <w:r>
        <w:rPr>
          <w:szCs w:val="26"/>
        </w:rPr>
        <w:t xml:space="preserve">El importe efectivamente entregado a Nasuvinsa asciende a un total de 51,36 millones de euros. </w:t>
      </w:r>
    </w:p>
    <w:p w:rsidR="00E94F98" w:rsidRDefault="00E94F98" w:rsidP="00E94F98">
      <w:pPr>
        <w:pStyle w:val="texto"/>
        <w:tabs>
          <w:tab w:val="clear" w:pos="2835"/>
          <w:tab w:val="clear" w:pos="3969"/>
          <w:tab w:val="clear" w:pos="5103"/>
          <w:tab w:val="clear" w:pos="6237"/>
          <w:tab w:val="clear" w:pos="7371"/>
        </w:tabs>
        <w:rPr>
          <w:szCs w:val="26"/>
        </w:rPr>
      </w:pPr>
      <w:r>
        <w:rPr>
          <w:szCs w:val="26"/>
        </w:rPr>
        <w:t xml:space="preserve">El importe restante se ha abonado con fondos procedentes de </w:t>
      </w:r>
      <w:r w:rsidR="006C4DAA">
        <w:rPr>
          <w:szCs w:val="26"/>
        </w:rPr>
        <w:t xml:space="preserve">la actividad comercial </w:t>
      </w:r>
      <w:r>
        <w:rPr>
          <w:szCs w:val="26"/>
        </w:rPr>
        <w:t xml:space="preserve">y </w:t>
      </w:r>
      <w:r w:rsidR="006C4DAA">
        <w:rPr>
          <w:szCs w:val="26"/>
        </w:rPr>
        <w:t xml:space="preserve">otros </w:t>
      </w:r>
      <w:r>
        <w:rPr>
          <w:szCs w:val="26"/>
        </w:rPr>
        <w:t xml:space="preserve">recursos propios de </w:t>
      </w:r>
      <w:r w:rsidR="006C4DAA">
        <w:rPr>
          <w:szCs w:val="26"/>
        </w:rPr>
        <w:t>la sociedad gestora.</w:t>
      </w:r>
    </w:p>
    <w:p w:rsidR="00E94F98" w:rsidRDefault="00A62F1C" w:rsidP="00E94F98">
      <w:pPr>
        <w:pStyle w:val="texto"/>
        <w:tabs>
          <w:tab w:val="clear" w:pos="2835"/>
          <w:tab w:val="clear" w:pos="3969"/>
          <w:tab w:val="clear" w:pos="5103"/>
          <w:tab w:val="clear" w:pos="6237"/>
          <w:tab w:val="clear" w:pos="7371"/>
        </w:tabs>
        <w:rPr>
          <w:szCs w:val="26"/>
        </w:rPr>
      </w:pPr>
      <w:r w:rsidRPr="00C54F50">
        <w:rPr>
          <w:b/>
          <w:szCs w:val="26"/>
        </w:rPr>
        <w:t>2</w:t>
      </w:r>
      <w:r w:rsidR="0049525B" w:rsidRPr="00C54F50">
        <w:rPr>
          <w:b/>
          <w:szCs w:val="26"/>
        </w:rPr>
        <w:t>6</w:t>
      </w:r>
      <w:r w:rsidR="00C54F50" w:rsidRPr="00C54F50">
        <w:rPr>
          <w:b/>
          <w:szCs w:val="26"/>
        </w:rPr>
        <w:t>.</w:t>
      </w:r>
      <w:r w:rsidR="00E94F98" w:rsidRPr="00C54F50">
        <w:rPr>
          <w:b/>
          <w:szCs w:val="26"/>
        </w:rPr>
        <w:t>ª</w:t>
      </w:r>
      <w:r w:rsidR="00E94F98">
        <w:rPr>
          <w:szCs w:val="26"/>
        </w:rPr>
        <w:t xml:space="preserve"> Finalmente</w:t>
      </w:r>
      <w:r w:rsidR="00B66D0B">
        <w:rPr>
          <w:szCs w:val="26"/>
        </w:rPr>
        <w:t>,</w:t>
      </w:r>
      <w:r w:rsidR="00E94F98">
        <w:rPr>
          <w:szCs w:val="26"/>
        </w:rPr>
        <w:t xml:space="preserve"> sobre la gestión de las anteriores expropiaciones destac</w:t>
      </w:r>
      <w:r w:rsidR="00E94F98">
        <w:rPr>
          <w:szCs w:val="26"/>
        </w:rPr>
        <w:t>a</w:t>
      </w:r>
      <w:r w:rsidR="00E94F98">
        <w:rPr>
          <w:szCs w:val="26"/>
        </w:rPr>
        <w:t>mos los siguientes aspectos:</w:t>
      </w:r>
    </w:p>
    <w:p w:rsidR="00BE51C3" w:rsidRPr="00BE51C3" w:rsidRDefault="00BE51C3" w:rsidP="001418D9">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89"/>
        <w:rPr>
          <w:szCs w:val="26"/>
        </w:rPr>
      </w:pPr>
      <w:r>
        <w:rPr>
          <w:szCs w:val="26"/>
        </w:rPr>
        <w:t>Se ha revisado una muestra de expedientes de expropiación</w:t>
      </w:r>
      <w:r w:rsidR="00280121">
        <w:rPr>
          <w:szCs w:val="26"/>
        </w:rPr>
        <w:t xml:space="preserve"> de la 3ª fase</w:t>
      </w:r>
      <w:r>
        <w:rPr>
          <w:szCs w:val="26"/>
        </w:rPr>
        <w:t>, concluyendo que los mism</w:t>
      </w:r>
      <w:r w:rsidR="009975EB">
        <w:rPr>
          <w:szCs w:val="26"/>
        </w:rPr>
        <w:t>o</w:t>
      </w:r>
      <w:r>
        <w:rPr>
          <w:szCs w:val="26"/>
        </w:rPr>
        <w:t>s están completos, contienen la justificación prec</w:t>
      </w:r>
      <w:r>
        <w:rPr>
          <w:szCs w:val="26"/>
        </w:rPr>
        <w:t>i</w:t>
      </w:r>
      <w:r w:rsidR="006C4DAA">
        <w:rPr>
          <w:szCs w:val="26"/>
        </w:rPr>
        <w:t xml:space="preserve">sa, los cálculos </w:t>
      </w:r>
      <w:r>
        <w:rPr>
          <w:szCs w:val="26"/>
        </w:rPr>
        <w:t>y los pagos efectuados responden a la documentación y sente</w:t>
      </w:r>
      <w:r>
        <w:rPr>
          <w:szCs w:val="26"/>
        </w:rPr>
        <w:t>n</w:t>
      </w:r>
      <w:r>
        <w:rPr>
          <w:szCs w:val="26"/>
        </w:rPr>
        <w:t>cias obrantes en los mismos.</w:t>
      </w:r>
    </w:p>
    <w:p w:rsidR="00E94F98" w:rsidRDefault="00E94F98" w:rsidP="00E94F98">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La sociedad gestora</w:t>
      </w:r>
      <w:r w:rsidR="00CB2B34">
        <w:rPr>
          <w:szCs w:val="26"/>
        </w:rPr>
        <w:t>/Gobierno de Navarra</w:t>
      </w:r>
      <w:r>
        <w:rPr>
          <w:szCs w:val="26"/>
        </w:rPr>
        <w:t xml:space="preserve"> </w:t>
      </w:r>
      <w:r w:rsidR="00CB2B34">
        <w:rPr>
          <w:szCs w:val="26"/>
        </w:rPr>
        <w:t>efectuaron</w:t>
      </w:r>
      <w:r>
        <w:rPr>
          <w:szCs w:val="26"/>
        </w:rPr>
        <w:t xml:space="preserve"> los depósitos previos y </w:t>
      </w:r>
      <w:r w:rsidR="006C4DAA">
        <w:rPr>
          <w:szCs w:val="26"/>
        </w:rPr>
        <w:t>consignaron</w:t>
      </w:r>
      <w:r>
        <w:rPr>
          <w:szCs w:val="26"/>
        </w:rPr>
        <w:t xml:space="preserve"> las cantidades concurrentes en la Caja</w:t>
      </w:r>
      <w:r w:rsidR="000925C2">
        <w:rPr>
          <w:szCs w:val="26"/>
        </w:rPr>
        <w:t xml:space="preserve"> General</w:t>
      </w:r>
      <w:r>
        <w:rPr>
          <w:szCs w:val="26"/>
        </w:rPr>
        <w:t xml:space="preserve"> de Depósitos al objeto de reducir lo máximo posible la generación de intereses legales de d</w:t>
      </w:r>
      <w:r>
        <w:rPr>
          <w:szCs w:val="26"/>
        </w:rPr>
        <w:t>e</w:t>
      </w:r>
      <w:r>
        <w:rPr>
          <w:szCs w:val="26"/>
        </w:rPr>
        <w:t>mora.</w:t>
      </w:r>
    </w:p>
    <w:p w:rsidR="00E94F98" w:rsidRDefault="00E94F98" w:rsidP="00E94F98">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A lo largo de 2002, el TSJN dicta las correspondientes sentencias fijando el justiprecio de los terrenos</w:t>
      </w:r>
      <w:r w:rsidR="00706FE0">
        <w:rPr>
          <w:szCs w:val="26"/>
        </w:rPr>
        <w:t xml:space="preserve"> –sin premio de afección</w:t>
      </w:r>
      <w:r w:rsidR="001418D9">
        <w:rPr>
          <w:szCs w:val="26"/>
        </w:rPr>
        <w:t>–</w:t>
      </w:r>
      <w:r>
        <w:rPr>
          <w:szCs w:val="26"/>
        </w:rPr>
        <w:t xml:space="preserve"> de la 1ª y 2ª fase entre 12,04 y 19,62 euros/m</w:t>
      </w:r>
      <w:r w:rsidRPr="00AE0EE4">
        <w:rPr>
          <w:szCs w:val="26"/>
          <w:vertAlign w:val="superscript"/>
        </w:rPr>
        <w:t>2</w:t>
      </w:r>
      <w:r>
        <w:rPr>
          <w:szCs w:val="26"/>
        </w:rPr>
        <w:t>; por tanto, la Administración ya conocía tales precios, por lo que no resulta muy comprensible que en su hoja de aprecio para la a</w:t>
      </w:r>
      <w:r>
        <w:rPr>
          <w:szCs w:val="26"/>
        </w:rPr>
        <w:t>m</w:t>
      </w:r>
      <w:r>
        <w:rPr>
          <w:szCs w:val="26"/>
        </w:rPr>
        <w:t>pliación de la CT</w:t>
      </w:r>
      <w:r w:rsidR="00BE1D2D">
        <w:rPr>
          <w:szCs w:val="26"/>
        </w:rPr>
        <w:t xml:space="preserve"> presentada en 2006</w:t>
      </w:r>
      <w:r>
        <w:rPr>
          <w:szCs w:val="26"/>
        </w:rPr>
        <w:t>, fijara un precio de los terrenos de 11,02 euros/m</w:t>
      </w:r>
      <w:r w:rsidRPr="00AE0EE4">
        <w:rPr>
          <w:szCs w:val="26"/>
          <w:vertAlign w:val="superscript"/>
        </w:rPr>
        <w:t>2</w:t>
      </w:r>
      <w:r w:rsidR="00BE1D2D">
        <w:rPr>
          <w:szCs w:val="26"/>
        </w:rPr>
        <w:t>, cuando la naturaleza de los terrenos era</w:t>
      </w:r>
      <w:r w:rsidR="006C4DAA">
        <w:rPr>
          <w:szCs w:val="26"/>
        </w:rPr>
        <w:t xml:space="preserve"> </w:t>
      </w:r>
      <w:r w:rsidR="00BE1D2D">
        <w:rPr>
          <w:szCs w:val="26"/>
        </w:rPr>
        <w:t>muy semejante.</w:t>
      </w:r>
      <w:r>
        <w:rPr>
          <w:szCs w:val="26"/>
        </w:rPr>
        <w:t xml:space="preserve">  </w:t>
      </w:r>
    </w:p>
    <w:p w:rsidR="00D62876" w:rsidRDefault="00D62876" w:rsidP="00D62876">
      <w:pPr>
        <w:pStyle w:val="texto"/>
        <w:tabs>
          <w:tab w:val="clear" w:pos="2835"/>
          <w:tab w:val="clear" w:pos="3969"/>
          <w:tab w:val="clear" w:pos="5103"/>
          <w:tab w:val="clear" w:pos="6237"/>
          <w:tab w:val="clear" w:pos="7371"/>
        </w:tabs>
        <w:ind w:left="290" w:firstLine="0"/>
        <w:rPr>
          <w:szCs w:val="26"/>
        </w:rPr>
      </w:pPr>
    </w:p>
    <w:p w:rsidR="00D62876" w:rsidRDefault="00E1739F" w:rsidP="00D62876">
      <w:pPr>
        <w:pStyle w:val="texto"/>
        <w:numPr>
          <w:ilvl w:val="0"/>
          <w:numId w:val="1"/>
        </w:numPr>
        <w:tabs>
          <w:tab w:val="clear" w:pos="502"/>
          <w:tab w:val="clear" w:pos="2835"/>
          <w:tab w:val="clear" w:pos="3969"/>
          <w:tab w:val="clear" w:pos="5103"/>
          <w:tab w:val="clear" w:pos="6237"/>
          <w:tab w:val="clear" w:pos="7371"/>
          <w:tab w:val="left" w:pos="480"/>
          <w:tab w:val="num" w:pos="600"/>
        </w:tabs>
        <w:spacing w:after="0"/>
        <w:ind w:left="0" w:firstLine="289"/>
        <w:rPr>
          <w:szCs w:val="26"/>
        </w:rPr>
      </w:pPr>
      <w:r w:rsidRPr="006C7C5A">
        <w:rPr>
          <w:szCs w:val="26"/>
        </w:rPr>
        <w:t xml:space="preserve">Desde la actual perspectiva temporal, </w:t>
      </w:r>
      <w:r w:rsidR="00AB03EE" w:rsidRPr="006C7C5A">
        <w:rPr>
          <w:szCs w:val="26"/>
        </w:rPr>
        <w:t>la ampliación de la CT debería h</w:t>
      </w:r>
      <w:r w:rsidR="00AB03EE" w:rsidRPr="006C7C5A">
        <w:rPr>
          <w:szCs w:val="26"/>
        </w:rPr>
        <w:t>a</w:t>
      </w:r>
      <w:r w:rsidR="00AB03EE" w:rsidRPr="006C7C5A">
        <w:rPr>
          <w:szCs w:val="26"/>
        </w:rPr>
        <w:t>berse limita</w:t>
      </w:r>
      <w:r w:rsidRPr="006C7C5A">
        <w:rPr>
          <w:szCs w:val="26"/>
        </w:rPr>
        <w:t>do a</w:t>
      </w:r>
      <w:r w:rsidR="005A4122" w:rsidRPr="006C7C5A">
        <w:rPr>
          <w:szCs w:val="26"/>
        </w:rPr>
        <w:t xml:space="preserve"> los terrenos de</w:t>
      </w:r>
      <w:r w:rsidRPr="006C7C5A">
        <w:rPr>
          <w:szCs w:val="26"/>
        </w:rPr>
        <w:t xml:space="preserve"> </w:t>
      </w:r>
      <w:r w:rsidR="00AB03EE" w:rsidRPr="006C7C5A">
        <w:rPr>
          <w:szCs w:val="26"/>
        </w:rPr>
        <w:t>la 3ª fase; posteriormente, en función de los r</w:t>
      </w:r>
      <w:r w:rsidR="00AB03EE" w:rsidRPr="006C7C5A">
        <w:rPr>
          <w:szCs w:val="26"/>
        </w:rPr>
        <w:t>e</w:t>
      </w:r>
      <w:r w:rsidR="00AB03EE" w:rsidRPr="006C7C5A">
        <w:rPr>
          <w:szCs w:val="26"/>
        </w:rPr>
        <w:t>sultados comerciales</w:t>
      </w:r>
      <w:r w:rsidRPr="006C7C5A">
        <w:rPr>
          <w:szCs w:val="26"/>
        </w:rPr>
        <w:t xml:space="preserve"> de su explotación comercial</w:t>
      </w:r>
      <w:r w:rsidR="00AB03EE" w:rsidRPr="006C7C5A">
        <w:rPr>
          <w:szCs w:val="26"/>
        </w:rPr>
        <w:t>, de la evolución de la situ</w:t>
      </w:r>
      <w:r w:rsidR="00AB03EE" w:rsidRPr="006C7C5A">
        <w:rPr>
          <w:szCs w:val="26"/>
        </w:rPr>
        <w:t>a</w:t>
      </w:r>
      <w:r w:rsidR="00AB03EE" w:rsidRPr="006C7C5A">
        <w:rPr>
          <w:szCs w:val="26"/>
        </w:rPr>
        <w:t xml:space="preserve">ción económica y de las conclusiones del plan de viabilidad, </w:t>
      </w:r>
      <w:r w:rsidR="00D646C1" w:rsidRPr="006C7C5A">
        <w:rPr>
          <w:szCs w:val="26"/>
        </w:rPr>
        <w:t>abordar</w:t>
      </w:r>
      <w:r w:rsidR="00AB03EE" w:rsidRPr="006C7C5A">
        <w:rPr>
          <w:szCs w:val="26"/>
        </w:rPr>
        <w:t>, en su c</w:t>
      </w:r>
      <w:r w:rsidR="00AB03EE" w:rsidRPr="006C7C5A">
        <w:rPr>
          <w:szCs w:val="26"/>
        </w:rPr>
        <w:t>a</w:t>
      </w:r>
      <w:r w:rsidR="00D646C1" w:rsidRPr="006C7C5A">
        <w:rPr>
          <w:szCs w:val="26"/>
        </w:rPr>
        <w:t xml:space="preserve">so, </w:t>
      </w:r>
      <w:r w:rsidR="00AB03EE" w:rsidRPr="006C7C5A">
        <w:rPr>
          <w:szCs w:val="26"/>
        </w:rPr>
        <w:t>la 4ª fase.</w:t>
      </w:r>
      <w:r w:rsidRPr="006C7C5A">
        <w:rPr>
          <w:szCs w:val="26"/>
        </w:rPr>
        <w:t xml:space="preserve"> No obstante, la ejecución por fases conlleva también riesgos, t</w:t>
      </w:r>
      <w:r w:rsidRPr="006C7C5A">
        <w:rPr>
          <w:szCs w:val="26"/>
        </w:rPr>
        <w:t>a</w:t>
      </w:r>
      <w:r w:rsidRPr="006C7C5A">
        <w:rPr>
          <w:szCs w:val="26"/>
        </w:rPr>
        <w:t xml:space="preserve">les como </w:t>
      </w:r>
      <w:r w:rsidR="005A4122" w:rsidRPr="006C7C5A">
        <w:rPr>
          <w:szCs w:val="26"/>
        </w:rPr>
        <w:t xml:space="preserve">modificaciones urbanísticas u </w:t>
      </w:r>
      <w:r w:rsidRPr="006C7C5A">
        <w:rPr>
          <w:szCs w:val="26"/>
        </w:rPr>
        <w:t>operaciones especulativas</w:t>
      </w:r>
      <w:r w:rsidR="005A4122" w:rsidRPr="006C7C5A">
        <w:rPr>
          <w:szCs w:val="26"/>
        </w:rPr>
        <w:t xml:space="preserve"> sobre los t</w:t>
      </w:r>
      <w:r w:rsidR="005A4122" w:rsidRPr="006C7C5A">
        <w:rPr>
          <w:szCs w:val="26"/>
        </w:rPr>
        <w:t>e</w:t>
      </w:r>
      <w:r w:rsidR="005A4122" w:rsidRPr="006C7C5A">
        <w:rPr>
          <w:szCs w:val="26"/>
        </w:rPr>
        <w:t>rrenos, que pudieran haber impedido o afectado al desarrollo final del proyecto.</w:t>
      </w:r>
    </w:p>
    <w:p w:rsidR="00AB03EE" w:rsidRPr="006C7C5A" w:rsidRDefault="00AB03EE" w:rsidP="00D62876">
      <w:pPr>
        <w:pStyle w:val="texto"/>
        <w:tabs>
          <w:tab w:val="clear" w:pos="2835"/>
          <w:tab w:val="clear" w:pos="3969"/>
          <w:tab w:val="clear" w:pos="5103"/>
          <w:tab w:val="clear" w:pos="6237"/>
          <w:tab w:val="clear" w:pos="7371"/>
        </w:tabs>
        <w:spacing w:after="0"/>
        <w:ind w:left="289" w:firstLine="0"/>
        <w:rPr>
          <w:szCs w:val="26"/>
        </w:rPr>
      </w:pPr>
    </w:p>
    <w:p w:rsidR="005136BB" w:rsidRDefault="005136BB" w:rsidP="005136BB">
      <w:pPr>
        <w:pStyle w:val="atitulo2"/>
      </w:pPr>
      <w:bookmarkStart w:id="41" w:name="_Toc515531873"/>
      <w:r>
        <w:t>IV.4. Modelo de gestión de la Ciudad del Transporte</w:t>
      </w:r>
      <w:bookmarkEnd w:id="41"/>
    </w:p>
    <w:p w:rsidR="005136BB" w:rsidRDefault="00A62F1C" w:rsidP="005136BB">
      <w:pPr>
        <w:pStyle w:val="texto"/>
        <w:tabs>
          <w:tab w:val="clear" w:pos="2835"/>
          <w:tab w:val="clear" w:pos="3969"/>
          <w:tab w:val="clear" w:pos="5103"/>
          <w:tab w:val="clear" w:pos="6237"/>
          <w:tab w:val="clear" w:pos="7371"/>
        </w:tabs>
        <w:rPr>
          <w:szCs w:val="26"/>
        </w:rPr>
      </w:pPr>
      <w:r w:rsidRPr="00C54F50">
        <w:rPr>
          <w:b/>
          <w:szCs w:val="26"/>
        </w:rPr>
        <w:t>2</w:t>
      </w:r>
      <w:r w:rsidR="0023051E" w:rsidRPr="00C54F50">
        <w:rPr>
          <w:b/>
          <w:szCs w:val="26"/>
        </w:rPr>
        <w:t>7</w:t>
      </w:r>
      <w:r w:rsidR="00C54F50" w:rsidRPr="00C54F50">
        <w:rPr>
          <w:b/>
          <w:szCs w:val="26"/>
        </w:rPr>
        <w:t>.</w:t>
      </w:r>
      <w:r w:rsidR="005136BB" w:rsidRPr="00C54F50">
        <w:rPr>
          <w:b/>
          <w:szCs w:val="26"/>
        </w:rPr>
        <w:t>ª</w:t>
      </w:r>
      <w:r w:rsidR="005136BB">
        <w:rPr>
          <w:szCs w:val="26"/>
        </w:rPr>
        <w:t xml:space="preserve"> El modelo de gestión de la Ciudad del Transporte que se implanta para la 1ª, 2ª y 3ª fase de la CT se caracteriza por:</w:t>
      </w:r>
    </w:p>
    <w:p w:rsidR="005136BB" w:rsidRDefault="005136BB" w:rsidP="005136BB">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Prácticamente desde su inicio, el desarrollo y funcionamiento de la CT se realiza bajo control institucional para mantener el carácter estratégico para N</w:t>
      </w:r>
      <w:r>
        <w:rPr>
          <w:szCs w:val="26"/>
        </w:rPr>
        <w:t>a</w:t>
      </w:r>
      <w:r>
        <w:rPr>
          <w:szCs w:val="26"/>
        </w:rPr>
        <w:t>varra de dich</w:t>
      </w:r>
      <w:r w:rsidR="005A4122">
        <w:rPr>
          <w:szCs w:val="26"/>
        </w:rPr>
        <w:t>a</w:t>
      </w:r>
      <w:r>
        <w:rPr>
          <w:szCs w:val="26"/>
        </w:rPr>
        <w:t xml:space="preserve"> infraestructura.</w:t>
      </w:r>
    </w:p>
    <w:p w:rsidR="005A4122" w:rsidRDefault="005A4122" w:rsidP="005136BB">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Mediante una sociedad gestora se presta un servicio público de explotación privada</w:t>
      </w:r>
      <w:r w:rsidR="000E026C">
        <w:rPr>
          <w:szCs w:val="26"/>
        </w:rPr>
        <w:t xml:space="preserve"> o mediante concesionario.</w:t>
      </w:r>
      <w:r w:rsidR="00121AD6">
        <w:rPr>
          <w:szCs w:val="26"/>
        </w:rPr>
        <w:t xml:space="preserve"> Desde 1995, esta sociedad adquiere la nat</w:t>
      </w:r>
      <w:r w:rsidR="00121AD6">
        <w:rPr>
          <w:szCs w:val="26"/>
        </w:rPr>
        <w:t>u</w:t>
      </w:r>
      <w:r w:rsidR="00121AD6">
        <w:rPr>
          <w:szCs w:val="26"/>
        </w:rPr>
        <w:t>raleza de empresa pública.</w:t>
      </w:r>
    </w:p>
    <w:p w:rsidR="00300999" w:rsidRPr="00B121CD" w:rsidRDefault="00300999" w:rsidP="00300999">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Los suelos precisos para la CT los expropia y financia el Gobierno de N</w:t>
      </w:r>
      <w:r>
        <w:rPr>
          <w:szCs w:val="26"/>
        </w:rPr>
        <w:t>a</w:t>
      </w:r>
      <w:r>
        <w:rPr>
          <w:szCs w:val="26"/>
        </w:rPr>
        <w:t>varra, declarando como entidad beneficiaria a la sociedad gestora.</w:t>
      </w:r>
      <w:r w:rsidR="00D646C1">
        <w:rPr>
          <w:szCs w:val="26"/>
        </w:rPr>
        <w:t xml:space="preserve"> Igualmente asume y financia las infraestructuras externas al ámbito territorial de la CT.</w:t>
      </w:r>
    </w:p>
    <w:p w:rsidR="005136BB" w:rsidRDefault="005136BB" w:rsidP="005136BB">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Para las obras de urbanización, construcción y explotación de la CT, la s</w:t>
      </w:r>
      <w:r>
        <w:rPr>
          <w:szCs w:val="26"/>
        </w:rPr>
        <w:t>o</w:t>
      </w:r>
      <w:r>
        <w:rPr>
          <w:szCs w:val="26"/>
        </w:rPr>
        <w:t>ciedad gestora efectúa dos concursos públicos que se adjudican en ambos casos a la misma UTE, única oferta presentada.</w:t>
      </w:r>
      <w:r w:rsidRPr="00184893">
        <w:rPr>
          <w:szCs w:val="26"/>
        </w:rPr>
        <w:t xml:space="preserve"> </w:t>
      </w:r>
      <w:r>
        <w:rPr>
          <w:szCs w:val="26"/>
        </w:rPr>
        <w:t>Estos concursos se califican como operaciones “llave en mano”, por lo cual la UTE asume, a riesgo y ventura, la urbanización, edificación, promoción y explotación de la CT.</w:t>
      </w:r>
    </w:p>
    <w:p w:rsidR="00D76DDD" w:rsidRDefault="00D76DDD" w:rsidP="00D76DDD">
      <w:pPr>
        <w:pStyle w:val="texto"/>
        <w:tabs>
          <w:tab w:val="clear" w:pos="2835"/>
          <w:tab w:val="clear" w:pos="3969"/>
          <w:tab w:val="clear" w:pos="5103"/>
          <w:tab w:val="clear" w:pos="6237"/>
          <w:tab w:val="clear" w:pos="7371"/>
        </w:tabs>
        <w:rPr>
          <w:szCs w:val="26"/>
        </w:rPr>
      </w:pPr>
      <w:r>
        <w:rPr>
          <w:szCs w:val="26"/>
        </w:rPr>
        <w:t>Para la 1ª y 2ª fase, la UTE abonó a la sociedad gestora, con carácter previo a la firma del contrato, un total de 181.007 euros para compensar los gastos i</w:t>
      </w:r>
      <w:r>
        <w:rPr>
          <w:szCs w:val="26"/>
        </w:rPr>
        <w:t>n</w:t>
      </w:r>
      <w:r>
        <w:rPr>
          <w:szCs w:val="26"/>
        </w:rPr>
        <w:t>curridos en informes, estudios y proyectos de desarrollo de la CT.</w:t>
      </w:r>
    </w:p>
    <w:p w:rsidR="00D76DDD" w:rsidRPr="00184893" w:rsidRDefault="00D76DDD" w:rsidP="00D76DDD">
      <w:pPr>
        <w:pStyle w:val="texto"/>
        <w:tabs>
          <w:tab w:val="clear" w:pos="2835"/>
          <w:tab w:val="clear" w:pos="3969"/>
          <w:tab w:val="clear" w:pos="5103"/>
          <w:tab w:val="clear" w:pos="6237"/>
          <w:tab w:val="clear" w:pos="7371"/>
        </w:tabs>
        <w:rPr>
          <w:szCs w:val="26"/>
        </w:rPr>
      </w:pPr>
      <w:r>
        <w:rPr>
          <w:szCs w:val="26"/>
        </w:rPr>
        <w:t>En la 3ª fase, la sociedad gestora, además del porcentaje estipulado por cada venta efectuada, percibirá de la UTE un canon de 15 millones de euros que se devengará anualmente en 10 años. Con este canon se compensa</w:t>
      </w:r>
      <w:r w:rsidRPr="00D76DDD">
        <w:t xml:space="preserve"> </w:t>
      </w:r>
      <w:r>
        <w:t>los costes inc</w:t>
      </w:r>
      <w:r>
        <w:t>u</w:t>
      </w:r>
      <w:r>
        <w:t>rridos de dirección de obra y control de calidad de la urbanización así como los gastos de estudios, redacción y tramitación del PSIS, y la promoción instituci</w:t>
      </w:r>
      <w:r>
        <w:t>o</w:t>
      </w:r>
      <w:r>
        <w:t>nal.</w:t>
      </w:r>
    </w:p>
    <w:p w:rsidR="005136BB" w:rsidRDefault="005136BB" w:rsidP="005136BB">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Para la materialización de tal construcción, la sociedad gestora pone a di</w:t>
      </w:r>
      <w:r>
        <w:rPr>
          <w:szCs w:val="26"/>
        </w:rPr>
        <w:t>s</w:t>
      </w:r>
      <w:r>
        <w:rPr>
          <w:szCs w:val="26"/>
        </w:rPr>
        <w:t>posición de la UTE los terrenos mediante la constitución de un derecho de s</w:t>
      </w:r>
      <w:r>
        <w:rPr>
          <w:szCs w:val="26"/>
        </w:rPr>
        <w:t>u</w:t>
      </w:r>
      <w:r>
        <w:rPr>
          <w:szCs w:val="26"/>
        </w:rPr>
        <w:t xml:space="preserve">perficie cuya vigencia, para la 1ª y 2ª fase, fue hasta diciembre de 2003 y para la 3ª fase abarca hasta diciembre de 2021. </w:t>
      </w:r>
    </w:p>
    <w:p w:rsidR="00D62876" w:rsidRDefault="00D62876" w:rsidP="00D62876">
      <w:pPr>
        <w:pStyle w:val="texto"/>
        <w:tabs>
          <w:tab w:val="clear" w:pos="2835"/>
          <w:tab w:val="clear" w:pos="3969"/>
          <w:tab w:val="clear" w:pos="5103"/>
          <w:tab w:val="clear" w:pos="6237"/>
          <w:tab w:val="clear" w:pos="7371"/>
        </w:tabs>
        <w:ind w:left="290" w:firstLine="0"/>
        <w:rPr>
          <w:szCs w:val="26"/>
        </w:rPr>
      </w:pPr>
    </w:p>
    <w:p w:rsidR="005136BB" w:rsidRPr="003B064D" w:rsidRDefault="005136BB" w:rsidP="005136BB">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sidRPr="003B064D">
        <w:rPr>
          <w:szCs w:val="26"/>
        </w:rPr>
        <w:t>Como tipo de comercialización, señalamos:</w:t>
      </w:r>
    </w:p>
    <w:p w:rsidR="005136BB" w:rsidRDefault="005136BB" w:rsidP="005136BB">
      <w:pPr>
        <w:pStyle w:val="texto"/>
        <w:tabs>
          <w:tab w:val="clear" w:pos="2835"/>
          <w:tab w:val="clear" w:pos="3969"/>
          <w:tab w:val="clear" w:pos="5103"/>
          <w:tab w:val="clear" w:pos="6237"/>
          <w:tab w:val="clear" w:pos="7371"/>
        </w:tabs>
        <w:rPr>
          <w:szCs w:val="26"/>
        </w:rPr>
      </w:pPr>
      <w:r>
        <w:rPr>
          <w:szCs w:val="26"/>
        </w:rPr>
        <w:t>a) Para la 1ª y 2ª fase</w:t>
      </w:r>
      <w:r w:rsidRPr="003B064D">
        <w:rPr>
          <w:szCs w:val="26"/>
        </w:rPr>
        <w:t>, la UTE gestionará</w:t>
      </w:r>
      <w:r>
        <w:rPr>
          <w:szCs w:val="26"/>
        </w:rPr>
        <w:t xml:space="preserve"> fundamentalmente la</w:t>
      </w:r>
      <w:r w:rsidRPr="003B064D">
        <w:rPr>
          <w:szCs w:val="26"/>
        </w:rPr>
        <w:t xml:space="preserve"> venta de pa</w:t>
      </w:r>
      <w:r w:rsidRPr="003B064D">
        <w:rPr>
          <w:szCs w:val="26"/>
        </w:rPr>
        <w:t>r</w:t>
      </w:r>
      <w:r w:rsidRPr="003B064D">
        <w:rPr>
          <w:szCs w:val="26"/>
        </w:rPr>
        <w:t>celas urbanizadas y</w:t>
      </w:r>
      <w:r>
        <w:rPr>
          <w:szCs w:val="26"/>
        </w:rPr>
        <w:t xml:space="preserve"> de</w:t>
      </w:r>
      <w:r w:rsidRPr="003B064D">
        <w:rPr>
          <w:szCs w:val="26"/>
        </w:rPr>
        <w:t xml:space="preserve"> nave</w:t>
      </w:r>
      <w:r>
        <w:rPr>
          <w:szCs w:val="26"/>
        </w:rPr>
        <w:t>s</w:t>
      </w:r>
      <w:r w:rsidRPr="003B064D">
        <w:rPr>
          <w:szCs w:val="26"/>
        </w:rPr>
        <w:t xml:space="preserve"> construida</w:t>
      </w:r>
      <w:r>
        <w:rPr>
          <w:szCs w:val="26"/>
        </w:rPr>
        <w:t>s.</w:t>
      </w:r>
    </w:p>
    <w:p w:rsidR="005136BB" w:rsidRDefault="005136BB" w:rsidP="005136BB">
      <w:pPr>
        <w:pStyle w:val="texto"/>
        <w:tabs>
          <w:tab w:val="clear" w:pos="2835"/>
          <w:tab w:val="clear" w:pos="3969"/>
          <w:tab w:val="clear" w:pos="5103"/>
          <w:tab w:val="clear" w:pos="6237"/>
          <w:tab w:val="clear" w:pos="7371"/>
        </w:tabs>
        <w:rPr>
          <w:szCs w:val="26"/>
        </w:rPr>
      </w:pPr>
      <w:r>
        <w:rPr>
          <w:szCs w:val="26"/>
        </w:rPr>
        <w:t>b) En la 3ª fase, se gestiona por la UTE tanto la venta de parcela urbanizada como la venta de parcela y construcción de la edificación; también se conte</w:t>
      </w:r>
      <w:r>
        <w:rPr>
          <w:szCs w:val="26"/>
        </w:rPr>
        <w:t>m</w:t>
      </w:r>
      <w:r>
        <w:rPr>
          <w:szCs w:val="26"/>
        </w:rPr>
        <w:t xml:space="preserve">pla el alquiler de nave construida. </w:t>
      </w:r>
    </w:p>
    <w:p w:rsidR="005136BB" w:rsidRPr="002F7BEE" w:rsidRDefault="005136BB" w:rsidP="005136BB">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sidRPr="002F7BEE">
        <w:rPr>
          <w:szCs w:val="26"/>
        </w:rPr>
        <w:t xml:space="preserve">Las condiciones de venta/alquiler y sus precios son fijados y actualizados </w:t>
      </w:r>
      <w:r>
        <w:rPr>
          <w:szCs w:val="26"/>
        </w:rPr>
        <w:t xml:space="preserve">anualmente </w:t>
      </w:r>
      <w:r w:rsidRPr="002F7BEE">
        <w:rPr>
          <w:szCs w:val="26"/>
        </w:rPr>
        <w:t xml:space="preserve">por la sociedad gestora </w:t>
      </w:r>
      <w:r w:rsidR="00B01BA8">
        <w:rPr>
          <w:szCs w:val="26"/>
        </w:rPr>
        <w:t xml:space="preserve">de la CT </w:t>
      </w:r>
      <w:r w:rsidRPr="002F7BEE">
        <w:rPr>
          <w:szCs w:val="26"/>
        </w:rPr>
        <w:t>y las distintas operaciones efe</w:t>
      </w:r>
      <w:r w:rsidRPr="002F7BEE">
        <w:rPr>
          <w:szCs w:val="26"/>
        </w:rPr>
        <w:t>c</w:t>
      </w:r>
      <w:r w:rsidRPr="002F7BEE">
        <w:rPr>
          <w:szCs w:val="26"/>
        </w:rPr>
        <w:t>tuadas</w:t>
      </w:r>
      <w:r>
        <w:rPr>
          <w:szCs w:val="26"/>
        </w:rPr>
        <w:t xml:space="preserve"> por la UTE</w:t>
      </w:r>
      <w:r w:rsidRPr="002F7BEE">
        <w:rPr>
          <w:szCs w:val="26"/>
        </w:rPr>
        <w:t xml:space="preserve"> deben de comunicarse previamente a </w:t>
      </w:r>
      <w:r>
        <w:rPr>
          <w:szCs w:val="26"/>
        </w:rPr>
        <w:t xml:space="preserve">dicha </w:t>
      </w:r>
      <w:r w:rsidR="00561358">
        <w:rPr>
          <w:szCs w:val="26"/>
        </w:rPr>
        <w:t>sociedad</w:t>
      </w:r>
      <w:r w:rsidRPr="002F7BEE">
        <w:rPr>
          <w:szCs w:val="26"/>
        </w:rPr>
        <w:t>.</w:t>
      </w:r>
      <w:r w:rsidR="007714CA">
        <w:rPr>
          <w:szCs w:val="26"/>
        </w:rPr>
        <w:t xml:space="preserve"> As</w:t>
      </w:r>
      <w:r w:rsidR="007714CA">
        <w:rPr>
          <w:szCs w:val="26"/>
        </w:rPr>
        <w:t>i</w:t>
      </w:r>
      <w:r w:rsidR="007714CA">
        <w:rPr>
          <w:szCs w:val="26"/>
        </w:rPr>
        <w:t>mismo se diseñan unos modelos de contratos.</w:t>
      </w:r>
    </w:p>
    <w:p w:rsidR="005136BB" w:rsidRDefault="005136BB" w:rsidP="005136BB">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Una vez escriturados los contratos de compraventa entre la UTE y las pe</w:t>
      </w:r>
      <w:r>
        <w:rPr>
          <w:szCs w:val="26"/>
        </w:rPr>
        <w:t>r</w:t>
      </w:r>
      <w:r>
        <w:rPr>
          <w:szCs w:val="26"/>
        </w:rPr>
        <w:t>sonas físicas/jurídicas correspondientes, la sociedad gestora percibirá el po</w:t>
      </w:r>
      <w:r>
        <w:rPr>
          <w:szCs w:val="26"/>
        </w:rPr>
        <w:t>r</w:t>
      </w:r>
      <w:r>
        <w:rPr>
          <w:szCs w:val="26"/>
        </w:rPr>
        <w:t>centaje pactado sobre los ingresos de esa venta</w:t>
      </w:r>
      <w:r w:rsidR="002E0AD7">
        <w:rPr>
          <w:szCs w:val="26"/>
        </w:rPr>
        <w:t>.</w:t>
      </w:r>
      <w:r>
        <w:rPr>
          <w:szCs w:val="26"/>
        </w:rPr>
        <w:t xml:space="preserve"> </w:t>
      </w:r>
    </w:p>
    <w:p w:rsidR="005136BB" w:rsidRPr="007714CA" w:rsidRDefault="005136BB" w:rsidP="005136BB">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Asimismo, la sociedad gestora adquiere mediante compraventa a la UTE dos edificios de oficinas y un aparcamiento para vehículos pesados y merca</w:t>
      </w:r>
      <w:r>
        <w:rPr>
          <w:szCs w:val="26"/>
        </w:rPr>
        <w:t>n</w:t>
      </w:r>
      <w:r>
        <w:rPr>
          <w:szCs w:val="26"/>
        </w:rPr>
        <w:t xml:space="preserve">cías peligrosas; estos inmuebles son gestionados directamente por la sociedad gestora. </w:t>
      </w:r>
      <w:r w:rsidRPr="007714CA">
        <w:rPr>
          <w:szCs w:val="26"/>
        </w:rPr>
        <w:t>Igualmente</w:t>
      </w:r>
      <w:r w:rsidR="003D0A3F">
        <w:rPr>
          <w:szCs w:val="26"/>
        </w:rPr>
        <w:t>,</w:t>
      </w:r>
      <w:r w:rsidR="007714CA" w:rsidRPr="007714CA">
        <w:rPr>
          <w:szCs w:val="26"/>
        </w:rPr>
        <w:t xml:space="preserve"> </w:t>
      </w:r>
      <w:r w:rsidR="003D0A3F">
        <w:rPr>
          <w:szCs w:val="26"/>
        </w:rPr>
        <w:t>l</w:t>
      </w:r>
      <w:r w:rsidR="007714CA" w:rsidRPr="007714CA">
        <w:rPr>
          <w:szCs w:val="26"/>
        </w:rPr>
        <w:t>e encomienda</w:t>
      </w:r>
      <w:r w:rsidR="00976C0A">
        <w:rPr>
          <w:szCs w:val="26"/>
        </w:rPr>
        <w:t xml:space="preserve"> </w:t>
      </w:r>
      <w:r w:rsidR="000E026C">
        <w:rPr>
          <w:szCs w:val="26"/>
        </w:rPr>
        <w:t xml:space="preserve">en 1998 </w:t>
      </w:r>
      <w:r w:rsidR="00976C0A">
        <w:rPr>
          <w:szCs w:val="26"/>
        </w:rPr>
        <w:t>el Gobierno de Navarra</w:t>
      </w:r>
      <w:r w:rsidR="007714CA" w:rsidRPr="007714CA">
        <w:rPr>
          <w:szCs w:val="26"/>
        </w:rPr>
        <w:t xml:space="preserve"> la con</w:t>
      </w:r>
      <w:r w:rsidR="007714CA" w:rsidRPr="007714CA">
        <w:rPr>
          <w:szCs w:val="26"/>
        </w:rPr>
        <w:t>s</w:t>
      </w:r>
      <w:r w:rsidR="007714CA" w:rsidRPr="007714CA">
        <w:rPr>
          <w:szCs w:val="26"/>
        </w:rPr>
        <w:t>trucción del edificio de Aduana,</w:t>
      </w:r>
      <w:r w:rsidRPr="007714CA">
        <w:rPr>
          <w:szCs w:val="26"/>
        </w:rPr>
        <w:t xml:space="preserve"> </w:t>
      </w:r>
      <w:r w:rsidR="007714CA" w:rsidRPr="007714CA">
        <w:rPr>
          <w:szCs w:val="26"/>
        </w:rPr>
        <w:t>obras que ejecuta la UTE y que financia el propio Gobierno.</w:t>
      </w:r>
    </w:p>
    <w:p w:rsidR="000E026C" w:rsidRDefault="000E026C" w:rsidP="005136BB">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 xml:space="preserve">Para la 3ª fase, se incluye en el contrato </w:t>
      </w:r>
      <w:r w:rsidR="00300999">
        <w:rPr>
          <w:szCs w:val="26"/>
        </w:rPr>
        <w:t>la</w:t>
      </w:r>
      <w:r>
        <w:rPr>
          <w:szCs w:val="26"/>
        </w:rPr>
        <w:t xml:space="preserve"> </w:t>
      </w:r>
      <w:r w:rsidR="00300999">
        <w:rPr>
          <w:szCs w:val="26"/>
        </w:rPr>
        <w:t xml:space="preserve">posible </w:t>
      </w:r>
      <w:r>
        <w:rPr>
          <w:szCs w:val="26"/>
        </w:rPr>
        <w:t xml:space="preserve">opción de compra </w:t>
      </w:r>
      <w:r w:rsidR="003D0A3F">
        <w:rPr>
          <w:szCs w:val="26"/>
        </w:rPr>
        <w:t>por parte de la so</w:t>
      </w:r>
      <w:r>
        <w:rPr>
          <w:szCs w:val="26"/>
        </w:rPr>
        <w:t>ciedad gestora sobre los inmuebles que queda</w:t>
      </w:r>
      <w:r w:rsidR="00300999">
        <w:rPr>
          <w:szCs w:val="26"/>
        </w:rPr>
        <w:t>se</w:t>
      </w:r>
      <w:r>
        <w:rPr>
          <w:szCs w:val="26"/>
        </w:rPr>
        <w:t>n sin enajenar por el adjudicat</w:t>
      </w:r>
      <w:r w:rsidR="00300999">
        <w:rPr>
          <w:szCs w:val="26"/>
        </w:rPr>
        <w:t>a</w:t>
      </w:r>
      <w:r>
        <w:rPr>
          <w:szCs w:val="26"/>
        </w:rPr>
        <w:t>rio</w:t>
      </w:r>
      <w:r w:rsidR="00300999">
        <w:rPr>
          <w:szCs w:val="26"/>
        </w:rPr>
        <w:t xml:space="preserve">, </w:t>
      </w:r>
      <w:r>
        <w:rPr>
          <w:szCs w:val="26"/>
        </w:rPr>
        <w:t>una vez finali</w:t>
      </w:r>
      <w:r w:rsidR="00300999">
        <w:rPr>
          <w:szCs w:val="26"/>
        </w:rPr>
        <w:t>z</w:t>
      </w:r>
      <w:r>
        <w:rPr>
          <w:szCs w:val="26"/>
        </w:rPr>
        <w:t>ado el plazo de vigen</w:t>
      </w:r>
      <w:r w:rsidR="00300999">
        <w:rPr>
          <w:szCs w:val="26"/>
        </w:rPr>
        <w:t>cia del d</w:t>
      </w:r>
      <w:r>
        <w:rPr>
          <w:szCs w:val="26"/>
        </w:rPr>
        <w:t>erecho de superf</w:t>
      </w:r>
      <w:r>
        <w:rPr>
          <w:szCs w:val="26"/>
        </w:rPr>
        <w:t>i</w:t>
      </w:r>
      <w:r>
        <w:rPr>
          <w:szCs w:val="26"/>
        </w:rPr>
        <w:t>cie (</w:t>
      </w:r>
      <w:r w:rsidR="00C36A03">
        <w:rPr>
          <w:szCs w:val="26"/>
        </w:rPr>
        <w:t xml:space="preserve">previsto en </w:t>
      </w:r>
      <w:r>
        <w:rPr>
          <w:szCs w:val="26"/>
        </w:rPr>
        <w:t>2021)</w:t>
      </w:r>
      <w:r w:rsidR="00300999">
        <w:rPr>
          <w:szCs w:val="26"/>
        </w:rPr>
        <w:t>.</w:t>
      </w:r>
    </w:p>
    <w:p w:rsidR="005136BB" w:rsidRPr="005136BB" w:rsidRDefault="005136BB" w:rsidP="005136BB">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Para la gestión de los servicios comunes de la CT se constituyen dos c</w:t>
      </w:r>
      <w:r>
        <w:rPr>
          <w:szCs w:val="26"/>
        </w:rPr>
        <w:t>o</w:t>
      </w:r>
      <w:r>
        <w:rPr>
          <w:szCs w:val="26"/>
        </w:rPr>
        <w:t>munidades de propietarios, una para la 1ª y 2ª fase y otra para la 3ª, asumiendo la sociedad gestora la presidencia de esas comunidades. Estas comunidades de propietarios encomiendan a la misma la realización de los servicios necesarios para el adecuado funcionamiento de la CT</w:t>
      </w:r>
      <w:r w:rsidR="00204DED">
        <w:rPr>
          <w:szCs w:val="26"/>
        </w:rPr>
        <w:t xml:space="preserve"> (vigilancia y seguridad, limpieza viaria, viabilidad invernal, mantenimiento de zonas verdes y del alumbrado p</w:t>
      </w:r>
      <w:r w:rsidR="00204DED">
        <w:rPr>
          <w:szCs w:val="26"/>
        </w:rPr>
        <w:t>ú</w:t>
      </w:r>
      <w:r w:rsidR="00204DED">
        <w:rPr>
          <w:szCs w:val="26"/>
        </w:rPr>
        <w:t>blico, mantenimiento general de la urbanización, etc.)</w:t>
      </w:r>
      <w:r>
        <w:rPr>
          <w:szCs w:val="26"/>
        </w:rPr>
        <w:t>, percibiendo por tal pre</w:t>
      </w:r>
      <w:r>
        <w:rPr>
          <w:szCs w:val="26"/>
        </w:rPr>
        <w:t>s</w:t>
      </w:r>
      <w:r>
        <w:rPr>
          <w:szCs w:val="26"/>
        </w:rPr>
        <w:t>tación el cinco por ciento del presupuesto de gastos correspondiente de las cit</w:t>
      </w:r>
      <w:r>
        <w:rPr>
          <w:szCs w:val="26"/>
        </w:rPr>
        <w:t>a</w:t>
      </w:r>
      <w:r>
        <w:rPr>
          <w:szCs w:val="26"/>
        </w:rPr>
        <w:t>das comunidades.</w:t>
      </w:r>
      <w:r w:rsidR="007714CA">
        <w:rPr>
          <w:szCs w:val="26"/>
        </w:rPr>
        <w:t xml:space="preserve"> Desde el 1 de julio de 2017, Nasuvinsa ha dejado la </w:t>
      </w:r>
      <w:r w:rsidR="002E0AD7">
        <w:rPr>
          <w:szCs w:val="26"/>
        </w:rPr>
        <w:t>gestión</w:t>
      </w:r>
      <w:r w:rsidR="00976C0A">
        <w:rPr>
          <w:szCs w:val="26"/>
        </w:rPr>
        <w:t xml:space="preserve"> </w:t>
      </w:r>
      <w:r w:rsidR="007714CA">
        <w:rPr>
          <w:szCs w:val="26"/>
        </w:rPr>
        <w:t>de la primera de las comunidades citadas</w:t>
      </w:r>
      <w:r w:rsidR="00976C0A">
        <w:rPr>
          <w:szCs w:val="26"/>
        </w:rPr>
        <w:t xml:space="preserve">, </w:t>
      </w:r>
      <w:r w:rsidR="003D0A3F">
        <w:rPr>
          <w:szCs w:val="26"/>
        </w:rPr>
        <w:t>al perder su p</w:t>
      </w:r>
      <w:r w:rsidR="00976C0A">
        <w:rPr>
          <w:szCs w:val="26"/>
        </w:rPr>
        <w:t>articipación mayoritaria en la propiedad horizontal.</w:t>
      </w:r>
    </w:p>
    <w:p w:rsidR="00462071" w:rsidRDefault="00A62F1C" w:rsidP="00A62F1C">
      <w:pPr>
        <w:pStyle w:val="texto"/>
        <w:tabs>
          <w:tab w:val="clear" w:pos="2835"/>
          <w:tab w:val="clear" w:pos="3969"/>
          <w:tab w:val="clear" w:pos="5103"/>
          <w:tab w:val="clear" w:pos="6237"/>
          <w:tab w:val="clear" w:pos="7371"/>
        </w:tabs>
        <w:rPr>
          <w:szCs w:val="26"/>
        </w:rPr>
      </w:pPr>
      <w:r w:rsidRPr="00C54F50">
        <w:rPr>
          <w:b/>
          <w:szCs w:val="26"/>
        </w:rPr>
        <w:t>2</w:t>
      </w:r>
      <w:r w:rsidR="0023051E" w:rsidRPr="00C54F50">
        <w:rPr>
          <w:b/>
          <w:szCs w:val="26"/>
        </w:rPr>
        <w:t>8</w:t>
      </w:r>
      <w:r w:rsidR="00C54F50" w:rsidRPr="00C54F50">
        <w:rPr>
          <w:b/>
          <w:szCs w:val="26"/>
        </w:rPr>
        <w:t>.</w:t>
      </w:r>
      <w:r w:rsidR="005136BB" w:rsidRPr="00C54F50">
        <w:rPr>
          <w:b/>
          <w:szCs w:val="26"/>
        </w:rPr>
        <w:t>ª</w:t>
      </w:r>
      <w:r w:rsidR="005136BB" w:rsidRPr="005136BB">
        <w:rPr>
          <w:szCs w:val="26"/>
        </w:rPr>
        <w:t xml:space="preserve"> Para la </w:t>
      </w:r>
      <w:r w:rsidR="005136BB">
        <w:rPr>
          <w:szCs w:val="26"/>
        </w:rPr>
        <w:t>4ª f</w:t>
      </w:r>
      <w:r w:rsidR="005136BB" w:rsidRPr="005136BB">
        <w:rPr>
          <w:szCs w:val="26"/>
        </w:rPr>
        <w:t>ase,</w:t>
      </w:r>
      <w:r w:rsidR="005136BB">
        <w:rPr>
          <w:szCs w:val="26"/>
        </w:rPr>
        <w:t xml:space="preserve"> y en tanto no se configure definitivamente su diseño, su gestión es asumida directamente por Nasuvinsa.</w:t>
      </w:r>
      <w:r w:rsidR="005136BB" w:rsidRPr="005136BB">
        <w:rPr>
          <w:szCs w:val="26"/>
        </w:rPr>
        <w:t xml:space="preserve"> </w:t>
      </w:r>
    </w:p>
    <w:p w:rsidR="00D62876" w:rsidRPr="00A62F1C" w:rsidRDefault="00D62876" w:rsidP="00A62F1C">
      <w:pPr>
        <w:pStyle w:val="texto"/>
        <w:tabs>
          <w:tab w:val="clear" w:pos="2835"/>
          <w:tab w:val="clear" w:pos="3969"/>
          <w:tab w:val="clear" w:pos="5103"/>
          <w:tab w:val="clear" w:pos="6237"/>
          <w:tab w:val="clear" w:pos="7371"/>
        </w:tabs>
        <w:rPr>
          <w:szCs w:val="26"/>
        </w:rPr>
      </w:pPr>
    </w:p>
    <w:p w:rsidR="00462071" w:rsidRPr="00763E07" w:rsidRDefault="00462071" w:rsidP="00462071">
      <w:pPr>
        <w:pStyle w:val="atitulo2"/>
        <w:rPr>
          <w:color w:val="auto"/>
        </w:rPr>
      </w:pPr>
      <w:bookmarkStart w:id="42" w:name="_Toc515531874"/>
      <w:r w:rsidRPr="00763E07">
        <w:rPr>
          <w:color w:val="auto"/>
        </w:rPr>
        <w:t>IV.5. La sociedad gestora de la Ciudad del Transporte</w:t>
      </w:r>
      <w:bookmarkEnd w:id="42"/>
    </w:p>
    <w:p w:rsidR="00462071" w:rsidRPr="00372251" w:rsidRDefault="00A62F1C" w:rsidP="001418D9">
      <w:pPr>
        <w:pStyle w:val="texto"/>
        <w:tabs>
          <w:tab w:val="clear" w:pos="2835"/>
          <w:tab w:val="clear" w:pos="3969"/>
          <w:tab w:val="clear" w:pos="5103"/>
          <w:tab w:val="clear" w:pos="6237"/>
          <w:tab w:val="clear" w:pos="7371"/>
        </w:tabs>
        <w:spacing w:after="240"/>
        <w:rPr>
          <w:szCs w:val="26"/>
        </w:rPr>
      </w:pPr>
      <w:r w:rsidRPr="00C54F50">
        <w:rPr>
          <w:b/>
          <w:szCs w:val="26"/>
        </w:rPr>
        <w:t>2</w:t>
      </w:r>
      <w:r w:rsidR="0023051E" w:rsidRPr="00C54F50">
        <w:rPr>
          <w:b/>
          <w:szCs w:val="26"/>
        </w:rPr>
        <w:t>9</w:t>
      </w:r>
      <w:r w:rsidR="00C54F50" w:rsidRPr="00C54F50">
        <w:rPr>
          <w:b/>
          <w:szCs w:val="26"/>
        </w:rPr>
        <w:t>.</w:t>
      </w:r>
      <w:r w:rsidR="00462071" w:rsidRPr="00C54F50">
        <w:rPr>
          <w:b/>
          <w:szCs w:val="26"/>
        </w:rPr>
        <w:t>ª</w:t>
      </w:r>
      <w:r w:rsidR="00462071" w:rsidRPr="00372251">
        <w:rPr>
          <w:szCs w:val="26"/>
        </w:rPr>
        <w:t xml:space="preserve"> La soci</w:t>
      </w:r>
      <w:r w:rsidR="00462071">
        <w:rPr>
          <w:szCs w:val="26"/>
        </w:rPr>
        <w:t>e</w:t>
      </w:r>
      <w:r w:rsidR="00462071" w:rsidRPr="00372251">
        <w:rPr>
          <w:szCs w:val="26"/>
        </w:rPr>
        <w:t>dad gestora desde su in</w:t>
      </w:r>
      <w:r w:rsidR="00462071">
        <w:rPr>
          <w:szCs w:val="26"/>
        </w:rPr>
        <w:t>i</w:t>
      </w:r>
      <w:r w:rsidR="00462071" w:rsidRPr="00372251">
        <w:rPr>
          <w:szCs w:val="26"/>
        </w:rPr>
        <w:t>cio hasta</w:t>
      </w:r>
      <w:r w:rsidR="00462071">
        <w:rPr>
          <w:szCs w:val="26"/>
        </w:rPr>
        <w:t xml:space="preserve"> la actualidad ha tenido dive</w:t>
      </w:r>
      <w:r w:rsidR="00462071">
        <w:rPr>
          <w:szCs w:val="26"/>
        </w:rPr>
        <w:t>r</w:t>
      </w:r>
      <w:r w:rsidR="00462071">
        <w:rPr>
          <w:szCs w:val="26"/>
        </w:rPr>
        <w:t>sas denominaciones y propietarios de su capital social, tal como puede obse</w:t>
      </w:r>
      <w:r w:rsidR="00462071">
        <w:rPr>
          <w:szCs w:val="26"/>
        </w:rPr>
        <w:t>r</w:t>
      </w:r>
      <w:r w:rsidR="00462071">
        <w:rPr>
          <w:szCs w:val="26"/>
        </w:rPr>
        <w:t>varse en el siguiente cuadro:</w:t>
      </w:r>
    </w:p>
    <w:tbl>
      <w:tblPr>
        <w:tblStyle w:val="TableNormal"/>
        <w:tblW w:w="8844" w:type="dxa"/>
        <w:jc w:val="center"/>
        <w:tblBorders>
          <w:top w:val="single" w:sz="2" w:space="0" w:color="auto"/>
          <w:bottom w:val="single" w:sz="2" w:space="0" w:color="auto"/>
          <w:insideH w:val="single" w:sz="2" w:space="0" w:color="auto"/>
        </w:tblBorders>
        <w:tblLayout w:type="fixed"/>
        <w:tblLook w:val="01E0" w:firstRow="1" w:lastRow="1" w:firstColumn="1" w:lastColumn="1" w:noHBand="0" w:noVBand="0"/>
      </w:tblPr>
      <w:tblGrid>
        <w:gridCol w:w="5173"/>
        <w:gridCol w:w="1269"/>
        <w:gridCol w:w="2402"/>
      </w:tblGrid>
      <w:tr w:rsidR="00462071" w:rsidRPr="00DA5BC7" w:rsidTr="00DA68E2">
        <w:trPr>
          <w:trHeight w:hRule="exact" w:val="284"/>
          <w:jc w:val="center"/>
        </w:trPr>
        <w:tc>
          <w:tcPr>
            <w:tcW w:w="5173" w:type="dxa"/>
            <w:tcBorders>
              <w:top w:val="single" w:sz="4" w:space="0" w:color="auto"/>
              <w:bottom w:val="single" w:sz="4" w:space="0" w:color="auto"/>
            </w:tcBorders>
            <w:shd w:val="clear" w:color="auto" w:fill="B8CCE4" w:themeFill="accent1" w:themeFillTint="66"/>
            <w:vAlign w:val="center"/>
          </w:tcPr>
          <w:p w:rsidR="00462071" w:rsidRPr="005B3CA8" w:rsidRDefault="00462071" w:rsidP="001418D9">
            <w:pPr>
              <w:spacing w:after="0"/>
              <w:ind w:left="70" w:firstLine="0"/>
              <w:jc w:val="left"/>
              <w:rPr>
                <w:rFonts w:ascii="Arial" w:hAnsi="Arial" w:cs="Arial"/>
                <w:color w:val="000000"/>
                <w:sz w:val="18"/>
                <w:szCs w:val="18"/>
                <w:lang w:eastAsia="es-ES"/>
              </w:rPr>
            </w:pPr>
            <w:r>
              <w:rPr>
                <w:rFonts w:ascii="Arial" w:hAnsi="Arial" w:cs="Arial"/>
                <w:color w:val="000000"/>
                <w:sz w:val="18"/>
                <w:szCs w:val="18"/>
                <w:lang w:eastAsia="es-ES"/>
              </w:rPr>
              <w:t>Denominación sociedad gestora de la CT</w:t>
            </w:r>
          </w:p>
        </w:tc>
        <w:tc>
          <w:tcPr>
            <w:tcW w:w="1269" w:type="dxa"/>
            <w:tcBorders>
              <w:top w:val="single" w:sz="4" w:space="0" w:color="auto"/>
              <w:bottom w:val="single" w:sz="4" w:space="0" w:color="auto"/>
            </w:tcBorders>
            <w:shd w:val="clear" w:color="auto" w:fill="B8CCE4" w:themeFill="accent1" w:themeFillTint="66"/>
            <w:vAlign w:val="center"/>
          </w:tcPr>
          <w:p w:rsidR="00462071" w:rsidRPr="00DA5BC7" w:rsidRDefault="00462071" w:rsidP="00DA68E2">
            <w:pPr>
              <w:spacing w:after="0"/>
              <w:ind w:left="59" w:right="76" w:firstLine="0"/>
              <w:jc w:val="right"/>
              <w:rPr>
                <w:rFonts w:ascii="Arial" w:hAnsi="Arial" w:cs="Arial"/>
                <w:color w:val="000000"/>
                <w:sz w:val="18"/>
                <w:szCs w:val="18"/>
                <w:lang w:eastAsia="es-ES"/>
              </w:rPr>
            </w:pPr>
            <w:r>
              <w:rPr>
                <w:rFonts w:ascii="Arial" w:hAnsi="Arial" w:cs="Arial"/>
                <w:color w:val="000000"/>
                <w:sz w:val="18"/>
                <w:szCs w:val="18"/>
                <w:lang w:eastAsia="es-ES"/>
              </w:rPr>
              <w:t>Periodo</w:t>
            </w:r>
          </w:p>
        </w:tc>
        <w:tc>
          <w:tcPr>
            <w:tcW w:w="2402" w:type="dxa"/>
            <w:tcBorders>
              <w:top w:val="single" w:sz="4" w:space="0" w:color="auto"/>
              <w:bottom w:val="single" w:sz="4" w:space="0" w:color="auto"/>
            </w:tcBorders>
            <w:shd w:val="clear" w:color="auto" w:fill="B8CCE4" w:themeFill="accent1" w:themeFillTint="66"/>
            <w:vAlign w:val="center"/>
          </w:tcPr>
          <w:p w:rsidR="00462071" w:rsidRPr="00DA5BC7" w:rsidRDefault="00462071" w:rsidP="00D241E0">
            <w:pPr>
              <w:spacing w:after="0"/>
              <w:ind w:left="206" w:right="115" w:firstLine="0"/>
              <w:jc w:val="right"/>
              <w:rPr>
                <w:rFonts w:ascii="Arial" w:hAnsi="Arial" w:cs="Arial"/>
                <w:color w:val="000000"/>
                <w:sz w:val="18"/>
                <w:szCs w:val="18"/>
                <w:lang w:eastAsia="es-ES"/>
              </w:rPr>
            </w:pPr>
            <w:r>
              <w:rPr>
                <w:rFonts w:ascii="Arial" w:hAnsi="Arial" w:cs="Arial"/>
                <w:color w:val="000000"/>
                <w:sz w:val="18"/>
                <w:szCs w:val="18"/>
                <w:lang w:eastAsia="es-ES"/>
              </w:rPr>
              <w:t>% participación pública</w:t>
            </w:r>
          </w:p>
        </w:tc>
      </w:tr>
      <w:tr w:rsidR="00462071" w:rsidRPr="00612D84" w:rsidTr="00DA68E2">
        <w:trPr>
          <w:trHeight w:hRule="exact" w:val="284"/>
          <w:jc w:val="center"/>
        </w:trPr>
        <w:tc>
          <w:tcPr>
            <w:tcW w:w="5173" w:type="dxa"/>
            <w:tcBorders>
              <w:top w:val="single" w:sz="4" w:space="0" w:color="auto"/>
              <w:bottom w:val="single" w:sz="2" w:space="0" w:color="auto"/>
            </w:tcBorders>
            <w:vAlign w:val="center"/>
          </w:tcPr>
          <w:p w:rsidR="00462071" w:rsidRPr="008E708D" w:rsidRDefault="00462071" w:rsidP="001418D9">
            <w:pPr>
              <w:widowControl/>
              <w:spacing w:after="0"/>
              <w:ind w:left="70" w:firstLine="0"/>
              <w:jc w:val="left"/>
              <w:rPr>
                <w:rFonts w:ascii="Arial Narrow" w:hAnsi="Arial Narrow"/>
                <w:color w:val="000000"/>
                <w:sz w:val="20"/>
                <w:szCs w:val="20"/>
                <w:lang w:eastAsia="es-ES"/>
              </w:rPr>
            </w:pPr>
            <w:r>
              <w:rPr>
                <w:rFonts w:ascii="Arial Narrow" w:hAnsi="Arial Narrow"/>
                <w:color w:val="000000"/>
                <w:sz w:val="20"/>
                <w:szCs w:val="20"/>
                <w:lang w:eastAsia="es-ES"/>
              </w:rPr>
              <w:t>Terminal de Transporte de la Comarca de Pamplona, SA</w:t>
            </w:r>
          </w:p>
        </w:tc>
        <w:tc>
          <w:tcPr>
            <w:tcW w:w="1269" w:type="dxa"/>
            <w:tcBorders>
              <w:top w:val="single" w:sz="4" w:space="0" w:color="auto"/>
              <w:bottom w:val="single" w:sz="2" w:space="0" w:color="auto"/>
            </w:tcBorders>
            <w:vAlign w:val="center"/>
          </w:tcPr>
          <w:p w:rsidR="00462071" w:rsidRPr="008E708D" w:rsidRDefault="00462071" w:rsidP="00DA68E2">
            <w:pPr>
              <w:widowControl/>
              <w:spacing w:after="0"/>
              <w:ind w:left="59" w:right="76" w:firstLine="0"/>
              <w:jc w:val="right"/>
              <w:rPr>
                <w:rFonts w:ascii="Arial Narrow" w:hAnsi="Arial Narrow"/>
                <w:color w:val="000000"/>
                <w:sz w:val="20"/>
                <w:szCs w:val="20"/>
                <w:lang w:eastAsia="es-ES"/>
              </w:rPr>
            </w:pPr>
            <w:r>
              <w:rPr>
                <w:rFonts w:ascii="Arial Narrow" w:hAnsi="Arial Narrow"/>
                <w:color w:val="000000"/>
                <w:sz w:val="20"/>
                <w:szCs w:val="20"/>
                <w:lang w:eastAsia="es-ES"/>
              </w:rPr>
              <w:t>1991-1994</w:t>
            </w:r>
          </w:p>
        </w:tc>
        <w:tc>
          <w:tcPr>
            <w:tcW w:w="2402" w:type="dxa"/>
            <w:tcBorders>
              <w:top w:val="single" w:sz="4" w:space="0" w:color="auto"/>
              <w:bottom w:val="single" w:sz="2" w:space="0" w:color="auto"/>
            </w:tcBorders>
            <w:vAlign w:val="center"/>
          </w:tcPr>
          <w:p w:rsidR="00462071" w:rsidRPr="008E708D" w:rsidRDefault="00462071" w:rsidP="00D241E0">
            <w:pPr>
              <w:widowControl/>
              <w:spacing w:after="0"/>
              <w:ind w:left="206" w:right="115" w:firstLine="0"/>
              <w:jc w:val="right"/>
              <w:rPr>
                <w:rFonts w:ascii="Arial Narrow" w:hAnsi="Arial Narrow"/>
                <w:color w:val="000000"/>
                <w:sz w:val="20"/>
                <w:szCs w:val="20"/>
                <w:lang w:eastAsia="es-ES"/>
              </w:rPr>
            </w:pPr>
            <w:r>
              <w:rPr>
                <w:rFonts w:ascii="Arial Narrow" w:hAnsi="Arial Narrow"/>
                <w:color w:val="000000"/>
                <w:sz w:val="20"/>
                <w:szCs w:val="20"/>
                <w:lang w:eastAsia="es-ES"/>
              </w:rPr>
              <w:t>0</w:t>
            </w:r>
          </w:p>
        </w:tc>
      </w:tr>
      <w:tr w:rsidR="00462071" w:rsidRPr="00612D84" w:rsidTr="00DA68E2">
        <w:trPr>
          <w:trHeight w:hRule="exact" w:val="284"/>
          <w:jc w:val="center"/>
        </w:trPr>
        <w:tc>
          <w:tcPr>
            <w:tcW w:w="5173" w:type="dxa"/>
            <w:vAlign w:val="center"/>
          </w:tcPr>
          <w:p w:rsidR="00462071" w:rsidRPr="008E708D" w:rsidRDefault="00462071" w:rsidP="001418D9">
            <w:pPr>
              <w:widowControl/>
              <w:spacing w:after="0"/>
              <w:ind w:left="70" w:firstLine="0"/>
              <w:jc w:val="left"/>
              <w:rPr>
                <w:rFonts w:ascii="Arial Narrow" w:hAnsi="Arial Narrow"/>
                <w:color w:val="000000"/>
                <w:sz w:val="20"/>
                <w:szCs w:val="20"/>
                <w:lang w:eastAsia="es-ES"/>
              </w:rPr>
            </w:pPr>
            <w:r>
              <w:rPr>
                <w:rFonts w:ascii="Arial Narrow" w:hAnsi="Arial Narrow"/>
                <w:color w:val="000000"/>
                <w:sz w:val="20"/>
                <w:szCs w:val="20"/>
                <w:lang w:eastAsia="es-ES"/>
              </w:rPr>
              <w:t>Terminal de Transporte de la Comarca de Pamplona, SA</w:t>
            </w:r>
          </w:p>
        </w:tc>
        <w:tc>
          <w:tcPr>
            <w:tcW w:w="1269" w:type="dxa"/>
            <w:vAlign w:val="center"/>
          </w:tcPr>
          <w:p w:rsidR="00462071" w:rsidRPr="008E708D" w:rsidRDefault="00462071" w:rsidP="00DA68E2">
            <w:pPr>
              <w:widowControl/>
              <w:spacing w:after="0"/>
              <w:ind w:left="59" w:right="76" w:firstLine="0"/>
              <w:jc w:val="right"/>
              <w:rPr>
                <w:rFonts w:ascii="Arial Narrow" w:hAnsi="Arial Narrow"/>
                <w:color w:val="000000"/>
                <w:sz w:val="20"/>
                <w:szCs w:val="20"/>
                <w:lang w:eastAsia="es-ES"/>
              </w:rPr>
            </w:pPr>
            <w:r>
              <w:rPr>
                <w:rFonts w:ascii="Arial Narrow" w:hAnsi="Arial Narrow"/>
                <w:color w:val="000000"/>
                <w:sz w:val="20"/>
                <w:szCs w:val="20"/>
                <w:lang w:eastAsia="es-ES"/>
              </w:rPr>
              <w:t>1995-1997</w:t>
            </w:r>
          </w:p>
        </w:tc>
        <w:tc>
          <w:tcPr>
            <w:tcW w:w="2402" w:type="dxa"/>
            <w:vAlign w:val="center"/>
          </w:tcPr>
          <w:p w:rsidR="00462071" w:rsidRPr="008E708D" w:rsidRDefault="00462071" w:rsidP="00D241E0">
            <w:pPr>
              <w:widowControl/>
              <w:spacing w:after="0"/>
              <w:ind w:left="206" w:right="115" w:firstLine="0"/>
              <w:jc w:val="right"/>
              <w:rPr>
                <w:rFonts w:ascii="Arial Narrow" w:hAnsi="Arial Narrow"/>
                <w:color w:val="000000"/>
                <w:sz w:val="20"/>
                <w:szCs w:val="20"/>
                <w:lang w:eastAsia="es-ES"/>
              </w:rPr>
            </w:pPr>
            <w:r>
              <w:rPr>
                <w:rFonts w:ascii="Arial Narrow" w:hAnsi="Arial Narrow"/>
                <w:color w:val="000000"/>
                <w:sz w:val="20"/>
                <w:szCs w:val="20"/>
                <w:lang w:eastAsia="es-ES"/>
              </w:rPr>
              <w:t>80-92</w:t>
            </w:r>
          </w:p>
        </w:tc>
      </w:tr>
      <w:tr w:rsidR="00462071" w:rsidRPr="00612D84" w:rsidTr="00DA68E2">
        <w:trPr>
          <w:trHeight w:hRule="exact" w:val="284"/>
          <w:jc w:val="center"/>
        </w:trPr>
        <w:tc>
          <w:tcPr>
            <w:tcW w:w="5173" w:type="dxa"/>
            <w:vAlign w:val="center"/>
          </w:tcPr>
          <w:p w:rsidR="00462071" w:rsidRPr="008E708D" w:rsidRDefault="00462071" w:rsidP="001418D9">
            <w:pPr>
              <w:widowControl/>
              <w:spacing w:after="0"/>
              <w:ind w:left="70" w:firstLine="0"/>
              <w:jc w:val="left"/>
              <w:rPr>
                <w:rFonts w:ascii="Arial Narrow" w:hAnsi="Arial Narrow"/>
                <w:color w:val="000000"/>
                <w:sz w:val="20"/>
                <w:szCs w:val="20"/>
                <w:lang w:eastAsia="es-ES"/>
              </w:rPr>
            </w:pPr>
            <w:r>
              <w:rPr>
                <w:rFonts w:ascii="Arial Narrow" w:hAnsi="Arial Narrow"/>
                <w:color w:val="000000"/>
                <w:sz w:val="20"/>
                <w:szCs w:val="20"/>
                <w:lang w:eastAsia="es-ES"/>
              </w:rPr>
              <w:t>Ciudad del Transporte de Pamplona, SA</w:t>
            </w:r>
          </w:p>
        </w:tc>
        <w:tc>
          <w:tcPr>
            <w:tcW w:w="1269" w:type="dxa"/>
            <w:vAlign w:val="center"/>
          </w:tcPr>
          <w:p w:rsidR="00462071" w:rsidRPr="008E708D" w:rsidRDefault="00462071" w:rsidP="00DA68E2">
            <w:pPr>
              <w:widowControl/>
              <w:spacing w:after="0"/>
              <w:ind w:left="59" w:right="76" w:firstLine="0"/>
              <w:jc w:val="right"/>
              <w:rPr>
                <w:rFonts w:ascii="Arial Narrow" w:hAnsi="Arial Narrow"/>
                <w:color w:val="000000"/>
                <w:sz w:val="20"/>
                <w:szCs w:val="20"/>
                <w:lang w:eastAsia="es-ES"/>
              </w:rPr>
            </w:pPr>
            <w:r>
              <w:rPr>
                <w:rFonts w:ascii="Arial Narrow" w:hAnsi="Arial Narrow"/>
                <w:color w:val="000000"/>
                <w:sz w:val="20"/>
                <w:szCs w:val="20"/>
                <w:lang w:eastAsia="es-ES"/>
              </w:rPr>
              <w:t>1997-2011</w:t>
            </w:r>
          </w:p>
        </w:tc>
        <w:tc>
          <w:tcPr>
            <w:tcW w:w="2402" w:type="dxa"/>
            <w:vAlign w:val="center"/>
          </w:tcPr>
          <w:p w:rsidR="00462071" w:rsidRPr="008E708D" w:rsidRDefault="00462071" w:rsidP="00D241E0">
            <w:pPr>
              <w:widowControl/>
              <w:spacing w:after="0"/>
              <w:ind w:left="206" w:right="115" w:firstLine="0"/>
              <w:jc w:val="right"/>
              <w:rPr>
                <w:rFonts w:ascii="Arial Narrow" w:hAnsi="Arial Narrow"/>
                <w:color w:val="000000"/>
                <w:sz w:val="20"/>
                <w:szCs w:val="20"/>
                <w:lang w:eastAsia="es-ES"/>
              </w:rPr>
            </w:pPr>
            <w:r>
              <w:rPr>
                <w:rFonts w:ascii="Arial Narrow" w:hAnsi="Arial Narrow"/>
                <w:color w:val="000000"/>
                <w:sz w:val="20"/>
                <w:szCs w:val="20"/>
                <w:lang w:eastAsia="es-ES"/>
              </w:rPr>
              <w:t>95-99</w:t>
            </w:r>
          </w:p>
        </w:tc>
      </w:tr>
      <w:tr w:rsidR="00462071" w:rsidRPr="00612D84" w:rsidTr="00DA68E2">
        <w:trPr>
          <w:trHeight w:hRule="exact" w:val="284"/>
          <w:jc w:val="center"/>
        </w:trPr>
        <w:tc>
          <w:tcPr>
            <w:tcW w:w="5173" w:type="dxa"/>
            <w:tcBorders>
              <w:bottom w:val="single" w:sz="2" w:space="0" w:color="auto"/>
            </w:tcBorders>
            <w:vAlign w:val="center"/>
          </w:tcPr>
          <w:p w:rsidR="00462071" w:rsidRPr="008E708D" w:rsidRDefault="00462071" w:rsidP="001418D9">
            <w:pPr>
              <w:widowControl/>
              <w:spacing w:after="0"/>
              <w:ind w:left="70" w:firstLine="0"/>
              <w:jc w:val="left"/>
              <w:rPr>
                <w:rFonts w:ascii="Arial Narrow" w:hAnsi="Arial Narrow"/>
                <w:color w:val="000000"/>
                <w:sz w:val="20"/>
                <w:szCs w:val="20"/>
                <w:lang w:eastAsia="es-ES"/>
              </w:rPr>
            </w:pPr>
            <w:r>
              <w:rPr>
                <w:rFonts w:ascii="Arial Narrow" w:hAnsi="Arial Narrow"/>
                <w:color w:val="000000"/>
                <w:sz w:val="20"/>
                <w:szCs w:val="20"/>
                <w:lang w:eastAsia="es-ES"/>
              </w:rPr>
              <w:t>Agencia Navarra del Transporte y de la Logística, SAU</w:t>
            </w:r>
          </w:p>
        </w:tc>
        <w:tc>
          <w:tcPr>
            <w:tcW w:w="1269" w:type="dxa"/>
            <w:tcBorders>
              <w:bottom w:val="single" w:sz="2" w:space="0" w:color="auto"/>
            </w:tcBorders>
            <w:vAlign w:val="center"/>
          </w:tcPr>
          <w:p w:rsidR="00462071" w:rsidRPr="008E708D" w:rsidRDefault="00462071" w:rsidP="00DA68E2">
            <w:pPr>
              <w:widowControl/>
              <w:spacing w:after="0"/>
              <w:ind w:left="59" w:right="76" w:firstLine="0"/>
              <w:jc w:val="right"/>
              <w:rPr>
                <w:rFonts w:ascii="Arial Narrow" w:hAnsi="Arial Narrow"/>
                <w:color w:val="000000"/>
                <w:sz w:val="20"/>
                <w:szCs w:val="20"/>
                <w:lang w:eastAsia="es-ES"/>
              </w:rPr>
            </w:pPr>
            <w:r>
              <w:rPr>
                <w:rFonts w:ascii="Arial Narrow" w:hAnsi="Arial Narrow"/>
                <w:color w:val="000000"/>
                <w:sz w:val="20"/>
                <w:szCs w:val="20"/>
                <w:lang w:eastAsia="es-ES"/>
              </w:rPr>
              <w:t>2011-2014</w:t>
            </w:r>
          </w:p>
        </w:tc>
        <w:tc>
          <w:tcPr>
            <w:tcW w:w="2402" w:type="dxa"/>
            <w:tcBorders>
              <w:bottom w:val="single" w:sz="2" w:space="0" w:color="auto"/>
            </w:tcBorders>
            <w:vAlign w:val="center"/>
          </w:tcPr>
          <w:p w:rsidR="00462071" w:rsidRPr="008E708D" w:rsidRDefault="00462071" w:rsidP="00D241E0">
            <w:pPr>
              <w:widowControl/>
              <w:spacing w:after="0"/>
              <w:ind w:left="206" w:right="115" w:firstLine="0"/>
              <w:jc w:val="right"/>
              <w:rPr>
                <w:rFonts w:ascii="Arial Narrow" w:hAnsi="Arial Narrow"/>
                <w:color w:val="000000"/>
                <w:sz w:val="20"/>
                <w:szCs w:val="20"/>
                <w:lang w:eastAsia="es-ES"/>
              </w:rPr>
            </w:pPr>
            <w:r>
              <w:rPr>
                <w:rFonts w:ascii="Arial Narrow" w:hAnsi="Arial Narrow"/>
                <w:color w:val="000000"/>
                <w:sz w:val="20"/>
                <w:szCs w:val="20"/>
                <w:lang w:eastAsia="es-ES"/>
              </w:rPr>
              <w:t>100</w:t>
            </w:r>
          </w:p>
        </w:tc>
      </w:tr>
      <w:tr w:rsidR="00462071" w:rsidRPr="00612D84" w:rsidTr="00DA68E2">
        <w:trPr>
          <w:trHeight w:hRule="exact" w:val="284"/>
          <w:jc w:val="center"/>
        </w:trPr>
        <w:tc>
          <w:tcPr>
            <w:tcW w:w="5173" w:type="dxa"/>
            <w:tcBorders>
              <w:bottom w:val="single" w:sz="4" w:space="0" w:color="auto"/>
            </w:tcBorders>
            <w:vAlign w:val="center"/>
          </w:tcPr>
          <w:p w:rsidR="00462071" w:rsidRPr="008E708D" w:rsidRDefault="00462071" w:rsidP="001418D9">
            <w:pPr>
              <w:widowControl/>
              <w:spacing w:after="0"/>
              <w:ind w:left="70" w:firstLine="0"/>
              <w:jc w:val="left"/>
              <w:rPr>
                <w:rFonts w:ascii="Arial Narrow" w:hAnsi="Arial Narrow"/>
                <w:color w:val="000000"/>
                <w:sz w:val="20"/>
                <w:szCs w:val="20"/>
                <w:lang w:eastAsia="es-ES"/>
              </w:rPr>
            </w:pPr>
            <w:r>
              <w:rPr>
                <w:rFonts w:ascii="Arial Narrow" w:hAnsi="Arial Narrow"/>
                <w:color w:val="000000"/>
                <w:sz w:val="20"/>
                <w:szCs w:val="20"/>
                <w:lang w:eastAsia="es-ES"/>
              </w:rPr>
              <w:t>NASUVINSA</w:t>
            </w:r>
          </w:p>
        </w:tc>
        <w:tc>
          <w:tcPr>
            <w:tcW w:w="1269" w:type="dxa"/>
            <w:tcBorders>
              <w:bottom w:val="single" w:sz="4" w:space="0" w:color="auto"/>
            </w:tcBorders>
            <w:vAlign w:val="center"/>
          </w:tcPr>
          <w:p w:rsidR="00462071" w:rsidRPr="008E708D" w:rsidRDefault="00462071" w:rsidP="00DA68E2">
            <w:pPr>
              <w:widowControl/>
              <w:spacing w:after="0"/>
              <w:ind w:left="59" w:right="76" w:firstLine="0"/>
              <w:jc w:val="right"/>
              <w:rPr>
                <w:rFonts w:ascii="Arial Narrow" w:hAnsi="Arial Narrow"/>
                <w:color w:val="000000"/>
                <w:sz w:val="20"/>
                <w:szCs w:val="20"/>
                <w:lang w:eastAsia="es-ES"/>
              </w:rPr>
            </w:pPr>
            <w:r>
              <w:rPr>
                <w:rFonts w:ascii="Arial Narrow" w:hAnsi="Arial Narrow"/>
                <w:color w:val="000000"/>
                <w:sz w:val="20"/>
                <w:szCs w:val="20"/>
                <w:lang w:eastAsia="es-ES"/>
              </w:rPr>
              <w:t>2014-2017</w:t>
            </w:r>
          </w:p>
        </w:tc>
        <w:tc>
          <w:tcPr>
            <w:tcW w:w="2402" w:type="dxa"/>
            <w:tcBorders>
              <w:bottom w:val="single" w:sz="4" w:space="0" w:color="auto"/>
            </w:tcBorders>
            <w:vAlign w:val="center"/>
          </w:tcPr>
          <w:p w:rsidR="00462071" w:rsidRPr="008E708D" w:rsidRDefault="00462071" w:rsidP="00D241E0">
            <w:pPr>
              <w:widowControl/>
              <w:spacing w:after="0"/>
              <w:ind w:left="206" w:right="115" w:firstLine="0"/>
              <w:jc w:val="right"/>
              <w:rPr>
                <w:rFonts w:ascii="Arial Narrow" w:hAnsi="Arial Narrow"/>
                <w:color w:val="000000"/>
                <w:sz w:val="20"/>
                <w:szCs w:val="20"/>
                <w:lang w:eastAsia="es-ES"/>
              </w:rPr>
            </w:pPr>
            <w:r>
              <w:rPr>
                <w:rFonts w:ascii="Arial Narrow" w:hAnsi="Arial Narrow"/>
                <w:color w:val="000000"/>
                <w:sz w:val="20"/>
                <w:szCs w:val="20"/>
                <w:lang w:eastAsia="es-ES"/>
              </w:rPr>
              <w:t>100</w:t>
            </w:r>
          </w:p>
        </w:tc>
      </w:tr>
    </w:tbl>
    <w:p w:rsidR="00462071" w:rsidRDefault="00462071" w:rsidP="001418D9">
      <w:pPr>
        <w:pStyle w:val="texto"/>
        <w:tabs>
          <w:tab w:val="clear" w:pos="2835"/>
          <w:tab w:val="clear" w:pos="3969"/>
          <w:tab w:val="clear" w:pos="5103"/>
          <w:tab w:val="clear" w:pos="6237"/>
          <w:tab w:val="clear" w:pos="7371"/>
        </w:tabs>
        <w:spacing w:after="0"/>
        <w:rPr>
          <w:szCs w:val="26"/>
        </w:rPr>
      </w:pPr>
    </w:p>
    <w:p w:rsidR="00462071" w:rsidRDefault="00462071" w:rsidP="00462071">
      <w:pPr>
        <w:pStyle w:val="texto"/>
        <w:tabs>
          <w:tab w:val="clear" w:pos="2835"/>
          <w:tab w:val="clear" w:pos="3969"/>
          <w:tab w:val="clear" w:pos="5103"/>
          <w:tab w:val="clear" w:pos="6237"/>
          <w:tab w:val="clear" w:pos="7371"/>
        </w:tabs>
        <w:rPr>
          <w:szCs w:val="26"/>
        </w:rPr>
      </w:pPr>
      <w:r>
        <w:rPr>
          <w:szCs w:val="26"/>
        </w:rPr>
        <w:t>En una primera etapa no tiene participación pública en su capital; progres</w:t>
      </w:r>
      <w:r>
        <w:rPr>
          <w:szCs w:val="26"/>
        </w:rPr>
        <w:t>i</w:t>
      </w:r>
      <w:r>
        <w:rPr>
          <w:szCs w:val="26"/>
        </w:rPr>
        <w:t>vamente la presencia de la Administración resulta muy mayoritaria para</w:t>
      </w:r>
      <w:r w:rsidR="006E41F3">
        <w:rPr>
          <w:szCs w:val="26"/>
        </w:rPr>
        <w:t>,</w:t>
      </w:r>
      <w:r>
        <w:rPr>
          <w:szCs w:val="26"/>
        </w:rPr>
        <w:t xml:space="preserve"> fina</w:t>
      </w:r>
      <w:r>
        <w:rPr>
          <w:szCs w:val="26"/>
        </w:rPr>
        <w:t>l</w:t>
      </w:r>
      <w:r>
        <w:rPr>
          <w:szCs w:val="26"/>
        </w:rPr>
        <w:t>mente</w:t>
      </w:r>
      <w:r w:rsidR="006E41F3">
        <w:rPr>
          <w:szCs w:val="26"/>
        </w:rPr>
        <w:t>,</w:t>
      </w:r>
      <w:r>
        <w:rPr>
          <w:szCs w:val="26"/>
        </w:rPr>
        <w:t xml:space="preserve"> poseer el cien por cien de su capital social. </w:t>
      </w:r>
    </w:p>
    <w:p w:rsidR="006E41F3" w:rsidRPr="00DA68E2" w:rsidRDefault="006E41F3" w:rsidP="00462071">
      <w:pPr>
        <w:pStyle w:val="texto"/>
        <w:tabs>
          <w:tab w:val="clear" w:pos="2835"/>
          <w:tab w:val="clear" w:pos="3969"/>
          <w:tab w:val="clear" w:pos="5103"/>
          <w:tab w:val="clear" w:pos="6237"/>
          <w:tab w:val="clear" w:pos="7371"/>
        </w:tabs>
        <w:rPr>
          <w:spacing w:val="2"/>
          <w:szCs w:val="26"/>
        </w:rPr>
      </w:pPr>
      <w:r w:rsidRPr="00DA68E2">
        <w:rPr>
          <w:spacing w:val="2"/>
          <w:szCs w:val="26"/>
        </w:rPr>
        <w:t>Resaltamos que la sociedad</w:t>
      </w:r>
      <w:r w:rsidR="00474561" w:rsidRPr="00DA68E2">
        <w:rPr>
          <w:spacing w:val="2"/>
          <w:szCs w:val="26"/>
        </w:rPr>
        <w:t>,</w:t>
      </w:r>
      <w:r w:rsidRPr="00DA68E2">
        <w:rPr>
          <w:spacing w:val="2"/>
          <w:szCs w:val="26"/>
        </w:rPr>
        <w:t xml:space="preserve"> con las dos primeras den</w:t>
      </w:r>
      <w:r w:rsidR="00F77A87" w:rsidRPr="00DA68E2">
        <w:rPr>
          <w:spacing w:val="2"/>
          <w:szCs w:val="26"/>
        </w:rPr>
        <w:t>o</w:t>
      </w:r>
      <w:r w:rsidRPr="00DA68E2">
        <w:rPr>
          <w:spacing w:val="2"/>
          <w:szCs w:val="26"/>
        </w:rPr>
        <w:t>m</w:t>
      </w:r>
      <w:r w:rsidR="00F77A87" w:rsidRPr="00DA68E2">
        <w:rPr>
          <w:spacing w:val="2"/>
          <w:szCs w:val="26"/>
        </w:rPr>
        <w:t>i</w:t>
      </w:r>
      <w:r w:rsidRPr="00DA68E2">
        <w:rPr>
          <w:spacing w:val="2"/>
          <w:szCs w:val="26"/>
        </w:rPr>
        <w:t>naciones</w:t>
      </w:r>
      <w:r w:rsidR="00474561" w:rsidRPr="00DA68E2">
        <w:rPr>
          <w:spacing w:val="2"/>
          <w:szCs w:val="26"/>
        </w:rPr>
        <w:t>,</w:t>
      </w:r>
      <w:r w:rsidRPr="00DA68E2">
        <w:rPr>
          <w:spacing w:val="2"/>
          <w:szCs w:val="26"/>
        </w:rPr>
        <w:t xml:space="preserve"> presenta como </w:t>
      </w:r>
      <w:r w:rsidR="00F77A87" w:rsidRPr="00DA68E2">
        <w:rPr>
          <w:spacing w:val="2"/>
          <w:szCs w:val="26"/>
        </w:rPr>
        <w:t xml:space="preserve">actividad exclusiva </w:t>
      </w:r>
      <w:r w:rsidRPr="00DA68E2">
        <w:rPr>
          <w:spacing w:val="2"/>
          <w:szCs w:val="26"/>
        </w:rPr>
        <w:t>la gesti</w:t>
      </w:r>
      <w:r w:rsidR="00F77A87" w:rsidRPr="00DA68E2">
        <w:rPr>
          <w:spacing w:val="2"/>
          <w:szCs w:val="26"/>
        </w:rPr>
        <w:t>ón d</w:t>
      </w:r>
      <w:r w:rsidRPr="00DA68E2">
        <w:rPr>
          <w:spacing w:val="2"/>
          <w:szCs w:val="26"/>
        </w:rPr>
        <w:t>e</w:t>
      </w:r>
      <w:r w:rsidR="00F77A87" w:rsidRPr="00DA68E2">
        <w:rPr>
          <w:spacing w:val="2"/>
          <w:szCs w:val="26"/>
        </w:rPr>
        <w:t xml:space="preserve"> </w:t>
      </w:r>
      <w:r w:rsidRPr="00DA68E2">
        <w:rPr>
          <w:spacing w:val="2"/>
          <w:szCs w:val="26"/>
        </w:rPr>
        <w:t>la p</w:t>
      </w:r>
      <w:r w:rsidR="00F77A87" w:rsidRPr="00DA68E2">
        <w:rPr>
          <w:spacing w:val="2"/>
          <w:szCs w:val="26"/>
        </w:rPr>
        <w:t>ro</w:t>
      </w:r>
      <w:r w:rsidRPr="00DA68E2">
        <w:rPr>
          <w:spacing w:val="2"/>
          <w:szCs w:val="26"/>
        </w:rPr>
        <w:t>pia CT; poste</w:t>
      </w:r>
      <w:r w:rsidR="00F77A87" w:rsidRPr="00DA68E2">
        <w:rPr>
          <w:spacing w:val="2"/>
          <w:szCs w:val="26"/>
        </w:rPr>
        <w:t>ri</w:t>
      </w:r>
      <w:r w:rsidRPr="00DA68E2">
        <w:rPr>
          <w:spacing w:val="2"/>
          <w:szCs w:val="26"/>
        </w:rPr>
        <w:t>ormente</w:t>
      </w:r>
      <w:r w:rsidR="00A2588D" w:rsidRPr="00DA68E2">
        <w:rPr>
          <w:spacing w:val="2"/>
          <w:szCs w:val="26"/>
        </w:rPr>
        <w:t xml:space="preserve">, </w:t>
      </w:r>
      <w:r w:rsidR="00F77A87" w:rsidRPr="00DA68E2">
        <w:rPr>
          <w:spacing w:val="2"/>
          <w:szCs w:val="26"/>
        </w:rPr>
        <w:t>tal actividad se incluye</w:t>
      </w:r>
      <w:r w:rsidR="00474561" w:rsidRPr="00DA68E2">
        <w:rPr>
          <w:spacing w:val="2"/>
          <w:szCs w:val="26"/>
        </w:rPr>
        <w:t xml:space="preserve"> </w:t>
      </w:r>
      <w:r w:rsidR="00F77A87" w:rsidRPr="00DA68E2">
        <w:rPr>
          <w:spacing w:val="2"/>
          <w:szCs w:val="26"/>
        </w:rPr>
        <w:t>en otros objetos sociales más amplios.</w:t>
      </w:r>
      <w:r w:rsidR="00474561" w:rsidRPr="00DA68E2">
        <w:rPr>
          <w:spacing w:val="2"/>
          <w:szCs w:val="26"/>
        </w:rPr>
        <w:t xml:space="preserve"> Esta situación influye</w:t>
      </w:r>
      <w:r w:rsidR="00A2588D" w:rsidRPr="00DA68E2">
        <w:rPr>
          <w:spacing w:val="2"/>
          <w:szCs w:val="26"/>
        </w:rPr>
        <w:t xml:space="preserve">, además, </w:t>
      </w:r>
      <w:r w:rsidR="00474561" w:rsidRPr="00DA68E2">
        <w:rPr>
          <w:spacing w:val="2"/>
          <w:szCs w:val="26"/>
        </w:rPr>
        <w:t xml:space="preserve"> en la información económico-financiera que contiene sus cuentas anuales.</w:t>
      </w:r>
    </w:p>
    <w:p w:rsidR="00462071" w:rsidRPr="00B7755E" w:rsidRDefault="0023051E" w:rsidP="00462071">
      <w:pPr>
        <w:pStyle w:val="texto"/>
        <w:tabs>
          <w:tab w:val="clear" w:pos="2835"/>
          <w:tab w:val="clear" w:pos="3969"/>
          <w:tab w:val="clear" w:pos="5103"/>
          <w:tab w:val="clear" w:pos="6237"/>
          <w:tab w:val="clear" w:pos="7371"/>
        </w:tabs>
        <w:rPr>
          <w:szCs w:val="26"/>
        </w:rPr>
      </w:pPr>
      <w:r w:rsidRPr="00C54F50">
        <w:rPr>
          <w:b/>
          <w:szCs w:val="26"/>
        </w:rPr>
        <w:t>30</w:t>
      </w:r>
      <w:r w:rsidR="00C54F50" w:rsidRPr="00C54F50">
        <w:rPr>
          <w:b/>
          <w:szCs w:val="26"/>
        </w:rPr>
        <w:t>.</w:t>
      </w:r>
      <w:r w:rsidR="00462071" w:rsidRPr="00C54F50">
        <w:rPr>
          <w:b/>
          <w:szCs w:val="26"/>
        </w:rPr>
        <w:t>ª</w:t>
      </w:r>
      <w:r w:rsidR="00462071" w:rsidRPr="00335455">
        <w:rPr>
          <w:szCs w:val="26"/>
        </w:rPr>
        <w:t xml:space="preserve"> </w:t>
      </w:r>
      <w:r w:rsidR="00391F45">
        <w:rPr>
          <w:szCs w:val="26"/>
        </w:rPr>
        <w:t>La</w:t>
      </w:r>
      <w:r w:rsidR="00391F45" w:rsidRPr="00B7755E">
        <w:rPr>
          <w:szCs w:val="26"/>
        </w:rPr>
        <w:t xml:space="preserve"> sociedad</w:t>
      </w:r>
      <w:r w:rsidR="00391F45">
        <w:rPr>
          <w:szCs w:val="26"/>
        </w:rPr>
        <w:t xml:space="preserve"> TTCP, SA</w:t>
      </w:r>
      <w:r w:rsidR="00391F45" w:rsidRPr="00B7755E">
        <w:rPr>
          <w:szCs w:val="26"/>
        </w:rPr>
        <w:t xml:space="preserve"> </w:t>
      </w:r>
      <w:r w:rsidR="00391F45">
        <w:rPr>
          <w:szCs w:val="26"/>
        </w:rPr>
        <w:t xml:space="preserve"> se constituye</w:t>
      </w:r>
      <w:r w:rsidR="00391F45" w:rsidRPr="00B7755E">
        <w:rPr>
          <w:szCs w:val="26"/>
        </w:rPr>
        <w:t xml:space="preserve"> en 1991 con capital 100 por cien privado y por cuantía de 60.101 euros</w:t>
      </w:r>
      <w:r w:rsidR="00391F45">
        <w:rPr>
          <w:szCs w:val="26"/>
        </w:rPr>
        <w:t>;</w:t>
      </w:r>
      <w:r w:rsidR="00391F45" w:rsidRPr="00B7755E">
        <w:rPr>
          <w:szCs w:val="26"/>
        </w:rPr>
        <w:t xml:space="preserve"> en 20</w:t>
      </w:r>
      <w:r w:rsidR="00391F45">
        <w:rPr>
          <w:szCs w:val="26"/>
        </w:rPr>
        <w:t>11</w:t>
      </w:r>
      <w:r w:rsidR="00391F45" w:rsidRPr="00B7755E">
        <w:rPr>
          <w:szCs w:val="26"/>
        </w:rPr>
        <w:t xml:space="preserve">, </w:t>
      </w:r>
      <w:r w:rsidR="00391F45">
        <w:rPr>
          <w:szCs w:val="26"/>
        </w:rPr>
        <w:t>CTP, SA presenta un</w:t>
      </w:r>
      <w:r w:rsidR="00391F45" w:rsidRPr="00B7755E">
        <w:rPr>
          <w:szCs w:val="26"/>
        </w:rPr>
        <w:t xml:space="preserve"> capital </w:t>
      </w:r>
      <w:r w:rsidR="00391F45">
        <w:rPr>
          <w:szCs w:val="26"/>
        </w:rPr>
        <w:t>de</w:t>
      </w:r>
      <w:r w:rsidR="00391F45" w:rsidRPr="00B7755E">
        <w:rPr>
          <w:szCs w:val="26"/>
        </w:rPr>
        <w:t xml:space="preserve"> 15,81 millones de euros y con una presencia pública superior al 99 por ciento del capital. </w:t>
      </w:r>
      <w:r w:rsidR="00462071" w:rsidRPr="00B7755E">
        <w:rPr>
          <w:szCs w:val="26"/>
        </w:rPr>
        <w:t>Además en ese periodo, los socios privados no acuden a las dive</w:t>
      </w:r>
      <w:r w:rsidR="00462071" w:rsidRPr="00B7755E">
        <w:rPr>
          <w:szCs w:val="26"/>
        </w:rPr>
        <w:t>r</w:t>
      </w:r>
      <w:r w:rsidR="00462071" w:rsidRPr="00B7755E">
        <w:rPr>
          <w:szCs w:val="26"/>
        </w:rPr>
        <w:t>sas ampliaciones de capital.</w:t>
      </w:r>
    </w:p>
    <w:p w:rsidR="00462071" w:rsidRDefault="00462071" w:rsidP="00462071">
      <w:pPr>
        <w:pStyle w:val="texto"/>
        <w:tabs>
          <w:tab w:val="clear" w:pos="2835"/>
          <w:tab w:val="clear" w:pos="3969"/>
          <w:tab w:val="clear" w:pos="5103"/>
          <w:tab w:val="clear" w:pos="6237"/>
          <w:tab w:val="clear" w:pos="7371"/>
        </w:tabs>
        <w:rPr>
          <w:szCs w:val="26"/>
        </w:rPr>
      </w:pPr>
      <w:r w:rsidRPr="00DD1C06">
        <w:rPr>
          <w:szCs w:val="26"/>
        </w:rPr>
        <w:t>En 1997, la sociedad Terminal de Transportes de la Comarca de Pamplona, SA cambia su denominación por “Ciudad del Transporte de Pamp</w:t>
      </w:r>
      <w:r w:rsidR="0092256D">
        <w:rPr>
          <w:szCs w:val="26"/>
        </w:rPr>
        <w:t>lona, SA”</w:t>
      </w:r>
      <w:r w:rsidRPr="00DD1C06">
        <w:rPr>
          <w:szCs w:val="26"/>
        </w:rPr>
        <w:t>. Esta denominación se mantiene hasta 2011 en que, mediante una operación de fusión por absorción, la Ciudad del Transporte absorbe a la Agencia Navarra del Transporte y Logística SA, denominándose la nueva sociedad “Agencia Navarra del Transporte y</w:t>
      </w:r>
      <w:r>
        <w:rPr>
          <w:szCs w:val="26"/>
        </w:rPr>
        <w:t xml:space="preserve"> de</w:t>
      </w:r>
      <w:r w:rsidRPr="00DD1C06">
        <w:rPr>
          <w:szCs w:val="26"/>
        </w:rPr>
        <w:t xml:space="preserve"> la Logística, SAU”</w:t>
      </w:r>
      <w:r>
        <w:rPr>
          <w:szCs w:val="26"/>
        </w:rPr>
        <w:t>.</w:t>
      </w:r>
      <w:r w:rsidRPr="00DD1C06">
        <w:rPr>
          <w:szCs w:val="26"/>
        </w:rPr>
        <w:t xml:space="preserve"> </w:t>
      </w:r>
    </w:p>
    <w:p w:rsidR="00462071" w:rsidRPr="00B7755E" w:rsidRDefault="00462071" w:rsidP="001418D9">
      <w:pPr>
        <w:pStyle w:val="texto"/>
        <w:tabs>
          <w:tab w:val="clear" w:pos="2835"/>
          <w:tab w:val="clear" w:pos="3969"/>
          <w:tab w:val="clear" w:pos="5103"/>
          <w:tab w:val="clear" w:pos="6237"/>
          <w:tab w:val="clear" w:pos="7371"/>
        </w:tabs>
        <w:rPr>
          <w:szCs w:val="26"/>
        </w:rPr>
      </w:pPr>
      <w:r w:rsidRPr="00B7755E">
        <w:rPr>
          <w:szCs w:val="26"/>
        </w:rPr>
        <w:t>Con carácter previo a est</w:t>
      </w:r>
      <w:r w:rsidR="0023051E">
        <w:rPr>
          <w:szCs w:val="26"/>
        </w:rPr>
        <w:t>a</w:t>
      </w:r>
      <w:r w:rsidRPr="00B7755E">
        <w:rPr>
          <w:szCs w:val="26"/>
        </w:rPr>
        <w:t xml:space="preserve"> fusión por absorción, las acciones propiedad de la  Administración de la Comunidad Foral de Navarra se incorporan a la sociedad “Corporación Pública Empresarial de Navarra, SLU” (CPEN). Asimismo, entre finales de 2010 y el primer trimestre de 2011, el resto de socios de la extinta C</w:t>
      </w:r>
      <w:r w:rsidR="009669CA">
        <w:rPr>
          <w:szCs w:val="26"/>
        </w:rPr>
        <w:t>TP,</w:t>
      </w:r>
      <w:r w:rsidRPr="00B7755E">
        <w:rPr>
          <w:szCs w:val="26"/>
        </w:rPr>
        <w:t xml:space="preserve"> SA transmiten sus acciones a la citada CPEN</w:t>
      </w:r>
      <w:r>
        <w:rPr>
          <w:szCs w:val="26"/>
        </w:rPr>
        <w:t xml:space="preserve"> por un importe total de 0,36 millones</w:t>
      </w:r>
      <w:r w:rsidR="00BE2B86">
        <w:rPr>
          <w:szCs w:val="26"/>
        </w:rPr>
        <w:t xml:space="preserve"> de euros</w:t>
      </w:r>
      <w:r>
        <w:rPr>
          <w:szCs w:val="26"/>
        </w:rPr>
        <w:t>.</w:t>
      </w:r>
    </w:p>
    <w:p w:rsidR="00462071" w:rsidRPr="00B7755E" w:rsidRDefault="00462071" w:rsidP="00462071">
      <w:pPr>
        <w:pStyle w:val="texto"/>
        <w:tabs>
          <w:tab w:val="clear" w:pos="2835"/>
          <w:tab w:val="clear" w:pos="3969"/>
          <w:tab w:val="clear" w:pos="5103"/>
          <w:tab w:val="clear" w:pos="6237"/>
          <w:tab w:val="clear" w:pos="7371"/>
        </w:tabs>
        <w:rPr>
          <w:szCs w:val="26"/>
        </w:rPr>
      </w:pPr>
      <w:r w:rsidRPr="00B7755E">
        <w:rPr>
          <w:szCs w:val="26"/>
        </w:rPr>
        <w:t>A 31 de diciembre de 2011, el titular del 100 por cien de las acciones y socio único de la sociedad ANL, SAU es la CPEN, resultando su capital social en una cuantía de 15,81 millones. Este importe de capital social se mantiene hasta 2013.</w:t>
      </w:r>
    </w:p>
    <w:p w:rsidR="00462071" w:rsidRDefault="00462071" w:rsidP="00462071">
      <w:pPr>
        <w:pStyle w:val="texto"/>
        <w:tabs>
          <w:tab w:val="clear" w:pos="2835"/>
          <w:tab w:val="clear" w:pos="3969"/>
          <w:tab w:val="clear" w:pos="5103"/>
          <w:tab w:val="clear" w:pos="6237"/>
          <w:tab w:val="clear" w:pos="7371"/>
          <w:tab w:val="num" w:pos="600"/>
        </w:tabs>
        <w:rPr>
          <w:szCs w:val="26"/>
        </w:rPr>
      </w:pPr>
      <w:r w:rsidRPr="00B7755E">
        <w:rPr>
          <w:szCs w:val="26"/>
        </w:rPr>
        <w:t>En julio de 2014, la sociedad pública “Navarra de Suelo y Vivienda, SAU” (Nasuvinsa) absorbe a la sociedad ANL, SAU mediante la transmisión en bl</w:t>
      </w:r>
      <w:r w:rsidRPr="00B7755E">
        <w:rPr>
          <w:szCs w:val="26"/>
        </w:rPr>
        <w:t>o</w:t>
      </w:r>
      <w:r w:rsidRPr="00B7755E">
        <w:rPr>
          <w:szCs w:val="26"/>
        </w:rPr>
        <w:t>que de todos sus activos y pasivos. Resultado de esta absorción, Nasuvinsa asume todos los derechos y obligaciones de la gestión y explotación de la Ci</w:t>
      </w:r>
      <w:r w:rsidRPr="00B7755E">
        <w:rPr>
          <w:szCs w:val="26"/>
        </w:rPr>
        <w:t>u</w:t>
      </w:r>
      <w:r w:rsidRPr="00B7755E">
        <w:rPr>
          <w:szCs w:val="26"/>
        </w:rPr>
        <w:t>dad del Transporte de Pamplona.</w:t>
      </w:r>
      <w:r>
        <w:rPr>
          <w:szCs w:val="26"/>
        </w:rPr>
        <w:t xml:space="preserve"> </w:t>
      </w:r>
    </w:p>
    <w:p w:rsidR="00462071" w:rsidRPr="001B6768" w:rsidRDefault="00B56BB6" w:rsidP="00462071">
      <w:pPr>
        <w:pStyle w:val="texto"/>
        <w:tabs>
          <w:tab w:val="clear" w:pos="2835"/>
          <w:tab w:val="clear" w:pos="3969"/>
          <w:tab w:val="clear" w:pos="5103"/>
          <w:tab w:val="clear" w:pos="6237"/>
          <w:tab w:val="clear" w:pos="7371"/>
        </w:tabs>
        <w:rPr>
          <w:szCs w:val="26"/>
        </w:rPr>
      </w:pPr>
      <w:r w:rsidRPr="00C54F50">
        <w:rPr>
          <w:b/>
          <w:szCs w:val="26"/>
        </w:rPr>
        <w:t>3</w:t>
      </w:r>
      <w:r w:rsidR="0023051E" w:rsidRPr="00C54F50">
        <w:rPr>
          <w:b/>
          <w:szCs w:val="26"/>
        </w:rPr>
        <w:t>1</w:t>
      </w:r>
      <w:r w:rsidR="00C54F50" w:rsidRPr="00C54F50">
        <w:rPr>
          <w:b/>
          <w:szCs w:val="26"/>
        </w:rPr>
        <w:t>.</w:t>
      </w:r>
      <w:r w:rsidR="00462071" w:rsidRPr="00C54F50">
        <w:rPr>
          <w:b/>
          <w:szCs w:val="26"/>
        </w:rPr>
        <w:t>ª</w:t>
      </w:r>
      <w:r w:rsidR="00462071">
        <w:rPr>
          <w:szCs w:val="26"/>
        </w:rPr>
        <w:t xml:space="preserve"> L</w:t>
      </w:r>
      <w:r w:rsidR="00462071" w:rsidRPr="001B6768">
        <w:rPr>
          <w:szCs w:val="26"/>
        </w:rPr>
        <w:t xml:space="preserve">as funciones </w:t>
      </w:r>
      <w:r w:rsidR="00462071">
        <w:rPr>
          <w:szCs w:val="26"/>
        </w:rPr>
        <w:t>desarrolladas por la</w:t>
      </w:r>
      <w:r w:rsidR="00462071" w:rsidRPr="001B6768">
        <w:rPr>
          <w:szCs w:val="26"/>
        </w:rPr>
        <w:t xml:space="preserve"> sociedad gestora </w:t>
      </w:r>
      <w:r w:rsidR="0023051E">
        <w:rPr>
          <w:szCs w:val="26"/>
        </w:rPr>
        <w:t>de</w:t>
      </w:r>
      <w:r w:rsidR="00303670">
        <w:rPr>
          <w:szCs w:val="26"/>
        </w:rPr>
        <w:t xml:space="preserve"> la CT </w:t>
      </w:r>
      <w:r w:rsidR="00462071">
        <w:rPr>
          <w:szCs w:val="26"/>
        </w:rPr>
        <w:t>son, en r</w:t>
      </w:r>
      <w:r w:rsidR="00462071">
        <w:rPr>
          <w:szCs w:val="26"/>
        </w:rPr>
        <w:t>e</w:t>
      </w:r>
      <w:r w:rsidR="00462071">
        <w:rPr>
          <w:szCs w:val="26"/>
        </w:rPr>
        <w:t>sumen,</w:t>
      </w:r>
      <w:r w:rsidR="00462071" w:rsidRPr="001B6768">
        <w:rPr>
          <w:szCs w:val="26"/>
        </w:rPr>
        <w:t xml:space="preserve"> las siguientes:</w:t>
      </w:r>
    </w:p>
    <w:p w:rsidR="00462071" w:rsidRDefault="00462071" w:rsidP="00462071">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Promoción de los PSIS que desarrollan la CT.</w:t>
      </w:r>
      <w:r w:rsidRPr="001B6768">
        <w:rPr>
          <w:szCs w:val="26"/>
        </w:rPr>
        <w:t xml:space="preserve"> </w:t>
      </w:r>
    </w:p>
    <w:p w:rsidR="00462071" w:rsidRPr="001B6768" w:rsidRDefault="00462071" w:rsidP="00462071">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sidRPr="001B6768">
        <w:rPr>
          <w:szCs w:val="26"/>
        </w:rPr>
        <w:t xml:space="preserve">Convocatoria </w:t>
      </w:r>
      <w:r w:rsidR="00BE2B86">
        <w:rPr>
          <w:szCs w:val="26"/>
        </w:rPr>
        <w:t xml:space="preserve">y tramitación </w:t>
      </w:r>
      <w:r w:rsidRPr="001B6768">
        <w:rPr>
          <w:szCs w:val="26"/>
        </w:rPr>
        <w:t xml:space="preserve">de los </w:t>
      </w:r>
      <w:r>
        <w:rPr>
          <w:szCs w:val="26"/>
        </w:rPr>
        <w:t xml:space="preserve">dos </w:t>
      </w:r>
      <w:r w:rsidRPr="001B6768">
        <w:rPr>
          <w:szCs w:val="26"/>
        </w:rPr>
        <w:t>concursos para la adjudicación de la realización y desarrollo de la Ciudad del Transporte, aprobando las bases c</w:t>
      </w:r>
      <w:r w:rsidRPr="001B6768">
        <w:rPr>
          <w:szCs w:val="26"/>
        </w:rPr>
        <w:t>o</w:t>
      </w:r>
      <w:r w:rsidRPr="001B6768">
        <w:rPr>
          <w:szCs w:val="26"/>
        </w:rPr>
        <w:t xml:space="preserve">rrespondientes. </w:t>
      </w:r>
    </w:p>
    <w:p w:rsidR="00462071" w:rsidRDefault="00462071" w:rsidP="00462071">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sidRPr="00F431A8">
        <w:rPr>
          <w:szCs w:val="26"/>
        </w:rPr>
        <w:t>Puesta a disposición del suelo</w:t>
      </w:r>
      <w:r w:rsidR="00BE2B86">
        <w:rPr>
          <w:szCs w:val="26"/>
        </w:rPr>
        <w:t xml:space="preserve"> mediante </w:t>
      </w:r>
      <w:r w:rsidR="00300999">
        <w:rPr>
          <w:szCs w:val="26"/>
        </w:rPr>
        <w:t>la constitución de un</w:t>
      </w:r>
      <w:r w:rsidR="00BE2B86">
        <w:rPr>
          <w:szCs w:val="26"/>
        </w:rPr>
        <w:t xml:space="preserve"> derecho de superficie a favor de la adjudicataria de los contratos anteriores.</w:t>
      </w:r>
    </w:p>
    <w:p w:rsidR="00F37143" w:rsidRDefault="00F37143" w:rsidP="00462071">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Control de las obras de urbanización.</w:t>
      </w:r>
    </w:p>
    <w:p w:rsidR="00462071" w:rsidRPr="00F431A8" w:rsidRDefault="00462071" w:rsidP="00462071">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sidRPr="00F431A8">
        <w:rPr>
          <w:szCs w:val="26"/>
        </w:rPr>
        <w:t>Control y seguimiento d</w:t>
      </w:r>
      <w:r w:rsidR="00303670">
        <w:rPr>
          <w:szCs w:val="26"/>
        </w:rPr>
        <w:t>e</w:t>
      </w:r>
      <w:r w:rsidRPr="00F431A8">
        <w:rPr>
          <w:szCs w:val="26"/>
        </w:rPr>
        <w:t xml:space="preserve"> la fase de comercialización y explotación: </w:t>
      </w:r>
    </w:p>
    <w:p w:rsidR="00462071" w:rsidRPr="001B6768" w:rsidRDefault="00462071" w:rsidP="00462071">
      <w:pPr>
        <w:pStyle w:val="texto"/>
        <w:tabs>
          <w:tab w:val="clear" w:pos="2835"/>
          <w:tab w:val="clear" w:pos="3969"/>
          <w:tab w:val="clear" w:pos="5103"/>
          <w:tab w:val="clear" w:pos="6237"/>
          <w:tab w:val="clear" w:pos="7371"/>
        </w:tabs>
        <w:rPr>
          <w:szCs w:val="26"/>
        </w:rPr>
      </w:pPr>
      <w:r>
        <w:rPr>
          <w:szCs w:val="26"/>
        </w:rPr>
        <w:t>a)</w:t>
      </w:r>
      <w:r w:rsidRPr="001B6768">
        <w:rPr>
          <w:szCs w:val="26"/>
        </w:rPr>
        <w:t xml:space="preserve"> Usos: Todos los compradores, arrendatarios y usuarios deberán cumplir los usos establecidos en el PSIS. </w:t>
      </w:r>
    </w:p>
    <w:p w:rsidR="00462071" w:rsidRPr="001B6768" w:rsidRDefault="00462071" w:rsidP="00462071">
      <w:pPr>
        <w:pStyle w:val="texto"/>
        <w:tabs>
          <w:tab w:val="clear" w:pos="2835"/>
          <w:tab w:val="clear" w:pos="3969"/>
          <w:tab w:val="clear" w:pos="5103"/>
          <w:tab w:val="clear" w:pos="6237"/>
          <w:tab w:val="clear" w:pos="7371"/>
        </w:tabs>
        <w:rPr>
          <w:szCs w:val="26"/>
        </w:rPr>
      </w:pPr>
      <w:r>
        <w:rPr>
          <w:szCs w:val="26"/>
        </w:rPr>
        <w:t xml:space="preserve">b) </w:t>
      </w:r>
      <w:r w:rsidRPr="001B6768">
        <w:rPr>
          <w:szCs w:val="26"/>
        </w:rPr>
        <w:t>Precios máximos</w:t>
      </w:r>
      <w:r>
        <w:rPr>
          <w:szCs w:val="26"/>
        </w:rPr>
        <w:t xml:space="preserve"> que deberán</w:t>
      </w:r>
      <w:r w:rsidRPr="001B6768">
        <w:rPr>
          <w:szCs w:val="26"/>
        </w:rPr>
        <w:t xml:space="preserve"> respetar</w:t>
      </w:r>
      <w:r>
        <w:rPr>
          <w:szCs w:val="26"/>
        </w:rPr>
        <w:t>se</w:t>
      </w:r>
      <w:r w:rsidRPr="001B6768">
        <w:rPr>
          <w:szCs w:val="26"/>
        </w:rPr>
        <w:t xml:space="preserve"> en los contratos de compraventa y arrendamiento</w:t>
      </w:r>
      <w:r w:rsidR="00E32C0B">
        <w:rPr>
          <w:szCs w:val="26"/>
        </w:rPr>
        <w:t>s</w:t>
      </w:r>
      <w:r w:rsidRPr="001B6768">
        <w:rPr>
          <w:szCs w:val="26"/>
        </w:rPr>
        <w:t xml:space="preserve"> que </w:t>
      </w:r>
      <w:r>
        <w:rPr>
          <w:szCs w:val="26"/>
        </w:rPr>
        <w:t xml:space="preserve">se </w:t>
      </w:r>
      <w:r w:rsidRPr="001B6768">
        <w:rPr>
          <w:szCs w:val="26"/>
        </w:rPr>
        <w:t>celebre</w:t>
      </w:r>
      <w:r w:rsidR="00E32C0B">
        <w:rPr>
          <w:szCs w:val="26"/>
        </w:rPr>
        <w:t>n</w:t>
      </w:r>
      <w:r w:rsidRPr="001B6768">
        <w:rPr>
          <w:szCs w:val="26"/>
        </w:rPr>
        <w:t>.</w:t>
      </w:r>
    </w:p>
    <w:p w:rsidR="00462071" w:rsidRPr="001B6768" w:rsidRDefault="00462071" w:rsidP="00462071">
      <w:pPr>
        <w:pStyle w:val="texto"/>
        <w:tabs>
          <w:tab w:val="clear" w:pos="2835"/>
          <w:tab w:val="clear" w:pos="3969"/>
          <w:tab w:val="clear" w:pos="5103"/>
          <w:tab w:val="clear" w:pos="6237"/>
          <w:tab w:val="clear" w:pos="7371"/>
        </w:tabs>
        <w:rPr>
          <w:szCs w:val="26"/>
        </w:rPr>
      </w:pPr>
      <w:r>
        <w:rPr>
          <w:szCs w:val="26"/>
        </w:rPr>
        <w:t xml:space="preserve">c) </w:t>
      </w:r>
      <w:r w:rsidR="00E32C0B">
        <w:rPr>
          <w:szCs w:val="26"/>
        </w:rPr>
        <w:t>A</w:t>
      </w:r>
      <w:r w:rsidRPr="001B6768">
        <w:rPr>
          <w:szCs w:val="26"/>
        </w:rPr>
        <w:t>probación de los modelos tipo de contrato y autorización a los contratos de reserva, compraventa y arrendamiento.</w:t>
      </w:r>
    </w:p>
    <w:p w:rsidR="00462071" w:rsidRDefault="00462071" w:rsidP="00462071">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sidRPr="00F431A8">
        <w:rPr>
          <w:szCs w:val="26"/>
        </w:rPr>
        <w:t>Adquisición de inmuebles a la UTE</w:t>
      </w:r>
      <w:r>
        <w:rPr>
          <w:szCs w:val="26"/>
        </w:rPr>
        <w:t xml:space="preserve"> y su gestión directa</w:t>
      </w:r>
      <w:r w:rsidRPr="00F431A8">
        <w:rPr>
          <w:szCs w:val="26"/>
        </w:rPr>
        <w:t xml:space="preserve"> (edificios oficinas, aparcamiento de vehículos pesados y mercancías peligrosas).</w:t>
      </w:r>
    </w:p>
    <w:p w:rsidR="00303670" w:rsidRPr="00303670" w:rsidRDefault="00303670" w:rsidP="0030367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sidRPr="00F431A8">
        <w:rPr>
          <w:szCs w:val="26"/>
        </w:rPr>
        <w:t>Gestión  de los servicios comunes de mant</w:t>
      </w:r>
      <w:r>
        <w:rPr>
          <w:szCs w:val="26"/>
        </w:rPr>
        <w:t>e</w:t>
      </w:r>
      <w:r w:rsidRPr="00F431A8">
        <w:rPr>
          <w:szCs w:val="26"/>
        </w:rPr>
        <w:t>nimiento y conservación de la infraestructura</w:t>
      </w:r>
      <w:r>
        <w:rPr>
          <w:szCs w:val="26"/>
        </w:rPr>
        <w:t>.</w:t>
      </w:r>
      <w:r w:rsidRPr="00F431A8">
        <w:rPr>
          <w:szCs w:val="26"/>
        </w:rPr>
        <w:t xml:space="preserve"> </w:t>
      </w:r>
    </w:p>
    <w:p w:rsidR="00462071" w:rsidRDefault="00A62F1C" w:rsidP="00462071">
      <w:pPr>
        <w:pStyle w:val="texto"/>
        <w:tabs>
          <w:tab w:val="clear" w:pos="2835"/>
          <w:tab w:val="clear" w:pos="3969"/>
          <w:tab w:val="clear" w:pos="5103"/>
          <w:tab w:val="clear" w:pos="6237"/>
          <w:tab w:val="clear" w:pos="7371"/>
        </w:tabs>
        <w:rPr>
          <w:szCs w:val="26"/>
        </w:rPr>
      </w:pPr>
      <w:r w:rsidRPr="00C54F50">
        <w:rPr>
          <w:b/>
          <w:szCs w:val="26"/>
        </w:rPr>
        <w:t>3</w:t>
      </w:r>
      <w:r w:rsidR="0023051E" w:rsidRPr="00C54F50">
        <w:rPr>
          <w:b/>
          <w:szCs w:val="26"/>
        </w:rPr>
        <w:t>2</w:t>
      </w:r>
      <w:r w:rsidR="00C54F50" w:rsidRPr="00C54F50">
        <w:rPr>
          <w:b/>
          <w:szCs w:val="26"/>
        </w:rPr>
        <w:t>.</w:t>
      </w:r>
      <w:r w:rsidR="00462071" w:rsidRPr="00C54F50">
        <w:rPr>
          <w:b/>
          <w:szCs w:val="26"/>
        </w:rPr>
        <w:t>ª</w:t>
      </w:r>
      <w:r w:rsidR="00462071">
        <w:rPr>
          <w:szCs w:val="26"/>
        </w:rPr>
        <w:t xml:space="preserve"> Ingresos percibidos por la sociedad gestora por la venta de parcelas</w:t>
      </w:r>
      <w:r w:rsidR="00510327">
        <w:rPr>
          <w:szCs w:val="26"/>
        </w:rPr>
        <w:t xml:space="preserve"> por la UTE</w:t>
      </w:r>
      <w:r w:rsidR="00462071">
        <w:rPr>
          <w:szCs w:val="26"/>
        </w:rPr>
        <w:t xml:space="preserve">. De acuerdo con los contratos firmados con la UTE, de cada venta que </w:t>
      </w:r>
      <w:r w:rsidR="003D0A3F">
        <w:rPr>
          <w:szCs w:val="26"/>
        </w:rPr>
        <w:t>e</w:t>
      </w:r>
      <w:r w:rsidR="00462071">
        <w:rPr>
          <w:szCs w:val="26"/>
        </w:rPr>
        <w:t>sta efectúa, la sociedad gestora percibe un porcentaje sobre el precio de venta, cuya cuantía no incrementa tal precio.</w:t>
      </w:r>
    </w:p>
    <w:p w:rsidR="00462071" w:rsidRPr="00E56FD3" w:rsidRDefault="00E32C0B" w:rsidP="001418D9">
      <w:pPr>
        <w:pStyle w:val="texto"/>
        <w:tabs>
          <w:tab w:val="clear" w:pos="2835"/>
          <w:tab w:val="clear" w:pos="3969"/>
          <w:tab w:val="clear" w:pos="5103"/>
          <w:tab w:val="clear" w:pos="6237"/>
          <w:tab w:val="clear" w:pos="7371"/>
        </w:tabs>
        <w:spacing w:after="240"/>
        <w:rPr>
          <w:szCs w:val="26"/>
        </w:rPr>
      </w:pPr>
      <w:r>
        <w:rPr>
          <w:szCs w:val="26"/>
        </w:rPr>
        <w:t>Hasta el</w:t>
      </w:r>
      <w:r w:rsidR="00462071" w:rsidRPr="009975EB">
        <w:rPr>
          <w:szCs w:val="26"/>
        </w:rPr>
        <w:t xml:space="preserve"> 31 de diciembre de 2017 </w:t>
      </w:r>
      <w:r w:rsidR="00462071" w:rsidRPr="00B7755E">
        <w:rPr>
          <w:szCs w:val="26"/>
        </w:rPr>
        <w:t xml:space="preserve">ha percibido un total de </w:t>
      </w:r>
      <w:r w:rsidR="00462071" w:rsidRPr="00E56FD3">
        <w:rPr>
          <w:szCs w:val="26"/>
        </w:rPr>
        <w:t>10,64 millones de euros, de acuerdo con el siguiente detalle por fases de la CT:</w:t>
      </w:r>
    </w:p>
    <w:tbl>
      <w:tblPr>
        <w:tblStyle w:val="TableNormal"/>
        <w:tblW w:w="0" w:type="auto"/>
        <w:jc w:val="center"/>
        <w:tblBorders>
          <w:top w:val="single" w:sz="2" w:space="0" w:color="auto"/>
          <w:bottom w:val="single" w:sz="2" w:space="0" w:color="auto"/>
          <w:insideH w:val="single" w:sz="2" w:space="0" w:color="auto"/>
        </w:tblBorders>
        <w:tblLayout w:type="fixed"/>
        <w:tblLook w:val="01E0" w:firstRow="1" w:lastRow="1" w:firstColumn="1" w:lastColumn="1" w:noHBand="0" w:noVBand="0"/>
      </w:tblPr>
      <w:tblGrid>
        <w:gridCol w:w="7173"/>
        <w:gridCol w:w="1762"/>
      </w:tblGrid>
      <w:tr w:rsidR="00462071" w:rsidRPr="00DA5BC7" w:rsidTr="001418D9">
        <w:trPr>
          <w:trHeight w:hRule="exact" w:val="255"/>
          <w:jc w:val="center"/>
        </w:trPr>
        <w:tc>
          <w:tcPr>
            <w:tcW w:w="7173" w:type="dxa"/>
            <w:tcBorders>
              <w:top w:val="single" w:sz="4" w:space="0" w:color="auto"/>
              <w:bottom w:val="single" w:sz="4" w:space="0" w:color="auto"/>
            </w:tcBorders>
            <w:shd w:val="clear" w:color="auto" w:fill="B8CCE4" w:themeFill="accent1" w:themeFillTint="66"/>
            <w:vAlign w:val="center"/>
          </w:tcPr>
          <w:p w:rsidR="00462071" w:rsidRPr="005B3CA8" w:rsidRDefault="00462071" w:rsidP="001418D9">
            <w:pPr>
              <w:spacing w:after="0"/>
              <w:ind w:left="73" w:firstLine="0"/>
              <w:jc w:val="left"/>
              <w:rPr>
                <w:rFonts w:ascii="Arial" w:hAnsi="Arial" w:cs="Arial"/>
                <w:color w:val="000000"/>
                <w:sz w:val="18"/>
                <w:szCs w:val="18"/>
                <w:lang w:eastAsia="es-ES"/>
              </w:rPr>
            </w:pPr>
            <w:r>
              <w:rPr>
                <w:rFonts w:ascii="Arial" w:hAnsi="Arial" w:cs="Arial"/>
                <w:color w:val="000000"/>
                <w:sz w:val="18"/>
                <w:szCs w:val="18"/>
                <w:lang w:eastAsia="es-ES"/>
              </w:rPr>
              <w:t>Fases/Ingresos</w:t>
            </w:r>
            <w:r w:rsidR="00F37143">
              <w:rPr>
                <w:rFonts w:ascii="Arial" w:hAnsi="Arial" w:cs="Arial"/>
                <w:color w:val="000000"/>
                <w:sz w:val="18"/>
                <w:szCs w:val="18"/>
                <w:lang w:eastAsia="es-ES"/>
              </w:rPr>
              <w:t xml:space="preserve"> sociedad gestora </w:t>
            </w:r>
            <w:r>
              <w:rPr>
                <w:rFonts w:ascii="Arial" w:hAnsi="Arial" w:cs="Arial"/>
                <w:color w:val="000000"/>
                <w:sz w:val="18"/>
                <w:szCs w:val="18"/>
                <w:lang w:eastAsia="es-ES"/>
              </w:rPr>
              <w:t xml:space="preserve"> por ventas de parcelas</w:t>
            </w:r>
            <w:r w:rsidR="00510327">
              <w:rPr>
                <w:rFonts w:ascii="Arial" w:hAnsi="Arial" w:cs="Arial"/>
                <w:color w:val="000000"/>
                <w:sz w:val="18"/>
                <w:szCs w:val="18"/>
                <w:lang w:eastAsia="es-ES"/>
              </w:rPr>
              <w:t xml:space="preserve"> por la UTE</w:t>
            </w:r>
          </w:p>
        </w:tc>
        <w:tc>
          <w:tcPr>
            <w:tcW w:w="1762" w:type="dxa"/>
            <w:tcBorders>
              <w:top w:val="single" w:sz="4" w:space="0" w:color="auto"/>
              <w:bottom w:val="single" w:sz="4" w:space="0" w:color="auto"/>
            </w:tcBorders>
            <w:shd w:val="clear" w:color="auto" w:fill="B8CCE4" w:themeFill="accent1" w:themeFillTint="66"/>
            <w:vAlign w:val="center"/>
          </w:tcPr>
          <w:p w:rsidR="00462071" w:rsidRPr="00DA5BC7" w:rsidRDefault="00462071" w:rsidP="00D241E0">
            <w:pPr>
              <w:spacing w:after="0"/>
              <w:ind w:left="206" w:right="131" w:firstLine="0"/>
              <w:jc w:val="right"/>
              <w:rPr>
                <w:rFonts w:ascii="Arial" w:hAnsi="Arial" w:cs="Arial"/>
                <w:color w:val="000000"/>
                <w:sz w:val="18"/>
                <w:szCs w:val="18"/>
                <w:lang w:eastAsia="es-ES"/>
              </w:rPr>
            </w:pPr>
            <w:r>
              <w:rPr>
                <w:rFonts w:ascii="Arial" w:hAnsi="Arial" w:cs="Arial"/>
                <w:color w:val="000000"/>
                <w:sz w:val="18"/>
                <w:szCs w:val="18"/>
                <w:lang w:eastAsia="es-ES"/>
              </w:rPr>
              <w:t>Importe</w:t>
            </w:r>
          </w:p>
        </w:tc>
      </w:tr>
      <w:tr w:rsidR="00462071" w:rsidRPr="00612D84" w:rsidTr="001418D9">
        <w:trPr>
          <w:trHeight w:hRule="exact" w:val="255"/>
          <w:jc w:val="center"/>
        </w:trPr>
        <w:tc>
          <w:tcPr>
            <w:tcW w:w="7173" w:type="dxa"/>
            <w:tcBorders>
              <w:top w:val="single" w:sz="4" w:space="0" w:color="auto"/>
              <w:bottom w:val="single" w:sz="2" w:space="0" w:color="auto"/>
            </w:tcBorders>
            <w:vAlign w:val="center"/>
          </w:tcPr>
          <w:p w:rsidR="00462071" w:rsidRPr="008E708D" w:rsidRDefault="00462071" w:rsidP="001418D9">
            <w:pPr>
              <w:widowControl/>
              <w:spacing w:after="0"/>
              <w:ind w:left="73" w:firstLine="0"/>
              <w:jc w:val="left"/>
              <w:rPr>
                <w:rFonts w:ascii="Arial Narrow" w:hAnsi="Arial Narrow"/>
                <w:color w:val="000000"/>
                <w:sz w:val="20"/>
                <w:szCs w:val="20"/>
                <w:lang w:eastAsia="es-ES"/>
              </w:rPr>
            </w:pPr>
            <w:r>
              <w:rPr>
                <w:rFonts w:ascii="Arial Narrow" w:hAnsi="Arial Narrow"/>
                <w:color w:val="000000"/>
                <w:sz w:val="20"/>
                <w:szCs w:val="20"/>
                <w:lang w:eastAsia="es-ES"/>
              </w:rPr>
              <w:t>1ª fase</w:t>
            </w:r>
          </w:p>
        </w:tc>
        <w:tc>
          <w:tcPr>
            <w:tcW w:w="1762" w:type="dxa"/>
            <w:tcBorders>
              <w:top w:val="single" w:sz="4" w:space="0" w:color="auto"/>
              <w:bottom w:val="single" w:sz="2" w:space="0" w:color="auto"/>
            </w:tcBorders>
            <w:vAlign w:val="center"/>
          </w:tcPr>
          <w:p w:rsidR="00462071" w:rsidRPr="008E708D" w:rsidRDefault="00462071" w:rsidP="00D241E0">
            <w:pPr>
              <w:widowControl/>
              <w:spacing w:after="0"/>
              <w:ind w:left="206" w:right="106" w:firstLine="0"/>
              <w:jc w:val="right"/>
              <w:rPr>
                <w:rFonts w:ascii="Arial Narrow" w:hAnsi="Arial Narrow"/>
                <w:color w:val="000000"/>
                <w:sz w:val="20"/>
                <w:szCs w:val="20"/>
                <w:lang w:eastAsia="es-ES"/>
              </w:rPr>
            </w:pPr>
            <w:r>
              <w:rPr>
                <w:rFonts w:ascii="Arial Narrow" w:hAnsi="Arial Narrow"/>
                <w:color w:val="000000"/>
                <w:sz w:val="20"/>
                <w:szCs w:val="20"/>
                <w:lang w:eastAsia="es-ES"/>
              </w:rPr>
              <w:t>488.180</w:t>
            </w:r>
          </w:p>
        </w:tc>
      </w:tr>
      <w:tr w:rsidR="00462071" w:rsidRPr="00612D84" w:rsidTr="001418D9">
        <w:trPr>
          <w:trHeight w:hRule="exact" w:val="255"/>
          <w:jc w:val="center"/>
        </w:trPr>
        <w:tc>
          <w:tcPr>
            <w:tcW w:w="7173" w:type="dxa"/>
            <w:vAlign w:val="center"/>
          </w:tcPr>
          <w:p w:rsidR="00462071" w:rsidRPr="008E708D" w:rsidRDefault="00462071" w:rsidP="001418D9">
            <w:pPr>
              <w:widowControl/>
              <w:spacing w:after="0"/>
              <w:ind w:left="73" w:firstLine="0"/>
              <w:jc w:val="left"/>
              <w:rPr>
                <w:rFonts w:ascii="Arial Narrow" w:hAnsi="Arial Narrow"/>
                <w:color w:val="000000"/>
                <w:sz w:val="20"/>
                <w:szCs w:val="20"/>
                <w:lang w:eastAsia="es-ES"/>
              </w:rPr>
            </w:pPr>
            <w:r>
              <w:rPr>
                <w:rFonts w:ascii="Arial Narrow" w:hAnsi="Arial Narrow"/>
                <w:color w:val="000000"/>
                <w:sz w:val="20"/>
                <w:szCs w:val="20"/>
                <w:lang w:eastAsia="es-ES"/>
              </w:rPr>
              <w:t>2ª fase</w:t>
            </w:r>
          </w:p>
        </w:tc>
        <w:tc>
          <w:tcPr>
            <w:tcW w:w="1762" w:type="dxa"/>
            <w:vAlign w:val="center"/>
          </w:tcPr>
          <w:p w:rsidR="00462071" w:rsidRPr="008E708D" w:rsidRDefault="00462071" w:rsidP="00D241E0">
            <w:pPr>
              <w:widowControl/>
              <w:spacing w:after="0"/>
              <w:ind w:left="206" w:right="106" w:firstLine="0"/>
              <w:jc w:val="right"/>
              <w:rPr>
                <w:rFonts w:ascii="Arial Narrow" w:hAnsi="Arial Narrow"/>
                <w:color w:val="000000"/>
                <w:sz w:val="20"/>
                <w:szCs w:val="20"/>
                <w:lang w:eastAsia="es-ES"/>
              </w:rPr>
            </w:pPr>
            <w:r>
              <w:rPr>
                <w:rFonts w:ascii="Arial Narrow" w:hAnsi="Arial Narrow"/>
                <w:color w:val="000000"/>
                <w:sz w:val="20"/>
                <w:szCs w:val="20"/>
                <w:lang w:eastAsia="es-ES"/>
              </w:rPr>
              <w:t>5.350.995</w:t>
            </w:r>
          </w:p>
        </w:tc>
      </w:tr>
      <w:tr w:rsidR="00462071" w:rsidRPr="00612D84" w:rsidTr="001418D9">
        <w:trPr>
          <w:trHeight w:hRule="exact" w:val="255"/>
          <w:jc w:val="center"/>
        </w:trPr>
        <w:tc>
          <w:tcPr>
            <w:tcW w:w="7173" w:type="dxa"/>
            <w:vAlign w:val="center"/>
          </w:tcPr>
          <w:p w:rsidR="00462071" w:rsidRPr="008E708D" w:rsidRDefault="00462071" w:rsidP="001418D9">
            <w:pPr>
              <w:widowControl/>
              <w:spacing w:after="0"/>
              <w:ind w:left="73" w:firstLine="0"/>
              <w:jc w:val="left"/>
              <w:rPr>
                <w:rFonts w:ascii="Arial Narrow" w:hAnsi="Arial Narrow"/>
                <w:color w:val="000000"/>
                <w:sz w:val="20"/>
                <w:szCs w:val="20"/>
                <w:lang w:eastAsia="es-ES"/>
              </w:rPr>
            </w:pPr>
            <w:r>
              <w:rPr>
                <w:rFonts w:ascii="Arial Narrow" w:hAnsi="Arial Narrow"/>
                <w:color w:val="000000"/>
                <w:sz w:val="20"/>
                <w:szCs w:val="20"/>
                <w:lang w:eastAsia="es-ES"/>
              </w:rPr>
              <w:t>3ª fase</w:t>
            </w:r>
          </w:p>
        </w:tc>
        <w:tc>
          <w:tcPr>
            <w:tcW w:w="1762" w:type="dxa"/>
            <w:vAlign w:val="center"/>
          </w:tcPr>
          <w:p w:rsidR="00462071" w:rsidRPr="008E708D" w:rsidRDefault="00462071" w:rsidP="00D241E0">
            <w:pPr>
              <w:widowControl/>
              <w:spacing w:after="0"/>
              <w:ind w:left="206" w:right="106" w:firstLine="0"/>
              <w:jc w:val="right"/>
              <w:rPr>
                <w:rFonts w:ascii="Arial Narrow" w:hAnsi="Arial Narrow"/>
                <w:color w:val="000000"/>
                <w:sz w:val="20"/>
                <w:szCs w:val="20"/>
                <w:lang w:eastAsia="es-ES"/>
              </w:rPr>
            </w:pPr>
            <w:r>
              <w:rPr>
                <w:rFonts w:ascii="Arial Narrow" w:hAnsi="Arial Narrow"/>
                <w:color w:val="000000"/>
                <w:sz w:val="20"/>
                <w:szCs w:val="20"/>
                <w:lang w:eastAsia="es-ES"/>
              </w:rPr>
              <w:t>4.798.147</w:t>
            </w:r>
          </w:p>
        </w:tc>
      </w:tr>
      <w:tr w:rsidR="00462071" w:rsidRPr="00612D84" w:rsidTr="001418D9">
        <w:trPr>
          <w:trHeight w:hRule="exact" w:val="255"/>
          <w:jc w:val="center"/>
        </w:trPr>
        <w:tc>
          <w:tcPr>
            <w:tcW w:w="7173" w:type="dxa"/>
            <w:tcBorders>
              <w:bottom w:val="single" w:sz="2" w:space="0" w:color="auto"/>
            </w:tcBorders>
            <w:vAlign w:val="center"/>
          </w:tcPr>
          <w:p w:rsidR="00462071" w:rsidRPr="008E708D" w:rsidRDefault="00462071" w:rsidP="001418D9">
            <w:pPr>
              <w:widowControl/>
              <w:spacing w:after="0"/>
              <w:ind w:left="73" w:firstLine="0"/>
              <w:jc w:val="left"/>
              <w:rPr>
                <w:rFonts w:ascii="Arial Narrow" w:hAnsi="Arial Narrow"/>
                <w:color w:val="000000"/>
                <w:sz w:val="20"/>
                <w:szCs w:val="20"/>
                <w:lang w:eastAsia="es-ES"/>
              </w:rPr>
            </w:pPr>
            <w:r>
              <w:rPr>
                <w:rFonts w:ascii="Arial Narrow" w:hAnsi="Arial Narrow"/>
                <w:color w:val="000000"/>
                <w:sz w:val="20"/>
                <w:szCs w:val="20"/>
                <w:lang w:eastAsia="es-ES"/>
              </w:rPr>
              <w:t>4ª fase</w:t>
            </w:r>
          </w:p>
        </w:tc>
        <w:tc>
          <w:tcPr>
            <w:tcW w:w="1762" w:type="dxa"/>
            <w:tcBorders>
              <w:bottom w:val="single" w:sz="2" w:space="0" w:color="auto"/>
            </w:tcBorders>
            <w:vAlign w:val="center"/>
          </w:tcPr>
          <w:p w:rsidR="00462071" w:rsidRPr="008E708D" w:rsidRDefault="00462071" w:rsidP="00D241E0">
            <w:pPr>
              <w:widowControl/>
              <w:spacing w:after="0"/>
              <w:ind w:left="206" w:right="106" w:firstLine="0"/>
              <w:jc w:val="right"/>
              <w:rPr>
                <w:rFonts w:ascii="Arial Narrow" w:hAnsi="Arial Narrow"/>
                <w:color w:val="000000"/>
                <w:sz w:val="20"/>
                <w:szCs w:val="20"/>
                <w:lang w:eastAsia="es-ES"/>
              </w:rPr>
            </w:pPr>
            <w:r>
              <w:rPr>
                <w:rFonts w:ascii="Arial Narrow" w:hAnsi="Arial Narrow"/>
                <w:color w:val="000000"/>
                <w:sz w:val="20"/>
                <w:szCs w:val="20"/>
                <w:lang w:eastAsia="es-ES"/>
              </w:rPr>
              <w:t>0</w:t>
            </w:r>
          </w:p>
        </w:tc>
      </w:tr>
      <w:tr w:rsidR="00462071" w:rsidRPr="00E56FD3" w:rsidTr="001418D9">
        <w:trPr>
          <w:trHeight w:hRule="exact" w:val="255"/>
          <w:jc w:val="center"/>
        </w:trPr>
        <w:tc>
          <w:tcPr>
            <w:tcW w:w="7173" w:type="dxa"/>
            <w:tcBorders>
              <w:bottom w:val="single" w:sz="2" w:space="0" w:color="auto"/>
            </w:tcBorders>
            <w:shd w:val="clear" w:color="auto" w:fill="B8CCE4" w:themeFill="accent1" w:themeFillTint="66"/>
            <w:vAlign w:val="center"/>
          </w:tcPr>
          <w:p w:rsidR="00462071" w:rsidRPr="00DC4506" w:rsidRDefault="00462071" w:rsidP="001418D9">
            <w:pPr>
              <w:spacing w:after="0"/>
              <w:ind w:left="73" w:firstLine="0"/>
              <w:jc w:val="left"/>
              <w:rPr>
                <w:rFonts w:ascii="Arial" w:hAnsi="Arial" w:cs="Arial"/>
                <w:color w:val="000000"/>
                <w:sz w:val="18"/>
                <w:szCs w:val="18"/>
                <w:lang w:eastAsia="es-ES"/>
              </w:rPr>
            </w:pPr>
            <w:r w:rsidRPr="00DC4506">
              <w:rPr>
                <w:rFonts w:ascii="Arial" w:hAnsi="Arial" w:cs="Arial"/>
                <w:color w:val="000000"/>
                <w:sz w:val="18"/>
                <w:szCs w:val="18"/>
                <w:lang w:eastAsia="es-ES"/>
              </w:rPr>
              <w:t>Total</w:t>
            </w:r>
          </w:p>
        </w:tc>
        <w:tc>
          <w:tcPr>
            <w:tcW w:w="1762" w:type="dxa"/>
            <w:tcBorders>
              <w:bottom w:val="single" w:sz="2" w:space="0" w:color="auto"/>
            </w:tcBorders>
            <w:shd w:val="clear" w:color="auto" w:fill="B8CCE4" w:themeFill="accent1" w:themeFillTint="66"/>
            <w:vAlign w:val="center"/>
          </w:tcPr>
          <w:p w:rsidR="00462071" w:rsidRPr="00E56FD3" w:rsidRDefault="00462071" w:rsidP="00D241E0">
            <w:pPr>
              <w:spacing w:after="0"/>
              <w:ind w:left="284" w:right="106" w:firstLine="0"/>
              <w:jc w:val="right"/>
              <w:rPr>
                <w:rFonts w:ascii="Arial" w:hAnsi="Arial" w:cs="Arial"/>
                <w:sz w:val="18"/>
                <w:szCs w:val="18"/>
                <w:lang w:eastAsia="es-ES"/>
              </w:rPr>
            </w:pPr>
            <w:r w:rsidRPr="00E56FD3">
              <w:rPr>
                <w:rFonts w:ascii="Arial" w:hAnsi="Arial" w:cs="Arial"/>
                <w:sz w:val="18"/>
                <w:szCs w:val="18"/>
                <w:lang w:eastAsia="es-ES"/>
              </w:rPr>
              <w:t>10.637.322</w:t>
            </w:r>
          </w:p>
        </w:tc>
      </w:tr>
    </w:tbl>
    <w:p w:rsidR="00462071" w:rsidRPr="00B7755E" w:rsidRDefault="00462071" w:rsidP="00462071">
      <w:pPr>
        <w:pStyle w:val="texto"/>
        <w:tabs>
          <w:tab w:val="clear" w:pos="2835"/>
          <w:tab w:val="clear" w:pos="3969"/>
          <w:tab w:val="clear" w:pos="5103"/>
          <w:tab w:val="clear" w:pos="6237"/>
          <w:tab w:val="clear" w:pos="7371"/>
        </w:tabs>
        <w:rPr>
          <w:szCs w:val="26"/>
        </w:rPr>
      </w:pPr>
      <w:r w:rsidRPr="00B7755E">
        <w:rPr>
          <w:szCs w:val="26"/>
        </w:rPr>
        <w:t>Los porcentajes recibidos</w:t>
      </w:r>
      <w:r>
        <w:rPr>
          <w:szCs w:val="26"/>
        </w:rPr>
        <w:t xml:space="preserve"> han experimentado las</w:t>
      </w:r>
      <w:r w:rsidRPr="00B7755E">
        <w:rPr>
          <w:szCs w:val="26"/>
        </w:rPr>
        <w:t xml:space="preserve"> siguientes variaciones:</w:t>
      </w:r>
    </w:p>
    <w:p w:rsidR="00462071" w:rsidRPr="00B7755E" w:rsidRDefault="00462071" w:rsidP="00462071">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sidRPr="00B7755E">
        <w:rPr>
          <w:szCs w:val="26"/>
        </w:rPr>
        <w:t>Para la comercialización de la</w:t>
      </w:r>
      <w:r>
        <w:rPr>
          <w:szCs w:val="26"/>
        </w:rPr>
        <w:t xml:space="preserve"> 1ª fase, </w:t>
      </w:r>
      <w:r w:rsidRPr="00B7755E">
        <w:rPr>
          <w:szCs w:val="26"/>
        </w:rPr>
        <w:t>se establece el uno por ciento del precio de venta.</w:t>
      </w:r>
    </w:p>
    <w:p w:rsidR="00462071" w:rsidRPr="00B7755E" w:rsidRDefault="00462071" w:rsidP="00462071">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sidRPr="00B7755E">
        <w:rPr>
          <w:szCs w:val="26"/>
        </w:rPr>
        <w:t>Para la</w:t>
      </w:r>
      <w:r>
        <w:rPr>
          <w:szCs w:val="26"/>
        </w:rPr>
        <w:t xml:space="preserve"> comercialización de la 2ª fase: </w:t>
      </w:r>
      <w:r w:rsidRPr="00B7755E">
        <w:rPr>
          <w:szCs w:val="26"/>
        </w:rPr>
        <w:t>El uno por ciento del precio de venta más 77,41 euros por m</w:t>
      </w:r>
      <w:r w:rsidRPr="00B530BA">
        <w:rPr>
          <w:szCs w:val="26"/>
          <w:vertAlign w:val="superscript"/>
        </w:rPr>
        <w:t>2</w:t>
      </w:r>
      <w:r w:rsidRPr="00B7755E">
        <w:rPr>
          <w:szCs w:val="26"/>
        </w:rPr>
        <w:t xml:space="preserve"> de solar ocupado por las edificaciones; este </w:t>
      </w:r>
      <w:r>
        <w:rPr>
          <w:szCs w:val="26"/>
        </w:rPr>
        <w:t xml:space="preserve">importe de </w:t>
      </w:r>
      <w:r w:rsidRPr="00B7755E">
        <w:rPr>
          <w:szCs w:val="26"/>
        </w:rPr>
        <w:t>incremento se justifica en el aumento del coste de las expropiaciones.</w:t>
      </w:r>
    </w:p>
    <w:p w:rsidR="00462071" w:rsidRPr="00B7755E" w:rsidRDefault="00462071" w:rsidP="00462071">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sidRPr="00B7755E">
        <w:rPr>
          <w:szCs w:val="26"/>
        </w:rPr>
        <w:t>Para la 3ª fase, se fija un porcentaje del cinco por ciento</w:t>
      </w:r>
      <w:r>
        <w:rPr>
          <w:szCs w:val="26"/>
        </w:rPr>
        <w:t>, porcentaje que</w:t>
      </w:r>
      <w:r w:rsidRPr="00B7755E">
        <w:rPr>
          <w:szCs w:val="26"/>
        </w:rPr>
        <w:t xml:space="preserve"> se eleva</w:t>
      </w:r>
      <w:r>
        <w:rPr>
          <w:szCs w:val="26"/>
        </w:rPr>
        <w:t>, desde 2007,</w:t>
      </w:r>
      <w:r w:rsidRPr="00B7755E">
        <w:rPr>
          <w:szCs w:val="26"/>
        </w:rPr>
        <w:t xml:space="preserve"> al 10 por ciento</w:t>
      </w:r>
      <w:r>
        <w:rPr>
          <w:szCs w:val="26"/>
        </w:rPr>
        <w:t>.</w:t>
      </w:r>
    </w:p>
    <w:p w:rsidR="000D10FC" w:rsidRDefault="000D10FC" w:rsidP="00462071">
      <w:pPr>
        <w:pStyle w:val="texto"/>
        <w:tabs>
          <w:tab w:val="clear" w:pos="2835"/>
          <w:tab w:val="clear" w:pos="3969"/>
          <w:tab w:val="clear" w:pos="5103"/>
          <w:tab w:val="clear" w:pos="6237"/>
          <w:tab w:val="clear" w:pos="7371"/>
        </w:tabs>
        <w:rPr>
          <w:szCs w:val="26"/>
        </w:rPr>
      </w:pPr>
      <w:r w:rsidRPr="000D10FC">
        <w:rPr>
          <w:szCs w:val="26"/>
        </w:rPr>
        <w:t>Se ha revisado una muestra de contratos de compraventa relativos a la 3ª f</w:t>
      </w:r>
      <w:r w:rsidRPr="000D10FC">
        <w:rPr>
          <w:szCs w:val="26"/>
        </w:rPr>
        <w:t>a</w:t>
      </w:r>
      <w:r w:rsidRPr="000D10FC">
        <w:rPr>
          <w:szCs w:val="26"/>
        </w:rPr>
        <w:t>se, concluyéndose que los importes percibidos por la sociedad gestora respo</w:t>
      </w:r>
      <w:r w:rsidRPr="000D10FC">
        <w:rPr>
          <w:szCs w:val="26"/>
        </w:rPr>
        <w:t>n</w:t>
      </w:r>
      <w:r w:rsidRPr="000D10FC">
        <w:rPr>
          <w:szCs w:val="26"/>
        </w:rPr>
        <w:t>den a los porcentajes establecidos en el contrato firmado con la UTE.</w:t>
      </w:r>
    </w:p>
    <w:p w:rsidR="000D10FC" w:rsidRPr="001F10F1" w:rsidRDefault="000D10FC" w:rsidP="000D10FC">
      <w:pPr>
        <w:pStyle w:val="texto"/>
        <w:tabs>
          <w:tab w:val="clear" w:pos="2835"/>
          <w:tab w:val="clear" w:pos="3969"/>
          <w:tab w:val="clear" w:pos="5103"/>
          <w:tab w:val="clear" w:pos="6237"/>
          <w:tab w:val="clear" w:pos="7371"/>
        </w:tabs>
        <w:rPr>
          <w:szCs w:val="26"/>
        </w:rPr>
      </w:pPr>
      <w:r w:rsidRPr="001F10F1">
        <w:rPr>
          <w:szCs w:val="26"/>
        </w:rPr>
        <w:t>No consta la relación de inmuebles arrendados por la UTE</w:t>
      </w:r>
      <w:r w:rsidR="00F93209">
        <w:rPr>
          <w:rStyle w:val="Refdenotaalpie"/>
          <w:szCs w:val="26"/>
        </w:rPr>
        <w:footnoteReference w:id="3"/>
      </w:r>
      <w:r w:rsidRPr="001F10F1">
        <w:rPr>
          <w:szCs w:val="26"/>
        </w:rPr>
        <w:t xml:space="preserve"> </w:t>
      </w:r>
    </w:p>
    <w:p w:rsidR="00462071" w:rsidRPr="00B7755E" w:rsidRDefault="00A62F1C" w:rsidP="00462071">
      <w:pPr>
        <w:pStyle w:val="texto"/>
        <w:tabs>
          <w:tab w:val="clear" w:pos="2835"/>
          <w:tab w:val="clear" w:pos="3969"/>
          <w:tab w:val="clear" w:pos="5103"/>
          <w:tab w:val="clear" w:pos="6237"/>
          <w:tab w:val="clear" w:pos="7371"/>
        </w:tabs>
        <w:rPr>
          <w:szCs w:val="26"/>
        </w:rPr>
      </w:pPr>
      <w:r w:rsidRPr="00BE57C3">
        <w:rPr>
          <w:b/>
          <w:szCs w:val="26"/>
        </w:rPr>
        <w:t>3</w:t>
      </w:r>
      <w:r w:rsidR="0023051E" w:rsidRPr="00BE57C3">
        <w:rPr>
          <w:b/>
          <w:szCs w:val="26"/>
        </w:rPr>
        <w:t>3</w:t>
      </w:r>
      <w:r w:rsidR="00BE57C3" w:rsidRPr="00BE57C3">
        <w:rPr>
          <w:b/>
          <w:szCs w:val="26"/>
        </w:rPr>
        <w:t>.</w:t>
      </w:r>
      <w:r w:rsidR="00462071" w:rsidRPr="00BE57C3">
        <w:rPr>
          <w:b/>
          <w:szCs w:val="26"/>
        </w:rPr>
        <w:t>ª</w:t>
      </w:r>
      <w:r w:rsidR="00462071">
        <w:rPr>
          <w:szCs w:val="26"/>
        </w:rPr>
        <w:t xml:space="preserve"> Además</w:t>
      </w:r>
      <w:r w:rsidR="00E32C0B">
        <w:rPr>
          <w:szCs w:val="26"/>
        </w:rPr>
        <w:t>,</w:t>
      </w:r>
      <w:r w:rsidR="00462071">
        <w:rPr>
          <w:szCs w:val="26"/>
        </w:rPr>
        <w:t xml:space="preserve"> para esta 3ª fase, la sociedad, c</w:t>
      </w:r>
      <w:r w:rsidR="00462071" w:rsidRPr="00B7755E">
        <w:rPr>
          <w:szCs w:val="26"/>
        </w:rPr>
        <w:t>onforme al contrato de adjud</w:t>
      </w:r>
      <w:r w:rsidR="00462071" w:rsidRPr="00B7755E">
        <w:rPr>
          <w:szCs w:val="26"/>
        </w:rPr>
        <w:t>i</w:t>
      </w:r>
      <w:r w:rsidR="00462071" w:rsidRPr="00B7755E">
        <w:rPr>
          <w:szCs w:val="26"/>
        </w:rPr>
        <w:t>cación</w:t>
      </w:r>
      <w:r w:rsidR="00462071">
        <w:rPr>
          <w:szCs w:val="26"/>
        </w:rPr>
        <w:t xml:space="preserve"> firmado </w:t>
      </w:r>
      <w:r w:rsidR="00462071" w:rsidRPr="00B7755E">
        <w:rPr>
          <w:szCs w:val="26"/>
        </w:rPr>
        <w:t xml:space="preserve">con la UTE, </w:t>
      </w:r>
      <w:r w:rsidR="00462071">
        <w:rPr>
          <w:szCs w:val="26"/>
        </w:rPr>
        <w:t>percibir</w:t>
      </w:r>
      <w:r w:rsidR="00300999">
        <w:rPr>
          <w:szCs w:val="26"/>
        </w:rPr>
        <w:t>ía</w:t>
      </w:r>
      <w:r w:rsidR="00462071">
        <w:rPr>
          <w:szCs w:val="26"/>
        </w:rPr>
        <w:t xml:space="preserve"> de </w:t>
      </w:r>
      <w:r w:rsidR="003D0A3F">
        <w:rPr>
          <w:szCs w:val="26"/>
        </w:rPr>
        <w:t>e</w:t>
      </w:r>
      <w:r w:rsidR="00462071">
        <w:rPr>
          <w:szCs w:val="26"/>
        </w:rPr>
        <w:t>sta</w:t>
      </w:r>
      <w:r w:rsidR="00462071" w:rsidRPr="00B7755E">
        <w:rPr>
          <w:szCs w:val="26"/>
        </w:rPr>
        <w:t xml:space="preserve"> un canon total de 15 millones de euros, que se devengará con una periodicidad anual, por un importe de 1,5 m</w:t>
      </w:r>
      <w:r w:rsidR="00462071" w:rsidRPr="00B7755E">
        <w:rPr>
          <w:szCs w:val="26"/>
        </w:rPr>
        <w:t>i</w:t>
      </w:r>
      <w:r w:rsidR="00462071" w:rsidRPr="00B7755E">
        <w:rPr>
          <w:szCs w:val="26"/>
        </w:rPr>
        <w:t>llones de euros y una duración de diez años</w:t>
      </w:r>
      <w:r w:rsidR="00462071">
        <w:rPr>
          <w:szCs w:val="26"/>
        </w:rPr>
        <w:t xml:space="preserve"> –es decir, hasta 2015</w:t>
      </w:r>
      <w:r w:rsidR="001418D9">
        <w:rPr>
          <w:szCs w:val="26"/>
        </w:rPr>
        <w:t>–</w:t>
      </w:r>
      <w:r w:rsidR="00462071" w:rsidRPr="00B7755E">
        <w:rPr>
          <w:szCs w:val="26"/>
        </w:rPr>
        <w:t>.</w:t>
      </w:r>
      <w:r w:rsidR="00F37143">
        <w:rPr>
          <w:szCs w:val="26"/>
        </w:rPr>
        <w:t xml:space="preserve"> Este</w:t>
      </w:r>
      <w:r w:rsidR="00462071" w:rsidRPr="00B7755E">
        <w:rPr>
          <w:szCs w:val="26"/>
        </w:rPr>
        <w:t xml:space="preserve"> canon anual se actualizará con la variación del IPC.</w:t>
      </w:r>
    </w:p>
    <w:p w:rsidR="00462071" w:rsidRPr="0023051E" w:rsidRDefault="00462071" w:rsidP="00462071">
      <w:pPr>
        <w:pStyle w:val="texto"/>
        <w:tabs>
          <w:tab w:val="clear" w:pos="2835"/>
          <w:tab w:val="clear" w:pos="3969"/>
          <w:tab w:val="clear" w:pos="5103"/>
          <w:tab w:val="clear" w:pos="6237"/>
          <w:tab w:val="clear" w:pos="7371"/>
        </w:tabs>
        <w:rPr>
          <w:szCs w:val="26"/>
        </w:rPr>
      </w:pPr>
      <w:r w:rsidRPr="00B7755E">
        <w:rPr>
          <w:szCs w:val="26"/>
        </w:rPr>
        <w:t>A 31 de diciembre de 2012, sin embargo, se firma una actualización del co</w:t>
      </w:r>
      <w:r w:rsidRPr="00B7755E">
        <w:rPr>
          <w:szCs w:val="26"/>
        </w:rPr>
        <w:t>n</w:t>
      </w:r>
      <w:r w:rsidRPr="00B7755E">
        <w:rPr>
          <w:szCs w:val="26"/>
        </w:rPr>
        <w:t>trato de adjudicación por el que las partes acuerdan que la actualización del c</w:t>
      </w:r>
      <w:r w:rsidRPr="00B7755E">
        <w:rPr>
          <w:szCs w:val="26"/>
        </w:rPr>
        <w:t>a</w:t>
      </w:r>
      <w:r w:rsidRPr="00B7755E">
        <w:rPr>
          <w:szCs w:val="26"/>
        </w:rPr>
        <w:t>non de acuerdo con el IPC no tenga lugar durante los años 2013</w:t>
      </w:r>
      <w:r w:rsidR="00F37143">
        <w:rPr>
          <w:szCs w:val="26"/>
        </w:rPr>
        <w:t xml:space="preserve"> a</w:t>
      </w:r>
      <w:r w:rsidRPr="00B7755E">
        <w:rPr>
          <w:szCs w:val="26"/>
        </w:rPr>
        <w:t xml:space="preserve"> 2015</w:t>
      </w:r>
      <w:r>
        <w:rPr>
          <w:szCs w:val="26"/>
        </w:rPr>
        <w:t>; se</w:t>
      </w:r>
      <w:r w:rsidRPr="00B7755E">
        <w:rPr>
          <w:szCs w:val="26"/>
        </w:rPr>
        <w:t xml:space="preserve"> t</w:t>
      </w:r>
      <w:r w:rsidRPr="00B7755E">
        <w:rPr>
          <w:szCs w:val="26"/>
        </w:rPr>
        <w:t>o</w:t>
      </w:r>
      <w:r w:rsidRPr="00B7755E">
        <w:rPr>
          <w:szCs w:val="26"/>
        </w:rPr>
        <w:t>mará como base el canon del año 2012 para los futuros cánones y se aplicará el IVA correspondiente en su momento</w:t>
      </w:r>
      <w:r>
        <w:rPr>
          <w:szCs w:val="26"/>
        </w:rPr>
        <w:t xml:space="preserve">. </w:t>
      </w:r>
      <w:r w:rsidRPr="00B7755E">
        <w:rPr>
          <w:szCs w:val="26"/>
        </w:rPr>
        <w:t xml:space="preserve">Además, en esta modificación, se estipula que, a partir de 2012, a la deuda neta vencida </w:t>
      </w:r>
      <w:r w:rsidR="00F37143">
        <w:rPr>
          <w:szCs w:val="26"/>
        </w:rPr>
        <w:t>de</w:t>
      </w:r>
      <w:r w:rsidRPr="00B7755E">
        <w:rPr>
          <w:szCs w:val="26"/>
        </w:rPr>
        <w:t xml:space="preserve"> la UTE</w:t>
      </w:r>
      <w:r w:rsidR="00F37143">
        <w:rPr>
          <w:szCs w:val="26"/>
        </w:rPr>
        <w:t xml:space="preserve"> se le</w:t>
      </w:r>
      <w:r w:rsidRPr="00B7755E">
        <w:rPr>
          <w:szCs w:val="26"/>
        </w:rPr>
        <w:t xml:space="preserve"> aplicará </w:t>
      </w:r>
      <w:r w:rsidR="00F37143">
        <w:rPr>
          <w:szCs w:val="26"/>
        </w:rPr>
        <w:t>unos i</w:t>
      </w:r>
      <w:r w:rsidR="00F37143">
        <w:rPr>
          <w:szCs w:val="26"/>
        </w:rPr>
        <w:t>n</w:t>
      </w:r>
      <w:r w:rsidR="00F37143">
        <w:rPr>
          <w:szCs w:val="26"/>
        </w:rPr>
        <w:t>tereses del</w:t>
      </w:r>
      <w:r w:rsidRPr="00B7755E">
        <w:rPr>
          <w:szCs w:val="26"/>
        </w:rPr>
        <w:t xml:space="preserve"> cinco por ciento nominal anual</w:t>
      </w:r>
      <w:r>
        <w:rPr>
          <w:szCs w:val="26"/>
        </w:rPr>
        <w:t xml:space="preserve"> y </w:t>
      </w:r>
      <w:r w:rsidR="00F37143">
        <w:rPr>
          <w:szCs w:val="26"/>
        </w:rPr>
        <w:t>dicha UTE deberá</w:t>
      </w:r>
      <w:r>
        <w:rPr>
          <w:szCs w:val="26"/>
        </w:rPr>
        <w:t xml:space="preserve"> entregar gara</w:t>
      </w:r>
      <w:r>
        <w:rPr>
          <w:szCs w:val="26"/>
        </w:rPr>
        <w:t>n</w:t>
      </w:r>
      <w:r>
        <w:rPr>
          <w:szCs w:val="26"/>
        </w:rPr>
        <w:t xml:space="preserve">tías hipotecarias suficientes sobre la deuda pendiente. </w:t>
      </w:r>
      <w:r w:rsidRPr="0023051E">
        <w:rPr>
          <w:szCs w:val="26"/>
        </w:rPr>
        <w:t>No consta expresamente el cumplimiento de la entrega de estas garantías.</w:t>
      </w:r>
    </w:p>
    <w:p w:rsidR="00462071" w:rsidRDefault="00462071" w:rsidP="00462071">
      <w:pPr>
        <w:pStyle w:val="texto"/>
        <w:tabs>
          <w:tab w:val="clear" w:pos="2835"/>
          <w:tab w:val="clear" w:pos="3969"/>
          <w:tab w:val="clear" w:pos="5103"/>
          <w:tab w:val="clear" w:pos="6237"/>
          <w:tab w:val="clear" w:pos="7371"/>
        </w:tabs>
        <w:rPr>
          <w:szCs w:val="26"/>
        </w:rPr>
      </w:pPr>
      <w:r>
        <w:rPr>
          <w:szCs w:val="26"/>
        </w:rPr>
        <w:t>A 31 de diciembre de 2017, el canon devengado (IVA incluido) asciende a 19,58 millones, de los que queda pendiente de cobro un total de 8,79 millones</w:t>
      </w:r>
      <w:r w:rsidRPr="00B7755E">
        <w:rPr>
          <w:szCs w:val="26"/>
        </w:rPr>
        <w:t>, incluidos los intereses a un tipo de interés nominal anual del cinco por ciento.</w:t>
      </w:r>
    </w:p>
    <w:p w:rsidR="00462071" w:rsidRDefault="00462071" w:rsidP="00F37143">
      <w:pPr>
        <w:pStyle w:val="texto"/>
        <w:tabs>
          <w:tab w:val="clear" w:pos="2835"/>
          <w:tab w:val="clear" w:pos="3969"/>
          <w:tab w:val="clear" w:pos="5103"/>
          <w:tab w:val="clear" w:pos="6237"/>
          <w:tab w:val="clear" w:pos="7371"/>
        </w:tabs>
        <w:rPr>
          <w:szCs w:val="26"/>
        </w:rPr>
      </w:pPr>
      <w:r>
        <w:rPr>
          <w:szCs w:val="26"/>
        </w:rPr>
        <w:t>Por tanto, la UTE ha incumplido la cláusula del contrato relativo a</w:t>
      </w:r>
      <w:r w:rsidR="00300999">
        <w:rPr>
          <w:szCs w:val="26"/>
        </w:rPr>
        <w:t xml:space="preserve"> los</w:t>
      </w:r>
      <w:r>
        <w:rPr>
          <w:szCs w:val="26"/>
        </w:rPr>
        <w:t xml:space="preserve"> pago</w:t>
      </w:r>
      <w:r w:rsidR="00300999">
        <w:rPr>
          <w:szCs w:val="26"/>
        </w:rPr>
        <w:t>s anuales</w:t>
      </w:r>
      <w:r w:rsidR="00BB36CE">
        <w:rPr>
          <w:szCs w:val="26"/>
        </w:rPr>
        <w:t xml:space="preserve"> pendientes</w:t>
      </w:r>
      <w:r w:rsidR="00300999">
        <w:rPr>
          <w:szCs w:val="26"/>
        </w:rPr>
        <w:t xml:space="preserve"> </w:t>
      </w:r>
      <w:r>
        <w:rPr>
          <w:szCs w:val="26"/>
        </w:rPr>
        <w:t>de este canon</w:t>
      </w:r>
      <w:r w:rsidR="00984724">
        <w:rPr>
          <w:szCs w:val="26"/>
        </w:rPr>
        <w:t>.</w:t>
      </w:r>
      <w:r w:rsidR="00F37143">
        <w:rPr>
          <w:szCs w:val="26"/>
        </w:rPr>
        <w:t xml:space="preserve"> </w:t>
      </w:r>
    </w:p>
    <w:p w:rsidR="00462071" w:rsidRDefault="00A62F1C" w:rsidP="00462071">
      <w:pPr>
        <w:pStyle w:val="texto"/>
        <w:tabs>
          <w:tab w:val="clear" w:pos="2835"/>
          <w:tab w:val="clear" w:pos="3969"/>
          <w:tab w:val="clear" w:pos="5103"/>
          <w:tab w:val="clear" w:pos="6237"/>
          <w:tab w:val="clear" w:pos="7371"/>
        </w:tabs>
        <w:rPr>
          <w:szCs w:val="26"/>
        </w:rPr>
      </w:pPr>
      <w:r w:rsidRPr="00BE57C3">
        <w:rPr>
          <w:b/>
          <w:szCs w:val="26"/>
        </w:rPr>
        <w:t>3</w:t>
      </w:r>
      <w:r w:rsidR="0023051E" w:rsidRPr="00BE57C3">
        <w:rPr>
          <w:b/>
          <w:szCs w:val="26"/>
        </w:rPr>
        <w:t>4</w:t>
      </w:r>
      <w:r w:rsidR="00BE57C3" w:rsidRPr="00BE57C3">
        <w:rPr>
          <w:b/>
          <w:szCs w:val="26"/>
        </w:rPr>
        <w:t>.</w:t>
      </w:r>
      <w:r w:rsidR="00462071" w:rsidRPr="00BE57C3">
        <w:rPr>
          <w:b/>
          <w:szCs w:val="26"/>
        </w:rPr>
        <w:t>ª</w:t>
      </w:r>
      <w:r w:rsidR="00462071">
        <w:rPr>
          <w:szCs w:val="26"/>
        </w:rPr>
        <w:t xml:space="preserve"> Como otros aspectos destacables de las cuentas anuales de estas soci</w:t>
      </w:r>
      <w:r w:rsidR="00462071">
        <w:rPr>
          <w:szCs w:val="26"/>
        </w:rPr>
        <w:t>e</w:t>
      </w:r>
      <w:r w:rsidR="00462071">
        <w:rPr>
          <w:szCs w:val="26"/>
        </w:rPr>
        <w:t>dades gestoras</w:t>
      </w:r>
      <w:r w:rsidR="006B1C3A">
        <w:rPr>
          <w:rStyle w:val="Refdenotaalpie"/>
          <w:szCs w:val="26"/>
        </w:rPr>
        <w:footnoteReference w:id="4"/>
      </w:r>
      <w:r w:rsidR="00462071">
        <w:rPr>
          <w:szCs w:val="26"/>
        </w:rPr>
        <w:t xml:space="preserve"> destacamos:</w:t>
      </w:r>
    </w:p>
    <w:p w:rsidR="00462071" w:rsidRDefault="00462071" w:rsidP="00462071">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Los resultados del ejercicio negativos acumulados entre 1995 y 2013 a</w:t>
      </w:r>
      <w:r>
        <w:rPr>
          <w:szCs w:val="26"/>
        </w:rPr>
        <w:t>s</w:t>
      </w:r>
      <w:r>
        <w:rPr>
          <w:szCs w:val="26"/>
        </w:rPr>
        <w:t>cienden a 1,45 millones.</w:t>
      </w:r>
    </w:p>
    <w:p w:rsidR="00462071" w:rsidRDefault="00462071" w:rsidP="00462071">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Ampliaciones de capital. Mediante diversas operaciones de capital</w:t>
      </w:r>
      <w:r w:rsidR="00CF2367">
        <w:rPr>
          <w:szCs w:val="26"/>
        </w:rPr>
        <w:t xml:space="preserve"> –efectuadas entre 1996 y 2007</w:t>
      </w:r>
      <w:r w:rsidR="001418D9">
        <w:rPr>
          <w:szCs w:val="26"/>
        </w:rPr>
        <w:t>–</w:t>
      </w:r>
      <w:r>
        <w:rPr>
          <w:szCs w:val="26"/>
        </w:rPr>
        <w:t>, a la que no acudieron los socios privados, las sociedades TTCP, SA y CP</w:t>
      </w:r>
      <w:r w:rsidR="002E0AD7">
        <w:rPr>
          <w:szCs w:val="26"/>
        </w:rPr>
        <w:t>T</w:t>
      </w:r>
      <w:r>
        <w:rPr>
          <w:szCs w:val="26"/>
        </w:rPr>
        <w:t>, SA incrementaron su capital social en 15,67 m</w:t>
      </w:r>
      <w:r>
        <w:rPr>
          <w:szCs w:val="26"/>
        </w:rPr>
        <w:t>i</w:t>
      </w:r>
      <w:r>
        <w:rPr>
          <w:szCs w:val="26"/>
        </w:rPr>
        <w:t>llones, suscrito y desembolsado en su totalidad por el Sector Público Foral.</w:t>
      </w:r>
    </w:p>
    <w:p w:rsidR="002E0AD7" w:rsidRDefault="002E0AD7" w:rsidP="00462071">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En 2010, último ejercicio de la sociedad CTP, SA, el número de empleados medio de la misma era de cuatro trabajadores; en 2013, también último ejerc</w:t>
      </w:r>
      <w:r>
        <w:rPr>
          <w:szCs w:val="26"/>
        </w:rPr>
        <w:t>i</w:t>
      </w:r>
      <w:r>
        <w:rPr>
          <w:szCs w:val="26"/>
        </w:rPr>
        <w:t>cio de ANL, SAU, ese número ascendía a 5,75 trabajadores</w:t>
      </w:r>
      <w:r w:rsidR="00984724">
        <w:rPr>
          <w:szCs w:val="26"/>
        </w:rPr>
        <w:t>.</w:t>
      </w:r>
    </w:p>
    <w:p w:rsidR="00462071" w:rsidRDefault="00462071" w:rsidP="00462071">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Entre 1995 y 2013, la sociedad gestora ha percibido del Gobierno de Nav</w:t>
      </w:r>
      <w:r>
        <w:rPr>
          <w:szCs w:val="26"/>
        </w:rPr>
        <w:t>a</w:t>
      </w:r>
      <w:r>
        <w:rPr>
          <w:szCs w:val="26"/>
        </w:rPr>
        <w:t>rra un total de 8,10 millones de subvenciones a la explotación, destacando una de cuatro millones para financiar el aumento del gasto de expropiaciones.</w:t>
      </w:r>
    </w:p>
    <w:p w:rsidR="00462071" w:rsidRDefault="00462071" w:rsidP="00462071">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Desde 1993, ha percibido como subvenciones de capital por parte del G</w:t>
      </w:r>
      <w:r>
        <w:rPr>
          <w:szCs w:val="26"/>
        </w:rPr>
        <w:t>o</w:t>
      </w:r>
      <w:r>
        <w:rPr>
          <w:szCs w:val="26"/>
        </w:rPr>
        <w:t>bierno de Navarra un total de 1,41 millones, básicamente para financiar las e</w:t>
      </w:r>
      <w:r>
        <w:rPr>
          <w:szCs w:val="26"/>
        </w:rPr>
        <w:t>x</w:t>
      </w:r>
      <w:r>
        <w:rPr>
          <w:szCs w:val="26"/>
        </w:rPr>
        <w:t>propiaciones.</w:t>
      </w:r>
    </w:p>
    <w:p w:rsidR="00462071" w:rsidRDefault="00462071" w:rsidP="00462071">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Aportaciones del socio único CPEN por importe de 2,10 millones, fund</w:t>
      </w:r>
      <w:r>
        <w:rPr>
          <w:szCs w:val="26"/>
        </w:rPr>
        <w:t>a</w:t>
      </w:r>
      <w:r>
        <w:rPr>
          <w:szCs w:val="26"/>
        </w:rPr>
        <w:t xml:space="preserve">mentalmente en 2012 para compensar pérdidas de ejercicios anteriores. </w:t>
      </w:r>
    </w:p>
    <w:p w:rsidR="00462071" w:rsidRDefault="00462071" w:rsidP="00462071">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 xml:space="preserve">La sociedad Nasuvinsa percibe del Gobierno de Navarra una subvención corriente de 51,36 millones al amparo de la </w:t>
      </w:r>
      <w:r w:rsidRPr="00F97E01">
        <w:rPr>
          <w:szCs w:val="26"/>
        </w:rPr>
        <w:t xml:space="preserve">Ley Foral 5/2017, de concesión de un crédito extraordinario </w:t>
      </w:r>
      <w:r>
        <w:rPr>
          <w:szCs w:val="26"/>
        </w:rPr>
        <w:t>a la</w:t>
      </w:r>
      <w:r w:rsidRPr="00F97E01">
        <w:rPr>
          <w:szCs w:val="26"/>
        </w:rPr>
        <w:t xml:space="preserve"> partida </w:t>
      </w:r>
      <w:r>
        <w:rPr>
          <w:szCs w:val="26"/>
        </w:rPr>
        <w:t xml:space="preserve">de los presupuestos de 2017 </w:t>
      </w:r>
      <w:r w:rsidRPr="00F97E01">
        <w:rPr>
          <w:szCs w:val="26"/>
        </w:rPr>
        <w:t>“Transfere</w:t>
      </w:r>
      <w:r w:rsidRPr="00F97E01">
        <w:rPr>
          <w:szCs w:val="26"/>
        </w:rPr>
        <w:t>n</w:t>
      </w:r>
      <w:r w:rsidRPr="00F97E01">
        <w:rPr>
          <w:szCs w:val="26"/>
        </w:rPr>
        <w:t>cias corrientes a Nasuvinsa. Sentencia Ciudad del Transporte</w:t>
      </w:r>
      <w:r>
        <w:rPr>
          <w:szCs w:val="26"/>
        </w:rPr>
        <w:t>” para financiar el aumento del importe de las expropiaciones de la ampliación de la CT.</w:t>
      </w:r>
    </w:p>
    <w:p w:rsidR="00BB7120" w:rsidRPr="00F9421E" w:rsidRDefault="00BB7120" w:rsidP="00BB7120">
      <w:pPr>
        <w:pStyle w:val="texto"/>
        <w:numPr>
          <w:ilvl w:val="0"/>
          <w:numId w:val="1"/>
        </w:numPr>
        <w:tabs>
          <w:tab w:val="clear" w:pos="502"/>
          <w:tab w:val="clear" w:pos="2835"/>
          <w:tab w:val="clear" w:pos="3969"/>
          <w:tab w:val="clear" w:pos="5103"/>
          <w:tab w:val="clear" w:pos="6237"/>
          <w:tab w:val="clear" w:pos="7371"/>
          <w:tab w:val="left" w:pos="480"/>
          <w:tab w:val="num" w:pos="600"/>
        </w:tabs>
        <w:spacing w:after="240"/>
        <w:ind w:left="0" w:firstLine="289"/>
        <w:rPr>
          <w:szCs w:val="26"/>
        </w:rPr>
      </w:pPr>
      <w:r w:rsidRPr="00B7755E">
        <w:rPr>
          <w:szCs w:val="26"/>
        </w:rPr>
        <w:t>El valor contable en 2011 de los bienes adquiridos por la sociedad</w:t>
      </w:r>
      <w:r>
        <w:rPr>
          <w:szCs w:val="26"/>
        </w:rPr>
        <w:t xml:space="preserve"> gestora</w:t>
      </w:r>
      <w:r w:rsidRPr="00B7755E">
        <w:rPr>
          <w:szCs w:val="26"/>
        </w:rPr>
        <w:t xml:space="preserve"> a la UTE relativos al aparcamiento de vehículos pesados y mercancías peligr</w:t>
      </w:r>
      <w:r w:rsidRPr="00B7755E">
        <w:rPr>
          <w:szCs w:val="26"/>
        </w:rPr>
        <w:t>o</w:t>
      </w:r>
      <w:r w:rsidRPr="00B7755E">
        <w:rPr>
          <w:szCs w:val="26"/>
        </w:rPr>
        <w:t>sas y los dos edificios de oficinas se refleja en el siguiente cuadro:</w:t>
      </w:r>
    </w:p>
    <w:tbl>
      <w:tblPr>
        <w:tblStyle w:val="TableNormal"/>
        <w:tblW w:w="8830" w:type="dxa"/>
        <w:jc w:val="center"/>
        <w:tblInd w:w="-846" w:type="dxa"/>
        <w:tblBorders>
          <w:top w:val="single" w:sz="2" w:space="0" w:color="auto"/>
          <w:bottom w:val="single" w:sz="2" w:space="0" w:color="auto"/>
          <w:insideH w:val="single" w:sz="2" w:space="0" w:color="auto"/>
        </w:tblBorders>
        <w:tblLayout w:type="fixed"/>
        <w:tblLook w:val="01E0" w:firstRow="1" w:lastRow="1" w:firstColumn="1" w:lastColumn="1" w:noHBand="0" w:noVBand="0"/>
      </w:tblPr>
      <w:tblGrid>
        <w:gridCol w:w="7028"/>
        <w:gridCol w:w="1802"/>
      </w:tblGrid>
      <w:tr w:rsidR="00BB7120" w:rsidRPr="00DA5BC7" w:rsidTr="00BE57C3">
        <w:trPr>
          <w:trHeight w:val="284"/>
          <w:jc w:val="center"/>
        </w:trPr>
        <w:tc>
          <w:tcPr>
            <w:tcW w:w="7028" w:type="dxa"/>
            <w:tcBorders>
              <w:top w:val="single" w:sz="4" w:space="0" w:color="auto"/>
              <w:bottom w:val="single" w:sz="4" w:space="0" w:color="auto"/>
            </w:tcBorders>
            <w:shd w:val="clear" w:color="auto" w:fill="B8CCE4" w:themeFill="accent1" w:themeFillTint="66"/>
            <w:vAlign w:val="center"/>
          </w:tcPr>
          <w:p w:rsidR="00BB7120" w:rsidRPr="005B3CA8" w:rsidRDefault="00BB7120" w:rsidP="001F10F1">
            <w:pPr>
              <w:spacing w:after="0"/>
              <w:ind w:left="71" w:firstLine="0"/>
              <w:jc w:val="left"/>
              <w:rPr>
                <w:rFonts w:ascii="Arial" w:hAnsi="Arial" w:cs="Arial"/>
                <w:color w:val="000000"/>
                <w:sz w:val="18"/>
                <w:szCs w:val="18"/>
                <w:lang w:eastAsia="es-ES"/>
              </w:rPr>
            </w:pPr>
            <w:r>
              <w:rPr>
                <w:rFonts w:ascii="Arial" w:hAnsi="Arial" w:cs="Arial"/>
                <w:color w:val="000000"/>
                <w:sz w:val="18"/>
                <w:szCs w:val="18"/>
                <w:lang w:eastAsia="es-ES"/>
              </w:rPr>
              <w:t>Inversiones inmobiliarias</w:t>
            </w:r>
            <w:r w:rsidR="001F10F1">
              <w:rPr>
                <w:rFonts w:ascii="Arial" w:hAnsi="Arial" w:cs="Arial"/>
                <w:color w:val="000000"/>
                <w:sz w:val="18"/>
                <w:szCs w:val="18"/>
                <w:lang w:eastAsia="es-ES"/>
              </w:rPr>
              <w:t xml:space="preserve"> adquiridas a la UTE</w:t>
            </w:r>
          </w:p>
        </w:tc>
        <w:tc>
          <w:tcPr>
            <w:tcW w:w="1802" w:type="dxa"/>
            <w:tcBorders>
              <w:top w:val="single" w:sz="4" w:space="0" w:color="auto"/>
              <w:bottom w:val="single" w:sz="4" w:space="0" w:color="auto"/>
            </w:tcBorders>
            <w:shd w:val="clear" w:color="auto" w:fill="B8CCE4" w:themeFill="accent1" w:themeFillTint="66"/>
            <w:vAlign w:val="center"/>
          </w:tcPr>
          <w:p w:rsidR="00BB7120" w:rsidRPr="00DA5BC7" w:rsidRDefault="00BB7120" w:rsidP="00BE57C3">
            <w:pPr>
              <w:spacing w:after="0"/>
              <w:ind w:left="101" w:right="162" w:firstLine="0"/>
              <w:jc w:val="right"/>
              <w:rPr>
                <w:rFonts w:ascii="Arial" w:hAnsi="Arial" w:cs="Arial"/>
                <w:color w:val="000000"/>
                <w:sz w:val="18"/>
                <w:szCs w:val="18"/>
                <w:lang w:eastAsia="es-ES"/>
              </w:rPr>
            </w:pPr>
            <w:r>
              <w:rPr>
                <w:rFonts w:ascii="Arial" w:hAnsi="Arial" w:cs="Arial"/>
                <w:color w:val="000000"/>
                <w:sz w:val="18"/>
                <w:szCs w:val="18"/>
                <w:lang w:eastAsia="es-ES"/>
              </w:rPr>
              <w:t>Total</w:t>
            </w:r>
          </w:p>
        </w:tc>
      </w:tr>
      <w:tr w:rsidR="00BB7120" w:rsidRPr="00612D84" w:rsidTr="00BE57C3">
        <w:trPr>
          <w:trHeight w:val="284"/>
          <w:jc w:val="center"/>
        </w:trPr>
        <w:tc>
          <w:tcPr>
            <w:tcW w:w="7028" w:type="dxa"/>
            <w:tcBorders>
              <w:top w:val="single" w:sz="4" w:space="0" w:color="auto"/>
            </w:tcBorders>
            <w:vAlign w:val="center"/>
          </w:tcPr>
          <w:p w:rsidR="00BB7120" w:rsidRPr="00BB7120" w:rsidRDefault="00BB7120" w:rsidP="00BB7120">
            <w:pPr>
              <w:widowControl/>
              <w:spacing w:after="0"/>
              <w:ind w:left="73" w:firstLine="0"/>
              <w:jc w:val="left"/>
              <w:rPr>
                <w:rFonts w:ascii="Arial Narrow" w:hAnsi="Arial Narrow"/>
                <w:color w:val="000000"/>
                <w:sz w:val="20"/>
                <w:szCs w:val="20"/>
                <w:lang w:eastAsia="es-ES"/>
              </w:rPr>
            </w:pPr>
            <w:r w:rsidRPr="00BB7120">
              <w:rPr>
                <w:rFonts w:ascii="Arial Narrow" w:hAnsi="Arial Narrow"/>
                <w:color w:val="000000"/>
                <w:sz w:val="20"/>
                <w:szCs w:val="20"/>
                <w:lang w:eastAsia="es-ES"/>
              </w:rPr>
              <w:t>Aparcamiento vehículos pesados 1ª fase</w:t>
            </w:r>
          </w:p>
        </w:tc>
        <w:tc>
          <w:tcPr>
            <w:tcW w:w="1802" w:type="dxa"/>
            <w:tcBorders>
              <w:top w:val="single" w:sz="4" w:space="0" w:color="auto"/>
            </w:tcBorders>
            <w:vAlign w:val="center"/>
          </w:tcPr>
          <w:p w:rsidR="00BB7120" w:rsidRPr="00BB7120" w:rsidRDefault="00BB7120" w:rsidP="00BE57C3">
            <w:pPr>
              <w:widowControl/>
              <w:spacing w:after="0"/>
              <w:ind w:left="101" w:right="162" w:firstLine="0"/>
              <w:jc w:val="right"/>
              <w:rPr>
                <w:rFonts w:ascii="Arial Narrow" w:hAnsi="Arial Narrow"/>
                <w:color w:val="000000"/>
                <w:sz w:val="20"/>
                <w:szCs w:val="20"/>
                <w:lang w:eastAsia="es-ES"/>
              </w:rPr>
            </w:pPr>
            <w:r w:rsidRPr="00BB7120">
              <w:rPr>
                <w:rFonts w:ascii="Arial Narrow" w:hAnsi="Arial Narrow"/>
                <w:color w:val="000000"/>
                <w:sz w:val="20"/>
                <w:szCs w:val="20"/>
                <w:lang w:eastAsia="es-ES"/>
              </w:rPr>
              <w:t>1.274.203</w:t>
            </w:r>
          </w:p>
        </w:tc>
      </w:tr>
      <w:tr w:rsidR="00BB7120" w:rsidRPr="00612D84" w:rsidTr="00BE57C3">
        <w:trPr>
          <w:trHeight w:val="284"/>
          <w:jc w:val="center"/>
        </w:trPr>
        <w:tc>
          <w:tcPr>
            <w:tcW w:w="7028" w:type="dxa"/>
            <w:vAlign w:val="center"/>
          </w:tcPr>
          <w:p w:rsidR="00BB7120" w:rsidRPr="00BB7120" w:rsidRDefault="00BB7120" w:rsidP="00BB7120">
            <w:pPr>
              <w:widowControl/>
              <w:spacing w:after="0"/>
              <w:ind w:left="73" w:firstLine="0"/>
              <w:jc w:val="left"/>
              <w:rPr>
                <w:rFonts w:ascii="Arial Narrow" w:hAnsi="Arial Narrow"/>
                <w:color w:val="000000"/>
                <w:sz w:val="20"/>
                <w:szCs w:val="20"/>
                <w:lang w:eastAsia="es-ES"/>
              </w:rPr>
            </w:pPr>
            <w:r w:rsidRPr="00BB7120">
              <w:rPr>
                <w:rFonts w:ascii="Arial Narrow" w:hAnsi="Arial Narrow"/>
                <w:color w:val="000000"/>
                <w:sz w:val="20"/>
                <w:szCs w:val="20"/>
                <w:lang w:eastAsia="es-ES"/>
              </w:rPr>
              <w:t xml:space="preserve">Aparcamiento vehículos pesados 3ª fase </w:t>
            </w:r>
          </w:p>
        </w:tc>
        <w:tc>
          <w:tcPr>
            <w:tcW w:w="1802" w:type="dxa"/>
            <w:vAlign w:val="center"/>
          </w:tcPr>
          <w:p w:rsidR="00BB7120" w:rsidRPr="00BB7120" w:rsidRDefault="00BB7120" w:rsidP="00BE57C3">
            <w:pPr>
              <w:widowControl/>
              <w:spacing w:after="0"/>
              <w:ind w:left="101" w:right="162" w:firstLine="0"/>
              <w:jc w:val="right"/>
              <w:rPr>
                <w:rFonts w:ascii="Arial Narrow" w:hAnsi="Arial Narrow"/>
                <w:color w:val="000000"/>
                <w:sz w:val="20"/>
                <w:szCs w:val="20"/>
                <w:lang w:eastAsia="es-ES"/>
              </w:rPr>
            </w:pPr>
            <w:r w:rsidRPr="00BB7120">
              <w:rPr>
                <w:rFonts w:ascii="Arial Narrow" w:hAnsi="Arial Narrow"/>
                <w:color w:val="000000"/>
                <w:sz w:val="20"/>
                <w:szCs w:val="20"/>
                <w:lang w:eastAsia="es-ES"/>
              </w:rPr>
              <w:t>4.017.596</w:t>
            </w:r>
          </w:p>
        </w:tc>
      </w:tr>
      <w:tr w:rsidR="00BB7120" w:rsidRPr="00612D84" w:rsidTr="00BE57C3">
        <w:trPr>
          <w:trHeight w:val="284"/>
          <w:jc w:val="center"/>
        </w:trPr>
        <w:tc>
          <w:tcPr>
            <w:tcW w:w="7028" w:type="dxa"/>
            <w:vAlign w:val="center"/>
          </w:tcPr>
          <w:p w:rsidR="00BB7120" w:rsidRPr="00BB7120" w:rsidRDefault="00BB7120" w:rsidP="00BB7120">
            <w:pPr>
              <w:widowControl/>
              <w:spacing w:after="0"/>
              <w:ind w:left="73" w:firstLine="0"/>
              <w:jc w:val="left"/>
              <w:rPr>
                <w:rFonts w:ascii="Arial Narrow" w:hAnsi="Arial Narrow"/>
                <w:color w:val="000000"/>
                <w:sz w:val="20"/>
                <w:szCs w:val="20"/>
                <w:lang w:eastAsia="es-ES"/>
              </w:rPr>
            </w:pPr>
            <w:r>
              <w:rPr>
                <w:rFonts w:ascii="Arial Narrow" w:hAnsi="Arial Narrow"/>
                <w:color w:val="000000"/>
                <w:sz w:val="20"/>
                <w:szCs w:val="20"/>
                <w:lang w:eastAsia="es-ES"/>
              </w:rPr>
              <w:t>Oficinas-</w:t>
            </w:r>
            <w:r w:rsidRPr="00BB7120">
              <w:rPr>
                <w:rFonts w:ascii="Arial Narrow" w:hAnsi="Arial Narrow"/>
                <w:color w:val="000000"/>
                <w:sz w:val="20"/>
                <w:szCs w:val="20"/>
                <w:lang w:eastAsia="es-ES"/>
              </w:rPr>
              <w:t>Edificio Oriz</w:t>
            </w:r>
          </w:p>
        </w:tc>
        <w:tc>
          <w:tcPr>
            <w:tcW w:w="1802" w:type="dxa"/>
            <w:vAlign w:val="center"/>
          </w:tcPr>
          <w:p w:rsidR="00BB7120" w:rsidRPr="00BB7120" w:rsidRDefault="00BB7120" w:rsidP="00BE57C3">
            <w:pPr>
              <w:widowControl/>
              <w:spacing w:after="0"/>
              <w:ind w:left="101" w:right="162" w:firstLine="0"/>
              <w:jc w:val="right"/>
              <w:rPr>
                <w:rFonts w:ascii="Arial Narrow" w:hAnsi="Arial Narrow"/>
                <w:color w:val="000000"/>
                <w:sz w:val="20"/>
                <w:szCs w:val="20"/>
                <w:lang w:eastAsia="es-ES"/>
              </w:rPr>
            </w:pPr>
            <w:r w:rsidRPr="00BB7120">
              <w:rPr>
                <w:rFonts w:ascii="Arial Narrow" w:hAnsi="Arial Narrow"/>
                <w:color w:val="000000"/>
                <w:sz w:val="20"/>
                <w:szCs w:val="20"/>
                <w:lang w:eastAsia="es-ES"/>
              </w:rPr>
              <w:t>1.138.198</w:t>
            </w:r>
          </w:p>
        </w:tc>
      </w:tr>
      <w:tr w:rsidR="00BB7120" w:rsidRPr="00612D84" w:rsidTr="00BE57C3">
        <w:trPr>
          <w:trHeight w:val="284"/>
          <w:jc w:val="center"/>
        </w:trPr>
        <w:tc>
          <w:tcPr>
            <w:tcW w:w="7028" w:type="dxa"/>
            <w:tcBorders>
              <w:bottom w:val="single" w:sz="2" w:space="0" w:color="auto"/>
            </w:tcBorders>
            <w:vAlign w:val="center"/>
          </w:tcPr>
          <w:p w:rsidR="00BB7120" w:rsidRPr="00BB7120" w:rsidRDefault="00BB7120" w:rsidP="00BB7120">
            <w:pPr>
              <w:widowControl/>
              <w:spacing w:after="0"/>
              <w:ind w:left="73" w:firstLine="0"/>
              <w:jc w:val="left"/>
              <w:rPr>
                <w:rFonts w:ascii="Arial Narrow" w:hAnsi="Arial Narrow"/>
                <w:color w:val="000000"/>
                <w:sz w:val="20"/>
                <w:szCs w:val="20"/>
                <w:lang w:eastAsia="es-ES"/>
              </w:rPr>
            </w:pPr>
            <w:r>
              <w:rPr>
                <w:rFonts w:ascii="Arial Narrow" w:hAnsi="Arial Narrow"/>
                <w:color w:val="000000"/>
                <w:sz w:val="20"/>
                <w:szCs w:val="20"/>
                <w:lang w:eastAsia="es-ES"/>
              </w:rPr>
              <w:t>Oficinas-</w:t>
            </w:r>
            <w:r w:rsidRPr="00BB7120">
              <w:rPr>
                <w:rFonts w:ascii="Arial Narrow" w:hAnsi="Arial Narrow"/>
                <w:color w:val="000000"/>
                <w:sz w:val="20"/>
                <w:szCs w:val="20"/>
                <w:lang w:eastAsia="es-ES"/>
              </w:rPr>
              <w:t>Edificio Alaiz (parte)</w:t>
            </w:r>
          </w:p>
        </w:tc>
        <w:tc>
          <w:tcPr>
            <w:tcW w:w="1802" w:type="dxa"/>
            <w:tcBorders>
              <w:bottom w:val="single" w:sz="2" w:space="0" w:color="auto"/>
            </w:tcBorders>
            <w:vAlign w:val="center"/>
          </w:tcPr>
          <w:p w:rsidR="00BB7120" w:rsidRPr="00BB7120" w:rsidRDefault="00BB7120" w:rsidP="00BE57C3">
            <w:pPr>
              <w:widowControl/>
              <w:spacing w:after="0"/>
              <w:ind w:left="101" w:right="162" w:firstLine="0"/>
              <w:jc w:val="right"/>
              <w:rPr>
                <w:rFonts w:ascii="Arial Narrow" w:hAnsi="Arial Narrow"/>
                <w:color w:val="000000"/>
                <w:sz w:val="20"/>
                <w:szCs w:val="20"/>
                <w:lang w:eastAsia="es-ES"/>
              </w:rPr>
            </w:pPr>
            <w:r w:rsidRPr="00BB7120">
              <w:rPr>
                <w:rFonts w:ascii="Arial Narrow" w:hAnsi="Arial Narrow"/>
                <w:color w:val="000000"/>
                <w:sz w:val="20"/>
                <w:szCs w:val="20"/>
                <w:lang w:eastAsia="es-ES"/>
              </w:rPr>
              <w:t>584.626</w:t>
            </w:r>
          </w:p>
        </w:tc>
      </w:tr>
      <w:tr w:rsidR="00BB7120" w:rsidRPr="00612D84" w:rsidTr="00BE57C3">
        <w:trPr>
          <w:trHeight w:val="284"/>
          <w:jc w:val="center"/>
        </w:trPr>
        <w:tc>
          <w:tcPr>
            <w:tcW w:w="7028" w:type="dxa"/>
            <w:tcBorders>
              <w:bottom w:val="single" w:sz="2" w:space="0" w:color="auto"/>
            </w:tcBorders>
            <w:shd w:val="clear" w:color="auto" w:fill="B8CCE4" w:themeFill="accent1" w:themeFillTint="66"/>
            <w:vAlign w:val="center"/>
          </w:tcPr>
          <w:p w:rsidR="00BB7120" w:rsidRPr="004D3465" w:rsidRDefault="00BB7120" w:rsidP="004D22FC">
            <w:pPr>
              <w:spacing w:after="0"/>
              <w:ind w:left="71" w:firstLine="0"/>
              <w:jc w:val="left"/>
              <w:rPr>
                <w:rFonts w:ascii="Arial" w:hAnsi="Arial" w:cs="Arial"/>
                <w:color w:val="000000"/>
                <w:sz w:val="18"/>
                <w:szCs w:val="18"/>
                <w:lang w:eastAsia="es-ES"/>
              </w:rPr>
            </w:pPr>
            <w:r w:rsidRPr="004D3465">
              <w:rPr>
                <w:rFonts w:ascii="Arial" w:hAnsi="Arial" w:cs="Arial"/>
                <w:color w:val="000000"/>
                <w:sz w:val="18"/>
                <w:szCs w:val="18"/>
                <w:lang w:eastAsia="es-ES"/>
              </w:rPr>
              <w:t>Total</w:t>
            </w:r>
          </w:p>
        </w:tc>
        <w:tc>
          <w:tcPr>
            <w:tcW w:w="1802" w:type="dxa"/>
            <w:tcBorders>
              <w:bottom w:val="single" w:sz="2" w:space="0" w:color="auto"/>
            </w:tcBorders>
            <w:shd w:val="clear" w:color="auto" w:fill="B8CCE4" w:themeFill="accent1" w:themeFillTint="66"/>
            <w:vAlign w:val="center"/>
          </w:tcPr>
          <w:p w:rsidR="00BB7120" w:rsidRPr="00BB7120" w:rsidRDefault="00BB7120" w:rsidP="00BE57C3">
            <w:pPr>
              <w:widowControl/>
              <w:spacing w:after="0"/>
              <w:ind w:left="101" w:right="162" w:firstLine="0"/>
              <w:jc w:val="right"/>
              <w:rPr>
                <w:rFonts w:ascii="Arial Narrow" w:hAnsi="Arial Narrow"/>
                <w:color w:val="000000"/>
                <w:sz w:val="20"/>
                <w:szCs w:val="20"/>
                <w:lang w:eastAsia="es-ES"/>
              </w:rPr>
            </w:pPr>
            <w:r w:rsidRPr="00BB7120">
              <w:rPr>
                <w:rFonts w:ascii="Arial Narrow" w:hAnsi="Arial Narrow"/>
                <w:color w:val="000000"/>
                <w:sz w:val="20"/>
                <w:szCs w:val="20"/>
                <w:lang w:eastAsia="es-ES"/>
              </w:rPr>
              <w:t>7.014.623</w:t>
            </w:r>
          </w:p>
        </w:tc>
      </w:tr>
    </w:tbl>
    <w:p w:rsidR="00BB7120" w:rsidRDefault="00BB7120" w:rsidP="00D62876">
      <w:pPr>
        <w:pStyle w:val="texto"/>
        <w:tabs>
          <w:tab w:val="clear" w:pos="2835"/>
          <w:tab w:val="clear" w:pos="3969"/>
          <w:tab w:val="clear" w:pos="5103"/>
          <w:tab w:val="clear" w:pos="6237"/>
          <w:tab w:val="clear" w:pos="7371"/>
        </w:tabs>
        <w:spacing w:after="0"/>
        <w:ind w:left="289" w:firstLine="0"/>
        <w:rPr>
          <w:szCs w:val="26"/>
        </w:rPr>
      </w:pPr>
    </w:p>
    <w:p w:rsidR="000E5A01" w:rsidRPr="00727008" w:rsidRDefault="000E5A01" w:rsidP="00D62876">
      <w:pPr>
        <w:pStyle w:val="texto"/>
        <w:tabs>
          <w:tab w:val="clear" w:pos="2835"/>
          <w:tab w:val="clear" w:pos="3969"/>
          <w:tab w:val="clear" w:pos="5103"/>
          <w:tab w:val="clear" w:pos="6237"/>
          <w:tab w:val="clear" w:pos="7371"/>
        </w:tabs>
        <w:spacing w:after="0"/>
        <w:ind w:left="289" w:firstLine="0"/>
        <w:rPr>
          <w:szCs w:val="26"/>
        </w:rPr>
      </w:pPr>
    </w:p>
    <w:p w:rsidR="00462071" w:rsidRDefault="00A62F1C" w:rsidP="00462071">
      <w:pPr>
        <w:pStyle w:val="texto"/>
        <w:tabs>
          <w:tab w:val="clear" w:pos="2835"/>
          <w:tab w:val="clear" w:pos="3969"/>
          <w:tab w:val="clear" w:pos="5103"/>
          <w:tab w:val="clear" w:pos="6237"/>
          <w:tab w:val="clear" w:pos="7371"/>
        </w:tabs>
        <w:rPr>
          <w:szCs w:val="26"/>
        </w:rPr>
      </w:pPr>
      <w:r w:rsidRPr="00BE57C3">
        <w:rPr>
          <w:b/>
          <w:szCs w:val="26"/>
        </w:rPr>
        <w:t>3</w:t>
      </w:r>
      <w:r w:rsidR="0023051E" w:rsidRPr="00BE57C3">
        <w:rPr>
          <w:b/>
          <w:szCs w:val="26"/>
        </w:rPr>
        <w:t>5</w:t>
      </w:r>
      <w:proofErr w:type="gramStart"/>
      <w:r w:rsidR="00BE57C3" w:rsidRPr="00BE57C3">
        <w:rPr>
          <w:b/>
          <w:szCs w:val="26"/>
        </w:rPr>
        <w:t>.</w:t>
      </w:r>
      <w:r w:rsidR="00462071" w:rsidRPr="00BE57C3">
        <w:rPr>
          <w:b/>
          <w:szCs w:val="26"/>
        </w:rPr>
        <w:t>ª</w:t>
      </w:r>
      <w:proofErr w:type="gramEnd"/>
      <w:r w:rsidR="00462071" w:rsidRPr="005F5633">
        <w:rPr>
          <w:szCs w:val="26"/>
        </w:rPr>
        <w:t xml:space="preserve"> Desde 1995, la sociedad gestora adquier</w:t>
      </w:r>
      <w:r w:rsidR="00462071">
        <w:rPr>
          <w:szCs w:val="26"/>
        </w:rPr>
        <w:t>e</w:t>
      </w:r>
      <w:r w:rsidR="00462071" w:rsidRPr="005F5633">
        <w:rPr>
          <w:szCs w:val="26"/>
        </w:rPr>
        <w:t xml:space="preserve"> la condición de empresa p</w:t>
      </w:r>
      <w:r w:rsidR="00462071" w:rsidRPr="005F5633">
        <w:rPr>
          <w:szCs w:val="26"/>
        </w:rPr>
        <w:t>ú</w:t>
      </w:r>
      <w:r w:rsidR="00462071" w:rsidRPr="005F5633">
        <w:rPr>
          <w:szCs w:val="26"/>
        </w:rPr>
        <w:t xml:space="preserve">blica, incorporándose sus cuentas anuales </w:t>
      </w:r>
      <w:r w:rsidR="00462071">
        <w:rPr>
          <w:szCs w:val="26"/>
        </w:rPr>
        <w:t>a</w:t>
      </w:r>
      <w:r w:rsidR="00462071" w:rsidRPr="005F5633">
        <w:rPr>
          <w:szCs w:val="26"/>
        </w:rPr>
        <w:t xml:space="preserve"> las Cuentas Generales de Navarra. Con carácter general, los informes d</w:t>
      </w:r>
      <w:r w:rsidR="00462071">
        <w:rPr>
          <w:szCs w:val="26"/>
        </w:rPr>
        <w:t>e</w:t>
      </w:r>
      <w:r w:rsidR="00462071" w:rsidRPr="005F5633">
        <w:rPr>
          <w:szCs w:val="26"/>
        </w:rPr>
        <w:t xml:space="preserve"> auditoría que acompa</w:t>
      </w:r>
      <w:r w:rsidR="00462071">
        <w:rPr>
          <w:szCs w:val="26"/>
        </w:rPr>
        <w:t>ñan</w:t>
      </w:r>
      <w:r w:rsidR="00462071" w:rsidRPr="005F5633">
        <w:rPr>
          <w:szCs w:val="26"/>
        </w:rPr>
        <w:t xml:space="preserve"> a esas cuentas anuales desde 1996 son favorables o pr</w:t>
      </w:r>
      <w:r w:rsidR="00462071">
        <w:rPr>
          <w:szCs w:val="26"/>
        </w:rPr>
        <w:t>e</w:t>
      </w:r>
      <w:r w:rsidR="00462071" w:rsidRPr="005F5633">
        <w:rPr>
          <w:szCs w:val="26"/>
        </w:rPr>
        <w:t>sentan</w:t>
      </w:r>
      <w:r w:rsidR="00462071">
        <w:rPr>
          <w:szCs w:val="26"/>
        </w:rPr>
        <w:t xml:space="preserve"> salvedades por</w:t>
      </w:r>
      <w:r w:rsidR="00462071" w:rsidRPr="005F5633">
        <w:rPr>
          <w:szCs w:val="26"/>
        </w:rPr>
        <w:t xml:space="preserve"> incertidumbres deri</w:t>
      </w:r>
      <w:r w:rsidR="00462071">
        <w:rPr>
          <w:szCs w:val="26"/>
        </w:rPr>
        <w:t>v</w:t>
      </w:r>
      <w:r w:rsidR="00462071" w:rsidRPr="005F5633">
        <w:rPr>
          <w:szCs w:val="26"/>
        </w:rPr>
        <w:t>adas</w:t>
      </w:r>
      <w:r w:rsidR="00F37143">
        <w:rPr>
          <w:szCs w:val="26"/>
        </w:rPr>
        <w:t xml:space="preserve"> fundamentalmente</w:t>
      </w:r>
      <w:r w:rsidR="00462071" w:rsidRPr="005F5633">
        <w:rPr>
          <w:szCs w:val="26"/>
        </w:rPr>
        <w:t xml:space="preserve"> del p</w:t>
      </w:r>
      <w:r w:rsidR="00462071">
        <w:rPr>
          <w:szCs w:val="26"/>
        </w:rPr>
        <w:t>roceso</w:t>
      </w:r>
      <w:r w:rsidR="00462071" w:rsidRPr="005F5633">
        <w:rPr>
          <w:szCs w:val="26"/>
        </w:rPr>
        <w:t xml:space="preserve"> expropiatorio.</w:t>
      </w:r>
    </w:p>
    <w:p w:rsidR="00462071" w:rsidRPr="00B7755E" w:rsidRDefault="00462071" w:rsidP="00462071">
      <w:pPr>
        <w:pStyle w:val="texto"/>
        <w:tabs>
          <w:tab w:val="clear" w:pos="2835"/>
          <w:tab w:val="clear" w:pos="3969"/>
          <w:tab w:val="clear" w:pos="5103"/>
          <w:tab w:val="clear" w:pos="6237"/>
          <w:tab w:val="clear" w:pos="7371"/>
        </w:tabs>
        <w:rPr>
          <w:szCs w:val="26"/>
        </w:rPr>
      </w:pPr>
      <w:r>
        <w:rPr>
          <w:szCs w:val="26"/>
        </w:rPr>
        <w:t>Las memorias de las cuentas anuales de los ejercicios de 2014 a 2016 de la sociedad Nasuvinsa</w:t>
      </w:r>
      <w:r w:rsidRPr="005F5633">
        <w:rPr>
          <w:szCs w:val="26"/>
        </w:rPr>
        <w:t xml:space="preserve"> </w:t>
      </w:r>
      <w:r w:rsidRPr="00B7755E">
        <w:rPr>
          <w:szCs w:val="26"/>
        </w:rPr>
        <w:t>incluyen, dentro de</w:t>
      </w:r>
      <w:r>
        <w:rPr>
          <w:szCs w:val="26"/>
        </w:rPr>
        <w:t>l a</w:t>
      </w:r>
      <w:r w:rsidRPr="00B7755E">
        <w:rPr>
          <w:szCs w:val="26"/>
        </w:rPr>
        <w:t>partado de contingencias, una de</w:t>
      </w:r>
      <w:r w:rsidRPr="00B7755E">
        <w:rPr>
          <w:szCs w:val="26"/>
        </w:rPr>
        <w:t>s</w:t>
      </w:r>
      <w:r w:rsidRPr="00B7755E">
        <w:rPr>
          <w:szCs w:val="26"/>
        </w:rPr>
        <w:t>cripción de los principales acontecimientos judiciales acecidos en el proceso expropiatorio de los terrenos de la Ciudad del Transporte, concluyendo con el siguiente comentario:</w:t>
      </w:r>
    </w:p>
    <w:p w:rsidR="00484F27" w:rsidRPr="00561358" w:rsidRDefault="00462071" w:rsidP="001418D9">
      <w:pPr>
        <w:pStyle w:val="texto"/>
        <w:tabs>
          <w:tab w:val="clear" w:pos="2835"/>
          <w:tab w:val="clear" w:pos="3969"/>
          <w:tab w:val="clear" w:pos="5103"/>
          <w:tab w:val="clear" w:pos="6237"/>
          <w:tab w:val="clear" w:pos="7371"/>
        </w:tabs>
        <w:spacing w:after="240"/>
        <w:rPr>
          <w:szCs w:val="26"/>
        </w:rPr>
      </w:pPr>
      <w:r w:rsidRPr="00B7755E">
        <w:rPr>
          <w:szCs w:val="26"/>
        </w:rPr>
        <w:t>“</w:t>
      </w:r>
      <w:r w:rsidRPr="001953EA">
        <w:rPr>
          <w:sz w:val="22"/>
          <w:szCs w:val="22"/>
        </w:rPr>
        <w:t>En razón del compromiso adquirido por el Gobierno de Navarra y la sociedad Terminal de Transportes en el Convenio de Cooperación de 1993 en la adquisición del suelo, el G</w:t>
      </w:r>
      <w:r w:rsidRPr="001953EA">
        <w:rPr>
          <w:sz w:val="22"/>
          <w:szCs w:val="22"/>
        </w:rPr>
        <w:t>o</w:t>
      </w:r>
      <w:r w:rsidRPr="001953EA">
        <w:rPr>
          <w:sz w:val="22"/>
          <w:szCs w:val="22"/>
        </w:rPr>
        <w:t>bierno de Navarra acuerda el 18 de marzo de 2015</w:t>
      </w:r>
      <w:r w:rsidRPr="001953EA">
        <w:rPr>
          <w:rFonts w:ascii="Times New (W1)" w:hAnsi="Times New (W1)"/>
          <w:sz w:val="22"/>
          <w:szCs w:val="22"/>
          <w:lang w:val="es-ES"/>
        </w:rPr>
        <w:t xml:space="preserve"> “</w:t>
      </w:r>
      <w:r w:rsidRPr="001953EA">
        <w:rPr>
          <w:rFonts w:ascii="Times New (W1)" w:hAnsi="Times New (W1)"/>
          <w:i/>
          <w:sz w:val="22"/>
          <w:szCs w:val="22"/>
          <w:lang w:val="es-ES"/>
        </w:rPr>
        <w:t>Manifestar la voluntad del Gobierno de Navarra de mantener los compromisos adquiridos en el Convenio de Colaboración de 29 de octubre de 1993 y seguir apoyando a la sociedad pública NASUVINSA en el desarrollo de la Ciudad del Transporte, especialmente en lo referente a los importes necesarios para la a</w:t>
      </w:r>
      <w:r w:rsidRPr="001953EA">
        <w:rPr>
          <w:rFonts w:ascii="Times New (W1)" w:hAnsi="Times New (W1)"/>
          <w:i/>
          <w:sz w:val="22"/>
          <w:szCs w:val="22"/>
          <w:lang w:val="es-ES"/>
        </w:rPr>
        <w:t>d</w:t>
      </w:r>
      <w:r w:rsidRPr="001953EA">
        <w:rPr>
          <w:rFonts w:ascii="Times New (W1)" w:hAnsi="Times New (W1)"/>
          <w:i/>
          <w:sz w:val="22"/>
          <w:szCs w:val="22"/>
          <w:lang w:val="es-ES"/>
        </w:rPr>
        <w:t>quisición de terrenos</w:t>
      </w:r>
      <w:r w:rsidRPr="001953EA">
        <w:rPr>
          <w:rFonts w:ascii="Times New (W1)" w:hAnsi="Times New (W1)"/>
          <w:sz w:val="22"/>
          <w:szCs w:val="22"/>
          <w:lang w:val="es-ES"/>
        </w:rPr>
        <w:t xml:space="preserve">”. </w:t>
      </w:r>
      <w:r w:rsidRPr="001953EA">
        <w:rPr>
          <w:sz w:val="22"/>
          <w:szCs w:val="22"/>
        </w:rPr>
        <w:t>A la vista de ello, como quiera que la sociedad no va a sufrir ningún quebranto patrimonial como resultado de estos litigios, ya que es el Gobierno de Navarra quien se hará cargo del incremento de precio de los terrenos expropiados, no se ha contabil</w:t>
      </w:r>
      <w:r w:rsidRPr="001953EA">
        <w:rPr>
          <w:sz w:val="22"/>
          <w:szCs w:val="22"/>
        </w:rPr>
        <w:t>i</w:t>
      </w:r>
      <w:r w:rsidRPr="001953EA">
        <w:rPr>
          <w:sz w:val="22"/>
          <w:szCs w:val="22"/>
        </w:rPr>
        <w:t>zado importe alguno en el balance de situación.</w:t>
      </w:r>
      <w:r w:rsidRPr="00B7755E">
        <w:rPr>
          <w:szCs w:val="26"/>
        </w:rPr>
        <w:t xml:space="preserve">” </w:t>
      </w:r>
    </w:p>
    <w:p w:rsidR="006E4420" w:rsidRPr="00174B05" w:rsidRDefault="006E4420" w:rsidP="006E4420">
      <w:pPr>
        <w:pStyle w:val="atitulo2"/>
      </w:pPr>
      <w:bookmarkStart w:id="43" w:name="_Toc515531875"/>
      <w:r w:rsidRPr="00174B05">
        <w:t>IV.6. Contratos de urbanización, explotación y comercialización de la C</w:t>
      </w:r>
      <w:r w:rsidR="00264A1B">
        <w:t>iudad del Transporte</w:t>
      </w:r>
      <w:bookmarkEnd w:id="43"/>
    </w:p>
    <w:p w:rsidR="006E4420" w:rsidRDefault="00B56BB6" w:rsidP="006E4420">
      <w:pPr>
        <w:pStyle w:val="texto"/>
        <w:tabs>
          <w:tab w:val="clear" w:pos="2835"/>
          <w:tab w:val="clear" w:pos="3969"/>
          <w:tab w:val="clear" w:pos="5103"/>
          <w:tab w:val="clear" w:pos="6237"/>
          <w:tab w:val="clear" w:pos="7371"/>
        </w:tabs>
        <w:rPr>
          <w:szCs w:val="26"/>
        </w:rPr>
      </w:pPr>
      <w:r w:rsidRPr="00BE57C3">
        <w:rPr>
          <w:b/>
          <w:szCs w:val="26"/>
        </w:rPr>
        <w:t>3</w:t>
      </w:r>
      <w:r w:rsidR="0023051E" w:rsidRPr="00BE57C3">
        <w:rPr>
          <w:b/>
          <w:szCs w:val="26"/>
        </w:rPr>
        <w:t>6</w:t>
      </w:r>
      <w:r w:rsidR="00BE57C3" w:rsidRPr="00BE57C3">
        <w:rPr>
          <w:b/>
          <w:szCs w:val="26"/>
        </w:rPr>
        <w:t>.</w:t>
      </w:r>
      <w:r w:rsidR="006E4420" w:rsidRPr="00BE57C3">
        <w:rPr>
          <w:b/>
          <w:szCs w:val="26"/>
        </w:rPr>
        <w:t>ª</w:t>
      </w:r>
      <w:r w:rsidR="006E4420">
        <w:rPr>
          <w:szCs w:val="26"/>
        </w:rPr>
        <w:t xml:space="preserve"> El modelo de gestión implantado en la CT se apoya en la contratación externa por parte de la sociedad gestora de las obras de urbanización y con</w:t>
      </w:r>
      <w:r w:rsidR="006E4420">
        <w:rPr>
          <w:szCs w:val="26"/>
        </w:rPr>
        <w:t>s</w:t>
      </w:r>
      <w:r w:rsidR="006E4420">
        <w:rPr>
          <w:szCs w:val="26"/>
        </w:rPr>
        <w:t>trucción de edificios y naves así como de las operaciones de explotación y c</w:t>
      </w:r>
      <w:r w:rsidR="006E4420">
        <w:rPr>
          <w:szCs w:val="26"/>
        </w:rPr>
        <w:t>o</w:t>
      </w:r>
      <w:r w:rsidR="006E4420">
        <w:rPr>
          <w:szCs w:val="26"/>
        </w:rPr>
        <w:t xml:space="preserve">mercialización precisas para lograr el éxito del proyecto. </w:t>
      </w:r>
    </w:p>
    <w:p w:rsidR="006E4420" w:rsidRDefault="006E4420" w:rsidP="006E4420">
      <w:pPr>
        <w:pStyle w:val="texto"/>
        <w:tabs>
          <w:tab w:val="clear" w:pos="2835"/>
          <w:tab w:val="clear" w:pos="3969"/>
          <w:tab w:val="clear" w:pos="5103"/>
          <w:tab w:val="clear" w:pos="6237"/>
          <w:tab w:val="clear" w:pos="7371"/>
        </w:tabs>
        <w:rPr>
          <w:szCs w:val="26"/>
        </w:rPr>
      </w:pPr>
      <w:r>
        <w:rPr>
          <w:szCs w:val="26"/>
        </w:rPr>
        <w:t>Se han realizado dos procesos de adjudicación, uno relativo a la 1ª y 2ª fase y, otro, para la 3ª fase de la CT.</w:t>
      </w:r>
    </w:p>
    <w:p w:rsidR="006E4420" w:rsidRDefault="006E4420" w:rsidP="006E4420">
      <w:pPr>
        <w:pStyle w:val="texto"/>
        <w:tabs>
          <w:tab w:val="clear" w:pos="2835"/>
          <w:tab w:val="clear" w:pos="3969"/>
          <w:tab w:val="clear" w:pos="5103"/>
          <w:tab w:val="clear" w:pos="6237"/>
          <w:tab w:val="clear" w:pos="7371"/>
        </w:tabs>
        <w:rPr>
          <w:szCs w:val="26"/>
        </w:rPr>
      </w:pPr>
      <w:r w:rsidRPr="00BE57C3">
        <w:rPr>
          <w:b/>
          <w:szCs w:val="26"/>
        </w:rPr>
        <w:t>3</w:t>
      </w:r>
      <w:r w:rsidR="0023051E" w:rsidRPr="00BE57C3">
        <w:rPr>
          <w:b/>
          <w:szCs w:val="26"/>
        </w:rPr>
        <w:t>7</w:t>
      </w:r>
      <w:r w:rsidR="00BE57C3" w:rsidRPr="00BE57C3">
        <w:rPr>
          <w:b/>
          <w:szCs w:val="26"/>
        </w:rPr>
        <w:t>.</w:t>
      </w:r>
      <w:r w:rsidRPr="00BE57C3">
        <w:rPr>
          <w:b/>
          <w:szCs w:val="26"/>
        </w:rPr>
        <w:t>ª</w:t>
      </w:r>
      <w:r>
        <w:rPr>
          <w:szCs w:val="26"/>
        </w:rPr>
        <w:t xml:space="preserve"> Como aspectos comunes en ambos contratos, señalamos:</w:t>
      </w:r>
    </w:p>
    <w:p w:rsidR="006E4420"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 xml:space="preserve">Las bases reguladoras de los procesos de contratación </w:t>
      </w:r>
      <w:r w:rsidR="003D0A3F">
        <w:rPr>
          <w:szCs w:val="26"/>
        </w:rPr>
        <w:t xml:space="preserve">los </w:t>
      </w:r>
      <w:r>
        <w:rPr>
          <w:szCs w:val="26"/>
        </w:rPr>
        <w:t>aprueban la s</w:t>
      </w:r>
      <w:r>
        <w:rPr>
          <w:szCs w:val="26"/>
        </w:rPr>
        <w:t>o</w:t>
      </w:r>
      <w:r>
        <w:rPr>
          <w:szCs w:val="26"/>
        </w:rPr>
        <w:t>ciedad gestora.</w:t>
      </w:r>
    </w:p>
    <w:p w:rsidR="006E4420"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Las ofertas presentadas deben ajustarse a las especificaciones de los re</w:t>
      </w:r>
      <w:r>
        <w:rPr>
          <w:szCs w:val="26"/>
        </w:rPr>
        <w:t>s</w:t>
      </w:r>
      <w:r>
        <w:rPr>
          <w:szCs w:val="26"/>
        </w:rPr>
        <w:t>pectivos PSIS</w:t>
      </w:r>
      <w:r w:rsidR="00A87B28">
        <w:rPr>
          <w:szCs w:val="26"/>
        </w:rPr>
        <w:t>, si bien se admiten implícitamente mejoras o variantes sobre las mismas.</w:t>
      </w:r>
    </w:p>
    <w:p w:rsidR="00D60CE6" w:rsidRDefault="00D60CE6" w:rsidP="00D60CE6">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En ninguno de los dos procesos selectivos las bases reguladoras estiman</w:t>
      </w:r>
      <w:r w:rsidR="007368F7">
        <w:rPr>
          <w:szCs w:val="26"/>
        </w:rPr>
        <w:t xml:space="preserve"> </w:t>
      </w:r>
      <w:r>
        <w:rPr>
          <w:szCs w:val="26"/>
        </w:rPr>
        <w:t>el volumen de negocio que se espera obtener</w:t>
      </w:r>
      <w:r w:rsidR="00F43397">
        <w:rPr>
          <w:szCs w:val="26"/>
        </w:rPr>
        <w:t xml:space="preserve"> con la explotación de la CT</w:t>
      </w:r>
      <w:r>
        <w:rPr>
          <w:szCs w:val="26"/>
        </w:rPr>
        <w:t>.</w:t>
      </w:r>
    </w:p>
    <w:p w:rsidR="006E4420"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Se han adjudicado a la misma UTE, único ofertante presentado en ambos procedimientos, a pesar de que se publicitaron los mismos.</w:t>
      </w:r>
    </w:p>
    <w:p w:rsidR="000E5A01" w:rsidRDefault="000E5A01" w:rsidP="000E5A01">
      <w:pPr>
        <w:pStyle w:val="texto"/>
        <w:tabs>
          <w:tab w:val="clear" w:pos="2835"/>
          <w:tab w:val="clear" w:pos="3969"/>
          <w:tab w:val="clear" w:pos="5103"/>
          <w:tab w:val="clear" w:pos="6237"/>
          <w:tab w:val="clear" w:pos="7371"/>
        </w:tabs>
        <w:rPr>
          <w:szCs w:val="26"/>
        </w:rPr>
      </w:pPr>
    </w:p>
    <w:p w:rsidR="006E4420"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Se entienden como operaciones “llave en mano”, asumiendo el adjudicat</w:t>
      </w:r>
      <w:r>
        <w:rPr>
          <w:szCs w:val="26"/>
        </w:rPr>
        <w:t>a</w:t>
      </w:r>
      <w:r>
        <w:rPr>
          <w:szCs w:val="26"/>
        </w:rPr>
        <w:t>rio a su cargo el riesgo y ventura de los trabajos de desarrollo y realización de la CT.</w:t>
      </w:r>
    </w:p>
    <w:p w:rsidR="006E4420"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Para materializar las distintas obras a ejecutar por la UTE, la sociedad ge</w:t>
      </w:r>
      <w:r>
        <w:rPr>
          <w:szCs w:val="26"/>
        </w:rPr>
        <w:t>s</w:t>
      </w:r>
      <w:r>
        <w:rPr>
          <w:szCs w:val="26"/>
        </w:rPr>
        <w:t>tora –</w:t>
      </w:r>
      <w:r w:rsidR="00B01BA8">
        <w:rPr>
          <w:szCs w:val="26"/>
        </w:rPr>
        <w:t>beneficiaria de la</w:t>
      </w:r>
      <w:r>
        <w:rPr>
          <w:szCs w:val="26"/>
        </w:rPr>
        <w:t xml:space="preserve"> expropiación de los terrenos</w:t>
      </w:r>
      <w:r w:rsidR="001418D9">
        <w:rPr>
          <w:szCs w:val="26"/>
        </w:rPr>
        <w:t>–</w:t>
      </w:r>
      <w:r>
        <w:rPr>
          <w:szCs w:val="26"/>
        </w:rPr>
        <w:t xml:space="preserve"> los pone a disposición del adjudicatario mediante la constitución de un derecho de superficie con una v</w:t>
      </w:r>
      <w:r>
        <w:rPr>
          <w:szCs w:val="26"/>
        </w:rPr>
        <w:t>i</w:t>
      </w:r>
      <w:r>
        <w:rPr>
          <w:szCs w:val="26"/>
        </w:rPr>
        <w:t>gencia temporal limitada.</w:t>
      </w:r>
    </w:p>
    <w:p w:rsidR="006E4420"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El adjudicatario deberá presentar un anteproyecto de obras de urbanización a la sociedad gestora para su aprobación. En estas obras de urbanización se i</w:t>
      </w:r>
      <w:r>
        <w:rPr>
          <w:szCs w:val="26"/>
        </w:rPr>
        <w:t>n</w:t>
      </w:r>
      <w:r>
        <w:rPr>
          <w:szCs w:val="26"/>
        </w:rPr>
        <w:t>cluye</w:t>
      </w:r>
      <w:r w:rsidR="00EF77DE">
        <w:rPr>
          <w:szCs w:val="26"/>
        </w:rPr>
        <w:t>n</w:t>
      </w:r>
      <w:r>
        <w:rPr>
          <w:szCs w:val="26"/>
        </w:rPr>
        <w:t xml:space="preserve"> los sistemas generales y los accesos internos de la CT.</w:t>
      </w:r>
    </w:p>
    <w:p w:rsidR="006E4420" w:rsidRDefault="009A77AA"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Los contratos n</w:t>
      </w:r>
      <w:r w:rsidR="006E4420">
        <w:rPr>
          <w:szCs w:val="26"/>
        </w:rPr>
        <w:t xml:space="preserve">o comprenden las obras e infraestructuras a realizar fuera del ámbito físico de la CT. </w:t>
      </w:r>
    </w:p>
    <w:p w:rsidR="006E4420"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El adjudicatario se responsabiliza de la gestión de venta de parcelas brutas y/o construidas así como, en su caso, del arrendamiento de los inmuebles.</w:t>
      </w:r>
    </w:p>
    <w:p w:rsidR="006E4420"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Los precios y las condiciones generales de venta y de alquiler se fijan en el contrato; estos precios se actualizarán periódicamente. La sociedad gestora pe</w:t>
      </w:r>
      <w:r>
        <w:rPr>
          <w:szCs w:val="26"/>
        </w:rPr>
        <w:t>r</w:t>
      </w:r>
      <w:r>
        <w:rPr>
          <w:szCs w:val="26"/>
        </w:rPr>
        <w:t>cibirá un porcentaje de esas ventas.</w:t>
      </w:r>
    </w:p>
    <w:p w:rsidR="006E4420" w:rsidRDefault="006E4420" w:rsidP="006E4420">
      <w:pPr>
        <w:pStyle w:val="texto"/>
        <w:tabs>
          <w:tab w:val="clear" w:pos="2835"/>
          <w:tab w:val="clear" w:pos="3969"/>
          <w:tab w:val="clear" w:pos="5103"/>
          <w:tab w:val="clear" w:pos="6237"/>
          <w:tab w:val="clear" w:pos="7371"/>
        </w:tabs>
      </w:pPr>
      <w:r w:rsidRPr="00BE57C3">
        <w:rPr>
          <w:b/>
        </w:rPr>
        <w:t>3</w:t>
      </w:r>
      <w:r w:rsidR="0023051E" w:rsidRPr="00BE57C3">
        <w:rPr>
          <w:b/>
        </w:rPr>
        <w:t>8</w:t>
      </w:r>
      <w:r w:rsidR="00BE57C3" w:rsidRPr="00BE57C3">
        <w:rPr>
          <w:b/>
        </w:rPr>
        <w:t>.</w:t>
      </w:r>
      <w:r w:rsidRPr="00BE57C3">
        <w:rPr>
          <w:b/>
        </w:rPr>
        <w:t>ª</w:t>
      </w:r>
      <w:r>
        <w:t xml:space="preserve"> Contrato para las fases 1ª y 2ª de la CT. De este contrato destacamos:</w:t>
      </w:r>
    </w:p>
    <w:p w:rsidR="006E4420"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t>En marzo de 1994 la sociedad gestora TTCP, SA aprueba las bases regul</w:t>
      </w:r>
      <w:r>
        <w:t>a</w:t>
      </w:r>
      <w:r>
        <w:t>doras del contrato. En ese momento y en todo el proceso de la adjudicación el capital social de esa sociedad es íntegramente privado. Por tanto</w:t>
      </w:r>
      <w:r w:rsidR="003D0A3F">
        <w:t>,</w:t>
      </w:r>
      <w:r>
        <w:t xml:space="preserve"> no se le aplica la legislación pública en materia de contratación administrativa.</w:t>
      </w:r>
    </w:p>
    <w:p w:rsidR="006E4420"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Inicialmente el contrato afecta a la 1ª fase, si bien posteriormente se mod</w:t>
      </w:r>
      <w:r>
        <w:rPr>
          <w:szCs w:val="26"/>
        </w:rPr>
        <w:t>i</w:t>
      </w:r>
      <w:r w:rsidR="00B01BA8">
        <w:rPr>
          <w:szCs w:val="26"/>
        </w:rPr>
        <w:t>fica para extenderlo a la</w:t>
      </w:r>
      <w:r>
        <w:rPr>
          <w:szCs w:val="26"/>
        </w:rPr>
        <w:t xml:space="preserve"> 2ª fase.</w:t>
      </w:r>
    </w:p>
    <w:p w:rsidR="006E4420" w:rsidRDefault="003759E5"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 xml:space="preserve">Las </w:t>
      </w:r>
      <w:r w:rsidR="006E4420">
        <w:rPr>
          <w:szCs w:val="26"/>
        </w:rPr>
        <w:t>bases dejan a criterio de los ofertantes la fijación de los precios de venta por m</w:t>
      </w:r>
      <w:r w:rsidR="006E4420" w:rsidRPr="00D6152F">
        <w:rPr>
          <w:szCs w:val="26"/>
          <w:vertAlign w:val="superscript"/>
        </w:rPr>
        <w:t>2</w:t>
      </w:r>
      <w:r w:rsidR="006E4420">
        <w:rPr>
          <w:szCs w:val="26"/>
        </w:rPr>
        <w:t xml:space="preserve"> de los diferentes tipos de naves,  dentro de unos valores máximos referenciados.</w:t>
      </w:r>
    </w:p>
    <w:p w:rsidR="006E4420" w:rsidRPr="00B35AE3"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sidRPr="00B35AE3">
        <w:rPr>
          <w:szCs w:val="26"/>
        </w:rPr>
        <w:t>La contratación se anuncia en la prensa local y en</w:t>
      </w:r>
      <w:r w:rsidR="00753BDC">
        <w:rPr>
          <w:szCs w:val="26"/>
        </w:rPr>
        <w:t xml:space="preserve"> el</w:t>
      </w:r>
      <w:r w:rsidRPr="00B35AE3">
        <w:rPr>
          <w:szCs w:val="26"/>
        </w:rPr>
        <w:t xml:space="preserve"> BON.</w:t>
      </w:r>
    </w:p>
    <w:p w:rsidR="006E4420" w:rsidRPr="00B35AE3"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sidRPr="00B35AE3">
        <w:rPr>
          <w:szCs w:val="26"/>
        </w:rPr>
        <w:t>Al proceso se presenta una única oferta que finalmente resultó ser la adj</w:t>
      </w:r>
      <w:r w:rsidRPr="00B35AE3">
        <w:rPr>
          <w:szCs w:val="26"/>
        </w:rPr>
        <w:t>u</w:t>
      </w:r>
      <w:r w:rsidRPr="00B35AE3">
        <w:rPr>
          <w:szCs w:val="26"/>
        </w:rPr>
        <w:t>dicataria.</w:t>
      </w:r>
    </w:p>
    <w:p w:rsidR="006E4420" w:rsidRPr="00B35AE3"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sidRPr="00B35AE3">
        <w:rPr>
          <w:szCs w:val="26"/>
        </w:rPr>
        <w:t xml:space="preserve">La oferta es analizada por la sociedad TTCP, SA asesorada técnicamente por la empresa Audenasa. </w:t>
      </w:r>
    </w:p>
    <w:p w:rsidR="00B01BA8"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sidRPr="00B01BA8">
        <w:rPr>
          <w:szCs w:val="26"/>
        </w:rPr>
        <w:t xml:space="preserve">La propuesta presentada por el adjudicatario </w:t>
      </w:r>
      <w:r w:rsidR="00B01BA8" w:rsidRPr="00B01BA8">
        <w:rPr>
          <w:szCs w:val="26"/>
        </w:rPr>
        <w:t xml:space="preserve">presenta unas variantes que </w:t>
      </w:r>
      <w:r w:rsidR="00EF77DE">
        <w:rPr>
          <w:szCs w:val="26"/>
        </w:rPr>
        <w:t>son aceptadas, por lo</w:t>
      </w:r>
      <w:r w:rsidR="003D0A3F">
        <w:rPr>
          <w:szCs w:val="26"/>
        </w:rPr>
        <w:t xml:space="preserve"> que</w:t>
      </w:r>
      <w:r w:rsidR="00EF77DE">
        <w:rPr>
          <w:szCs w:val="26"/>
        </w:rPr>
        <w:t xml:space="preserve"> es preciso</w:t>
      </w:r>
      <w:r w:rsidR="00B01BA8" w:rsidRPr="00B01BA8">
        <w:rPr>
          <w:szCs w:val="26"/>
        </w:rPr>
        <w:t xml:space="preserve"> redactar y tramitar una </w:t>
      </w:r>
      <w:r w:rsidR="00B01BA8">
        <w:rPr>
          <w:szCs w:val="26"/>
        </w:rPr>
        <w:t>modificación</w:t>
      </w:r>
      <w:r w:rsidR="00B01BA8" w:rsidRPr="00B01BA8">
        <w:rPr>
          <w:szCs w:val="26"/>
        </w:rPr>
        <w:t xml:space="preserve"> del PSIS de la CT.</w:t>
      </w:r>
    </w:p>
    <w:p w:rsidR="006E4420" w:rsidRPr="00B01BA8"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sidRPr="00B01BA8">
        <w:rPr>
          <w:szCs w:val="26"/>
        </w:rPr>
        <w:t>El contrato se firma en junio de 1995.</w:t>
      </w:r>
    </w:p>
    <w:p w:rsidR="006E4420" w:rsidRPr="00E56FD3"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 xml:space="preserve">El derecho de superficie </w:t>
      </w:r>
      <w:r w:rsidR="00BD3E37">
        <w:rPr>
          <w:szCs w:val="26"/>
        </w:rPr>
        <w:t>constituido</w:t>
      </w:r>
      <w:r>
        <w:rPr>
          <w:szCs w:val="26"/>
        </w:rPr>
        <w:t xml:space="preserve"> tiene una vigencia </w:t>
      </w:r>
      <w:r w:rsidRPr="00E56FD3">
        <w:rPr>
          <w:szCs w:val="26"/>
        </w:rPr>
        <w:t xml:space="preserve">hasta el </w:t>
      </w:r>
      <w:r w:rsidR="00E56FD3" w:rsidRPr="00E56FD3">
        <w:rPr>
          <w:szCs w:val="26"/>
        </w:rPr>
        <w:t>31 de d</w:t>
      </w:r>
      <w:r w:rsidR="00E56FD3" w:rsidRPr="00E56FD3">
        <w:rPr>
          <w:szCs w:val="26"/>
        </w:rPr>
        <w:t>i</w:t>
      </w:r>
      <w:r w:rsidR="00E56FD3" w:rsidRPr="00E56FD3">
        <w:rPr>
          <w:szCs w:val="26"/>
        </w:rPr>
        <w:t>ciembre de 2000</w:t>
      </w:r>
      <w:r w:rsidR="0007567A" w:rsidRPr="00E56FD3">
        <w:rPr>
          <w:szCs w:val="26"/>
        </w:rPr>
        <w:t>.</w:t>
      </w:r>
    </w:p>
    <w:p w:rsidR="006E4420" w:rsidRPr="00A9502D"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sidRPr="00A9502D">
        <w:rPr>
          <w:szCs w:val="26"/>
        </w:rPr>
        <w:t>La sociedad gestora percibirá el uno por ciento del precio de venta.</w:t>
      </w:r>
    </w:p>
    <w:p w:rsidR="006E4420" w:rsidRPr="003759E5" w:rsidRDefault="006E4420" w:rsidP="003759E5">
      <w:pPr>
        <w:pStyle w:val="texto"/>
        <w:tabs>
          <w:tab w:val="clear" w:pos="2835"/>
          <w:tab w:val="clear" w:pos="3969"/>
          <w:tab w:val="clear" w:pos="5103"/>
          <w:tab w:val="clear" w:pos="6237"/>
          <w:tab w:val="clear" w:pos="7371"/>
        </w:tabs>
        <w:rPr>
          <w:szCs w:val="26"/>
        </w:rPr>
      </w:pPr>
      <w:r w:rsidRPr="00A9502D">
        <w:rPr>
          <w:szCs w:val="26"/>
        </w:rPr>
        <w:t>En conclusión, el procedimiento de contratación de las obras</w:t>
      </w:r>
      <w:r w:rsidR="00BD3E37">
        <w:rPr>
          <w:szCs w:val="26"/>
        </w:rPr>
        <w:t xml:space="preserve"> de urbanización y explotación</w:t>
      </w:r>
      <w:r w:rsidRPr="00A9502D">
        <w:rPr>
          <w:szCs w:val="26"/>
        </w:rPr>
        <w:t xml:space="preserve"> de la 1ª y 2ª fase de la CT se inicia y se adjudica por una soci</w:t>
      </w:r>
      <w:r w:rsidRPr="00A9502D">
        <w:rPr>
          <w:szCs w:val="26"/>
        </w:rPr>
        <w:t>e</w:t>
      </w:r>
      <w:r w:rsidRPr="00A9502D">
        <w:rPr>
          <w:szCs w:val="26"/>
        </w:rPr>
        <w:t xml:space="preserve">dad entonces de capital totalmente privado. Se publicita el inicio del proceso de contratación en el BON y en la prensa local. </w:t>
      </w:r>
    </w:p>
    <w:p w:rsidR="006E4420" w:rsidRDefault="006E4420" w:rsidP="006E4420">
      <w:pPr>
        <w:pStyle w:val="texto"/>
        <w:tabs>
          <w:tab w:val="clear" w:pos="2835"/>
          <w:tab w:val="clear" w:pos="3969"/>
          <w:tab w:val="clear" w:pos="5103"/>
          <w:tab w:val="clear" w:pos="6237"/>
          <w:tab w:val="clear" w:pos="7371"/>
        </w:tabs>
      </w:pPr>
      <w:r w:rsidRPr="00BE57C3">
        <w:rPr>
          <w:b/>
        </w:rPr>
        <w:t>3</w:t>
      </w:r>
      <w:r w:rsidR="0023051E" w:rsidRPr="00BE57C3">
        <w:rPr>
          <w:b/>
        </w:rPr>
        <w:t>9</w:t>
      </w:r>
      <w:r w:rsidR="00BE57C3" w:rsidRPr="00BE57C3">
        <w:rPr>
          <w:b/>
        </w:rPr>
        <w:t>.</w:t>
      </w:r>
      <w:r w:rsidRPr="00BE57C3">
        <w:rPr>
          <w:b/>
        </w:rPr>
        <w:t xml:space="preserve">ª </w:t>
      </w:r>
      <w:r>
        <w:t>Este contrato inici</w:t>
      </w:r>
      <w:r w:rsidR="00BD3E37">
        <w:t xml:space="preserve">al fue </w:t>
      </w:r>
      <w:r>
        <w:t>modificado en los ejercicios de 1999, 2000 y 2002, destacando:</w:t>
      </w:r>
    </w:p>
    <w:p w:rsidR="006E4420" w:rsidRDefault="000D1F7E"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t xml:space="preserve">En </w:t>
      </w:r>
      <w:r w:rsidR="006E4420">
        <w:t xml:space="preserve">1999: </w:t>
      </w:r>
    </w:p>
    <w:p w:rsidR="006E4420" w:rsidRDefault="006E4420" w:rsidP="006E4420">
      <w:pPr>
        <w:pStyle w:val="texto"/>
        <w:tabs>
          <w:tab w:val="clear" w:pos="2835"/>
          <w:tab w:val="clear" w:pos="3969"/>
          <w:tab w:val="clear" w:pos="5103"/>
          <w:tab w:val="clear" w:pos="6237"/>
          <w:tab w:val="clear" w:pos="7371"/>
        </w:tabs>
      </w:pPr>
      <w:r>
        <w:t>a) La sociedad gestora adquirirá a la UTE dos edificios de oficinas y un aparcamiento para vehículos pesados.</w:t>
      </w:r>
    </w:p>
    <w:p w:rsidR="006E4420" w:rsidRDefault="006E4420" w:rsidP="006E4420">
      <w:pPr>
        <w:pStyle w:val="texto"/>
        <w:tabs>
          <w:tab w:val="clear" w:pos="2835"/>
          <w:tab w:val="clear" w:pos="3969"/>
          <w:tab w:val="clear" w:pos="5103"/>
          <w:tab w:val="clear" w:pos="6237"/>
          <w:tab w:val="clear" w:pos="7371"/>
        </w:tabs>
        <w:rPr>
          <w:szCs w:val="26"/>
        </w:rPr>
      </w:pPr>
      <w:r>
        <w:t xml:space="preserve">b) </w:t>
      </w:r>
      <w:r w:rsidRPr="00516CC8">
        <w:rPr>
          <w:szCs w:val="26"/>
        </w:rPr>
        <w:t>Se autoriza el desarrollo de la zona de reserva</w:t>
      </w:r>
      <w:r>
        <w:rPr>
          <w:szCs w:val="26"/>
        </w:rPr>
        <w:t xml:space="preserve"> o 2ª fase de la CT sujeta a tipologías y usos idénticos a los de la 1ª fase y a la</w:t>
      </w:r>
      <w:r w:rsidRPr="00920B7C">
        <w:rPr>
          <w:szCs w:val="26"/>
        </w:rPr>
        <w:t xml:space="preserve"> determinación de</w:t>
      </w:r>
      <w:r>
        <w:rPr>
          <w:szCs w:val="26"/>
        </w:rPr>
        <w:t xml:space="preserve"> unos</w:t>
      </w:r>
      <w:r w:rsidRPr="00920B7C">
        <w:rPr>
          <w:szCs w:val="26"/>
        </w:rPr>
        <w:t xml:space="preserve"> pr</w:t>
      </w:r>
      <w:r w:rsidRPr="00920B7C">
        <w:rPr>
          <w:szCs w:val="26"/>
        </w:rPr>
        <w:t>e</w:t>
      </w:r>
      <w:r w:rsidRPr="00920B7C">
        <w:rPr>
          <w:szCs w:val="26"/>
        </w:rPr>
        <w:t>cios de venta</w:t>
      </w:r>
      <w:r>
        <w:rPr>
          <w:szCs w:val="26"/>
        </w:rPr>
        <w:t>.</w:t>
      </w:r>
    </w:p>
    <w:p w:rsidR="006E4420"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En 2000, se prorroga el derecho de superficie hasta el 31 de diciembre de 2003</w:t>
      </w:r>
      <w:r w:rsidR="00753BDC">
        <w:rPr>
          <w:szCs w:val="26"/>
        </w:rPr>
        <w:t>,</w:t>
      </w:r>
      <w:r>
        <w:rPr>
          <w:szCs w:val="26"/>
        </w:rPr>
        <w:t xml:space="preserve"> incluyendo los terrenos de la 2ª fase. </w:t>
      </w:r>
    </w:p>
    <w:p w:rsidR="006E4420" w:rsidRPr="00516CC8"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 xml:space="preserve">En la modificación de 2002, se autoriza un incremento del precio de venta de naves y edificaciones </w:t>
      </w:r>
      <w:r w:rsidR="008A0851">
        <w:rPr>
          <w:szCs w:val="26"/>
        </w:rPr>
        <w:t>–</w:t>
      </w:r>
      <w:r w:rsidRPr="00516CC8">
        <w:rPr>
          <w:szCs w:val="26"/>
        </w:rPr>
        <w:t>en 60 €/m</w:t>
      </w:r>
      <w:r w:rsidRPr="00A52D72">
        <w:rPr>
          <w:szCs w:val="26"/>
          <w:vertAlign w:val="superscript"/>
        </w:rPr>
        <w:t>2</w:t>
      </w:r>
      <w:r>
        <w:rPr>
          <w:szCs w:val="26"/>
        </w:rPr>
        <w:t>, para hacer frente a obras de evacuación de aguas pluviales y al aumento del gasto de expropiaciones</w:t>
      </w:r>
      <w:r w:rsidR="008A0851">
        <w:rPr>
          <w:szCs w:val="26"/>
        </w:rPr>
        <w:t>–</w:t>
      </w:r>
      <w:r>
        <w:rPr>
          <w:szCs w:val="26"/>
        </w:rPr>
        <w:t xml:space="preserve"> y se fijan una nueva participación de la sociedad gestora en los precios de venta: </w:t>
      </w:r>
      <w:r w:rsidRPr="00516CC8">
        <w:rPr>
          <w:szCs w:val="26"/>
        </w:rPr>
        <w:t>el uno por ciento de la venta más un importe de 77,41</w:t>
      </w:r>
      <w:r>
        <w:rPr>
          <w:szCs w:val="26"/>
        </w:rPr>
        <w:t xml:space="preserve"> euros</w:t>
      </w:r>
      <w:r w:rsidRPr="00516CC8">
        <w:rPr>
          <w:szCs w:val="26"/>
        </w:rPr>
        <w:t xml:space="preserve"> por metro cuadrado de solar ocupado por las edificaciones. </w:t>
      </w:r>
    </w:p>
    <w:p w:rsidR="006E4420" w:rsidRDefault="0023051E" w:rsidP="008A0851">
      <w:pPr>
        <w:pStyle w:val="texto"/>
        <w:tabs>
          <w:tab w:val="clear" w:pos="2835"/>
          <w:tab w:val="clear" w:pos="3969"/>
          <w:tab w:val="clear" w:pos="5103"/>
          <w:tab w:val="clear" w:pos="6237"/>
          <w:tab w:val="clear" w:pos="7371"/>
        </w:tabs>
        <w:spacing w:after="240"/>
        <w:rPr>
          <w:szCs w:val="26"/>
        </w:rPr>
      </w:pPr>
      <w:r w:rsidRPr="00BE57C3">
        <w:rPr>
          <w:b/>
          <w:szCs w:val="26"/>
        </w:rPr>
        <w:t>40</w:t>
      </w:r>
      <w:r w:rsidR="00BE57C3" w:rsidRPr="00BE57C3">
        <w:rPr>
          <w:b/>
          <w:szCs w:val="26"/>
        </w:rPr>
        <w:t>.</w:t>
      </w:r>
      <w:r w:rsidR="006E4420" w:rsidRPr="00BE57C3">
        <w:rPr>
          <w:b/>
          <w:szCs w:val="26"/>
        </w:rPr>
        <w:t xml:space="preserve">ª </w:t>
      </w:r>
      <w:r w:rsidR="006E4420">
        <w:rPr>
          <w:szCs w:val="26"/>
        </w:rPr>
        <w:t>Según el certificado emitido por el arquitecto redactor del proyecto y d</w:t>
      </w:r>
      <w:r w:rsidR="006E4420">
        <w:rPr>
          <w:szCs w:val="26"/>
        </w:rPr>
        <w:t>i</w:t>
      </w:r>
      <w:r w:rsidR="006E4420">
        <w:rPr>
          <w:szCs w:val="26"/>
        </w:rPr>
        <w:t xml:space="preserve">rector de las obras </w:t>
      </w:r>
      <w:r w:rsidR="003759E5">
        <w:rPr>
          <w:szCs w:val="26"/>
        </w:rPr>
        <w:t>de la UTE para</w:t>
      </w:r>
      <w:r w:rsidR="006E4420">
        <w:rPr>
          <w:szCs w:val="26"/>
        </w:rPr>
        <w:t xml:space="preserve"> la 1ª y 2ª fase de la CT, a mayo de 2005, el importe de las obras ejecutadas por</w:t>
      </w:r>
      <w:r w:rsidR="003759E5">
        <w:rPr>
          <w:szCs w:val="26"/>
        </w:rPr>
        <w:t xml:space="preserve"> </w:t>
      </w:r>
      <w:r w:rsidR="003D0A3F">
        <w:rPr>
          <w:szCs w:val="26"/>
        </w:rPr>
        <w:t>e</w:t>
      </w:r>
      <w:r w:rsidR="003759E5">
        <w:rPr>
          <w:szCs w:val="26"/>
        </w:rPr>
        <w:t>sta</w:t>
      </w:r>
      <w:r w:rsidR="006E4420">
        <w:rPr>
          <w:szCs w:val="26"/>
        </w:rPr>
        <w:t xml:space="preserve"> –sin IVA</w:t>
      </w:r>
      <w:r w:rsidR="008A0851">
        <w:rPr>
          <w:szCs w:val="26"/>
        </w:rPr>
        <w:t xml:space="preserve">– </w:t>
      </w:r>
      <w:r w:rsidR="006E4420">
        <w:rPr>
          <w:szCs w:val="26"/>
        </w:rPr>
        <w:t>ha ascendido a 59,88 mill</w:t>
      </w:r>
      <w:r w:rsidR="006E4420">
        <w:rPr>
          <w:szCs w:val="26"/>
        </w:rPr>
        <w:t>o</w:t>
      </w:r>
      <w:r w:rsidR="006E4420">
        <w:rPr>
          <w:szCs w:val="26"/>
        </w:rPr>
        <w:t>nes de euros, según el siguiente detalle:</w:t>
      </w:r>
    </w:p>
    <w:tbl>
      <w:tblPr>
        <w:tblStyle w:val="TableNormal"/>
        <w:tblW w:w="8837" w:type="dxa"/>
        <w:jc w:val="center"/>
        <w:tblBorders>
          <w:top w:val="single" w:sz="2" w:space="0" w:color="auto"/>
          <w:bottom w:val="single" w:sz="2" w:space="0" w:color="auto"/>
          <w:insideH w:val="single" w:sz="2" w:space="0" w:color="auto"/>
        </w:tblBorders>
        <w:tblLayout w:type="fixed"/>
        <w:tblLook w:val="01E0" w:firstRow="1" w:lastRow="1" w:firstColumn="1" w:lastColumn="1" w:noHBand="0" w:noVBand="0"/>
      </w:tblPr>
      <w:tblGrid>
        <w:gridCol w:w="2267"/>
        <w:gridCol w:w="1453"/>
        <w:gridCol w:w="1512"/>
        <w:gridCol w:w="1344"/>
        <w:gridCol w:w="2261"/>
      </w:tblGrid>
      <w:tr w:rsidR="006E4420" w:rsidRPr="00DA5BC7" w:rsidTr="005C1B4F">
        <w:trPr>
          <w:trHeight w:val="397"/>
          <w:jc w:val="center"/>
        </w:trPr>
        <w:tc>
          <w:tcPr>
            <w:tcW w:w="2267" w:type="dxa"/>
            <w:tcBorders>
              <w:top w:val="single" w:sz="4" w:space="0" w:color="auto"/>
              <w:bottom w:val="single" w:sz="4" w:space="0" w:color="auto"/>
            </w:tcBorders>
            <w:shd w:val="clear" w:color="auto" w:fill="B8CCE4" w:themeFill="accent1" w:themeFillTint="66"/>
            <w:vAlign w:val="center"/>
          </w:tcPr>
          <w:p w:rsidR="006E4420" w:rsidRDefault="006E4420" w:rsidP="008A0851">
            <w:pPr>
              <w:spacing w:after="0"/>
              <w:ind w:left="96" w:firstLine="0"/>
              <w:jc w:val="left"/>
              <w:rPr>
                <w:rFonts w:ascii="Arial" w:hAnsi="Arial" w:cs="Arial"/>
                <w:color w:val="000000"/>
                <w:sz w:val="18"/>
                <w:szCs w:val="18"/>
                <w:lang w:eastAsia="es-ES"/>
              </w:rPr>
            </w:pPr>
            <w:r>
              <w:rPr>
                <w:rFonts w:ascii="Arial" w:hAnsi="Arial" w:cs="Arial"/>
                <w:color w:val="000000"/>
                <w:sz w:val="18"/>
                <w:szCs w:val="18"/>
                <w:lang w:eastAsia="es-ES"/>
              </w:rPr>
              <w:t>Inversión UTE</w:t>
            </w:r>
          </w:p>
          <w:p w:rsidR="006E4420" w:rsidRDefault="006E4420" w:rsidP="008A0851">
            <w:pPr>
              <w:spacing w:after="0"/>
              <w:ind w:left="96" w:firstLine="0"/>
              <w:jc w:val="left"/>
              <w:rPr>
                <w:rFonts w:ascii="Arial" w:hAnsi="Arial" w:cs="Arial"/>
                <w:color w:val="000000"/>
                <w:sz w:val="18"/>
                <w:szCs w:val="18"/>
                <w:lang w:eastAsia="es-ES"/>
              </w:rPr>
            </w:pPr>
            <w:r>
              <w:rPr>
                <w:rFonts w:ascii="Arial" w:hAnsi="Arial" w:cs="Arial"/>
                <w:color w:val="000000"/>
                <w:sz w:val="18"/>
                <w:szCs w:val="18"/>
                <w:lang w:eastAsia="es-ES"/>
              </w:rPr>
              <w:t xml:space="preserve">Fases CT   </w:t>
            </w:r>
          </w:p>
        </w:tc>
        <w:tc>
          <w:tcPr>
            <w:tcW w:w="1453" w:type="dxa"/>
            <w:tcBorders>
              <w:top w:val="single" w:sz="4" w:space="0" w:color="auto"/>
              <w:bottom w:val="single" w:sz="4" w:space="0" w:color="auto"/>
            </w:tcBorders>
            <w:shd w:val="clear" w:color="auto" w:fill="B8CCE4" w:themeFill="accent1" w:themeFillTint="66"/>
            <w:vAlign w:val="center"/>
          </w:tcPr>
          <w:p w:rsidR="008A0851" w:rsidRDefault="006E4420" w:rsidP="008A0851">
            <w:pPr>
              <w:spacing w:after="0"/>
              <w:ind w:firstLine="0"/>
              <w:jc w:val="right"/>
              <w:rPr>
                <w:rFonts w:ascii="Arial" w:hAnsi="Arial" w:cs="Arial"/>
                <w:color w:val="000000"/>
                <w:sz w:val="18"/>
                <w:szCs w:val="18"/>
                <w:lang w:eastAsia="es-ES"/>
              </w:rPr>
            </w:pPr>
            <w:r>
              <w:rPr>
                <w:rFonts w:ascii="Arial" w:hAnsi="Arial" w:cs="Arial"/>
                <w:color w:val="000000"/>
                <w:sz w:val="18"/>
                <w:szCs w:val="18"/>
                <w:lang w:eastAsia="es-ES"/>
              </w:rPr>
              <w:t xml:space="preserve">Urbanización </w:t>
            </w:r>
          </w:p>
          <w:p w:rsidR="006E4420" w:rsidRPr="005B3CA8" w:rsidRDefault="006E4420" w:rsidP="008A0851">
            <w:pPr>
              <w:spacing w:after="0"/>
              <w:ind w:firstLine="0"/>
              <w:jc w:val="right"/>
              <w:rPr>
                <w:rFonts w:ascii="Arial" w:hAnsi="Arial" w:cs="Arial"/>
                <w:color w:val="000000"/>
                <w:sz w:val="18"/>
                <w:szCs w:val="18"/>
                <w:lang w:eastAsia="es-ES"/>
              </w:rPr>
            </w:pPr>
            <w:r>
              <w:rPr>
                <w:rFonts w:ascii="Arial" w:hAnsi="Arial" w:cs="Arial"/>
                <w:color w:val="000000"/>
                <w:sz w:val="18"/>
                <w:szCs w:val="18"/>
                <w:lang w:eastAsia="es-ES"/>
              </w:rPr>
              <w:t>(m</w:t>
            </w:r>
            <w:r w:rsidRPr="007E1556">
              <w:rPr>
                <w:rFonts w:ascii="Arial" w:hAnsi="Arial" w:cs="Arial"/>
                <w:color w:val="000000"/>
                <w:sz w:val="18"/>
                <w:szCs w:val="18"/>
                <w:vertAlign w:val="superscript"/>
                <w:lang w:eastAsia="es-ES"/>
              </w:rPr>
              <w:t>2</w:t>
            </w:r>
            <w:r>
              <w:rPr>
                <w:rFonts w:ascii="Arial" w:hAnsi="Arial" w:cs="Arial"/>
                <w:color w:val="000000"/>
                <w:sz w:val="18"/>
                <w:szCs w:val="18"/>
                <w:lang w:eastAsia="es-ES"/>
              </w:rPr>
              <w:t>)</w:t>
            </w:r>
          </w:p>
        </w:tc>
        <w:tc>
          <w:tcPr>
            <w:tcW w:w="1512" w:type="dxa"/>
            <w:tcBorders>
              <w:top w:val="single" w:sz="4" w:space="0" w:color="auto"/>
              <w:bottom w:val="single" w:sz="4" w:space="0" w:color="auto"/>
            </w:tcBorders>
            <w:shd w:val="clear" w:color="auto" w:fill="B8CCE4" w:themeFill="accent1" w:themeFillTint="66"/>
            <w:vAlign w:val="center"/>
          </w:tcPr>
          <w:p w:rsidR="008A0851" w:rsidRDefault="006E4420" w:rsidP="008A0851">
            <w:pPr>
              <w:spacing w:after="0"/>
              <w:ind w:left="71" w:firstLine="0"/>
              <w:jc w:val="right"/>
              <w:rPr>
                <w:rFonts w:ascii="Arial" w:hAnsi="Arial" w:cs="Arial"/>
                <w:color w:val="000000"/>
                <w:sz w:val="18"/>
                <w:szCs w:val="18"/>
                <w:lang w:eastAsia="es-ES"/>
              </w:rPr>
            </w:pPr>
            <w:r>
              <w:rPr>
                <w:rFonts w:ascii="Arial" w:hAnsi="Arial" w:cs="Arial"/>
                <w:color w:val="000000"/>
                <w:sz w:val="18"/>
                <w:szCs w:val="18"/>
                <w:lang w:eastAsia="es-ES"/>
              </w:rPr>
              <w:t>Edificación naves</w:t>
            </w:r>
          </w:p>
          <w:p w:rsidR="006E4420" w:rsidRPr="00DA5BC7" w:rsidRDefault="008A0851" w:rsidP="008A0851">
            <w:pPr>
              <w:spacing w:after="0"/>
              <w:ind w:left="71" w:firstLine="0"/>
              <w:jc w:val="right"/>
              <w:rPr>
                <w:rFonts w:ascii="Arial" w:hAnsi="Arial" w:cs="Arial"/>
                <w:color w:val="000000"/>
                <w:sz w:val="18"/>
                <w:szCs w:val="18"/>
                <w:lang w:eastAsia="es-ES"/>
              </w:rPr>
            </w:pPr>
            <w:r>
              <w:rPr>
                <w:rFonts w:ascii="Arial" w:hAnsi="Arial" w:cs="Arial"/>
                <w:color w:val="000000"/>
                <w:sz w:val="18"/>
                <w:szCs w:val="18"/>
                <w:lang w:eastAsia="es-ES"/>
              </w:rPr>
              <w:t xml:space="preserve"> </w:t>
            </w:r>
            <w:r w:rsidR="006E4420">
              <w:rPr>
                <w:rFonts w:ascii="Arial" w:hAnsi="Arial" w:cs="Arial"/>
                <w:color w:val="000000"/>
                <w:sz w:val="18"/>
                <w:szCs w:val="18"/>
                <w:lang w:eastAsia="es-ES"/>
              </w:rPr>
              <w:t>(m</w:t>
            </w:r>
            <w:r w:rsidR="006E4420" w:rsidRPr="007E1556">
              <w:rPr>
                <w:rFonts w:ascii="Arial" w:hAnsi="Arial" w:cs="Arial"/>
                <w:color w:val="000000"/>
                <w:sz w:val="18"/>
                <w:szCs w:val="18"/>
                <w:vertAlign w:val="superscript"/>
                <w:lang w:eastAsia="es-ES"/>
              </w:rPr>
              <w:t>2</w:t>
            </w:r>
            <w:r w:rsidR="006E4420">
              <w:rPr>
                <w:rFonts w:ascii="Arial" w:hAnsi="Arial" w:cs="Arial"/>
                <w:color w:val="000000"/>
                <w:sz w:val="18"/>
                <w:szCs w:val="18"/>
                <w:lang w:eastAsia="es-ES"/>
              </w:rPr>
              <w:t>)</w:t>
            </w:r>
          </w:p>
        </w:tc>
        <w:tc>
          <w:tcPr>
            <w:tcW w:w="1344" w:type="dxa"/>
            <w:tcBorders>
              <w:top w:val="single" w:sz="4" w:space="0" w:color="auto"/>
              <w:bottom w:val="single" w:sz="4" w:space="0" w:color="auto"/>
            </w:tcBorders>
            <w:shd w:val="clear" w:color="auto" w:fill="B8CCE4" w:themeFill="accent1" w:themeFillTint="66"/>
            <w:vAlign w:val="center"/>
          </w:tcPr>
          <w:p w:rsidR="008A0851" w:rsidRDefault="006E4420" w:rsidP="008A0851">
            <w:pPr>
              <w:spacing w:after="0"/>
              <w:ind w:firstLine="0"/>
              <w:jc w:val="right"/>
              <w:rPr>
                <w:rFonts w:ascii="Arial" w:hAnsi="Arial" w:cs="Arial"/>
                <w:color w:val="000000"/>
                <w:sz w:val="18"/>
                <w:szCs w:val="18"/>
                <w:lang w:eastAsia="es-ES"/>
              </w:rPr>
            </w:pPr>
            <w:r>
              <w:rPr>
                <w:rFonts w:ascii="Arial" w:hAnsi="Arial" w:cs="Arial"/>
                <w:color w:val="000000"/>
                <w:sz w:val="18"/>
                <w:szCs w:val="18"/>
                <w:lang w:eastAsia="es-ES"/>
              </w:rPr>
              <w:t>Edificación</w:t>
            </w:r>
            <w:r w:rsidR="008A0851">
              <w:rPr>
                <w:rFonts w:ascii="Arial" w:hAnsi="Arial" w:cs="Arial"/>
                <w:color w:val="000000"/>
                <w:sz w:val="18"/>
                <w:szCs w:val="18"/>
                <w:lang w:eastAsia="es-ES"/>
              </w:rPr>
              <w:t xml:space="preserve"> </w:t>
            </w:r>
          </w:p>
          <w:p w:rsidR="006E4420" w:rsidRPr="00DA5BC7" w:rsidRDefault="008A0851" w:rsidP="008A0851">
            <w:pPr>
              <w:spacing w:after="0"/>
              <w:ind w:firstLine="0"/>
              <w:jc w:val="right"/>
              <w:rPr>
                <w:rFonts w:ascii="Arial" w:hAnsi="Arial" w:cs="Arial"/>
                <w:color w:val="000000"/>
                <w:sz w:val="18"/>
                <w:szCs w:val="18"/>
                <w:lang w:eastAsia="es-ES"/>
              </w:rPr>
            </w:pPr>
            <w:r>
              <w:rPr>
                <w:rFonts w:ascii="Arial" w:hAnsi="Arial" w:cs="Arial"/>
                <w:color w:val="000000"/>
                <w:sz w:val="18"/>
                <w:szCs w:val="18"/>
                <w:lang w:eastAsia="es-ES"/>
              </w:rPr>
              <w:t>S</w:t>
            </w:r>
            <w:r w:rsidR="006E4420">
              <w:rPr>
                <w:rFonts w:ascii="Arial" w:hAnsi="Arial" w:cs="Arial"/>
                <w:color w:val="000000"/>
                <w:sz w:val="18"/>
                <w:szCs w:val="18"/>
                <w:lang w:eastAsia="es-ES"/>
              </w:rPr>
              <w:t>ervicios</w:t>
            </w:r>
            <w:r>
              <w:rPr>
                <w:rFonts w:ascii="Arial" w:hAnsi="Arial" w:cs="Arial"/>
                <w:color w:val="000000"/>
                <w:sz w:val="18"/>
                <w:szCs w:val="18"/>
                <w:lang w:eastAsia="es-ES"/>
              </w:rPr>
              <w:t xml:space="preserve"> </w:t>
            </w:r>
            <w:r w:rsidR="006E4420">
              <w:rPr>
                <w:rFonts w:ascii="Arial" w:hAnsi="Arial" w:cs="Arial"/>
                <w:color w:val="000000"/>
                <w:sz w:val="18"/>
                <w:szCs w:val="18"/>
                <w:lang w:eastAsia="es-ES"/>
              </w:rPr>
              <w:t>(m</w:t>
            </w:r>
            <w:r w:rsidR="006E4420" w:rsidRPr="007E1556">
              <w:rPr>
                <w:rFonts w:ascii="Arial" w:hAnsi="Arial" w:cs="Arial"/>
                <w:color w:val="000000"/>
                <w:sz w:val="18"/>
                <w:szCs w:val="18"/>
                <w:vertAlign w:val="superscript"/>
                <w:lang w:eastAsia="es-ES"/>
              </w:rPr>
              <w:t>2</w:t>
            </w:r>
            <w:r w:rsidR="006E4420">
              <w:rPr>
                <w:rFonts w:ascii="Arial" w:hAnsi="Arial" w:cs="Arial"/>
                <w:color w:val="000000"/>
                <w:sz w:val="18"/>
                <w:szCs w:val="18"/>
                <w:lang w:eastAsia="es-ES"/>
              </w:rPr>
              <w:t>)</w:t>
            </w:r>
          </w:p>
        </w:tc>
        <w:tc>
          <w:tcPr>
            <w:tcW w:w="2261" w:type="dxa"/>
            <w:tcBorders>
              <w:top w:val="single" w:sz="4" w:space="0" w:color="auto"/>
              <w:bottom w:val="single" w:sz="4" w:space="0" w:color="auto"/>
            </w:tcBorders>
            <w:shd w:val="clear" w:color="auto" w:fill="B8CCE4" w:themeFill="accent1" w:themeFillTint="66"/>
            <w:vAlign w:val="center"/>
          </w:tcPr>
          <w:p w:rsidR="008A0851" w:rsidRDefault="008A0851" w:rsidP="008A0851">
            <w:pPr>
              <w:spacing w:after="0"/>
              <w:ind w:left="42" w:right="95" w:firstLine="0"/>
              <w:jc w:val="right"/>
              <w:rPr>
                <w:rFonts w:ascii="Arial" w:hAnsi="Arial" w:cs="Arial"/>
                <w:color w:val="000000"/>
                <w:sz w:val="18"/>
                <w:szCs w:val="18"/>
                <w:lang w:eastAsia="es-ES"/>
              </w:rPr>
            </w:pPr>
            <w:r>
              <w:rPr>
                <w:rFonts w:ascii="Arial" w:hAnsi="Arial" w:cs="Arial"/>
                <w:color w:val="000000"/>
                <w:sz w:val="18"/>
                <w:szCs w:val="18"/>
                <w:lang w:eastAsia="es-ES"/>
              </w:rPr>
              <w:t xml:space="preserve"> </w:t>
            </w:r>
            <w:r w:rsidR="006E4420">
              <w:rPr>
                <w:rFonts w:ascii="Arial" w:hAnsi="Arial" w:cs="Arial"/>
                <w:color w:val="000000"/>
                <w:sz w:val="18"/>
                <w:szCs w:val="18"/>
                <w:lang w:eastAsia="es-ES"/>
              </w:rPr>
              <w:t>Importe total obras</w:t>
            </w:r>
          </w:p>
          <w:p w:rsidR="006E4420" w:rsidRPr="00DA5BC7" w:rsidRDefault="006E4420" w:rsidP="005C1B4F">
            <w:pPr>
              <w:spacing w:after="0"/>
              <w:ind w:left="42" w:right="95" w:firstLine="0"/>
              <w:jc w:val="right"/>
              <w:rPr>
                <w:rFonts w:ascii="Arial" w:hAnsi="Arial" w:cs="Arial"/>
                <w:color w:val="000000"/>
                <w:sz w:val="18"/>
                <w:szCs w:val="18"/>
                <w:lang w:eastAsia="es-ES"/>
              </w:rPr>
            </w:pPr>
            <w:r>
              <w:rPr>
                <w:rFonts w:ascii="Arial" w:hAnsi="Arial" w:cs="Arial"/>
                <w:color w:val="000000"/>
                <w:sz w:val="18"/>
                <w:szCs w:val="18"/>
                <w:lang w:eastAsia="es-ES"/>
              </w:rPr>
              <w:t>(euros)</w:t>
            </w:r>
          </w:p>
        </w:tc>
      </w:tr>
      <w:tr w:rsidR="006E4420" w:rsidRPr="00612D84" w:rsidTr="005C1B4F">
        <w:trPr>
          <w:trHeight w:val="284"/>
          <w:jc w:val="center"/>
        </w:trPr>
        <w:tc>
          <w:tcPr>
            <w:tcW w:w="2267" w:type="dxa"/>
            <w:tcBorders>
              <w:top w:val="single" w:sz="4" w:space="0" w:color="auto"/>
            </w:tcBorders>
            <w:vAlign w:val="center"/>
          </w:tcPr>
          <w:p w:rsidR="006E4420" w:rsidRPr="002B74DB" w:rsidRDefault="006E4420" w:rsidP="008A0851">
            <w:pPr>
              <w:widowControl/>
              <w:spacing w:after="0"/>
              <w:ind w:left="96" w:firstLine="0"/>
              <w:jc w:val="left"/>
              <w:rPr>
                <w:rFonts w:ascii="Arial Narrow" w:hAnsi="Arial Narrow"/>
                <w:color w:val="000000"/>
                <w:sz w:val="20"/>
                <w:szCs w:val="20"/>
                <w:lang w:eastAsia="es-ES"/>
              </w:rPr>
            </w:pPr>
            <w:r w:rsidRPr="002B74DB">
              <w:rPr>
                <w:rFonts w:ascii="Arial Narrow" w:hAnsi="Arial Narrow"/>
                <w:color w:val="000000"/>
                <w:sz w:val="20"/>
                <w:szCs w:val="20"/>
                <w:lang w:eastAsia="es-ES"/>
              </w:rPr>
              <w:t>1ª</w:t>
            </w:r>
          </w:p>
        </w:tc>
        <w:tc>
          <w:tcPr>
            <w:tcW w:w="1453" w:type="dxa"/>
            <w:tcBorders>
              <w:top w:val="single" w:sz="4" w:space="0" w:color="auto"/>
            </w:tcBorders>
            <w:vAlign w:val="center"/>
          </w:tcPr>
          <w:p w:rsidR="006E4420" w:rsidRPr="008E708D" w:rsidRDefault="006E4420" w:rsidP="008A0851">
            <w:pPr>
              <w:widowControl/>
              <w:spacing w:after="0"/>
              <w:ind w:firstLine="0"/>
              <w:jc w:val="right"/>
              <w:rPr>
                <w:rFonts w:ascii="Arial Narrow" w:hAnsi="Arial Narrow"/>
                <w:color w:val="000000"/>
                <w:sz w:val="20"/>
                <w:szCs w:val="20"/>
                <w:lang w:eastAsia="es-ES"/>
              </w:rPr>
            </w:pPr>
            <w:r>
              <w:rPr>
                <w:rFonts w:ascii="Arial Narrow" w:hAnsi="Arial Narrow"/>
                <w:color w:val="000000"/>
                <w:sz w:val="20"/>
                <w:szCs w:val="20"/>
                <w:lang w:eastAsia="es-ES"/>
              </w:rPr>
              <w:t>388.655</w:t>
            </w:r>
          </w:p>
        </w:tc>
        <w:tc>
          <w:tcPr>
            <w:tcW w:w="1512" w:type="dxa"/>
            <w:tcBorders>
              <w:top w:val="single" w:sz="4" w:space="0" w:color="auto"/>
            </w:tcBorders>
            <w:vAlign w:val="center"/>
          </w:tcPr>
          <w:p w:rsidR="006E4420" w:rsidRPr="008E708D" w:rsidRDefault="006E4420" w:rsidP="008A0851">
            <w:pPr>
              <w:widowControl/>
              <w:spacing w:after="0"/>
              <w:ind w:left="71" w:firstLine="0"/>
              <w:jc w:val="right"/>
              <w:rPr>
                <w:rFonts w:ascii="Arial Narrow" w:hAnsi="Arial Narrow"/>
                <w:color w:val="000000"/>
                <w:sz w:val="20"/>
                <w:szCs w:val="20"/>
                <w:lang w:eastAsia="es-ES"/>
              </w:rPr>
            </w:pPr>
            <w:r>
              <w:rPr>
                <w:rFonts w:ascii="Arial Narrow" w:hAnsi="Arial Narrow"/>
                <w:color w:val="000000"/>
                <w:sz w:val="20"/>
                <w:szCs w:val="20"/>
                <w:lang w:eastAsia="es-ES"/>
              </w:rPr>
              <w:t>74.172</w:t>
            </w:r>
          </w:p>
        </w:tc>
        <w:tc>
          <w:tcPr>
            <w:tcW w:w="1344" w:type="dxa"/>
            <w:tcBorders>
              <w:top w:val="single" w:sz="4" w:space="0" w:color="auto"/>
            </w:tcBorders>
            <w:vAlign w:val="center"/>
          </w:tcPr>
          <w:p w:rsidR="006E4420" w:rsidRPr="008E708D" w:rsidRDefault="006E4420" w:rsidP="008A0851">
            <w:pPr>
              <w:widowControl/>
              <w:spacing w:after="0"/>
              <w:ind w:firstLine="0"/>
              <w:jc w:val="right"/>
              <w:rPr>
                <w:rFonts w:ascii="Arial Narrow" w:hAnsi="Arial Narrow"/>
                <w:color w:val="000000"/>
                <w:sz w:val="20"/>
                <w:szCs w:val="20"/>
                <w:lang w:eastAsia="es-ES"/>
              </w:rPr>
            </w:pPr>
            <w:r>
              <w:rPr>
                <w:rFonts w:ascii="Arial Narrow" w:hAnsi="Arial Narrow"/>
                <w:color w:val="000000"/>
                <w:sz w:val="20"/>
                <w:szCs w:val="20"/>
                <w:lang w:eastAsia="es-ES"/>
              </w:rPr>
              <w:t>19.701</w:t>
            </w:r>
          </w:p>
        </w:tc>
        <w:tc>
          <w:tcPr>
            <w:tcW w:w="2261" w:type="dxa"/>
            <w:tcBorders>
              <w:top w:val="single" w:sz="4" w:space="0" w:color="auto"/>
            </w:tcBorders>
            <w:vAlign w:val="center"/>
          </w:tcPr>
          <w:p w:rsidR="006E4420" w:rsidRPr="007E1556" w:rsidRDefault="006E4420" w:rsidP="008A0851">
            <w:pPr>
              <w:widowControl/>
              <w:spacing w:after="0"/>
              <w:ind w:left="42" w:right="95" w:firstLine="0"/>
              <w:jc w:val="right"/>
              <w:rPr>
                <w:rFonts w:ascii="Arial Narrow" w:hAnsi="Arial Narrow"/>
                <w:color w:val="000000"/>
                <w:sz w:val="20"/>
                <w:szCs w:val="20"/>
                <w:lang w:eastAsia="es-ES"/>
              </w:rPr>
            </w:pPr>
            <w:r w:rsidRPr="007E1556">
              <w:rPr>
                <w:rFonts w:ascii="Arial Narrow" w:hAnsi="Arial Narrow"/>
                <w:color w:val="000000"/>
                <w:sz w:val="20"/>
                <w:szCs w:val="20"/>
                <w:lang w:eastAsia="es-ES"/>
              </w:rPr>
              <w:t>41.266.670</w:t>
            </w:r>
          </w:p>
        </w:tc>
      </w:tr>
      <w:tr w:rsidR="006E4420" w:rsidRPr="00612D84" w:rsidTr="005C1B4F">
        <w:trPr>
          <w:trHeight w:val="284"/>
          <w:jc w:val="center"/>
        </w:trPr>
        <w:tc>
          <w:tcPr>
            <w:tcW w:w="2267" w:type="dxa"/>
            <w:tcBorders>
              <w:bottom w:val="single" w:sz="4" w:space="0" w:color="auto"/>
            </w:tcBorders>
            <w:vAlign w:val="center"/>
          </w:tcPr>
          <w:p w:rsidR="006E4420" w:rsidRPr="002B74DB" w:rsidRDefault="006E4420" w:rsidP="008A0851">
            <w:pPr>
              <w:widowControl/>
              <w:spacing w:after="0"/>
              <w:ind w:left="96" w:firstLine="0"/>
              <w:jc w:val="left"/>
              <w:rPr>
                <w:rFonts w:ascii="Arial Narrow" w:hAnsi="Arial Narrow"/>
                <w:color w:val="000000"/>
                <w:sz w:val="20"/>
                <w:szCs w:val="20"/>
                <w:lang w:eastAsia="es-ES"/>
              </w:rPr>
            </w:pPr>
            <w:r w:rsidRPr="002B74DB">
              <w:rPr>
                <w:rFonts w:ascii="Arial Narrow" w:hAnsi="Arial Narrow"/>
                <w:color w:val="000000"/>
                <w:sz w:val="20"/>
                <w:szCs w:val="20"/>
                <w:lang w:eastAsia="es-ES"/>
              </w:rPr>
              <w:t>2ª</w:t>
            </w:r>
          </w:p>
        </w:tc>
        <w:tc>
          <w:tcPr>
            <w:tcW w:w="1453" w:type="dxa"/>
            <w:tcBorders>
              <w:bottom w:val="single" w:sz="4" w:space="0" w:color="auto"/>
            </w:tcBorders>
            <w:vAlign w:val="center"/>
          </w:tcPr>
          <w:p w:rsidR="006E4420" w:rsidRPr="008E708D" w:rsidRDefault="006E4420" w:rsidP="008A0851">
            <w:pPr>
              <w:widowControl/>
              <w:spacing w:after="0"/>
              <w:ind w:firstLine="0"/>
              <w:jc w:val="right"/>
              <w:rPr>
                <w:rFonts w:ascii="Arial Narrow" w:hAnsi="Arial Narrow"/>
                <w:color w:val="000000"/>
                <w:sz w:val="20"/>
                <w:szCs w:val="20"/>
                <w:lang w:eastAsia="es-ES"/>
              </w:rPr>
            </w:pPr>
            <w:r>
              <w:rPr>
                <w:rFonts w:ascii="Arial Narrow" w:hAnsi="Arial Narrow"/>
                <w:color w:val="000000"/>
                <w:sz w:val="20"/>
                <w:szCs w:val="20"/>
                <w:lang w:eastAsia="es-ES"/>
              </w:rPr>
              <w:t>219.708</w:t>
            </w:r>
          </w:p>
        </w:tc>
        <w:tc>
          <w:tcPr>
            <w:tcW w:w="1512" w:type="dxa"/>
            <w:tcBorders>
              <w:bottom w:val="single" w:sz="4" w:space="0" w:color="auto"/>
            </w:tcBorders>
            <w:vAlign w:val="center"/>
          </w:tcPr>
          <w:p w:rsidR="006E4420" w:rsidRPr="008E708D" w:rsidRDefault="006E4420" w:rsidP="008A0851">
            <w:pPr>
              <w:widowControl/>
              <w:spacing w:after="0"/>
              <w:ind w:left="71" w:firstLine="0"/>
              <w:jc w:val="right"/>
              <w:rPr>
                <w:rFonts w:ascii="Arial Narrow" w:hAnsi="Arial Narrow"/>
                <w:color w:val="000000"/>
                <w:sz w:val="20"/>
                <w:szCs w:val="20"/>
                <w:lang w:eastAsia="es-ES"/>
              </w:rPr>
            </w:pPr>
            <w:r>
              <w:rPr>
                <w:rFonts w:ascii="Arial Narrow" w:hAnsi="Arial Narrow"/>
                <w:color w:val="000000"/>
                <w:sz w:val="20"/>
                <w:szCs w:val="20"/>
                <w:lang w:eastAsia="es-ES"/>
              </w:rPr>
              <w:t>59.212</w:t>
            </w:r>
          </w:p>
        </w:tc>
        <w:tc>
          <w:tcPr>
            <w:tcW w:w="1344" w:type="dxa"/>
            <w:tcBorders>
              <w:bottom w:val="single" w:sz="4" w:space="0" w:color="auto"/>
            </w:tcBorders>
            <w:vAlign w:val="center"/>
          </w:tcPr>
          <w:p w:rsidR="006E4420" w:rsidRPr="008E708D" w:rsidRDefault="006E4420" w:rsidP="008A0851">
            <w:pPr>
              <w:widowControl/>
              <w:spacing w:after="0"/>
              <w:ind w:firstLine="0"/>
              <w:jc w:val="right"/>
              <w:rPr>
                <w:rFonts w:ascii="Arial Narrow" w:hAnsi="Arial Narrow"/>
                <w:color w:val="000000"/>
                <w:sz w:val="20"/>
                <w:szCs w:val="20"/>
                <w:lang w:eastAsia="es-ES"/>
              </w:rPr>
            </w:pPr>
            <w:r>
              <w:rPr>
                <w:rFonts w:ascii="Arial Narrow" w:hAnsi="Arial Narrow"/>
                <w:color w:val="000000"/>
                <w:sz w:val="20"/>
                <w:szCs w:val="20"/>
                <w:lang w:eastAsia="es-ES"/>
              </w:rPr>
              <w:t>4.166</w:t>
            </w:r>
          </w:p>
        </w:tc>
        <w:tc>
          <w:tcPr>
            <w:tcW w:w="2261" w:type="dxa"/>
            <w:tcBorders>
              <w:bottom w:val="single" w:sz="4" w:space="0" w:color="auto"/>
            </w:tcBorders>
            <w:vAlign w:val="center"/>
          </w:tcPr>
          <w:p w:rsidR="006E4420" w:rsidRPr="007E1556" w:rsidRDefault="006E4420" w:rsidP="008A0851">
            <w:pPr>
              <w:widowControl/>
              <w:spacing w:after="0"/>
              <w:ind w:left="42" w:right="95" w:firstLine="0"/>
              <w:jc w:val="right"/>
              <w:rPr>
                <w:rFonts w:ascii="Arial Narrow" w:hAnsi="Arial Narrow"/>
                <w:color w:val="000000"/>
                <w:sz w:val="20"/>
                <w:szCs w:val="20"/>
                <w:lang w:eastAsia="es-ES"/>
              </w:rPr>
            </w:pPr>
            <w:r w:rsidRPr="007E1556">
              <w:rPr>
                <w:rFonts w:ascii="Arial Narrow" w:hAnsi="Arial Narrow"/>
                <w:color w:val="000000"/>
                <w:sz w:val="20"/>
                <w:szCs w:val="20"/>
                <w:lang w:eastAsia="es-ES"/>
              </w:rPr>
              <w:t>18.610.340</w:t>
            </w:r>
          </w:p>
        </w:tc>
      </w:tr>
      <w:tr w:rsidR="006E4420" w:rsidRPr="00612D84" w:rsidTr="005C1B4F">
        <w:trPr>
          <w:trHeight w:val="284"/>
          <w:jc w:val="center"/>
        </w:trPr>
        <w:tc>
          <w:tcPr>
            <w:tcW w:w="2267" w:type="dxa"/>
            <w:tcBorders>
              <w:top w:val="single" w:sz="4" w:space="0" w:color="auto"/>
              <w:bottom w:val="single" w:sz="4" w:space="0" w:color="auto"/>
            </w:tcBorders>
            <w:shd w:val="clear" w:color="auto" w:fill="B8CCE4" w:themeFill="accent1" w:themeFillTint="66"/>
            <w:vAlign w:val="center"/>
          </w:tcPr>
          <w:p w:rsidR="006E4420" w:rsidRPr="005B3CA8" w:rsidRDefault="006E4420" w:rsidP="008A0851">
            <w:pPr>
              <w:spacing w:after="0"/>
              <w:ind w:left="96" w:firstLine="0"/>
              <w:jc w:val="left"/>
              <w:rPr>
                <w:rFonts w:ascii="Arial" w:hAnsi="Arial" w:cs="Arial"/>
                <w:color w:val="000000"/>
                <w:sz w:val="18"/>
                <w:szCs w:val="18"/>
                <w:lang w:eastAsia="es-ES"/>
              </w:rPr>
            </w:pPr>
            <w:r>
              <w:rPr>
                <w:rFonts w:ascii="Arial" w:hAnsi="Arial" w:cs="Arial"/>
                <w:color w:val="000000"/>
                <w:sz w:val="18"/>
                <w:szCs w:val="18"/>
                <w:lang w:eastAsia="es-ES"/>
              </w:rPr>
              <w:t>Total</w:t>
            </w:r>
          </w:p>
        </w:tc>
        <w:tc>
          <w:tcPr>
            <w:tcW w:w="1453" w:type="dxa"/>
            <w:tcBorders>
              <w:top w:val="single" w:sz="4" w:space="0" w:color="auto"/>
              <w:bottom w:val="single" w:sz="4" w:space="0" w:color="auto"/>
            </w:tcBorders>
            <w:shd w:val="clear" w:color="auto" w:fill="B8CCE4" w:themeFill="accent1" w:themeFillTint="66"/>
            <w:vAlign w:val="center"/>
          </w:tcPr>
          <w:p w:rsidR="006E4420" w:rsidRPr="005B3CA8" w:rsidRDefault="006E4420" w:rsidP="008A0851">
            <w:pPr>
              <w:spacing w:after="0"/>
              <w:ind w:firstLine="0"/>
              <w:jc w:val="right"/>
              <w:rPr>
                <w:rFonts w:ascii="Arial" w:hAnsi="Arial" w:cs="Arial"/>
                <w:color w:val="000000"/>
                <w:sz w:val="18"/>
                <w:szCs w:val="18"/>
                <w:lang w:eastAsia="es-ES"/>
              </w:rPr>
            </w:pPr>
            <w:r>
              <w:rPr>
                <w:rFonts w:ascii="Arial" w:hAnsi="Arial" w:cs="Arial"/>
                <w:color w:val="000000"/>
                <w:sz w:val="18"/>
                <w:szCs w:val="18"/>
                <w:lang w:eastAsia="es-ES"/>
              </w:rPr>
              <w:t>608.363</w:t>
            </w:r>
          </w:p>
        </w:tc>
        <w:tc>
          <w:tcPr>
            <w:tcW w:w="1512" w:type="dxa"/>
            <w:tcBorders>
              <w:top w:val="single" w:sz="4" w:space="0" w:color="auto"/>
              <w:bottom w:val="single" w:sz="4" w:space="0" w:color="auto"/>
            </w:tcBorders>
            <w:shd w:val="clear" w:color="auto" w:fill="B8CCE4" w:themeFill="accent1" w:themeFillTint="66"/>
            <w:vAlign w:val="center"/>
          </w:tcPr>
          <w:p w:rsidR="006E4420" w:rsidRPr="005B3CA8" w:rsidRDefault="006E4420" w:rsidP="008A0851">
            <w:pPr>
              <w:spacing w:after="0"/>
              <w:ind w:left="71" w:firstLine="0"/>
              <w:jc w:val="right"/>
              <w:rPr>
                <w:rFonts w:ascii="Arial" w:hAnsi="Arial" w:cs="Arial"/>
                <w:color w:val="000000"/>
                <w:sz w:val="18"/>
                <w:szCs w:val="18"/>
                <w:lang w:eastAsia="es-ES"/>
              </w:rPr>
            </w:pPr>
            <w:r>
              <w:rPr>
                <w:rFonts w:ascii="Arial" w:hAnsi="Arial" w:cs="Arial"/>
                <w:color w:val="000000"/>
                <w:sz w:val="18"/>
                <w:szCs w:val="18"/>
                <w:lang w:eastAsia="es-ES"/>
              </w:rPr>
              <w:t>133.384</w:t>
            </w:r>
          </w:p>
        </w:tc>
        <w:tc>
          <w:tcPr>
            <w:tcW w:w="1344" w:type="dxa"/>
            <w:tcBorders>
              <w:top w:val="single" w:sz="4" w:space="0" w:color="auto"/>
              <w:bottom w:val="single" w:sz="4" w:space="0" w:color="auto"/>
            </w:tcBorders>
            <w:shd w:val="clear" w:color="auto" w:fill="B8CCE4" w:themeFill="accent1" w:themeFillTint="66"/>
            <w:vAlign w:val="center"/>
          </w:tcPr>
          <w:p w:rsidR="006E4420" w:rsidRPr="005B3CA8" w:rsidRDefault="006E4420" w:rsidP="008A0851">
            <w:pPr>
              <w:spacing w:after="0"/>
              <w:ind w:firstLine="0"/>
              <w:jc w:val="right"/>
              <w:rPr>
                <w:rFonts w:ascii="Arial" w:hAnsi="Arial" w:cs="Arial"/>
                <w:color w:val="000000"/>
                <w:sz w:val="18"/>
                <w:szCs w:val="18"/>
                <w:lang w:eastAsia="es-ES"/>
              </w:rPr>
            </w:pPr>
            <w:r>
              <w:rPr>
                <w:rFonts w:ascii="Arial" w:hAnsi="Arial" w:cs="Arial"/>
                <w:color w:val="000000"/>
                <w:sz w:val="18"/>
                <w:szCs w:val="18"/>
                <w:lang w:eastAsia="es-ES"/>
              </w:rPr>
              <w:t>23.867</w:t>
            </w:r>
          </w:p>
        </w:tc>
        <w:tc>
          <w:tcPr>
            <w:tcW w:w="2261" w:type="dxa"/>
            <w:tcBorders>
              <w:top w:val="single" w:sz="4" w:space="0" w:color="auto"/>
              <w:bottom w:val="single" w:sz="4" w:space="0" w:color="auto"/>
            </w:tcBorders>
            <w:shd w:val="clear" w:color="auto" w:fill="B8CCE4" w:themeFill="accent1" w:themeFillTint="66"/>
            <w:vAlign w:val="center"/>
          </w:tcPr>
          <w:p w:rsidR="006E4420" w:rsidRPr="005B3CA8" w:rsidRDefault="006E4420" w:rsidP="008A0851">
            <w:pPr>
              <w:spacing w:after="0"/>
              <w:ind w:left="42" w:right="95" w:firstLine="0"/>
              <w:jc w:val="right"/>
              <w:rPr>
                <w:rFonts w:ascii="Arial" w:hAnsi="Arial" w:cs="Arial"/>
                <w:color w:val="000000"/>
                <w:sz w:val="18"/>
                <w:szCs w:val="18"/>
                <w:lang w:eastAsia="es-ES"/>
              </w:rPr>
            </w:pPr>
            <w:r>
              <w:rPr>
                <w:rFonts w:ascii="Arial" w:hAnsi="Arial" w:cs="Arial"/>
                <w:color w:val="000000"/>
                <w:sz w:val="18"/>
                <w:szCs w:val="18"/>
                <w:lang w:eastAsia="es-ES"/>
              </w:rPr>
              <w:t>59.877.010</w:t>
            </w:r>
          </w:p>
        </w:tc>
      </w:tr>
    </w:tbl>
    <w:p w:rsidR="006E4420" w:rsidRDefault="006E4420" w:rsidP="008A0851">
      <w:pPr>
        <w:pStyle w:val="texto"/>
        <w:tabs>
          <w:tab w:val="clear" w:pos="2835"/>
          <w:tab w:val="clear" w:pos="3969"/>
          <w:tab w:val="clear" w:pos="5103"/>
          <w:tab w:val="clear" w:pos="6237"/>
          <w:tab w:val="clear" w:pos="7371"/>
        </w:tabs>
        <w:spacing w:after="0"/>
        <w:rPr>
          <w:szCs w:val="26"/>
        </w:rPr>
      </w:pPr>
    </w:p>
    <w:p w:rsidR="006E4420" w:rsidRDefault="006E4420" w:rsidP="006E4420">
      <w:pPr>
        <w:pStyle w:val="texto"/>
        <w:tabs>
          <w:tab w:val="clear" w:pos="2835"/>
          <w:tab w:val="clear" w:pos="3969"/>
          <w:tab w:val="clear" w:pos="5103"/>
          <w:tab w:val="clear" w:pos="6237"/>
          <w:tab w:val="clear" w:pos="7371"/>
        </w:tabs>
        <w:rPr>
          <w:szCs w:val="26"/>
        </w:rPr>
      </w:pPr>
      <w:r>
        <w:rPr>
          <w:szCs w:val="26"/>
        </w:rPr>
        <w:t>Las obras de urbanización concretamente ascienden en la 1ª y 2ª fase a 15,40 y 5,02 millones de euros, respectivamente; la edificación a 25,87 y 13,59 m</w:t>
      </w:r>
      <w:r>
        <w:rPr>
          <w:szCs w:val="26"/>
        </w:rPr>
        <w:t>i</w:t>
      </w:r>
      <w:r>
        <w:rPr>
          <w:szCs w:val="26"/>
        </w:rPr>
        <w:t>llones</w:t>
      </w:r>
      <w:r w:rsidR="00753BDC">
        <w:rPr>
          <w:szCs w:val="26"/>
        </w:rPr>
        <w:t xml:space="preserve"> de euros</w:t>
      </w:r>
      <w:r>
        <w:rPr>
          <w:szCs w:val="26"/>
        </w:rPr>
        <w:t>, respectivamente.</w:t>
      </w:r>
    </w:p>
    <w:p w:rsidR="000E5A01" w:rsidRDefault="000E5A01" w:rsidP="006E4420">
      <w:pPr>
        <w:pStyle w:val="texto"/>
        <w:tabs>
          <w:tab w:val="clear" w:pos="2835"/>
          <w:tab w:val="clear" w:pos="3969"/>
          <w:tab w:val="clear" w:pos="5103"/>
          <w:tab w:val="clear" w:pos="6237"/>
          <w:tab w:val="clear" w:pos="7371"/>
        </w:tabs>
        <w:rPr>
          <w:szCs w:val="26"/>
        </w:rPr>
      </w:pPr>
    </w:p>
    <w:p w:rsidR="000E5A01" w:rsidRDefault="000E5A01" w:rsidP="006E4420">
      <w:pPr>
        <w:pStyle w:val="texto"/>
        <w:tabs>
          <w:tab w:val="clear" w:pos="2835"/>
          <w:tab w:val="clear" w:pos="3969"/>
          <w:tab w:val="clear" w:pos="5103"/>
          <w:tab w:val="clear" w:pos="6237"/>
          <w:tab w:val="clear" w:pos="7371"/>
        </w:tabs>
        <w:rPr>
          <w:szCs w:val="26"/>
        </w:rPr>
      </w:pPr>
    </w:p>
    <w:p w:rsidR="006E4420" w:rsidRDefault="00B56BB6" w:rsidP="006E4420">
      <w:pPr>
        <w:pStyle w:val="texto"/>
        <w:tabs>
          <w:tab w:val="clear" w:pos="2835"/>
          <w:tab w:val="clear" w:pos="3969"/>
          <w:tab w:val="clear" w:pos="5103"/>
          <w:tab w:val="clear" w:pos="6237"/>
          <w:tab w:val="clear" w:pos="7371"/>
        </w:tabs>
      </w:pPr>
      <w:r w:rsidRPr="00BE57C3">
        <w:rPr>
          <w:b/>
        </w:rPr>
        <w:t>4</w:t>
      </w:r>
      <w:r w:rsidR="0023051E" w:rsidRPr="00BE57C3">
        <w:rPr>
          <w:b/>
        </w:rPr>
        <w:t>1</w:t>
      </w:r>
      <w:proofErr w:type="gramStart"/>
      <w:r w:rsidR="00BE57C3" w:rsidRPr="00BE57C3">
        <w:rPr>
          <w:b/>
        </w:rPr>
        <w:t>.</w:t>
      </w:r>
      <w:r w:rsidR="006E4420" w:rsidRPr="00BE57C3">
        <w:rPr>
          <w:b/>
        </w:rPr>
        <w:t>ª</w:t>
      </w:r>
      <w:proofErr w:type="gramEnd"/>
      <w:r w:rsidR="006E4420">
        <w:t xml:space="preserve"> Sobre el procedimiento de contratación de la 3ª fase, señalamos:</w:t>
      </w:r>
    </w:p>
    <w:p w:rsidR="006E4420"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t>La sociedad pública CTP, SA convocó, en mar</w:t>
      </w:r>
      <w:r w:rsidR="003A5AA2">
        <w:t xml:space="preserve">zo de 2005, un concurso </w:t>
      </w:r>
      <w:r>
        <w:t>p</w:t>
      </w:r>
      <w:r>
        <w:t>a</w:t>
      </w:r>
      <w:r>
        <w:t>ra la adjudicación de las obras de urbanización, comercialización y explotación de la 3ª fase de la CT; en esa sesión se aprueban igualmente las bases regulad</w:t>
      </w:r>
      <w:r>
        <w:t>o</w:t>
      </w:r>
      <w:r>
        <w:t xml:space="preserve">ras del mismo. </w:t>
      </w:r>
    </w:p>
    <w:p w:rsidR="00BE57C3" w:rsidRDefault="006E4420" w:rsidP="00753BDC">
      <w:pPr>
        <w:pStyle w:val="texto"/>
        <w:tabs>
          <w:tab w:val="clear" w:pos="2835"/>
          <w:tab w:val="clear" w:pos="3969"/>
          <w:tab w:val="clear" w:pos="5103"/>
          <w:tab w:val="clear" w:pos="6237"/>
          <w:tab w:val="clear" w:pos="7371"/>
        </w:tabs>
        <w:rPr>
          <w:szCs w:val="26"/>
        </w:rPr>
      </w:pPr>
      <w:r w:rsidRPr="00BD3E37">
        <w:rPr>
          <w:szCs w:val="26"/>
        </w:rPr>
        <w:t>La normativa aplicable en el momento de la licitación y tramitación de este contrato es la Ley Foral 10/1998, de 16 de junio, de Contratos de las Admini</w:t>
      </w:r>
      <w:r w:rsidRPr="00BD3E37">
        <w:rPr>
          <w:szCs w:val="26"/>
        </w:rPr>
        <w:t>s</w:t>
      </w:r>
      <w:r w:rsidRPr="00BD3E37">
        <w:rPr>
          <w:szCs w:val="26"/>
        </w:rPr>
        <w:t>traciones Públicas de Navarra, vigente hasta el 6 de julio de 2006. En concreto el artículo 1.4 que señala</w:t>
      </w:r>
      <w:r w:rsidR="00BE57C3">
        <w:rPr>
          <w:szCs w:val="26"/>
        </w:rPr>
        <w:t>:</w:t>
      </w:r>
      <w:r w:rsidRPr="00BD3E37">
        <w:rPr>
          <w:szCs w:val="26"/>
        </w:rPr>
        <w:t xml:space="preserve"> </w:t>
      </w:r>
    </w:p>
    <w:p w:rsidR="006E4420" w:rsidRPr="00BD3E37" w:rsidRDefault="006E4420" w:rsidP="00753BDC">
      <w:pPr>
        <w:pStyle w:val="texto"/>
        <w:tabs>
          <w:tab w:val="clear" w:pos="2835"/>
          <w:tab w:val="clear" w:pos="3969"/>
          <w:tab w:val="clear" w:pos="5103"/>
          <w:tab w:val="clear" w:pos="6237"/>
          <w:tab w:val="clear" w:pos="7371"/>
        </w:tabs>
        <w:rPr>
          <w:szCs w:val="26"/>
        </w:rPr>
      </w:pPr>
      <w:r w:rsidRPr="008A0851">
        <w:rPr>
          <w:sz w:val="22"/>
          <w:szCs w:val="22"/>
        </w:rPr>
        <w:t>“</w:t>
      </w:r>
      <w:r w:rsidRPr="008A0851">
        <w:rPr>
          <w:i/>
          <w:sz w:val="22"/>
          <w:szCs w:val="22"/>
        </w:rPr>
        <w:t>Las sociedades mercantiles en cuyo capital sea mayoritaria la participación directa o indirecta de una Administración, se ajustarán en su actividad contractual a los principios de publicidad, concurrencia, transparencia y objetividad, salvo que la naturaleza de la oper</w:t>
      </w:r>
      <w:r w:rsidRPr="008A0851">
        <w:rPr>
          <w:i/>
          <w:sz w:val="22"/>
          <w:szCs w:val="22"/>
        </w:rPr>
        <w:t>a</w:t>
      </w:r>
      <w:r w:rsidRPr="008A0851">
        <w:rPr>
          <w:i/>
          <w:sz w:val="22"/>
          <w:szCs w:val="22"/>
        </w:rPr>
        <w:t>ción a realizar sea incompatible con estos principios”</w:t>
      </w:r>
      <w:r w:rsidRPr="008A0851">
        <w:rPr>
          <w:sz w:val="22"/>
          <w:szCs w:val="22"/>
        </w:rPr>
        <w:t>.</w:t>
      </w:r>
    </w:p>
    <w:p w:rsidR="006E4420"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La preparación del concurso se encarga por CTP, SA a una empresa co</w:t>
      </w:r>
      <w:r>
        <w:rPr>
          <w:szCs w:val="26"/>
        </w:rPr>
        <w:t>n</w:t>
      </w:r>
      <w:r>
        <w:rPr>
          <w:szCs w:val="26"/>
        </w:rPr>
        <w:t xml:space="preserve">sultora </w:t>
      </w:r>
      <w:r w:rsidR="00753BDC">
        <w:rPr>
          <w:szCs w:val="26"/>
        </w:rPr>
        <w:t>cuyos</w:t>
      </w:r>
      <w:r>
        <w:rPr>
          <w:szCs w:val="26"/>
        </w:rPr>
        <w:t xml:space="preserve"> trabajos se centran esencialmente en preparar el pliego de bases, en la selección de los potenciales candidatos a presentarse al concurso y en la presentación pública del proyecto.</w:t>
      </w:r>
    </w:p>
    <w:p w:rsidR="006E4420" w:rsidRPr="00E708C7"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Como órgano de contratación actuará el consejo de administración de CTP, SA y</w:t>
      </w:r>
      <w:r w:rsidRPr="00E708C7">
        <w:rPr>
          <w:szCs w:val="26"/>
        </w:rPr>
        <w:t xml:space="preserve"> </w:t>
      </w:r>
      <w:r>
        <w:rPr>
          <w:szCs w:val="26"/>
        </w:rPr>
        <w:t>s</w:t>
      </w:r>
      <w:r w:rsidRPr="00E708C7">
        <w:rPr>
          <w:szCs w:val="26"/>
        </w:rPr>
        <w:t>e constituirá una mesa de contratación</w:t>
      </w:r>
      <w:r>
        <w:rPr>
          <w:szCs w:val="26"/>
        </w:rPr>
        <w:t xml:space="preserve"> con vocales </w:t>
      </w:r>
      <w:r w:rsidR="00753BDC">
        <w:rPr>
          <w:szCs w:val="26"/>
        </w:rPr>
        <w:t>designados por</w:t>
      </w:r>
      <w:r>
        <w:rPr>
          <w:szCs w:val="26"/>
        </w:rPr>
        <w:t xml:space="preserve"> la misma.</w:t>
      </w:r>
    </w:p>
    <w:p w:rsidR="006E4420"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t xml:space="preserve">Valor estimado del contrato. </w:t>
      </w:r>
      <w:r w:rsidR="00BD3E37">
        <w:t>Las bases no se acompañan de un valor est</w:t>
      </w:r>
      <w:r w:rsidR="00BD3E37">
        <w:t>i</w:t>
      </w:r>
      <w:r w:rsidR="00BD3E37">
        <w:t xml:space="preserve">mado del contrato </w:t>
      </w:r>
      <w:r w:rsidR="00C25745">
        <w:t>especialmente referido al</w:t>
      </w:r>
      <w:r w:rsidR="00BD3E37">
        <w:t xml:space="preserve"> volumen de negocio esperado</w:t>
      </w:r>
      <w:r w:rsidR="00C25745">
        <w:t xml:space="preserve"> con la explotación de la CT.</w:t>
      </w:r>
      <w:r w:rsidR="00F03C39">
        <w:t xml:space="preserve"> Igualmente se </w:t>
      </w:r>
      <w:r w:rsidR="003271DE">
        <w:t>contempla</w:t>
      </w:r>
      <w:r w:rsidR="00F03C39">
        <w:t xml:space="preserve"> que el adjudicatario deberá abonar un canon mínimo de 15 millones de euros que se devengará con una p</w:t>
      </w:r>
      <w:r w:rsidR="00F03C39">
        <w:t>e</w:t>
      </w:r>
      <w:r w:rsidR="00F03C39">
        <w:t xml:space="preserve">riodicidad anual durante 10 años. </w:t>
      </w:r>
    </w:p>
    <w:p w:rsidR="006E4420"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t>Plazo</w:t>
      </w:r>
      <w:r w:rsidR="00BE57C3">
        <w:t>. S</w:t>
      </w:r>
      <w:r w:rsidR="00BD3E37">
        <w:t>e contemplan diversos plazos parciales para la ejecución de las obras. Igualmente se indica que e</w:t>
      </w:r>
      <w:r>
        <w:t xml:space="preserve">l derecho de superficie </w:t>
      </w:r>
      <w:r w:rsidR="00BD3E37">
        <w:t>tiene una vigencia de</w:t>
      </w:r>
      <w:r>
        <w:t xml:space="preserve"> 15 años desde la aprobación del proyecto de urbanización.</w:t>
      </w:r>
    </w:p>
    <w:p w:rsidR="00DD2BAD" w:rsidRDefault="006E4420" w:rsidP="00D62876">
      <w:pPr>
        <w:pStyle w:val="texto"/>
        <w:numPr>
          <w:ilvl w:val="0"/>
          <w:numId w:val="1"/>
        </w:numPr>
        <w:tabs>
          <w:tab w:val="clear" w:pos="502"/>
          <w:tab w:val="clear" w:pos="2835"/>
          <w:tab w:val="clear" w:pos="3969"/>
          <w:tab w:val="clear" w:pos="5103"/>
          <w:tab w:val="clear" w:pos="6237"/>
          <w:tab w:val="clear" w:pos="7371"/>
          <w:tab w:val="left" w:pos="480"/>
          <w:tab w:val="num" w:pos="600"/>
        </w:tabs>
        <w:spacing w:after="240"/>
        <w:ind w:left="0" w:firstLine="289"/>
      </w:pPr>
      <w:r>
        <w:t xml:space="preserve">Procedimiento y sistema de adjudicación: abierto por concurso y mediante la aplicación de </w:t>
      </w:r>
      <w:r w:rsidR="00DD2BAD">
        <w:t xml:space="preserve">los siguientes </w:t>
      </w:r>
      <w:r>
        <w:t>criterios de valoración reflejados en las bases</w:t>
      </w:r>
      <w:r w:rsidR="00DD2BAD">
        <w:t>:</w:t>
      </w:r>
    </w:p>
    <w:tbl>
      <w:tblPr>
        <w:tblW w:w="8667" w:type="dxa"/>
        <w:jc w:val="center"/>
        <w:tblCellMar>
          <w:left w:w="70" w:type="dxa"/>
          <w:right w:w="70" w:type="dxa"/>
        </w:tblCellMar>
        <w:tblLook w:val="04A0" w:firstRow="1" w:lastRow="0" w:firstColumn="1" w:lastColumn="0" w:noHBand="0" w:noVBand="1"/>
      </w:tblPr>
      <w:tblGrid>
        <w:gridCol w:w="6713"/>
        <w:gridCol w:w="1954"/>
      </w:tblGrid>
      <w:tr w:rsidR="00DD2BAD" w:rsidRPr="000A2B37" w:rsidTr="004D22FC">
        <w:trPr>
          <w:trHeight w:val="284"/>
          <w:jc w:val="center"/>
        </w:trPr>
        <w:tc>
          <w:tcPr>
            <w:tcW w:w="6713" w:type="dxa"/>
            <w:tcBorders>
              <w:top w:val="single" w:sz="4" w:space="0" w:color="auto"/>
              <w:bottom w:val="single" w:sz="4" w:space="0" w:color="auto"/>
            </w:tcBorders>
            <w:shd w:val="clear" w:color="auto" w:fill="B8CCE4" w:themeFill="accent1" w:themeFillTint="66"/>
            <w:noWrap/>
            <w:vAlign w:val="center"/>
          </w:tcPr>
          <w:p w:rsidR="00DD2BAD" w:rsidRPr="000A2B37" w:rsidRDefault="00DD2BAD" w:rsidP="00DD2BAD">
            <w:pPr>
              <w:widowControl w:val="0"/>
              <w:spacing w:after="0"/>
              <w:ind w:firstLine="0"/>
              <w:rPr>
                <w:rFonts w:ascii="Arial" w:hAnsi="Arial" w:cs="Arial"/>
                <w:color w:val="000000"/>
                <w:sz w:val="18"/>
                <w:szCs w:val="18"/>
                <w:lang w:eastAsia="es-ES"/>
              </w:rPr>
            </w:pPr>
            <w:r>
              <w:rPr>
                <w:rFonts w:ascii="Arial" w:hAnsi="Arial" w:cs="Arial"/>
                <w:color w:val="000000"/>
                <w:sz w:val="18"/>
                <w:szCs w:val="18"/>
                <w:lang w:eastAsia="es-ES"/>
              </w:rPr>
              <w:t>Criterios de valoración</w:t>
            </w:r>
          </w:p>
        </w:tc>
        <w:tc>
          <w:tcPr>
            <w:tcW w:w="1954" w:type="dxa"/>
            <w:tcBorders>
              <w:top w:val="single" w:sz="4" w:space="0" w:color="auto"/>
              <w:bottom w:val="single" w:sz="4" w:space="0" w:color="auto"/>
            </w:tcBorders>
            <w:shd w:val="clear" w:color="auto" w:fill="B8CCE4" w:themeFill="accent1" w:themeFillTint="66"/>
            <w:vAlign w:val="center"/>
          </w:tcPr>
          <w:p w:rsidR="00DD2BAD" w:rsidRPr="000A2B37" w:rsidRDefault="00DD2BAD" w:rsidP="004D22FC">
            <w:pPr>
              <w:widowControl w:val="0"/>
              <w:spacing w:after="0"/>
              <w:ind w:left="284" w:firstLine="0"/>
              <w:jc w:val="right"/>
              <w:rPr>
                <w:rFonts w:ascii="Arial" w:hAnsi="Arial" w:cs="Arial"/>
                <w:color w:val="000000"/>
                <w:sz w:val="18"/>
                <w:szCs w:val="18"/>
                <w:lang w:eastAsia="es-ES"/>
              </w:rPr>
            </w:pPr>
            <w:r>
              <w:rPr>
                <w:rFonts w:ascii="Arial" w:hAnsi="Arial" w:cs="Arial"/>
                <w:color w:val="000000"/>
                <w:sz w:val="18"/>
                <w:szCs w:val="18"/>
                <w:lang w:eastAsia="es-ES"/>
              </w:rPr>
              <w:t>Porcentaje</w:t>
            </w:r>
          </w:p>
        </w:tc>
      </w:tr>
      <w:tr w:rsidR="00DD2BAD" w:rsidRPr="000A2B37" w:rsidTr="004D22FC">
        <w:trPr>
          <w:trHeight w:val="284"/>
          <w:jc w:val="center"/>
        </w:trPr>
        <w:tc>
          <w:tcPr>
            <w:tcW w:w="6713" w:type="dxa"/>
            <w:tcBorders>
              <w:top w:val="single" w:sz="4" w:space="0" w:color="auto"/>
              <w:bottom w:val="single" w:sz="2" w:space="0" w:color="auto"/>
            </w:tcBorders>
            <w:shd w:val="clear" w:color="auto" w:fill="auto"/>
            <w:noWrap/>
            <w:vAlign w:val="center"/>
          </w:tcPr>
          <w:p w:rsidR="00DD2BAD" w:rsidRPr="000A2B37" w:rsidRDefault="00DD2BAD" w:rsidP="004D22FC">
            <w:pPr>
              <w:spacing w:after="0"/>
              <w:ind w:firstLine="0"/>
              <w:rPr>
                <w:rFonts w:ascii="Arial Narrow" w:hAnsi="Arial Narrow"/>
                <w:color w:val="000000"/>
                <w:lang w:eastAsia="es-ES"/>
              </w:rPr>
            </w:pPr>
            <w:r>
              <w:rPr>
                <w:rFonts w:ascii="Arial Narrow" w:hAnsi="Arial Narrow"/>
                <w:color w:val="000000"/>
                <w:lang w:eastAsia="es-ES"/>
              </w:rPr>
              <w:t>Económicos</w:t>
            </w:r>
          </w:p>
        </w:tc>
        <w:tc>
          <w:tcPr>
            <w:tcW w:w="1954" w:type="dxa"/>
            <w:tcBorders>
              <w:top w:val="single" w:sz="4" w:space="0" w:color="auto"/>
              <w:bottom w:val="single" w:sz="2" w:space="0" w:color="auto"/>
            </w:tcBorders>
            <w:shd w:val="clear" w:color="auto" w:fill="auto"/>
            <w:noWrap/>
            <w:vAlign w:val="center"/>
          </w:tcPr>
          <w:p w:rsidR="00DD2BAD" w:rsidRPr="000A2B37" w:rsidRDefault="00DD2BAD" w:rsidP="004D22FC">
            <w:pPr>
              <w:spacing w:after="0"/>
              <w:ind w:left="56" w:firstLine="0"/>
              <w:jc w:val="right"/>
              <w:rPr>
                <w:rFonts w:ascii="Arial Narrow" w:hAnsi="Arial Narrow"/>
                <w:color w:val="000000"/>
                <w:lang w:eastAsia="es-ES"/>
              </w:rPr>
            </w:pPr>
            <w:r>
              <w:rPr>
                <w:rFonts w:ascii="Arial Narrow" w:hAnsi="Arial Narrow"/>
                <w:color w:val="000000"/>
                <w:lang w:eastAsia="es-ES"/>
              </w:rPr>
              <w:t>40</w:t>
            </w:r>
          </w:p>
        </w:tc>
      </w:tr>
      <w:tr w:rsidR="00DD2BAD" w:rsidRPr="000A2B37" w:rsidTr="004D22FC">
        <w:trPr>
          <w:trHeight w:val="284"/>
          <w:jc w:val="center"/>
        </w:trPr>
        <w:tc>
          <w:tcPr>
            <w:tcW w:w="6713" w:type="dxa"/>
            <w:tcBorders>
              <w:top w:val="single" w:sz="2" w:space="0" w:color="auto"/>
              <w:bottom w:val="single" w:sz="2" w:space="0" w:color="auto"/>
            </w:tcBorders>
            <w:shd w:val="clear" w:color="auto" w:fill="auto"/>
            <w:noWrap/>
            <w:vAlign w:val="center"/>
          </w:tcPr>
          <w:p w:rsidR="00DD2BAD" w:rsidRPr="000A2B37" w:rsidRDefault="00DD2BAD" w:rsidP="004D22FC">
            <w:pPr>
              <w:spacing w:after="0"/>
              <w:ind w:firstLine="0"/>
              <w:rPr>
                <w:rFonts w:ascii="Arial Narrow" w:hAnsi="Arial Narrow"/>
                <w:color w:val="000000"/>
                <w:lang w:eastAsia="es-ES"/>
              </w:rPr>
            </w:pPr>
            <w:r>
              <w:rPr>
                <w:rFonts w:ascii="Arial Narrow" w:hAnsi="Arial Narrow"/>
                <w:color w:val="000000"/>
                <w:lang w:eastAsia="es-ES"/>
              </w:rPr>
              <w:t>Relativos al ofertante</w:t>
            </w:r>
          </w:p>
        </w:tc>
        <w:tc>
          <w:tcPr>
            <w:tcW w:w="1954" w:type="dxa"/>
            <w:tcBorders>
              <w:top w:val="single" w:sz="2" w:space="0" w:color="auto"/>
              <w:bottom w:val="single" w:sz="2" w:space="0" w:color="auto"/>
            </w:tcBorders>
            <w:shd w:val="clear" w:color="auto" w:fill="auto"/>
            <w:noWrap/>
            <w:vAlign w:val="center"/>
          </w:tcPr>
          <w:p w:rsidR="00DD2BAD" w:rsidRPr="000A2B37" w:rsidRDefault="00DD2BAD" w:rsidP="004D22FC">
            <w:pPr>
              <w:spacing w:after="0"/>
              <w:ind w:left="56" w:firstLine="0"/>
              <w:jc w:val="right"/>
              <w:rPr>
                <w:rFonts w:ascii="Arial Narrow" w:hAnsi="Arial Narrow"/>
                <w:color w:val="000000"/>
                <w:lang w:eastAsia="es-ES"/>
              </w:rPr>
            </w:pPr>
            <w:r>
              <w:rPr>
                <w:rFonts w:ascii="Arial Narrow" w:hAnsi="Arial Narrow"/>
                <w:color w:val="000000"/>
                <w:lang w:eastAsia="es-ES"/>
              </w:rPr>
              <w:t>10</w:t>
            </w:r>
          </w:p>
        </w:tc>
      </w:tr>
      <w:tr w:rsidR="00DD2BAD" w:rsidRPr="000A2B37" w:rsidTr="004D22FC">
        <w:trPr>
          <w:trHeight w:val="284"/>
          <w:jc w:val="center"/>
        </w:trPr>
        <w:tc>
          <w:tcPr>
            <w:tcW w:w="6713" w:type="dxa"/>
            <w:tcBorders>
              <w:top w:val="single" w:sz="2" w:space="0" w:color="auto"/>
              <w:bottom w:val="single" w:sz="2" w:space="0" w:color="auto"/>
            </w:tcBorders>
            <w:shd w:val="clear" w:color="auto" w:fill="auto"/>
            <w:noWrap/>
            <w:vAlign w:val="center"/>
          </w:tcPr>
          <w:p w:rsidR="00DD2BAD" w:rsidRPr="000A2B37" w:rsidRDefault="00DD2BAD" w:rsidP="004D22FC">
            <w:pPr>
              <w:spacing w:after="0"/>
              <w:ind w:firstLine="0"/>
              <w:rPr>
                <w:rFonts w:ascii="Arial Narrow" w:hAnsi="Arial Narrow"/>
                <w:color w:val="000000"/>
                <w:lang w:eastAsia="es-ES"/>
              </w:rPr>
            </w:pPr>
            <w:r>
              <w:rPr>
                <w:rFonts w:ascii="Arial Narrow" w:hAnsi="Arial Narrow"/>
                <w:color w:val="000000"/>
                <w:lang w:eastAsia="es-ES"/>
              </w:rPr>
              <w:t>Relativos al plan de negocio</w:t>
            </w:r>
          </w:p>
        </w:tc>
        <w:tc>
          <w:tcPr>
            <w:tcW w:w="1954" w:type="dxa"/>
            <w:tcBorders>
              <w:top w:val="single" w:sz="2" w:space="0" w:color="auto"/>
              <w:bottom w:val="single" w:sz="2" w:space="0" w:color="auto"/>
            </w:tcBorders>
            <w:shd w:val="clear" w:color="auto" w:fill="auto"/>
            <w:noWrap/>
            <w:vAlign w:val="center"/>
          </w:tcPr>
          <w:p w:rsidR="00DD2BAD" w:rsidRPr="000A2B37" w:rsidRDefault="00DD2BAD" w:rsidP="004D22FC">
            <w:pPr>
              <w:spacing w:after="0"/>
              <w:ind w:left="56" w:firstLine="0"/>
              <w:jc w:val="right"/>
              <w:rPr>
                <w:rFonts w:ascii="Arial Narrow" w:hAnsi="Arial Narrow"/>
                <w:color w:val="000000"/>
                <w:lang w:eastAsia="es-ES"/>
              </w:rPr>
            </w:pPr>
            <w:r>
              <w:rPr>
                <w:rFonts w:ascii="Arial Narrow" w:hAnsi="Arial Narrow"/>
                <w:color w:val="000000"/>
                <w:lang w:eastAsia="es-ES"/>
              </w:rPr>
              <w:t>10</w:t>
            </w:r>
          </w:p>
        </w:tc>
      </w:tr>
      <w:tr w:rsidR="00DD2BAD" w:rsidRPr="000A2B37" w:rsidTr="004D22FC">
        <w:trPr>
          <w:trHeight w:val="284"/>
          <w:jc w:val="center"/>
        </w:trPr>
        <w:tc>
          <w:tcPr>
            <w:tcW w:w="6713" w:type="dxa"/>
            <w:tcBorders>
              <w:top w:val="single" w:sz="2" w:space="0" w:color="auto"/>
              <w:bottom w:val="single" w:sz="4" w:space="0" w:color="auto"/>
            </w:tcBorders>
            <w:shd w:val="clear" w:color="auto" w:fill="auto"/>
            <w:noWrap/>
            <w:vAlign w:val="center"/>
          </w:tcPr>
          <w:p w:rsidR="00DD2BAD" w:rsidRPr="000A2B37" w:rsidRDefault="00DD2BAD" w:rsidP="004D22FC">
            <w:pPr>
              <w:spacing w:after="0"/>
              <w:ind w:firstLine="0"/>
              <w:rPr>
                <w:rFonts w:ascii="Arial Narrow" w:hAnsi="Arial Narrow"/>
                <w:color w:val="000000"/>
                <w:lang w:eastAsia="es-ES"/>
              </w:rPr>
            </w:pPr>
            <w:r>
              <w:rPr>
                <w:rFonts w:ascii="Arial Narrow" w:hAnsi="Arial Narrow"/>
                <w:color w:val="000000"/>
                <w:lang w:eastAsia="es-ES"/>
              </w:rPr>
              <w:t>Técnicos</w:t>
            </w:r>
          </w:p>
        </w:tc>
        <w:tc>
          <w:tcPr>
            <w:tcW w:w="1954" w:type="dxa"/>
            <w:tcBorders>
              <w:top w:val="single" w:sz="2" w:space="0" w:color="auto"/>
              <w:bottom w:val="single" w:sz="4" w:space="0" w:color="auto"/>
            </w:tcBorders>
            <w:shd w:val="clear" w:color="auto" w:fill="auto"/>
            <w:noWrap/>
            <w:vAlign w:val="center"/>
          </w:tcPr>
          <w:p w:rsidR="00DD2BAD" w:rsidRPr="000A2B37" w:rsidRDefault="00DD2BAD" w:rsidP="004D22FC">
            <w:pPr>
              <w:spacing w:after="0"/>
              <w:ind w:left="56" w:firstLine="0"/>
              <w:jc w:val="right"/>
              <w:rPr>
                <w:rFonts w:ascii="Arial Narrow" w:hAnsi="Arial Narrow"/>
                <w:color w:val="000000"/>
                <w:lang w:eastAsia="es-ES"/>
              </w:rPr>
            </w:pPr>
            <w:r>
              <w:rPr>
                <w:rFonts w:ascii="Arial Narrow" w:hAnsi="Arial Narrow"/>
                <w:color w:val="000000"/>
                <w:lang w:eastAsia="es-ES"/>
              </w:rPr>
              <w:t>40</w:t>
            </w:r>
          </w:p>
        </w:tc>
      </w:tr>
      <w:tr w:rsidR="00DD2BAD" w:rsidRPr="000A2B37" w:rsidTr="004D22FC">
        <w:trPr>
          <w:trHeight w:val="284"/>
          <w:jc w:val="center"/>
        </w:trPr>
        <w:tc>
          <w:tcPr>
            <w:tcW w:w="6713" w:type="dxa"/>
            <w:tcBorders>
              <w:top w:val="single" w:sz="4" w:space="0" w:color="auto"/>
              <w:bottom w:val="single" w:sz="4" w:space="0" w:color="auto"/>
            </w:tcBorders>
            <w:shd w:val="clear" w:color="auto" w:fill="B8CCE4" w:themeFill="accent1" w:themeFillTint="66"/>
            <w:noWrap/>
            <w:vAlign w:val="center"/>
          </w:tcPr>
          <w:p w:rsidR="00DD2BAD" w:rsidRPr="000A2B37" w:rsidRDefault="00DD2BAD" w:rsidP="004D22FC">
            <w:pPr>
              <w:widowControl w:val="0"/>
              <w:spacing w:after="0"/>
              <w:ind w:firstLine="0"/>
              <w:rPr>
                <w:rFonts w:ascii="Arial" w:hAnsi="Arial" w:cs="Arial"/>
                <w:color w:val="000000"/>
                <w:sz w:val="18"/>
                <w:szCs w:val="18"/>
                <w:lang w:eastAsia="es-ES"/>
              </w:rPr>
            </w:pPr>
            <w:r>
              <w:rPr>
                <w:rFonts w:ascii="Arial" w:hAnsi="Arial" w:cs="Arial"/>
                <w:color w:val="000000"/>
                <w:sz w:val="18"/>
                <w:szCs w:val="18"/>
                <w:lang w:eastAsia="es-ES"/>
              </w:rPr>
              <w:t>Total</w:t>
            </w:r>
          </w:p>
        </w:tc>
        <w:tc>
          <w:tcPr>
            <w:tcW w:w="1954" w:type="dxa"/>
            <w:tcBorders>
              <w:top w:val="single" w:sz="4" w:space="0" w:color="auto"/>
              <w:bottom w:val="single" w:sz="4" w:space="0" w:color="auto"/>
            </w:tcBorders>
            <w:shd w:val="clear" w:color="auto" w:fill="B8CCE4" w:themeFill="accent1" w:themeFillTint="66"/>
            <w:noWrap/>
            <w:vAlign w:val="center"/>
          </w:tcPr>
          <w:p w:rsidR="00DD2BAD" w:rsidRPr="000A2B37" w:rsidRDefault="00DD2BAD" w:rsidP="00BE57C3">
            <w:pPr>
              <w:widowControl w:val="0"/>
              <w:spacing w:after="0"/>
              <w:ind w:left="284" w:firstLine="0"/>
              <w:jc w:val="right"/>
              <w:rPr>
                <w:rFonts w:ascii="Arial" w:hAnsi="Arial" w:cs="Arial"/>
                <w:color w:val="000000"/>
                <w:sz w:val="18"/>
                <w:szCs w:val="18"/>
                <w:lang w:eastAsia="es-ES"/>
              </w:rPr>
            </w:pPr>
            <w:r>
              <w:rPr>
                <w:rFonts w:ascii="Arial" w:hAnsi="Arial" w:cs="Arial"/>
                <w:color w:val="000000"/>
                <w:sz w:val="18"/>
                <w:szCs w:val="18"/>
                <w:lang w:eastAsia="es-ES"/>
              </w:rPr>
              <w:t>100</w:t>
            </w:r>
          </w:p>
        </w:tc>
      </w:tr>
    </w:tbl>
    <w:p w:rsidR="006E4420" w:rsidRDefault="006E4420" w:rsidP="00BE57C3">
      <w:pPr>
        <w:pStyle w:val="texto"/>
        <w:tabs>
          <w:tab w:val="clear" w:pos="2835"/>
          <w:tab w:val="clear" w:pos="3969"/>
          <w:tab w:val="clear" w:pos="5103"/>
          <w:tab w:val="clear" w:pos="6237"/>
          <w:tab w:val="clear" w:pos="7371"/>
        </w:tabs>
        <w:spacing w:after="0"/>
        <w:ind w:left="289" w:firstLine="0"/>
      </w:pPr>
    </w:p>
    <w:p w:rsidR="000E5A01" w:rsidRDefault="000E5A01" w:rsidP="00BE57C3">
      <w:pPr>
        <w:pStyle w:val="texto"/>
        <w:tabs>
          <w:tab w:val="clear" w:pos="2835"/>
          <w:tab w:val="clear" w:pos="3969"/>
          <w:tab w:val="clear" w:pos="5103"/>
          <w:tab w:val="clear" w:pos="6237"/>
          <w:tab w:val="clear" w:pos="7371"/>
        </w:tabs>
        <w:spacing w:after="0"/>
        <w:ind w:left="289" w:firstLine="0"/>
      </w:pPr>
    </w:p>
    <w:p w:rsidR="00D62876" w:rsidRPr="00730B74" w:rsidRDefault="006E4420" w:rsidP="00730B74">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Publicidad. Se publica en la prensa nacional y la regional el 11 de marzo de 2005. Dicho anuncio incluye la convocatoria de una reunión informativa p</w:t>
      </w:r>
      <w:r>
        <w:rPr>
          <w:szCs w:val="26"/>
        </w:rPr>
        <w:t>a</w:t>
      </w:r>
      <w:r>
        <w:rPr>
          <w:szCs w:val="26"/>
        </w:rPr>
        <w:t>ra las empresas interesadas a celebrar el día 17 de marzo de 2005, a la que asi</w:t>
      </w:r>
      <w:r>
        <w:rPr>
          <w:szCs w:val="26"/>
        </w:rPr>
        <w:t>s</w:t>
      </w:r>
      <w:r>
        <w:rPr>
          <w:szCs w:val="26"/>
        </w:rPr>
        <w:t xml:space="preserve">ten un total de 19 empresas. </w:t>
      </w:r>
      <w:r w:rsidRPr="004F386E">
        <w:rPr>
          <w:szCs w:val="26"/>
        </w:rPr>
        <w:t>Con carácter previo a esos anuncios, se invita en enero de 2005, a las ocho empresas más significativas en materia de grandes promociones logísticas-industriales, efectuándose una presentación del proye</w:t>
      </w:r>
      <w:r w:rsidRPr="004F386E">
        <w:rPr>
          <w:szCs w:val="26"/>
        </w:rPr>
        <w:t>c</w:t>
      </w:r>
      <w:r w:rsidRPr="004F386E">
        <w:rPr>
          <w:szCs w:val="26"/>
        </w:rPr>
        <w:t xml:space="preserve">to tanto en Madrid como en Pamplona. </w:t>
      </w:r>
    </w:p>
    <w:p w:rsidR="006E4420"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Otros aspectos destacables del concurso:</w:t>
      </w:r>
    </w:p>
    <w:p w:rsidR="006E4420" w:rsidRPr="006A41AE" w:rsidRDefault="006E4420" w:rsidP="006E4420">
      <w:pPr>
        <w:pStyle w:val="texto"/>
        <w:tabs>
          <w:tab w:val="clear" w:pos="2835"/>
          <w:tab w:val="clear" w:pos="3969"/>
          <w:tab w:val="clear" w:pos="5103"/>
          <w:tab w:val="clear" w:pos="6237"/>
          <w:tab w:val="clear" w:pos="7371"/>
        </w:tabs>
        <w:rPr>
          <w:spacing w:val="2"/>
          <w:szCs w:val="26"/>
        </w:rPr>
      </w:pPr>
      <w:r>
        <w:rPr>
          <w:szCs w:val="26"/>
        </w:rPr>
        <w:t xml:space="preserve">a) </w:t>
      </w:r>
      <w:r w:rsidRPr="006A41AE">
        <w:rPr>
          <w:spacing w:val="2"/>
          <w:szCs w:val="26"/>
        </w:rPr>
        <w:t>El adjudicatario se obliga a explotar en régimen de arrendamiento al menos el 20 por ciento de la superficie total de las naves previstas en el PSIS ampliado.</w:t>
      </w:r>
    </w:p>
    <w:p w:rsidR="006E4420" w:rsidRPr="00E708C7" w:rsidRDefault="006E4420" w:rsidP="006E4420">
      <w:pPr>
        <w:pStyle w:val="texto"/>
        <w:tabs>
          <w:tab w:val="clear" w:pos="2835"/>
          <w:tab w:val="clear" w:pos="3969"/>
          <w:tab w:val="clear" w:pos="5103"/>
          <w:tab w:val="clear" w:pos="6237"/>
          <w:tab w:val="clear" w:pos="7371"/>
        </w:tabs>
        <w:rPr>
          <w:szCs w:val="26"/>
        </w:rPr>
      </w:pPr>
      <w:r>
        <w:rPr>
          <w:szCs w:val="26"/>
        </w:rPr>
        <w:t xml:space="preserve">b) </w:t>
      </w:r>
      <w:r w:rsidRPr="00E708C7">
        <w:rPr>
          <w:szCs w:val="26"/>
        </w:rPr>
        <w:t>La oferta también debe incluir la descripción</w:t>
      </w:r>
      <w:r>
        <w:rPr>
          <w:szCs w:val="26"/>
        </w:rPr>
        <w:t xml:space="preserve"> y coste</w:t>
      </w:r>
      <w:r w:rsidRPr="00E708C7">
        <w:rPr>
          <w:szCs w:val="26"/>
        </w:rPr>
        <w:t xml:space="preserve"> de los </w:t>
      </w:r>
      <w:r>
        <w:rPr>
          <w:szCs w:val="26"/>
        </w:rPr>
        <w:t>s</w:t>
      </w:r>
      <w:r w:rsidRPr="00E708C7">
        <w:rPr>
          <w:szCs w:val="26"/>
        </w:rPr>
        <w:t xml:space="preserve">istemas </w:t>
      </w:r>
      <w:r>
        <w:rPr>
          <w:szCs w:val="26"/>
        </w:rPr>
        <w:t>g</w:t>
      </w:r>
      <w:r w:rsidRPr="00E708C7">
        <w:rPr>
          <w:szCs w:val="26"/>
        </w:rPr>
        <w:t>en</w:t>
      </w:r>
      <w:r w:rsidRPr="00E708C7">
        <w:rPr>
          <w:szCs w:val="26"/>
        </w:rPr>
        <w:t>e</w:t>
      </w:r>
      <w:r w:rsidRPr="00E708C7">
        <w:rPr>
          <w:szCs w:val="26"/>
        </w:rPr>
        <w:t>rales comunes a la 3ª y 4ª fase (abastecimiento, saneamiento, energía, comun</w:t>
      </w:r>
      <w:r w:rsidRPr="00E708C7">
        <w:rPr>
          <w:szCs w:val="26"/>
        </w:rPr>
        <w:t>i</w:t>
      </w:r>
      <w:r w:rsidRPr="00E708C7">
        <w:rPr>
          <w:szCs w:val="26"/>
        </w:rPr>
        <w:t>caciones, seguridad, viales generales)</w:t>
      </w:r>
      <w:r>
        <w:rPr>
          <w:szCs w:val="26"/>
        </w:rPr>
        <w:t>.</w:t>
      </w:r>
      <w:r w:rsidRPr="00E708C7">
        <w:rPr>
          <w:szCs w:val="26"/>
        </w:rPr>
        <w:t xml:space="preserve"> </w:t>
      </w:r>
    </w:p>
    <w:p w:rsidR="006E4420" w:rsidRDefault="006E4420" w:rsidP="006E4420">
      <w:pPr>
        <w:pStyle w:val="texto"/>
        <w:tabs>
          <w:tab w:val="clear" w:pos="2835"/>
          <w:tab w:val="clear" w:pos="3969"/>
          <w:tab w:val="clear" w:pos="5103"/>
          <w:tab w:val="clear" w:pos="6237"/>
          <w:tab w:val="clear" w:pos="7371"/>
        </w:tabs>
        <w:rPr>
          <w:szCs w:val="26"/>
        </w:rPr>
      </w:pPr>
      <w:r>
        <w:rPr>
          <w:szCs w:val="26"/>
        </w:rPr>
        <w:t>c)</w:t>
      </w:r>
      <w:r w:rsidRPr="00F06912">
        <w:t xml:space="preserve"> </w:t>
      </w:r>
      <w:r w:rsidRPr="002A7D97">
        <w:t>Los licitadores deberán incluir en su oferta la construcción y entrega llave en mano de un aparcamiento de vehículos pesados</w:t>
      </w:r>
      <w:r>
        <w:t xml:space="preserve"> (ampliación del ya existente)</w:t>
      </w:r>
    </w:p>
    <w:p w:rsidR="006E4420" w:rsidRDefault="006E4420" w:rsidP="006E4420">
      <w:pPr>
        <w:pStyle w:val="texto"/>
        <w:tabs>
          <w:tab w:val="clear" w:pos="2835"/>
          <w:tab w:val="clear" w:pos="3969"/>
          <w:tab w:val="clear" w:pos="5103"/>
          <w:tab w:val="clear" w:pos="6237"/>
          <w:tab w:val="clear" w:pos="7371"/>
        </w:tabs>
        <w:rPr>
          <w:szCs w:val="26"/>
        </w:rPr>
      </w:pPr>
      <w:r>
        <w:rPr>
          <w:szCs w:val="26"/>
        </w:rPr>
        <w:t xml:space="preserve">d) </w:t>
      </w:r>
      <w:r w:rsidRPr="00E708C7">
        <w:rPr>
          <w:szCs w:val="26"/>
        </w:rPr>
        <w:t>Compromiso de recompra de</w:t>
      </w:r>
      <w:r>
        <w:rPr>
          <w:szCs w:val="26"/>
        </w:rPr>
        <w:t xml:space="preserve"> CTP, SA</w:t>
      </w:r>
      <w:r w:rsidRPr="00E708C7">
        <w:rPr>
          <w:szCs w:val="26"/>
        </w:rPr>
        <w:t>: Si transcurrido el plazo de dur</w:t>
      </w:r>
      <w:r w:rsidRPr="00E708C7">
        <w:rPr>
          <w:szCs w:val="26"/>
        </w:rPr>
        <w:t>a</w:t>
      </w:r>
      <w:r w:rsidRPr="00E708C7">
        <w:rPr>
          <w:szCs w:val="26"/>
        </w:rPr>
        <w:t>ción del derecho de superficie quedasen bienes sin enajenar por el adjudicat</w:t>
      </w:r>
      <w:r w:rsidRPr="00E708C7">
        <w:rPr>
          <w:szCs w:val="26"/>
        </w:rPr>
        <w:t>a</w:t>
      </w:r>
      <w:r w:rsidRPr="00E708C7">
        <w:rPr>
          <w:szCs w:val="26"/>
        </w:rPr>
        <w:t>rio, CTP</w:t>
      </w:r>
      <w:r>
        <w:rPr>
          <w:szCs w:val="26"/>
        </w:rPr>
        <w:t>, SA</w:t>
      </w:r>
      <w:r w:rsidRPr="00E708C7">
        <w:rPr>
          <w:szCs w:val="26"/>
        </w:rPr>
        <w:t xml:space="preserve"> tendrá la opción de ejercitar la compra de los mismos a los pr</w:t>
      </w:r>
      <w:r w:rsidRPr="00E708C7">
        <w:rPr>
          <w:szCs w:val="26"/>
        </w:rPr>
        <w:t>e</w:t>
      </w:r>
      <w:r w:rsidRPr="00E708C7">
        <w:rPr>
          <w:szCs w:val="26"/>
        </w:rPr>
        <w:t xml:space="preserve">cios </w:t>
      </w:r>
      <w:r>
        <w:rPr>
          <w:szCs w:val="26"/>
        </w:rPr>
        <w:t xml:space="preserve">actualizados </w:t>
      </w:r>
      <w:r w:rsidRPr="00E708C7">
        <w:rPr>
          <w:szCs w:val="26"/>
        </w:rPr>
        <w:t>ofertados por el adjudicatario</w:t>
      </w:r>
      <w:r>
        <w:rPr>
          <w:szCs w:val="26"/>
        </w:rPr>
        <w:t>.</w:t>
      </w:r>
      <w:r w:rsidRPr="00E708C7">
        <w:rPr>
          <w:szCs w:val="26"/>
        </w:rPr>
        <w:t xml:space="preserve"> </w:t>
      </w:r>
    </w:p>
    <w:p w:rsidR="006E4420"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Al concurso finalmente solo se presenta una oferta que coincide con la UTE adjudicataria de las obras de 1ª y 2ª fase de la CT.</w:t>
      </w:r>
    </w:p>
    <w:p w:rsidR="006E4420"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La mesa de contratación</w:t>
      </w:r>
      <w:r w:rsidRPr="00E708C7">
        <w:rPr>
          <w:szCs w:val="26"/>
        </w:rPr>
        <w:t xml:space="preserve"> </w:t>
      </w:r>
      <w:r w:rsidR="00BD3E37">
        <w:rPr>
          <w:szCs w:val="26"/>
        </w:rPr>
        <w:t>solicita</w:t>
      </w:r>
      <w:r>
        <w:rPr>
          <w:szCs w:val="26"/>
        </w:rPr>
        <w:t xml:space="preserve"> dos informes técnicos que analizan la pr</w:t>
      </w:r>
      <w:r>
        <w:rPr>
          <w:szCs w:val="26"/>
        </w:rPr>
        <w:t>o</w:t>
      </w:r>
      <w:r>
        <w:rPr>
          <w:szCs w:val="26"/>
        </w:rPr>
        <w:t>puesta presentada por la UTE</w:t>
      </w:r>
      <w:r w:rsidR="00EF77DE">
        <w:rPr>
          <w:szCs w:val="26"/>
        </w:rPr>
        <w:t xml:space="preserve"> </w:t>
      </w:r>
      <w:r w:rsidR="003B0F13">
        <w:rPr>
          <w:szCs w:val="26"/>
        </w:rPr>
        <w:t>–que incluye variantes o mejoras-</w:t>
      </w:r>
      <w:r>
        <w:rPr>
          <w:szCs w:val="26"/>
        </w:rPr>
        <w:t xml:space="preserve">y </w:t>
      </w:r>
      <w:r w:rsidR="00BD3E37">
        <w:rPr>
          <w:szCs w:val="26"/>
        </w:rPr>
        <w:t>que concl</w:t>
      </w:r>
      <w:r w:rsidR="00BD3E37">
        <w:rPr>
          <w:szCs w:val="26"/>
        </w:rPr>
        <w:t>u</w:t>
      </w:r>
      <w:r w:rsidR="00BD3E37">
        <w:rPr>
          <w:szCs w:val="26"/>
        </w:rPr>
        <w:t xml:space="preserve">yen que la </w:t>
      </w:r>
      <w:r w:rsidR="002311B0">
        <w:rPr>
          <w:szCs w:val="26"/>
        </w:rPr>
        <w:t>misma</w:t>
      </w:r>
      <w:r w:rsidR="00EF77DE">
        <w:rPr>
          <w:szCs w:val="26"/>
        </w:rPr>
        <w:t xml:space="preserve"> </w:t>
      </w:r>
      <w:r>
        <w:rPr>
          <w:szCs w:val="26"/>
        </w:rPr>
        <w:t xml:space="preserve">difiere de las determinaciones del PSIS de la ampliación, no </w:t>
      </w:r>
      <w:r w:rsidR="00BD3E37">
        <w:rPr>
          <w:szCs w:val="26"/>
        </w:rPr>
        <w:t xml:space="preserve">se </w:t>
      </w:r>
      <w:r>
        <w:rPr>
          <w:szCs w:val="26"/>
        </w:rPr>
        <w:t>justifica</w:t>
      </w:r>
      <w:r w:rsidR="00BD3E37">
        <w:rPr>
          <w:szCs w:val="26"/>
        </w:rPr>
        <w:t>n suf</w:t>
      </w:r>
      <w:r w:rsidR="002311B0">
        <w:rPr>
          <w:szCs w:val="26"/>
        </w:rPr>
        <w:t>icientemente</w:t>
      </w:r>
      <w:r>
        <w:rPr>
          <w:szCs w:val="26"/>
        </w:rPr>
        <w:t xml:space="preserve"> los costes de los sistemas generales imputables a la 4ª fase, no </w:t>
      </w:r>
      <w:r w:rsidR="002311B0">
        <w:rPr>
          <w:szCs w:val="26"/>
        </w:rPr>
        <w:t>se adjuntan</w:t>
      </w:r>
      <w:r>
        <w:rPr>
          <w:szCs w:val="26"/>
        </w:rPr>
        <w:t xml:space="preserve"> compromisos de las entidades financieras que garant</w:t>
      </w:r>
      <w:r>
        <w:rPr>
          <w:szCs w:val="26"/>
        </w:rPr>
        <w:t>i</w:t>
      </w:r>
      <w:r>
        <w:rPr>
          <w:szCs w:val="26"/>
        </w:rPr>
        <w:t xml:space="preserve">cen la captación de recursos por la UTE y </w:t>
      </w:r>
      <w:r w:rsidR="002311B0">
        <w:rPr>
          <w:szCs w:val="26"/>
        </w:rPr>
        <w:t>da</w:t>
      </w:r>
      <w:r>
        <w:rPr>
          <w:szCs w:val="26"/>
        </w:rPr>
        <w:t xml:space="preserve"> por supuesto que la sociedad CTP, SA ejercerá la opción de compra sobre los bienes no enajenados una vez co</w:t>
      </w:r>
      <w:r>
        <w:rPr>
          <w:szCs w:val="26"/>
        </w:rPr>
        <w:t>n</w:t>
      </w:r>
      <w:r>
        <w:rPr>
          <w:szCs w:val="26"/>
        </w:rPr>
        <w:t>cluida la vigencia del derecho de superficie.</w:t>
      </w:r>
    </w:p>
    <w:p w:rsidR="006E4420" w:rsidRDefault="006E4420" w:rsidP="006E4420">
      <w:pPr>
        <w:pStyle w:val="texto"/>
        <w:tabs>
          <w:tab w:val="clear" w:pos="2835"/>
          <w:tab w:val="clear" w:pos="3969"/>
          <w:tab w:val="clear" w:pos="5103"/>
          <w:tab w:val="clear" w:pos="6237"/>
          <w:tab w:val="clear" w:pos="7371"/>
        </w:tabs>
        <w:rPr>
          <w:szCs w:val="26"/>
        </w:rPr>
      </w:pPr>
      <w:r>
        <w:rPr>
          <w:szCs w:val="26"/>
        </w:rPr>
        <w:t xml:space="preserve">En cuanto a la oferta económica, el importe y pago del canon de 15 millones se ajusta a las bases; por otra parte, el porcentaje a percibir por CTP, SA por las ventas realizadas se eleva del dos al 2,5 por ciento. </w:t>
      </w:r>
    </w:p>
    <w:p w:rsidR="006E4420" w:rsidRDefault="006E4420" w:rsidP="006E4420">
      <w:pPr>
        <w:pStyle w:val="texto"/>
        <w:tabs>
          <w:tab w:val="clear" w:pos="2835"/>
          <w:tab w:val="clear" w:pos="3969"/>
          <w:tab w:val="clear" w:pos="5103"/>
          <w:tab w:val="clear" w:pos="6237"/>
          <w:tab w:val="clear" w:pos="7371"/>
        </w:tabs>
        <w:rPr>
          <w:szCs w:val="26"/>
        </w:rPr>
      </w:pPr>
      <w:r>
        <w:rPr>
          <w:szCs w:val="26"/>
        </w:rPr>
        <w:t>No consta</w:t>
      </w:r>
      <w:r w:rsidR="00B17770">
        <w:rPr>
          <w:szCs w:val="26"/>
        </w:rPr>
        <w:t xml:space="preserve"> </w:t>
      </w:r>
      <w:r w:rsidR="00BD3E37">
        <w:rPr>
          <w:szCs w:val="26"/>
        </w:rPr>
        <w:t>documentalmente</w:t>
      </w:r>
      <w:r>
        <w:rPr>
          <w:szCs w:val="26"/>
        </w:rPr>
        <w:t xml:space="preserve"> la aplicación efectiva de los criterios de </w:t>
      </w:r>
      <w:r w:rsidR="003A5AA2">
        <w:rPr>
          <w:szCs w:val="26"/>
        </w:rPr>
        <w:t>valor</w:t>
      </w:r>
      <w:r w:rsidR="003A5AA2">
        <w:rPr>
          <w:szCs w:val="26"/>
        </w:rPr>
        <w:t>a</w:t>
      </w:r>
      <w:r w:rsidR="003A5AA2">
        <w:rPr>
          <w:szCs w:val="26"/>
        </w:rPr>
        <w:t>ción</w:t>
      </w:r>
      <w:r>
        <w:rPr>
          <w:szCs w:val="26"/>
        </w:rPr>
        <w:t xml:space="preserve"> previstos en las bases</w:t>
      </w:r>
      <w:r w:rsidR="00B17770">
        <w:rPr>
          <w:szCs w:val="26"/>
        </w:rPr>
        <w:t xml:space="preserve"> sobre la propuesta presentada</w:t>
      </w:r>
      <w:r>
        <w:rPr>
          <w:szCs w:val="26"/>
        </w:rPr>
        <w:t>.</w:t>
      </w:r>
    </w:p>
    <w:p w:rsidR="00D62876" w:rsidRPr="00730B74" w:rsidRDefault="006E4420" w:rsidP="00730B74">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La mesa de contratación en sesión celebrada el 23 de junio de 2005 acue</w:t>
      </w:r>
      <w:r>
        <w:rPr>
          <w:szCs w:val="26"/>
        </w:rPr>
        <w:t>r</w:t>
      </w:r>
      <w:r>
        <w:rPr>
          <w:szCs w:val="26"/>
        </w:rPr>
        <w:t>da elevar al órgano de contratación una propuesta de adjudicación “</w:t>
      </w:r>
      <w:r w:rsidRPr="00DA4E56">
        <w:rPr>
          <w:szCs w:val="26"/>
        </w:rPr>
        <w:t>provisi</w:t>
      </w:r>
      <w:r w:rsidRPr="00DA4E56">
        <w:rPr>
          <w:szCs w:val="26"/>
        </w:rPr>
        <w:t>o</w:t>
      </w:r>
      <w:r w:rsidRPr="00DA4E56">
        <w:rPr>
          <w:szCs w:val="26"/>
        </w:rPr>
        <w:t>nal</w:t>
      </w:r>
      <w:r>
        <w:rPr>
          <w:szCs w:val="26"/>
        </w:rPr>
        <w:t>”</w:t>
      </w:r>
      <w:r w:rsidRPr="00DA4E56">
        <w:rPr>
          <w:szCs w:val="26"/>
        </w:rPr>
        <w:t xml:space="preserve"> a la UTE condicionando la definitiva a la aceptación y cumplimiento por la misma de </w:t>
      </w:r>
      <w:r>
        <w:rPr>
          <w:szCs w:val="26"/>
        </w:rPr>
        <w:t>una serie de condiciones, entre las que citamos la redacción de una modificación del PSIS de la ampliación</w:t>
      </w:r>
      <w:r w:rsidR="003766DC">
        <w:rPr>
          <w:szCs w:val="26"/>
        </w:rPr>
        <w:t xml:space="preserve"> para adecuarlo a la propuesta present</w:t>
      </w:r>
      <w:r w:rsidR="003766DC">
        <w:rPr>
          <w:szCs w:val="26"/>
        </w:rPr>
        <w:t>a</w:t>
      </w:r>
      <w:r w:rsidR="003766DC">
        <w:rPr>
          <w:szCs w:val="26"/>
        </w:rPr>
        <w:t>da</w:t>
      </w:r>
      <w:r w:rsidR="003B0F13">
        <w:rPr>
          <w:szCs w:val="26"/>
        </w:rPr>
        <w:t xml:space="preserve"> –dado que se admiten las variantes presentadas-</w:t>
      </w:r>
      <w:r>
        <w:rPr>
          <w:szCs w:val="26"/>
        </w:rPr>
        <w:t xml:space="preserve"> y justificar el coste de los sistemas generales a imputar a la 4 ª fase. El  </w:t>
      </w:r>
      <w:r w:rsidRPr="00DA4E56">
        <w:rPr>
          <w:szCs w:val="26"/>
        </w:rPr>
        <w:t xml:space="preserve">27 de junio de 2005, el consejo de administración de CTP, SA acuerda proceder a la </w:t>
      </w:r>
      <w:r>
        <w:rPr>
          <w:szCs w:val="26"/>
        </w:rPr>
        <w:t>citada adjudicación provisi</w:t>
      </w:r>
      <w:r>
        <w:rPr>
          <w:szCs w:val="26"/>
        </w:rPr>
        <w:t>o</w:t>
      </w:r>
      <w:r>
        <w:rPr>
          <w:szCs w:val="26"/>
        </w:rPr>
        <w:t xml:space="preserve">nal </w:t>
      </w:r>
      <w:r w:rsidRPr="00DA4E56">
        <w:rPr>
          <w:szCs w:val="26"/>
        </w:rPr>
        <w:t>condicionando la definitiva a la aceptación y cumplimiento de las anteriores condiciones.</w:t>
      </w:r>
    </w:p>
    <w:p w:rsidR="006E4420" w:rsidRPr="00F475C7"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 xml:space="preserve">En febrero de 2006, la mesa eleva propuesta de adjudicación definitiva mediante un informe en que se contrasta que se han cumplido las exigencias contempladas en la adjudicación provisional. </w:t>
      </w:r>
      <w:r w:rsidRPr="00BF2CC0">
        <w:rPr>
          <w:szCs w:val="26"/>
        </w:rPr>
        <w:t>Por acuerdo adoptado en sesión del consejo de administración de CTP,</w:t>
      </w:r>
      <w:r>
        <w:rPr>
          <w:szCs w:val="26"/>
        </w:rPr>
        <w:t xml:space="preserve"> </w:t>
      </w:r>
      <w:r w:rsidRPr="00BF2CC0">
        <w:rPr>
          <w:szCs w:val="26"/>
        </w:rPr>
        <w:t>SA de 1 de marzo de 2006, se adjudicó</w:t>
      </w:r>
      <w:r>
        <w:rPr>
          <w:szCs w:val="26"/>
        </w:rPr>
        <w:t xml:space="preserve"> definitivamente</w:t>
      </w:r>
      <w:r w:rsidRPr="00BF2CC0">
        <w:rPr>
          <w:szCs w:val="26"/>
        </w:rPr>
        <w:t xml:space="preserve"> el citado concurso a la UTE formalizándose el correspondiente contrato con fecha 17 de marzo de 2006. </w:t>
      </w:r>
    </w:p>
    <w:p w:rsidR="006E4420" w:rsidRPr="001A3BC9" w:rsidRDefault="006E4420" w:rsidP="00CA4D96">
      <w:pPr>
        <w:pStyle w:val="texto"/>
        <w:tabs>
          <w:tab w:val="clear" w:pos="2835"/>
          <w:tab w:val="clear" w:pos="3969"/>
          <w:tab w:val="clear" w:pos="5103"/>
          <w:tab w:val="clear" w:pos="6237"/>
          <w:tab w:val="clear" w:pos="7371"/>
        </w:tabs>
        <w:rPr>
          <w:szCs w:val="26"/>
        </w:rPr>
      </w:pPr>
      <w:r w:rsidRPr="001A3BC9">
        <w:rPr>
          <w:szCs w:val="26"/>
        </w:rPr>
        <w:t>En conclusión, el procedimiento de contratación se ha ajustado</w:t>
      </w:r>
      <w:r w:rsidR="00CA4D96" w:rsidRPr="001A3BC9">
        <w:rPr>
          <w:szCs w:val="26"/>
        </w:rPr>
        <w:t xml:space="preserve"> al cumpl</w:t>
      </w:r>
      <w:r w:rsidR="00CA4D96" w:rsidRPr="001A3BC9">
        <w:rPr>
          <w:szCs w:val="26"/>
        </w:rPr>
        <w:t>i</w:t>
      </w:r>
      <w:r w:rsidR="00CA4D96" w:rsidRPr="001A3BC9">
        <w:rPr>
          <w:szCs w:val="26"/>
        </w:rPr>
        <w:t>miento del</w:t>
      </w:r>
      <w:r w:rsidRPr="001A3BC9">
        <w:rPr>
          <w:szCs w:val="26"/>
        </w:rPr>
        <w:t xml:space="preserve"> principio de publicidad</w:t>
      </w:r>
      <w:r w:rsidR="00CA4D96" w:rsidRPr="001A3BC9">
        <w:rPr>
          <w:szCs w:val="26"/>
        </w:rPr>
        <w:t xml:space="preserve"> así como al resto de principios básicos</w:t>
      </w:r>
      <w:r w:rsidR="007C0C8C">
        <w:rPr>
          <w:szCs w:val="26"/>
        </w:rPr>
        <w:t xml:space="preserve"> apl</w:t>
      </w:r>
      <w:r w:rsidR="007C0C8C">
        <w:rPr>
          <w:szCs w:val="26"/>
        </w:rPr>
        <w:t>i</w:t>
      </w:r>
      <w:r w:rsidR="007C0C8C">
        <w:rPr>
          <w:szCs w:val="26"/>
        </w:rPr>
        <w:t>cables</w:t>
      </w:r>
      <w:r w:rsidR="00CA4D96" w:rsidRPr="001A3BC9">
        <w:rPr>
          <w:szCs w:val="26"/>
        </w:rPr>
        <w:t>. Además se aplicaron trámites o procedimientos no exigibles, en ese momento, en procesos gestionados por las empresas públicas (mesas de contr</w:t>
      </w:r>
      <w:r w:rsidR="00CA4D96" w:rsidRPr="001A3BC9">
        <w:rPr>
          <w:szCs w:val="26"/>
        </w:rPr>
        <w:t>a</w:t>
      </w:r>
      <w:r w:rsidR="00CA4D96" w:rsidRPr="001A3BC9">
        <w:rPr>
          <w:szCs w:val="26"/>
        </w:rPr>
        <w:t>tación, informes técnicos, etc.</w:t>
      </w:r>
      <w:r w:rsidR="001570CE">
        <w:rPr>
          <w:szCs w:val="26"/>
        </w:rPr>
        <w:t>)</w:t>
      </w:r>
    </w:p>
    <w:p w:rsidR="006E4420" w:rsidRPr="00BF2CC0" w:rsidRDefault="006E4420" w:rsidP="006E4420">
      <w:pPr>
        <w:pStyle w:val="texto"/>
        <w:tabs>
          <w:tab w:val="clear" w:pos="2835"/>
          <w:tab w:val="clear" w:pos="3969"/>
          <w:tab w:val="clear" w:pos="5103"/>
          <w:tab w:val="clear" w:pos="6237"/>
          <w:tab w:val="clear" w:pos="7371"/>
        </w:tabs>
        <w:rPr>
          <w:szCs w:val="26"/>
        </w:rPr>
      </w:pPr>
      <w:r w:rsidRPr="00BE57C3">
        <w:rPr>
          <w:b/>
          <w:szCs w:val="26"/>
        </w:rPr>
        <w:t>4</w:t>
      </w:r>
      <w:r w:rsidR="0023051E" w:rsidRPr="00BE57C3">
        <w:rPr>
          <w:b/>
          <w:szCs w:val="26"/>
        </w:rPr>
        <w:t>2</w:t>
      </w:r>
      <w:r w:rsidR="00BE57C3" w:rsidRPr="00BE57C3">
        <w:rPr>
          <w:b/>
          <w:szCs w:val="26"/>
        </w:rPr>
        <w:t>.</w:t>
      </w:r>
      <w:r w:rsidRPr="00BE57C3">
        <w:rPr>
          <w:b/>
          <w:szCs w:val="26"/>
        </w:rPr>
        <w:t>ª</w:t>
      </w:r>
      <w:r>
        <w:rPr>
          <w:szCs w:val="26"/>
        </w:rPr>
        <w:t xml:space="preserve"> </w:t>
      </w:r>
      <w:r w:rsidRPr="00BF2CC0">
        <w:rPr>
          <w:szCs w:val="26"/>
        </w:rPr>
        <w:t>De</w:t>
      </w:r>
      <w:r>
        <w:rPr>
          <w:szCs w:val="26"/>
        </w:rPr>
        <w:t>l contrato firmado para la 3ª fase señalamos</w:t>
      </w:r>
      <w:r w:rsidRPr="00BF2CC0">
        <w:rPr>
          <w:szCs w:val="26"/>
        </w:rPr>
        <w:t xml:space="preserve"> los siguientes aspectos:</w:t>
      </w:r>
    </w:p>
    <w:p w:rsidR="006E4420" w:rsidRPr="0087776D"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rsidRPr="0087776D">
        <w:t>La sociedad CTP, SA constituye un derecho de superficie a favor de la UTE con vigencia hasta el 15 de diciembre de 2021.</w:t>
      </w:r>
    </w:p>
    <w:p w:rsidR="006E4420" w:rsidRPr="0087776D"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rsidRPr="0087776D">
        <w:t>La UTE abonar</w:t>
      </w:r>
      <w:r>
        <w:t>á</w:t>
      </w:r>
      <w:r w:rsidRPr="0087776D">
        <w:t xml:space="preserve"> a CTP, SA un canon total de 15 millones de euros que se devengará con una periodicidad anual de 1,5 millones de euros, actualizado con el IPC, y una duración de 10 años. </w:t>
      </w:r>
    </w:p>
    <w:p w:rsidR="006E4420" w:rsidRPr="0087776D"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rsidRPr="0087776D">
        <w:t xml:space="preserve">La UTE se compromete a ejecutar a cuenta de CTP, SA la </w:t>
      </w:r>
      <w:r w:rsidR="00730B74">
        <w:t xml:space="preserve">construcción </w:t>
      </w:r>
      <w:r w:rsidRPr="0087776D">
        <w:t xml:space="preserve">de </w:t>
      </w:r>
      <w:r w:rsidR="00984724">
        <w:t xml:space="preserve">los </w:t>
      </w:r>
      <w:r w:rsidRPr="0087776D">
        <w:t>sistema</w:t>
      </w:r>
      <w:r w:rsidR="00984724">
        <w:t>s</w:t>
      </w:r>
      <w:r w:rsidRPr="0087776D">
        <w:t xml:space="preserve"> generales imputables a la 4ª fase y la ampliación del aparcamiento de pesados incluida en la 3ª fase por 2,2 y 2,69 millones de euros, respectiv</w:t>
      </w:r>
      <w:r w:rsidRPr="0087776D">
        <w:t>a</w:t>
      </w:r>
      <w:r w:rsidRPr="0087776D">
        <w:t>mente.</w:t>
      </w:r>
    </w:p>
    <w:p w:rsidR="006E4420" w:rsidRPr="001A3BC9"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rsidRPr="0087776D">
        <w:t xml:space="preserve">La sociedad CTP, SA percibirá en concepto de transmisión del suelo la cantidad equivalente al cinco por ciento del precio de venta en que se valora el mismo. </w:t>
      </w:r>
      <w:r w:rsidRPr="001A3BC9">
        <w:t>Para el supuesto de alquiler, “el mismo porcentaje anterior deberá e</w:t>
      </w:r>
      <w:r w:rsidRPr="001A3BC9">
        <w:t>n</w:t>
      </w:r>
      <w:r w:rsidRPr="001A3BC9">
        <w:t>tregarse por la adjudicataria en el momento del otorgamiento de la escritura de cesión del suelo, tomando como referencia el precio de venta”.</w:t>
      </w:r>
    </w:p>
    <w:p w:rsidR="006E4420" w:rsidRPr="0087776D"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rsidRPr="0087776D">
        <w:t>Se flexibilizan las modalidades económicas de contratación para la UTE, señalándose que explotará en régimen de arrendamiento al menos el 20 por ciento de la superficie total de naves previstas en el PSIS. Se contemplan en los precios tanto los de venta como los de alquiler.</w:t>
      </w:r>
    </w:p>
    <w:p w:rsidR="006E4420" w:rsidRPr="0087776D"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rsidRPr="0087776D">
        <w:t xml:space="preserve">Para las trasmisiones sucesivas de naves o terrenos durante 10 años desde la primera transmisión, será preciso el previo consentimiento de CTP, SA. </w:t>
      </w:r>
    </w:p>
    <w:p w:rsidR="00BE57C3" w:rsidRDefault="006E4420" w:rsidP="00A31544">
      <w:pPr>
        <w:pStyle w:val="texto"/>
        <w:tabs>
          <w:tab w:val="clear" w:pos="2835"/>
          <w:tab w:val="clear" w:pos="3969"/>
          <w:tab w:val="clear" w:pos="5103"/>
          <w:tab w:val="clear" w:pos="6237"/>
          <w:tab w:val="clear" w:pos="7371"/>
        </w:tabs>
        <w:rPr>
          <w:szCs w:val="26"/>
        </w:rPr>
      </w:pPr>
      <w:r w:rsidRPr="0074125A">
        <w:rPr>
          <w:szCs w:val="26"/>
        </w:rPr>
        <w:t xml:space="preserve">En </w:t>
      </w:r>
      <w:r>
        <w:rPr>
          <w:szCs w:val="26"/>
        </w:rPr>
        <w:t>febrero</w:t>
      </w:r>
      <w:r w:rsidRPr="0074125A">
        <w:rPr>
          <w:szCs w:val="26"/>
        </w:rPr>
        <w:t xml:space="preserve"> de 2007 se iniciaron las obras de urbanización de la 3ª fase, obras que finalizan en julio de 2012. </w:t>
      </w:r>
      <w:r>
        <w:rPr>
          <w:szCs w:val="26"/>
        </w:rPr>
        <w:t>Su coste ascendió a 14,48 millones.</w:t>
      </w:r>
    </w:p>
    <w:p w:rsidR="006E4420" w:rsidRDefault="006E4420" w:rsidP="006E4420">
      <w:pPr>
        <w:pStyle w:val="texto"/>
        <w:tabs>
          <w:tab w:val="clear" w:pos="2835"/>
          <w:tab w:val="clear" w:pos="3969"/>
          <w:tab w:val="clear" w:pos="5103"/>
          <w:tab w:val="clear" w:pos="6237"/>
          <w:tab w:val="clear" w:pos="7371"/>
        </w:tabs>
        <w:rPr>
          <w:szCs w:val="26"/>
        </w:rPr>
      </w:pPr>
      <w:r w:rsidRPr="00BE57C3">
        <w:rPr>
          <w:b/>
          <w:szCs w:val="26"/>
        </w:rPr>
        <w:t>4</w:t>
      </w:r>
      <w:r w:rsidR="0023051E" w:rsidRPr="00BE57C3">
        <w:rPr>
          <w:b/>
          <w:szCs w:val="26"/>
        </w:rPr>
        <w:t>3</w:t>
      </w:r>
      <w:r w:rsidR="00BE57C3" w:rsidRPr="00BE57C3">
        <w:rPr>
          <w:b/>
          <w:szCs w:val="26"/>
        </w:rPr>
        <w:t>.</w:t>
      </w:r>
      <w:r w:rsidRPr="00BE57C3">
        <w:rPr>
          <w:b/>
          <w:szCs w:val="26"/>
        </w:rPr>
        <w:t>ª</w:t>
      </w:r>
      <w:r>
        <w:rPr>
          <w:szCs w:val="26"/>
        </w:rPr>
        <w:t xml:space="preserve"> </w:t>
      </w:r>
      <w:r w:rsidRPr="00BF2CC0">
        <w:rPr>
          <w:szCs w:val="26"/>
        </w:rPr>
        <w:t>Este</w:t>
      </w:r>
      <w:r>
        <w:rPr>
          <w:szCs w:val="26"/>
        </w:rPr>
        <w:t xml:space="preserve"> contrato inicial fue objeto de modificaciones</w:t>
      </w:r>
      <w:r w:rsidRPr="00BF2CC0">
        <w:rPr>
          <w:szCs w:val="26"/>
        </w:rPr>
        <w:t xml:space="preserve"> en los ejercicios de 2007 y 2012. </w:t>
      </w:r>
    </w:p>
    <w:p w:rsidR="006E4420"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sidRPr="0074125A">
        <w:rPr>
          <w:szCs w:val="26"/>
        </w:rPr>
        <w:t>El 24 de abril de 2007, el consejo de administración de CTP,</w:t>
      </w:r>
      <w:r>
        <w:rPr>
          <w:szCs w:val="26"/>
        </w:rPr>
        <w:t xml:space="preserve"> </w:t>
      </w:r>
      <w:r w:rsidRPr="0074125A">
        <w:rPr>
          <w:szCs w:val="26"/>
        </w:rPr>
        <w:t>SA aprueba una modificación del contrato</w:t>
      </w:r>
      <w:r>
        <w:rPr>
          <w:szCs w:val="26"/>
        </w:rPr>
        <w:t xml:space="preserve"> al objeto de recomponer</w:t>
      </w:r>
      <w:r w:rsidRPr="0074125A">
        <w:rPr>
          <w:szCs w:val="26"/>
        </w:rPr>
        <w:t xml:space="preserve"> el equilibrio económico de la operación y asegurar el buen fin de la misma. Se justifica la misma en dos circunstancias nuevas </w:t>
      </w:r>
      <w:r w:rsidR="006A41AE">
        <w:rPr>
          <w:szCs w:val="26"/>
        </w:rPr>
        <w:t>–</w:t>
      </w:r>
      <w:r w:rsidRPr="0074125A">
        <w:rPr>
          <w:szCs w:val="26"/>
        </w:rPr>
        <w:t>elevación del coste de la expropiación de los terrenos por decisiones judiciales e importante incremento del costo de construcción que supone la entrada en vigor del nuevo Código Técnico de Edificación en 2006</w:t>
      </w:r>
      <w:r w:rsidR="006A41AE">
        <w:rPr>
          <w:szCs w:val="26"/>
        </w:rPr>
        <w:t>–</w:t>
      </w:r>
      <w:r w:rsidRPr="0074125A">
        <w:rPr>
          <w:szCs w:val="26"/>
        </w:rPr>
        <w:t xml:space="preserve"> que afectan a los intereses de ambas partes</w:t>
      </w:r>
      <w:r>
        <w:rPr>
          <w:szCs w:val="26"/>
        </w:rPr>
        <w:t>.</w:t>
      </w:r>
      <w:r w:rsidRPr="0074125A">
        <w:rPr>
          <w:szCs w:val="26"/>
        </w:rPr>
        <w:t xml:space="preserve"> </w:t>
      </w:r>
      <w:r>
        <w:rPr>
          <w:szCs w:val="26"/>
        </w:rPr>
        <w:t>Con esta finalidad:</w:t>
      </w:r>
    </w:p>
    <w:p w:rsidR="006E4420" w:rsidRPr="0074125A" w:rsidRDefault="006E4420" w:rsidP="006E4420">
      <w:pPr>
        <w:pStyle w:val="texto"/>
        <w:tabs>
          <w:tab w:val="clear" w:pos="2835"/>
          <w:tab w:val="clear" w:pos="3969"/>
          <w:tab w:val="clear" w:pos="5103"/>
          <w:tab w:val="clear" w:pos="6237"/>
          <w:tab w:val="clear" w:pos="7371"/>
          <w:tab w:val="num" w:pos="600"/>
        </w:tabs>
        <w:rPr>
          <w:szCs w:val="26"/>
        </w:rPr>
      </w:pPr>
      <w:r>
        <w:rPr>
          <w:szCs w:val="26"/>
        </w:rPr>
        <w:t xml:space="preserve">a) </w:t>
      </w:r>
      <w:r w:rsidRPr="0074125A">
        <w:rPr>
          <w:szCs w:val="26"/>
        </w:rPr>
        <w:t>Se incrementan los precios de venta y arrendamiento</w:t>
      </w:r>
      <w:r>
        <w:rPr>
          <w:szCs w:val="26"/>
        </w:rPr>
        <w:t>.</w:t>
      </w:r>
      <w:r w:rsidRPr="0074125A">
        <w:rPr>
          <w:szCs w:val="26"/>
        </w:rPr>
        <w:t xml:space="preserve"> </w:t>
      </w:r>
    </w:p>
    <w:p w:rsidR="006E4420" w:rsidRPr="0074125A" w:rsidRDefault="006E4420" w:rsidP="006E4420">
      <w:pPr>
        <w:pStyle w:val="texto"/>
        <w:tabs>
          <w:tab w:val="clear" w:pos="2835"/>
          <w:tab w:val="clear" w:pos="3969"/>
          <w:tab w:val="clear" w:pos="5103"/>
          <w:tab w:val="clear" w:pos="6237"/>
          <w:tab w:val="clear" w:pos="7371"/>
          <w:tab w:val="num" w:pos="600"/>
        </w:tabs>
        <w:rPr>
          <w:szCs w:val="26"/>
        </w:rPr>
      </w:pPr>
      <w:r>
        <w:rPr>
          <w:szCs w:val="26"/>
        </w:rPr>
        <w:t xml:space="preserve">b) </w:t>
      </w:r>
      <w:r w:rsidRPr="0074125A">
        <w:rPr>
          <w:szCs w:val="26"/>
        </w:rPr>
        <w:t>Se eleva la participación de CTP S.A. en los precios de venta</w:t>
      </w:r>
      <w:r>
        <w:rPr>
          <w:szCs w:val="26"/>
        </w:rPr>
        <w:t xml:space="preserve"> del cinco al 10 por ciento.</w:t>
      </w:r>
    </w:p>
    <w:p w:rsidR="006E4420" w:rsidRPr="0074125A" w:rsidRDefault="006E4420" w:rsidP="006E4420">
      <w:pPr>
        <w:pStyle w:val="texto"/>
        <w:tabs>
          <w:tab w:val="clear" w:pos="2835"/>
          <w:tab w:val="clear" w:pos="3969"/>
          <w:tab w:val="clear" w:pos="5103"/>
          <w:tab w:val="clear" w:pos="6237"/>
          <w:tab w:val="clear" w:pos="7371"/>
          <w:tab w:val="num" w:pos="600"/>
        </w:tabs>
        <w:rPr>
          <w:szCs w:val="26"/>
        </w:rPr>
      </w:pPr>
      <w:r>
        <w:rPr>
          <w:szCs w:val="26"/>
        </w:rPr>
        <w:t xml:space="preserve">c) </w:t>
      </w:r>
      <w:r w:rsidRPr="0074125A">
        <w:rPr>
          <w:szCs w:val="26"/>
        </w:rPr>
        <w:t xml:space="preserve">Se reduce el plazo </w:t>
      </w:r>
      <w:r>
        <w:rPr>
          <w:szCs w:val="26"/>
        </w:rPr>
        <w:t>de 10 a cinco años</w:t>
      </w:r>
      <w:r w:rsidRPr="0074125A">
        <w:rPr>
          <w:szCs w:val="26"/>
        </w:rPr>
        <w:t xml:space="preserve"> para el consentimiento previo de la CTP S.A. en las transmisiones sucesivas</w:t>
      </w:r>
      <w:r>
        <w:rPr>
          <w:szCs w:val="26"/>
        </w:rPr>
        <w:t>.</w:t>
      </w:r>
    </w:p>
    <w:p w:rsidR="006E4420" w:rsidRPr="0074125A" w:rsidRDefault="006E4420" w:rsidP="006E4420">
      <w:pPr>
        <w:pStyle w:val="texto"/>
        <w:tabs>
          <w:tab w:val="clear" w:pos="2835"/>
          <w:tab w:val="clear" w:pos="3969"/>
          <w:tab w:val="clear" w:pos="5103"/>
          <w:tab w:val="clear" w:pos="6237"/>
          <w:tab w:val="clear" w:pos="7371"/>
          <w:tab w:val="num" w:pos="600"/>
        </w:tabs>
        <w:rPr>
          <w:szCs w:val="26"/>
        </w:rPr>
      </w:pPr>
      <w:r>
        <w:rPr>
          <w:szCs w:val="26"/>
        </w:rPr>
        <w:t xml:space="preserve">d) </w:t>
      </w:r>
      <w:r w:rsidRPr="0074125A">
        <w:rPr>
          <w:szCs w:val="26"/>
        </w:rPr>
        <w:t xml:space="preserve">Incremento de la edificabilidad en la Zona de Equipamiento Comunitario, Área Polivalente, </w:t>
      </w:r>
      <w:r>
        <w:rPr>
          <w:szCs w:val="26"/>
        </w:rPr>
        <w:t>para compensar la pérdida de aprovechamiento de las ofic</w:t>
      </w:r>
      <w:r>
        <w:rPr>
          <w:szCs w:val="26"/>
        </w:rPr>
        <w:t>i</w:t>
      </w:r>
      <w:r>
        <w:rPr>
          <w:szCs w:val="26"/>
        </w:rPr>
        <w:t xml:space="preserve">nas de la Zona Logística Polivalente. </w:t>
      </w:r>
    </w:p>
    <w:p w:rsidR="006E4420" w:rsidRPr="0074125A"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rPr>
          <w:szCs w:val="26"/>
        </w:rPr>
        <w:t>El 31 de diciembre de 2012 se firma una nueva modificación del contrato justificándose en la crisis económica en general y del mercado inmobiliario en particular y la necesidad de adecuar el contrato a un calendario realista de ga</w:t>
      </w:r>
      <w:r>
        <w:rPr>
          <w:szCs w:val="26"/>
        </w:rPr>
        <w:t>s</w:t>
      </w:r>
      <w:r>
        <w:rPr>
          <w:szCs w:val="26"/>
        </w:rPr>
        <w:t>tos e ingresos, cobros y pagos. Así, se acuerda, entre otros:</w:t>
      </w:r>
    </w:p>
    <w:p w:rsidR="006E4420" w:rsidRDefault="006E4420" w:rsidP="006E4420">
      <w:pPr>
        <w:pStyle w:val="texto"/>
        <w:tabs>
          <w:tab w:val="clear" w:pos="2835"/>
          <w:tab w:val="clear" w:pos="3969"/>
          <w:tab w:val="clear" w:pos="5103"/>
          <w:tab w:val="clear" w:pos="6237"/>
          <w:tab w:val="clear" w:pos="7371"/>
          <w:tab w:val="num" w:pos="600"/>
        </w:tabs>
        <w:rPr>
          <w:szCs w:val="26"/>
        </w:rPr>
      </w:pPr>
      <w:r>
        <w:rPr>
          <w:szCs w:val="26"/>
        </w:rPr>
        <w:t>a) L</w:t>
      </w:r>
      <w:r w:rsidRPr="00B7755E">
        <w:rPr>
          <w:szCs w:val="26"/>
        </w:rPr>
        <w:t xml:space="preserve">a actualización del canon de acuerdo con el IPC no </w:t>
      </w:r>
      <w:r>
        <w:rPr>
          <w:szCs w:val="26"/>
        </w:rPr>
        <w:t>se aplicara en los años de 2013 a 2015.</w:t>
      </w:r>
    </w:p>
    <w:p w:rsidR="006E4420" w:rsidRPr="00FC762B" w:rsidRDefault="006E4420" w:rsidP="006E4420">
      <w:pPr>
        <w:pStyle w:val="texto"/>
        <w:tabs>
          <w:tab w:val="clear" w:pos="2835"/>
          <w:tab w:val="clear" w:pos="3969"/>
          <w:tab w:val="clear" w:pos="5103"/>
          <w:tab w:val="clear" w:pos="6237"/>
          <w:tab w:val="clear" w:pos="7371"/>
          <w:tab w:val="num" w:pos="600"/>
        </w:tabs>
        <w:rPr>
          <w:szCs w:val="26"/>
        </w:rPr>
      </w:pPr>
      <w:r w:rsidRPr="00FC762B">
        <w:rPr>
          <w:szCs w:val="26"/>
        </w:rPr>
        <w:t>b) Ambas partes se comprometen a financiar en idéntica proporción los 684.000 euros (IVA no incluido) de las obras de saneamiento</w:t>
      </w:r>
      <w:r>
        <w:rPr>
          <w:szCs w:val="26"/>
        </w:rPr>
        <w:t>.</w:t>
      </w:r>
    </w:p>
    <w:p w:rsidR="006E4420" w:rsidRDefault="006E4420" w:rsidP="006E4420">
      <w:pPr>
        <w:pStyle w:val="texto"/>
        <w:tabs>
          <w:tab w:val="clear" w:pos="2835"/>
          <w:tab w:val="clear" w:pos="3969"/>
          <w:tab w:val="clear" w:pos="5103"/>
          <w:tab w:val="clear" w:pos="6237"/>
          <w:tab w:val="clear" w:pos="7371"/>
          <w:tab w:val="num" w:pos="600"/>
        </w:tabs>
        <w:rPr>
          <w:szCs w:val="26"/>
        </w:rPr>
      </w:pPr>
      <w:r>
        <w:rPr>
          <w:szCs w:val="26"/>
        </w:rPr>
        <w:t>c) Sobre las deudas vencidas y exigibles anteriores, se aplicará un devengo de intereses del cinco por ciento anual.</w:t>
      </w:r>
    </w:p>
    <w:p w:rsidR="006E4420" w:rsidRPr="006A41AE" w:rsidRDefault="006E4420" w:rsidP="006E4420">
      <w:pPr>
        <w:pStyle w:val="texto"/>
        <w:tabs>
          <w:tab w:val="clear" w:pos="2835"/>
          <w:tab w:val="clear" w:pos="3969"/>
          <w:tab w:val="clear" w:pos="5103"/>
          <w:tab w:val="clear" w:pos="6237"/>
          <w:tab w:val="clear" w:pos="7371"/>
          <w:tab w:val="num" w:pos="600"/>
        </w:tabs>
        <w:rPr>
          <w:szCs w:val="26"/>
        </w:rPr>
      </w:pPr>
      <w:r>
        <w:rPr>
          <w:szCs w:val="26"/>
        </w:rPr>
        <w:t>d) Se garantizan mediante diversas fórmulas el cobro por la sociedad gestora de las deudas de la UTE.</w:t>
      </w:r>
    </w:p>
    <w:p w:rsidR="00B56BB6" w:rsidRDefault="006E4420" w:rsidP="00D62876">
      <w:pPr>
        <w:pStyle w:val="texto"/>
        <w:tabs>
          <w:tab w:val="clear" w:pos="2835"/>
          <w:tab w:val="clear" w:pos="3969"/>
          <w:tab w:val="clear" w:pos="5103"/>
          <w:tab w:val="clear" w:pos="6237"/>
          <w:tab w:val="clear" w:pos="7371"/>
        </w:tabs>
        <w:spacing w:after="240"/>
        <w:rPr>
          <w:szCs w:val="26"/>
        </w:rPr>
      </w:pPr>
      <w:r w:rsidRPr="00BE57C3">
        <w:rPr>
          <w:b/>
        </w:rPr>
        <w:t>4</w:t>
      </w:r>
      <w:r w:rsidR="00953732" w:rsidRPr="00BE57C3">
        <w:rPr>
          <w:b/>
        </w:rPr>
        <w:t>4</w:t>
      </w:r>
      <w:r w:rsidR="00BE57C3" w:rsidRPr="00BE57C3">
        <w:rPr>
          <w:b/>
        </w:rPr>
        <w:t>.</w:t>
      </w:r>
      <w:r w:rsidRPr="00BE57C3">
        <w:rPr>
          <w:b/>
        </w:rPr>
        <w:t>ª</w:t>
      </w:r>
      <w:r>
        <w:t xml:space="preserve"> </w:t>
      </w:r>
      <w:r>
        <w:rPr>
          <w:szCs w:val="26"/>
        </w:rPr>
        <w:t xml:space="preserve">De acuerdo con la </w:t>
      </w:r>
      <w:r w:rsidR="00C36A03">
        <w:rPr>
          <w:szCs w:val="26"/>
        </w:rPr>
        <w:t>documentación</w:t>
      </w:r>
      <w:r>
        <w:rPr>
          <w:szCs w:val="26"/>
        </w:rPr>
        <w:t xml:space="preserve"> analizada, el importe de las obras ej</w:t>
      </w:r>
      <w:r>
        <w:rPr>
          <w:szCs w:val="26"/>
        </w:rPr>
        <w:t>e</w:t>
      </w:r>
      <w:r>
        <w:rPr>
          <w:szCs w:val="26"/>
        </w:rPr>
        <w:t>cutadas en la 3ª fase por la UTE –sin IVA</w:t>
      </w:r>
      <w:r w:rsidR="006A41AE">
        <w:rPr>
          <w:szCs w:val="26"/>
        </w:rPr>
        <w:t>–</w:t>
      </w:r>
      <w:r>
        <w:rPr>
          <w:szCs w:val="26"/>
        </w:rPr>
        <w:t xml:space="preserve"> ha ascendido a 27,62 millones de euros, según el siguiente detalle: </w:t>
      </w:r>
    </w:p>
    <w:tbl>
      <w:tblPr>
        <w:tblStyle w:val="TableNormal"/>
        <w:tblW w:w="0" w:type="auto"/>
        <w:jc w:val="center"/>
        <w:tblInd w:w="-112" w:type="dxa"/>
        <w:tblBorders>
          <w:top w:val="single" w:sz="2" w:space="0" w:color="auto"/>
          <w:bottom w:val="single" w:sz="2" w:space="0" w:color="auto"/>
          <w:insideH w:val="single" w:sz="2" w:space="0" w:color="auto"/>
        </w:tblBorders>
        <w:tblLayout w:type="fixed"/>
        <w:tblLook w:val="01E0" w:firstRow="1" w:lastRow="1" w:firstColumn="1" w:lastColumn="1" w:noHBand="0" w:noVBand="0"/>
      </w:tblPr>
      <w:tblGrid>
        <w:gridCol w:w="5057"/>
        <w:gridCol w:w="3620"/>
      </w:tblGrid>
      <w:tr w:rsidR="006E4420" w:rsidRPr="00DA5BC7" w:rsidTr="00D62876">
        <w:trPr>
          <w:trHeight w:val="284"/>
          <w:jc w:val="center"/>
        </w:trPr>
        <w:tc>
          <w:tcPr>
            <w:tcW w:w="5057" w:type="dxa"/>
            <w:tcBorders>
              <w:top w:val="single" w:sz="4" w:space="0" w:color="auto"/>
              <w:bottom w:val="single" w:sz="4" w:space="0" w:color="auto"/>
            </w:tcBorders>
            <w:shd w:val="clear" w:color="auto" w:fill="B8CCE4" w:themeFill="accent1" w:themeFillTint="66"/>
            <w:vAlign w:val="center"/>
          </w:tcPr>
          <w:p w:rsidR="006E4420" w:rsidRDefault="006E4420" w:rsidP="00BE57C3">
            <w:pPr>
              <w:spacing w:after="0"/>
              <w:ind w:left="86" w:firstLine="0"/>
              <w:jc w:val="left"/>
              <w:rPr>
                <w:rFonts w:ascii="Arial" w:hAnsi="Arial" w:cs="Arial"/>
                <w:color w:val="000000"/>
                <w:sz w:val="18"/>
                <w:szCs w:val="18"/>
                <w:lang w:eastAsia="es-ES"/>
              </w:rPr>
            </w:pPr>
            <w:r>
              <w:rPr>
                <w:rFonts w:ascii="Arial" w:hAnsi="Arial" w:cs="Arial"/>
                <w:color w:val="000000"/>
                <w:sz w:val="18"/>
                <w:szCs w:val="18"/>
                <w:lang w:eastAsia="es-ES"/>
              </w:rPr>
              <w:t xml:space="preserve">Inversión UTE </w:t>
            </w:r>
            <w:r w:rsidR="006A41AE">
              <w:rPr>
                <w:rFonts w:ascii="Arial" w:hAnsi="Arial" w:cs="Arial"/>
                <w:color w:val="000000"/>
                <w:sz w:val="18"/>
                <w:szCs w:val="18"/>
                <w:lang w:eastAsia="es-ES"/>
              </w:rPr>
              <w:t xml:space="preserve"> </w:t>
            </w:r>
            <w:r>
              <w:rPr>
                <w:rFonts w:ascii="Arial" w:hAnsi="Arial" w:cs="Arial"/>
                <w:color w:val="000000"/>
                <w:sz w:val="18"/>
                <w:szCs w:val="18"/>
                <w:lang w:eastAsia="es-ES"/>
              </w:rPr>
              <w:t>3ª fase CT</w:t>
            </w:r>
          </w:p>
        </w:tc>
        <w:tc>
          <w:tcPr>
            <w:tcW w:w="3620" w:type="dxa"/>
            <w:tcBorders>
              <w:top w:val="single" w:sz="4" w:space="0" w:color="auto"/>
              <w:bottom w:val="single" w:sz="4" w:space="0" w:color="auto"/>
            </w:tcBorders>
            <w:shd w:val="clear" w:color="auto" w:fill="B8CCE4" w:themeFill="accent1" w:themeFillTint="66"/>
            <w:vAlign w:val="center"/>
          </w:tcPr>
          <w:p w:rsidR="006E4420" w:rsidRPr="005B3CA8" w:rsidRDefault="006E4420" w:rsidP="00BE57C3">
            <w:pPr>
              <w:spacing w:after="0"/>
              <w:ind w:left="141" w:right="86" w:firstLine="0"/>
              <w:jc w:val="right"/>
              <w:rPr>
                <w:rFonts w:ascii="Arial" w:hAnsi="Arial" w:cs="Arial"/>
                <w:color w:val="000000"/>
                <w:sz w:val="18"/>
                <w:szCs w:val="18"/>
                <w:lang w:eastAsia="es-ES"/>
              </w:rPr>
            </w:pPr>
            <w:r>
              <w:rPr>
                <w:rFonts w:ascii="Arial" w:hAnsi="Arial" w:cs="Arial"/>
                <w:color w:val="000000"/>
                <w:sz w:val="18"/>
                <w:szCs w:val="18"/>
                <w:lang w:eastAsia="es-ES"/>
              </w:rPr>
              <w:t>Importe</w:t>
            </w:r>
            <w:r w:rsidR="006A41AE">
              <w:rPr>
                <w:rFonts w:ascii="Arial" w:hAnsi="Arial" w:cs="Arial"/>
                <w:color w:val="000000"/>
                <w:sz w:val="18"/>
                <w:szCs w:val="18"/>
                <w:lang w:eastAsia="es-ES"/>
              </w:rPr>
              <w:t xml:space="preserve"> </w:t>
            </w:r>
            <w:r>
              <w:rPr>
                <w:rFonts w:ascii="Arial" w:hAnsi="Arial" w:cs="Arial"/>
                <w:color w:val="000000"/>
                <w:sz w:val="18"/>
                <w:szCs w:val="18"/>
                <w:lang w:eastAsia="es-ES"/>
              </w:rPr>
              <w:t>(millones</w:t>
            </w:r>
            <w:r w:rsidR="006A41AE">
              <w:rPr>
                <w:rFonts w:ascii="Arial" w:hAnsi="Arial" w:cs="Arial"/>
                <w:color w:val="000000"/>
                <w:sz w:val="18"/>
                <w:szCs w:val="18"/>
                <w:lang w:eastAsia="es-ES"/>
              </w:rPr>
              <w:t xml:space="preserve"> eu</w:t>
            </w:r>
            <w:r>
              <w:rPr>
                <w:rFonts w:ascii="Arial" w:hAnsi="Arial" w:cs="Arial"/>
                <w:color w:val="000000"/>
                <w:sz w:val="18"/>
                <w:szCs w:val="18"/>
                <w:lang w:eastAsia="es-ES"/>
              </w:rPr>
              <w:t>ros)</w:t>
            </w:r>
          </w:p>
        </w:tc>
      </w:tr>
      <w:tr w:rsidR="006E4420" w:rsidRPr="00612D84" w:rsidTr="00D62876">
        <w:trPr>
          <w:trHeight w:val="284"/>
          <w:jc w:val="center"/>
        </w:trPr>
        <w:tc>
          <w:tcPr>
            <w:tcW w:w="5057" w:type="dxa"/>
            <w:tcBorders>
              <w:top w:val="single" w:sz="4" w:space="0" w:color="auto"/>
            </w:tcBorders>
            <w:vAlign w:val="center"/>
          </w:tcPr>
          <w:p w:rsidR="006E4420" w:rsidRPr="002B74DB" w:rsidRDefault="006E4420" w:rsidP="00BE57C3">
            <w:pPr>
              <w:widowControl/>
              <w:spacing w:after="0"/>
              <w:ind w:left="86" w:firstLine="0"/>
              <w:jc w:val="left"/>
              <w:rPr>
                <w:rFonts w:ascii="Arial Narrow" w:hAnsi="Arial Narrow"/>
                <w:color w:val="000000"/>
                <w:sz w:val="20"/>
                <w:szCs w:val="20"/>
                <w:lang w:eastAsia="es-ES"/>
              </w:rPr>
            </w:pPr>
            <w:r w:rsidRPr="002B74DB">
              <w:rPr>
                <w:rFonts w:ascii="Arial Narrow" w:hAnsi="Arial Narrow"/>
                <w:color w:val="000000"/>
                <w:sz w:val="20"/>
                <w:szCs w:val="20"/>
                <w:lang w:eastAsia="es-ES"/>
              </w:rPr>
              <w:t>Urbanización</w:t>
            </w:r>
          </w:p>
        </w:tc>
        <w:tc>
          <w:tcPr>
            <w:tcW w:w="3620" w:type="dxa"/>
            <w:tcBorders>
              <w:top w:val="single" w:sz="4" w:space="0" w:color="auto"/>
            </w:tcBorders>
            <w:vAlign w:val="center"/>
          </w:tcPr>
          <w:p w:rsidR="006E4420" w:rsidRPr="008E708D" w:rsidRDefault="006E4420" w:rsidP="00BE57C3">
            <w:pPr>
              <w:widowControl/>
              <w:spacing w:after="0"/>
              <w:ind w:left="141" w:right="86" w:firstLine="0"/>
              <w:jc w:val="right"/>
              <w:rPr>
                <w:rFonts w:ascii="Arial Narrow" w:hAnsi="Arial Narrow"/>
                <w:color w:val="000000"/>
                <w:sz w:val="20"/>
                <w:szCs w:val="20"/>
                <w:lang w:eastAsia="es-ES"/>
              </w:rPr>
            </w:pPr>
            <w:r>
              <w:rPr>
                <w:rFonts w:ascii="Arial Narrow" w:hAnsi="Arial Narrow"/>
                <w:color w:val="000000"/>
                <w:sz w:val="20"/>
                <w:szCs w:val="20"/>
                <w:lang w:eastAsia="es-ES"/>
              </w:rPr>
              <w:t>14,48</w:t>
            </w:r>
          </w:p>
        </w:tc>
      </w:tr>
      <w:tr w:rsidR="006E4420" w:rsidRPr="00612D84" w:rsidTr="00D62876">
        <w:trPr>
          <w:trHeight w:val="284"/>
          <w:jc w:val="center"/>
        </w:trPr>
        <w:tc>
          <w:tcPr>
            <w:tcW w:w="5057" w:type="dxa"/>
            <w:vAlign w:val="center"/>
          </w:tcPr>
          <w:p w:rsidR="006E4420" w:rsidRPr="002B74DB" w:rsidRDefault="006E4420" w:rsidP="00BE57C3">
            <w:pPr>
              <w:widowControl/>
              <w:spacing w:after="0"/>
              <w:ind w:left="86" w:firstLine="0"/>
              <w:jc w:val="left"/>
              <w:rPr>
                <w:rFonts w:ascii="Arial Narrow" w:hAnsi="Arial Narrow"/>
                <w:color w:val="000000"/>
                <w:sz w:val="20"/>
                <w:szCs w:val="20"/>
                <w:lang w:eastAsia="es-ES"/>
              </w:rPr>
            </w:pPr>
            <w:r w:rsidRPr="002B74DB">
              <w:rPr>
                <w:rFonts w:ascii="Arial Narrow" w:hAnsi="Arial Narrow"/>
                <w:color w:val="000000"/>
                <w:sz w:val="20"/>
                <w:szCs w:val="20"/>
                <w:lang w:eastAsia="es-ES"/>
              </w:rPr>
              <w:t>Construcciones</w:t>
            </w:r>
          </w:p>
        </w:tc>
        <w:tc>
          <w:tcPr>
            <w:tcW w:w="3620" w:type="dxa"/>
            <w:vAlign w:val="center"/>
          </w:tcPr>
          <w:p w:rsidR="006E4420" w:rsidRPr="008E708D" w:rsidRDefault="006E4420" w:rsidP="00BE57C3">
            <w:pPr>
              <w:widowControl/>
              <w:spacing w:after="0"/>
              <w:ind w:left="141" w:right="86" w:firstLine="0"/>
              <w:jc w:val="right"/>
              <w:rPr>
                <w:rFonts w:ascii="Arial Narrow" w:hAnsi="Arial Narrow"/>
                <w:color w:val="000000"/>
                <w:sz w:val="20"/>
                <w:szCs w:val="20"/>
                <w:lang w:eastAsia="es-ES"/>
              </w:rPr>
            </w:pPr>
            <w:r>
              <w:rPr>
                <w:rFonts w:ascii="Arial Narrow" w:hAnsi="Arial Narrow"/>
                <w:color w:val="000000"/>
                <w:sz w:val="20"/>
                <w:szCs w:val="20"/>
                <w:lang w:eastAsia="es-ES"/>
              </w:rPr>
              <w:t>13,14</w:t>
            </w:r>
          </w:p>
        </w:tc>
      </w:tr>
      <w:tr w:rsidR="006E4420" w:rsidRPr="00612D84" w:rsidTr="00D62876">
        <w:trPr>
          <w:trHeight w:val="284"/>
          <w:jc w:val="center"/>
        </w:trPr>
        <w:tc>
          <w:tcPr>
            <w:tcW w:w="5057" w:type="dxa"/>
            <w:tcBorders>
              <w:bottom w:val="single" w:sz="4" w:space="0" w:color="auto"/>
            </w:tcBorders>
            <w:shd w:val="clear" w:color="auto" w:fill="B8CCE4" w:themeFill="accent1" w:themeFillTint="66"/>
            <w:vAlign w:val="center"/>
          </w:tcPr>
          <w:p w:rsidR="006E4420" w:rsidRPr="005B3CA8" w:rsidRDefault="006E4420" w:rsidP="00BE57C3">
            <w:pPr>
              <w:spacing w:after="0"/>
              <w:ind w:left="86" w:firstLine="0"/>
              <w:jc w:val="left"/>
              <w:rPr>
                <w:rFonts w:ascii="Arial" w:hAnsi="Arial" w:cs="Arial"/>
                <w:color w:val="000000"/>
                <w:sz w:val="18"/>
                <w:szCs w:val="18"/>
                <w:lang w:eastAsia="es-ES"/>
              </w:rPr>
            </w:pPr>
            <w:r>
              <w:rPr>
                <w:rFonts w:ascii="Arial" w:hAnsi="Arial" w:cs="Arial"/>
                <w:color w:val="000000"/>
                <w:sz w:val="18"/>
                <w:szCs w:val="18"/>
                <w:lang w:eastAsia="es-ES"/>
              </w:rPr>
              <w:t>Total</w:t>
            </w:r>
          </w:p>
        </w:tc>
        <w:tc>
          <w:tcPr>
            <w:tcW w:w="3620" w:type="dxa"/>
            <w:tcBorders>
              <w:bottom w:val="single" w:sz="4" w:space="0" w:color="auto"/>
            </w:tcBorders>
            <w:shd w:val="clear" w:color="auto" w:fill="B8CCE4" w:themeFill="accent1" w:themeFillTint="66"/>
            <w:vAlign w:val="center"/>
          </w:tcPr>
          <w:p w:rsidR="006E4420" w:rsidRPr="005B3CA8" w:rsidRDefault="006E4420" w:rsidP="00BE57C3">
            <w:pPr>
              <w:spacing w:after="0"/>
              <w:ind w:left="141" w:right="86" w:firstLine="0"/>
              <w:jc w:val="right"/>
              <w:rPr>
                <w:rFonts w:ascii="Arial" w:hAnsi="Arial" w:cs="Arial"/>
                <w:color w:val="000000"/>
                <w:sz w:val="18"/>
                <w:szCs w:val="18"/>
                <w:lang w:eastAsia="es-ES"/>
              </w:rPr>
            </w:pPr>
            <w:r>
              <w:rPr>
                <w:rFonts w:ascii="Arial" w:hAnsi="Arial" w:cs="Arial"/>
                <w:color w:val="000000"/>
                <w:sz w:val="18"/>
                <w:szCs w:val="18"/>
                <w:lang w:eastAsia="es-ES"/>
              </w:rPr>
              <w:t>27,62</w:t>
            </w:r>
          </w:p>
        </w:tc>
      </w:tr>
    </w:tbl>
    <w:p w:rsidR="006E4420" w:rsidRDefault="006E4420" w:rsidP="006A41AE">
      <w:pPr>
        <w:pStyle w:val="texto"/>
        <w:tabs>
          <w:tab w:val="clear" w:pos="2835"/>
          <w:tab w:val="clear" w:pos="3969"/>
          <w:tab w:val="clear" w:pos="5103"/>
          <w:tab w:val="clear" w:pos="6237"/>
          <w:tab w:val="clear" w:pos="7371"/>
        </w:tabs>
        <w:spacing w:after="0"/>
        <w:rPr>
          <w:szCs w:val="26"/>
        </w:rPr>
      </w:pPr>
    </w:p>
    <w:p w:rsidR="00953732" w:rsidRPr="0088262B" w:rsidRDefault="00953732" w:rsidP="00DA68E2">
      <w:pPr>
        <w:pStyle w:val="texto"/>
        <w:tabs>
          <w:tab w:val="clear" w:pos="2835"/>
          <w:tab w:val="clear" w:pos="3969"/>
          <w:tab w:val="clear" w:pos="5103"/>
          <w:tab w:val="clear" w:pos="6237"/>
          <w:tab w:val="clear" w:pos="7371"/>
        </w:tabs>
        <w:spacing w:after="180"/>
        <w:rPr>
          <w:szCs w:val="26"/>
        </w:rPr>
      </w:pPr>
      <w:r w:rsidRPr="00BE57C3">
        <w:rPr>
          <w:b/>
          <w:szCs w:val="26"/>
        </w:rPr>
        <w:t>45</w:t>
      </w:r>
      <w:r w:rsidR="00BE57C3" w:rsidRPr="00BE57C3">
        <w:rPr>
          <w:b/>
          <w:szCs w:val="26"/>
        </w:rPr>
        <w:t>.</w:t>
      </w:r>
      <w:r w:rsidRPr="00BE57C3">
        <w:rPr>
          <w:b/>
          <w:szCs w:val="26"/>
        </w:rPr>
        <w:t>ª</w:t>
      </w:r>
      <w:r>
        <w:rPr>
          <w:szCs w:val="26"/>
        </w:rPr>
        <w:t xml:space="preserve"> </w:t>
      </w:r>
      <w:r w:rsidRPr="00B7755E">
        <w:rPr>
          <w:szCs w:val="26"/>
        </w:rPr>
        <w:t>Atendiendo a la superficie demandada por las empresas instaladas</w:t>
      </w:r>
      <w:r>
        <w:rPr>
          <w:szCs w:val="26"/>
        </w:rPr>
        <w:t xml:space="preserve"> en la CT</w:t>
      </w:r>
      <w:r w:rsidRPr="00B7755E">
        <w:rPr>
          <w:szCs w:val="26"/>
        </w:rPr>
        <w:t>, el cuadro siguiente muestra, en porcentaje</w:t>
      </w:r>
      <w:r>
        <w:rPr>
          <w:szCs w:val="26"/>
        </w:rPr>
        <w:t>, el tamaño medio de las mismas en sus distintas fases:</w:t>
      </w:r>
    </w:p>
    <w:tbl>
      <w:tblPr>
        <w:tblStyle w:val="TableNormal"/>
        <w:tblW w:w="8868" w:type="dxa"/>
        <w:jc w:val="center"/>
        <w:tblBorders>
          <w:top w:val="single" w:sz="2" w:space="0" w:color="auto"/>
          <w:bottom w:val="single" w:sz="2" w:space="0" w:color="auto"/>
          <w:insideH w:val="single" w:sz="2" w:space="0" w:color="auto"/>
        </w:tblBorders>
        <w:tblLayout w:type="fixed"/>
        <w:tblLook w:val="01E0" w:firstRow="1" w:lastRow="1" w:firstColumn="1" w:lastColumn="1" w:noHBand="0" w:noVBand="0"/>
      </w:tblPr>
      <w:tblGrid>
        <w:gridCol w:w="4367"/>
        <w:gridCol w:w="1417"/>
        <w:gridCol w:w="1887"/>
        <w:gridCol w:w="1197"/>
      </w:tblGrid>
      <w:tr w:rsidR="00953732" w:rsidRPr="00DA5BC7" w:rsidTr="00BE57C3">
        <w:trPr>
          <w:trHeight w:val="113"/>
          <w:jc w:val="center"/>
        </w:trPr>
        <w:tc>
          <w:tcPr>
            <w:tcW w:w="4367" w:type="dxa"/>
            <w:vMerge w:val="restart"/>
            <w:tcBorders>
              <w:top w:val="single" w:sz="4" w:space="0" w:color="auto"/>
            </w:tcBorders>
            <w:shd w:val="clear" w:color="auto" w:fill="B8CCE4" w:themeFill="accent1" w:themeFillTint="66"/>
            <w:vAlign w:val="center"/>
          </w:tcPr>
          <w:p w:rsidR="00953732" w:rsidRDefault="00953732" w:rsidP="00BE57C3">
            <w:pPr>
              <w:spacing w:after="0"/>
              <w:ind w:left="221" w:firstLine="0"/>
              <w:rPr>
                <w:rFonts w:ascii="Arial" w:hAnsi="Arial" w:cs="Arial"/>
                <w:color w:val="000000"/>
                <w:sz w:val="18"/>
                <w:szCs w:val="18"/>
                <w:lang w:eastAsia="es-ES"/>
              </w:rPr>
            </w:pPr>
            <w:r>
              <w:rPr>
                <w:rFonts w:ascii="Arial" w:hAnsi="Arial" w:cs="Arial"/>
                <w:color w:val="000000"/>
                <w:sz w:val="18"/>
                <w:szCs w:val="18"/>
                <w:lang w:eastAsia="es-ES"/>
              </w:rPr>
              <w:t>Parcelas</w:t>
            </w:r>
          </w:p>
        </w:tc>
        <w:tc>
          <w:tcPr>
            <w:tcW w:w="4501" w:type="dxa"/>
            <w:gridSpan w:val="3"/>
            <w:tcBorders>
              <w:top w:val="single" w:sz="4" w:space="0" w:color="auto"/>
              <w:bottom w:val="single" w:sz="4" w:space="0" w:color="auto"/>
            </w:tcBorders>
            <w:shd w:val="clear" w:color="auto" w:fill="B8CCE4" w:themeFill="accent1" w:themeFillTint="66"/>
            <w:vAlign w:val="center"/>
          </w:tcPr>
          <w:p w:rsidR="00953732" w:rsidRDefault="00953732" w:rsidP="004D22FC">
            <w:pPr>
              <w:spacing w:after="0"/>
              <w:ind w:left="206" w:right="115" w:firstLine="0"/>
              <w:jc w:val="center"/>
              <w:rPr>
                <w:rFonts w:ascii="Arial" w:hAnsi="Arial" w:cs="Arial"/>
                <w:color w:val="000000"/>
                <w:sz w:val="18"/>
                <w:szCs w:val="18"/>
                <w:lang w:eastAsia="es-ES"/>
              </w:rPr>
            </w:pPr>
            <w:r>
              <w:rPr>
                <w:rFonts w:ascii="Arial" w:hAnsi="Arial" w:cs="Arial"/>
                <w:color w:val="000000"/>
                <w:sz w:val="18"/>
                <w:szCs w:val="18"/>
                <w:lang w:eastAsia="es-ES"/>
              </w:rPr>
              <w:t>Porcentaje de superficies</w:t>
            </w:r>
          </w:p>
        </w:tc>
      </w:tr>
      <w:tr w:rsidR="00953732" w:rsidRPr="00DA5BC7" w:rsidTr="00BE57C3">
        <w:trPr>
          <w:trHeight w:val="113"/>
          <w:jc w:val="center"/>
        </w:trPr>
        <w:tc>
          <w:tcPr>
            <w:tcW w:w="4367" w:type="dxa"/>
            <w:vMerge/>
            <w:tcBorders>
              <w:bottom w:val="single" w:sz="4" w:space="0" w:color="auto"/>
            </w:tcBorders>
            <w:shd w:val="clear" w:color="auto" w:fill="B8CCE4" w:themeFill="accent1" w:themeFillTint="66"/>
            <w:vAlign w:val="center"/>
          </w:tcPr>
          <w:p w:rsidR="00953732" w:rsidRPr="005B3CA8" w:rsidRDefault="00953732" w:rsidP="00BE57C3">
            <w:pPr>
              <w:spacing w:after="0"/>
              <w:ind w:left="221" w:firstLine="0"/>
              <w:rPr>
                <w:rFonts w:ascii="Arial" w:hAnsi="Arial" w:cs="Arial"/>
                <w:color w:val="000000"/>
                <w:sz w:val="18"/>
                <w:szCs w:val="18"/>
                <w:lang w:eastAsia="es-ES"/>
              </w:rPr>
            </w:pPr>
          </w:p>
        </w:tc>
        <w:tc>
          <w:tcPr>
            <w:tcW w:w="1417" w:type="dxa"/>
            <w:tcBorders>
              <w:top w:val="single" w:sz="4" w:space="0" w:color="auto"/>
              <w:bottom w:val="single" w:sz="4" w:space="0" w:color="auto"/>
            </w:tcBorders>
            <w:shd w:val="clear" w:color="auto" w:fill="B8CCE4" w:themeFill="accent1" w:themeFillTint="66"/>
            <w:vAlign w:val="center"/>
          </w:tcPr>
          <w:p w:rsidR="00953732" w:rsidRPr="00DA5BC7" w:rsidRDefault="00953732" w:rsidP="004D22FC">
            <w:pPr>
              <w:spacing w:after="0"/>
              <w:ind w:right="131" w:firstLine="0"/>
              <w:jc w:val="right"/>
              <w:rPr>
                <w:rFonts w:ascii="Arial" w:hAnsi="Arial" w:cs="Arial"/>
                <w:color w:val="000000"/>
                <w:sz w:val="18"/>
                <w:szCs w:val="18"/>
                <w:lang w:eastAsia="es-ES"/>
              </w:rPr>
            </w:pPr>
            <w:r>
              <w:rPr>
                <w:rFonts w:ascii="Arial" w:hAnsi="Arial" w:cs="Arial"/>
                <w:color w:val="000000"/>
                <w:sz w:val="18"/>
                <w:szCs w:val="18"/>
                <w:lang w:eastAsia="es-ES"/>
              </w:rPr>
              <w:t>+ 10.000 m</w:t>
            </w:r>
            <w:r w:rsidRPr="00F04718">
              <w:rPr>
                <w:rFonts w:ascii="Arial" w:hAnsi="Arial" w:cs="Arial"/>
                <w:color w:val="000000"/>
                <w:sz w:val="18"/>
                <w:szCs w:val="18"/>
                <w:vertAlign w:val="superscript"/>
                <w:lang w:eastAsia="es-ES"/>
              </w:rPr>
              <w:t>2</w:t>
            </w:r>
          </w:p>
        </w:tc>
        <w:tc>
          <w:tcPr>
            <w:tcW w:w="1887" w:type="dxa"/>
            <w:tcBorders>
              <w:top w:val="single" w:sz="4" w:space="0" w:color="auto"/>
              <w:bottom w:val="single" w:sz="4" w:space="0" w:color="auto"/>
            </w:tcBorders>
            <w:shd w:val="clear" w:color="auto" w:fill="B8CCE4" w:themeFill="accent1" w:themeFillTint="66"/>
            <w:vAlign w:val="center"/>
          </w:tcPr>
          <w:p w:rsidR="00953732" w:rsidRPr="00DA5BC7" w:rsidRDefault="00953732" w:rsidP="004D22FC">
            <w:pPr>
              <w:spacing w:after="0"/>
              <w:ind w:left="206" w:right="115" w:firstLine="0"/>
              <w:jc w:val="right"/>
              <w:rPr>
                <w:rFonts w:ascii="Arial" w:hAnsi="Arial" w:cs="Arial"/>
                <w:color w:val="000000"/>
                <w:sz w:val="18"/>
                <w:szCs w:val="18"/>
                <w:lang w:eastAsia="es-ES"/>
              </w:rPr>
            </w:pPr>
            <w:r>
              <w:rPr>
                <w:rFonts w:ascii="Arial" w:hAnsi="Arial" w:cs="Arial"/>
                <w:color w:val="000000"/>
                <w:sz w:val="18"/>
                <w:szCs w:val="18"/>
                <w:lang w:eastAsia="es-ES"/>
              </w:rPr>
              <w:t>4.000 a 10000 m</w:t>
            </w:r>
            <w:r w:rsidRPr="00F04718">
              <w:rPr>
                <w:rFonts w:ascii="Arial" w:hAnsi="Arial" w:cs="Arial"/>
                <w:color w:val="000000"/>
                <w:sz w:val="18"/>
                <w:szCs w:val="18"/>
                <w:vertAlign w:val="superscript"/>
                <w:lang w:eastAsia="es-ES"/>
              </w:rPr>
              <w:t>2</w:t>
            </w:r>
          </w:p>
        </w:tc>
        <w:tc>
          <w:tcPr>
            <w:tcW w:w="1197" w:type="dxa"/>
            <w:tcBorders>
              <w:top w:val="single" w:sz="4" w:space="0" w:color="auto"/>
              <w:bottom w:val="single" w:sz="4" w:space="0" w:color="auto"/>
            </w:tcBorders>
            <w:shd w:val="clear" w:color="auto" w:fill="B8CCE4" w:themeFill="accent1" w:themeFillTint="66"/>
            <w:vAlign w:val="center"/>
          </w:tcPr>
          <w:p w:rsidR="00953732" w:rsidRPr="00DA5BC7" w:rsidRDefault="00953732" w:rsidP="004D22FC">
            <w:pPr>
              <w:spacing w:after="0"/>
              <w:ind w:left="206" w:right="115" w:firstLine="0"/>
              <w:jc w:val="right"/>
              <w:rPr>
                <w:rFonts w:ascii="Arial" w:hAnsi="Arial" w:cs="Arial"/>
                <w:color w:val="000000"/>
                <w:sz w:val="18"/>
                <w:szCs w:val="18"/>
                <w:lang w:eastAsia="es-ES"/>
              </w:rPr>
            </w:pPr>
            <w:r>
              <w:rPr>
                <w:rFonts w:ascii="Arial" w:hAnsi="Arial" w:cs="Arial"/>
                <w:color w:val="000000"/>
                <w:sz w:val="18"/>
                <w:szCs w:val="18"/>
                <w:lang w:eastAsia="es-ES"/>
              </w:rPr>
              <w:t>- 4.000 m</w:t>
            </w:r>
            <w:r w:rsidRPr="00F04718">
              <w:rPr>
                <w:rFonts w:ascii="Arial" w:hAnsi="Arial" w:cs="Arial"/>
                <w:color w:val="000000"/>
                <w:sz w:val="18"/>
                <w:szCs w:val="18"/>
                <w:vertAlign w:val="superscript"/>
                <w:lang w:eastAsia="es-ES"/>
              </w:rPr>
              <w:t>2</w:t>
            </w:r>
          </w:p>
        </w:tc>
      </w:tr>
      <w:tr w:rsidR="00953732" w:rsidRPr="00612D84" w:rsidTr="00BE57C3">
        <w:trPr>
          <w:trHeight w:val="255"/>
          <w:jc w:val="center"/>
        </w:trPr>
        <w:tc>
          <w:tcPr>
            <w:tcW w:w="4367" w:type="dxa"/>
            <w:tcBorders>
              <w:top w:val="single" w:sz="4" w:space="0" w:color="auto"/>
              <w:bottom w:val="single" w:sz="2" w:space="0" w:color="auto"/>
            </w:tcBorders>
            <w:vAlign w:val="center"/>
          </w:tcPr>
          <w:p w:rsidR="00953732" w:rsidRPr="008E708D" w:rsidRDefault="00953732" w:rsidP="00BE57C3">
            <w:pPr>
              <w:widowControl/>
              <w:spacing w:after="0"/>
              <w:ind w:left="221" w:firstLine="0"/>
              <w:rPr>
                <w:rFonts w:ascii="Arial Narrow" w:hAnsi="Arial Narrow"/>
                <w:color w:val="000000"/>
                <w:sz w:val="20"/>
                <w:szCs w:val="20"/>
                <w:lang w:eastAsia="es-ES"/>
              </w:rPr>
            </w:pPr>
            <w:r>
              <w:rPr>
                <w:rFonts w:ascii="Arial Narrow" w:hAnsi="Arial Narrow"/>
                <w:color w:val="000000"/>
                <w:sz w:val="20"/>
                <w:szCs w:val="20"/>
                <w:lang w:eastAsia="es-ES"/>
              </w:rPr>
              <w:t>1ª fase</w:t>
            </w:r>
          </w:p>
        </w:tc>
        <w:tc>
          <w:tcPr>
            <w:tcW w:w="1417" w:type="dxa"/>
            <w:tcBorders>
              <w:top w:val="single" w:sz="4" w:space="0" w:color="auto"/>
              <w:bottom w:val="single" w:sz="2" w:space="0" w:color="auto"/>
            </w:tcBorders>
            <w:vAlign w:val="center"/>
          </w:tcPr>
          <w:p w:rsidR="00953732" w:rsidRPr="008E708D" w:rsidRDefault="00953732" w:rsidP="004D22FC">
            <w:pPr>
              <w:widowControl/>
              <w:spacing w:after="0"/>
              <w:ind w:right="201" w:firstLine="0"/>
              <w:jc w:val="right"/>
              <w:rPr>
                <w:rFonts w:ascii="Arial Narrow" w:hAnsi="Arial Narrow"/>
                <w:color w:val="000000"/>
                <w:sz w:val="20"/>
                <w:szCs w:val="20"/>
                <w:lang w:eastAsia="es-ES"/>
              </w:rPr>
            </w:pPr>
            <w:r>
              <w:rPr>
                <w:rFonts w:ascii="Arial Narrow" w:hAnsi="Arial Narrow"/>
                <w:color w:val="000000"/>
                <w:sz w:val="20"/>
                <w:szCs w:val="20"/>
                <w:lang w:eastAsia="es-ES"/>
              </w:rPr>
              <w:t>49</w:t>
            </w:r>
          </w:p>
        </w:tc>
        <w:tc>
          <w:tcPr>
            <w:tcW w:w="1887" w:type="dxa"/>
            <w:tcBorders>
              <w:top w:val="single" w:sz="4" w:space="0" w:color="auto"/>
              <w:bottom w:val="single" w:sz="2" w:space="0" w:color="auto"/>
            </w:tcBorders>
            <w:vAlign w:val="center"/>
          </w:tcPr>
          <w:p w:rsidR="00953732" w:rsidRPr="008E708D" w:rsidRDefault="00953732" w:rsidP="004D22FC">
            <w:pPr>
              <w:widowControl/>
              <w:spacing w:after="0"/>
              <w:ind w:left="206" w:right="115" w:firstLine="0"/>
              <w:jc w:val="right"/>
              <w:rPr>
                <w:rFonts w:ascii="Arial Narrow" w:hAnsi="Arial Narrow"/>
                <w:color w:val="000000"/>
                <w:sz w:val="20"/>
                <w:szCs w:val="20"/>
                <w:lang w:eastAsia="es-ES"/>
              </w:rPr>
            </w:pPr>
            <w:r>
              <w:rPr>
                <w:rFonts w:ascii="Arial Narrow" w:hAnsi="Arial Narrow"/>
                <w:color w:val="000000"/>
                <w:sz w:val="20"/>
                <w:szCs w:val="20"/>
                <w:lang w:eastAsia="es-ES"/>
              </w:rPr>
              <w:t>23</w:t>
            </w:r>
          </w:p>
        </w:tc>
        <w:tc>
          <w:tcPr>
            <w:tcW w:w="1197" w:type="dxa"/>
            <w:tcBorders>
              <w:top w:val="single" w:sz="4" w:space="0" w:color="auto"/>
              <w:bottom w:val="single" w:sz="2" w:space="0" w:color="auto"/>
            </w:tcBorders>
            <w:vAlign w:val="center"/>
          </w:tcPr>
          <w:p w:rsidR="00953732" w:rsidRPr="004D3465" w:rsidRDefault="00953732" w:rsidP="004D22FC">
            <w:pPr>
              <w:widowControl/>
              <w:spacing w:after="0"/>
              <w:ind w:left="206" w:right="115" w:firstLine="0"/>
              <w:jc w:val="right"/>
              <w:rPr>
                <w:rFonts w:ascii="Arial Narrow" w:hAnsi="Arial Narrow"/>
                <w:color w:val="000000"/>
                <w:sz w:val="20"/>
                <w:szCs w:val="20"/>
                <w:lang w:eastAsia="es-ES"/>
              </w:rPr>
            </w:pPr>
            <w:r>
              <w:rPr>
                <w:rFonts w:ascii="Arial Narrow" w:hAnsi="Arial Narrow"/>
                <w:color w:val="000000"/>
                <w:sz w:val="20"/>
                <w:szCs w:val="20"/>
                <w:lang w:eastAsia="es-ES"/>
              </w:rPr>
              <w:t>28</w:t>
            </w:r>
          </w:p>
        </w:tc>
      </w:tr>
      <w:tr w:rsidR="00953732" w:rsidRPr="00612D84" w:rsidTr="00BE57C3">
        <w:trPr>
          <w:trHeight w:val="255"/>
          <w:jc w:val="center"/>
        </w:trPr>
        <w:tc>
          <w:tcPr>
            <w:tcW w:w="4367" w:type="dxa"/>
            <w:vAlign w:val="center"/>
          </w:tcPr>
          <w:p w:rsidR="00953732" w:rsidRPr="008E708D" w:rsidRDefault="00953732" w:rsidP="00BE57C3">
            <w:pPr>
              <w:widowControl/>
              <w:spacing w:after="0"/>
              <w:ind w:left="221" w:firstLine="0"/>
              <w:rPr>
                <w:rFonts w:ascii="Arial Narrow" w:hAnsi="Arial Narrow"/>
                <w:color w:val="000000"/>
                <w:sz w:val="20"/>
                <w:szCs w:val="20"/>
                <w:lang w:eastAsia="es-ES"/>
              </w:rPr>
            </w:pPr>
            <w:r>
              <w:rPr>
                <w:rFonts w:ascii="Arial Narrow" w:hAnsi="Arial Narrow"/>
                <w:color w:val="000000"/>
                <w:sz w:val="20"/>
                <w:szCs w:val="20"/>
                <w:lang w:eastAsia="es-ES"/>
              </w:rPr>
              <w:t>2ª fase</w:t>
            </w:r>
          </w:p>
        </w:tc>
        <w:tc>
          <w:tcPr>
            <w:tcW w:w="1417" w:type="dxa"/>
            <w:vAlign w:val="center"/>
          </w:tcPr>
          <w:p w:rsidR="00953732" w:rsidRPr="008E708D" w:rsidRDefault="00953732" w:rsidP="004D22FC">
            <w:pPr>
              <w:widowControl/>
              <w:spacing w:after="0"/>
              <w:ind w:right="201" w:firstLine="0"/>
              <w:jc w:val="right"/>
              <w:rPr>
                <w:rFonts w:ascii="Arial Narrow" w:hAnsi="Arial Narrow"/>
                <w:color w:val="000000"/>
                <w:sz w:val="20"/>
                <w:szCs w:val="20"/>
                <w:lang w:eastAsia="es-ES"/>
              </w:rPr>
            </w:pPr>
            <w:r>
              <w:rPr>
                <w:rFonts w:ascii="Arial Narrow" w:hAnsi="Arial Narrow"/>
                <w:color w:val="000000"/>
                <w:sz w:val="20"/>
                <w:szCs w:val="20"/>
                <w:lang w:eastAsia="es-ES"/>
              </w:rPr>
              <w:t>27</w:t>
            </w:r>
          </w:p>
        </w:tc>
        <w:tc>
          <w:tcPr>
            <w:tcW w:w="1887" w:type="dxa"/>
            <w:vAlign w:val="center"/>
          </w:tcPr>
          <w:p w:rsidR="00953732" w:rsidRPr="008E708D" w:rsidRDefault="00953732" w:rsidP="004D22FC">
            <w:pPr>
              <w:widowControl/>
              <w:spacing w:after="0"/>
              <w:ind w:left="206" w:right="115" w:firstLine="0"/>
              <w:jc w:val="right"/>
              <w:rPr>
                <w:rFonts w:ascii="Arial Narrow" w:hAnsi="Arial Narrow"/>
                <w:color w:val="000000"/>
                <w:sz w:val="20"/>
                <w:szCs w:val="20"/>
                <w:lang w:eastAsia="es-ES"/>
              </w:rPr>
            </w:pPr>
            <w:r>
              <w:rPr>
                <w:rFonts w:ascii="Arial Narrow" w:hAnsi="Arial Narrow"/>
                <w:color w:val="000000"/>
                <w:sz w:val="20"/>
                <w:szCs w:val="20"/>
                <w:lang w:eastAsia="es-ES"/>
              </w:rPr>
              <w:t>38</w:t>
            </w:r>
          </w:p>
        </w:tc>
        <w:tc>
          <w:tcPr>
            <w:tcW w:w="1197" w:type="dxa"/>
            <w:vAlign w:val="center"/>
          </w:tcPr>
          <w:p w:rsidR="00953732" w:rsidRPr="004D3465" w:rsidRDefault="00953732" w:rsidP="004D22FC">
            <w:pPr>
              <w:widowControl/>
              <w:spacing w:after="0"/>
              <w:ind w:left="206" w:right="115" w:firstLine="0"/>
              <w:jc w:val="right"/>
              <w:rPr>
                <w:rFonts w:ascii="Arial Narrow" w:hAnsi="Arial Narrow"/>
                <w:color w:val="000000"/>
                <w:sz w:val="20"/>
                <w:szCs w:val="20"/>
                <w:lang w:eastAsia="es-ES"/>
              </w:rPr>
            </w:pPr>
            <w:r>
              <w:rPr>
                <w:rFonts w:ascii="Arial Narrow" w:hAnsi="Arial Narrow"/>
                <w:color w:val="000000"/>
                <w:sz w:val="20"/>
                <w:szCs w:val="20"/>
                <w:lang w:eastAsia="es-ES"/>
              </w:rPr>
              <w:t>35</w:t>
            </w:r>
          </w:p>
        </w:tc>
      </w:tr>
      <w:tr w:rsidR="00953732" w:rsidRPr="00612D84" w:rsidTr="00BE57C3">
        <w:trPr>
          <w:trHeight w:val="255"/>
          <w:jc w:val="center"/>
        </w:trPr>
        <w:tc>
          <w:tcPr>
            <w:tcW w:w="4367" w:type="dxa"/>
            <w:vAlign w:val="center"/>
          </w:tcPr>
          <w:p w:rsidR="00953732" w:rsidRPr="008E708D" w:rsidRDefault="00953732" w:rsidP="00BE57C3">
            <w:pPr>
              <w:widowControl/>
              <w:spacing w:after="0"/>
              <w:ind w:left="221" w:firstLine="0"/>
              <w:rPr>
                <w:rFonts w:ascii="Arial Narrow" w:hAnsi="Arial Narrow"/>
                <w:color w:val="000000"/>
                <w:sz w:val="20"/>
                <w:szCs w:val="20"/>
                <w:lang w:eastAsia="es-ES"/>
              </w:rPr>
            </w:pPr>
            <w:r>
              <w:rPr>
                <w:rFonts w:ascii="Arial Narrow" w:hAnsi="Arial Narrow"/>
                <w:color w:val="000000"/>
                <w:sz w:val="20"/>
                <w:szCs w:val="20"/>
                <w:lang w:eastAsia="es-ES"/>
              </w:rPr>
              <w:t>3ª fase</w:t>
            </w:r>
          </w:p>
        </w:tc>
        <w:tc>
          <w:tcPr>
            <w:tcW w:w="1417" w:type="dxa"/>
            <w:vAlign w:val="center"/>
          </w:tcPr>
          <w:p w:rsidR="00953732" w:rsidRPr="008E708D" w:rsidRDefault="00953732" w:rsidP="004D22FC">
            <w:pPr>
              <w:widowControl/>
              <w:spacing w:after="0"/>
              <w:ind w:right="201" w:firstLine="0"/>
              <w:jc w:val="right"/>
              <w:rPr>
                <w:rFonts w:ascii="Arial Narrow" w:hAnsi="Arial Narrow"/>
                <w:color w:val="000000"/>
                <w:sz w:val="20"/>
                <w:szCs w:val="20"/>
                <w:lang w:eastAsia="es-ES"/>
              </w:rPr>
            </w:pPr>
            <w:r>
              <w:rPr>
                <w:rFonts w:ascii="Arial Narrow" w:hAnsi="Arial Narrow"/>
                <w:color w:val="000000"/>
                <w:sz w:val="20"/>
                <w:szCs w:val="20"/>
                <w:lang w:eastAsia="es-ES"/>
              </w:rPr>
              <w:t>88</w:t>
            </w:r>
          </w:p>
        </w:tc>
        <w:tc>
          <w:tcPr>
            <w:tcW w:w="1887" w:type="dxa"/>
            <w:vAlign w:val="center"/>
          </w:tcPr>
          <w:p w:rsidR="00953732" w:rsidRPr="008E708D" w:rsidRDefault="00953732" w:rsidP="004D22FC">
            <w:pPr>
              <w:widowControl/>
              <w:spacing w:after="0"/>
              <w:ind w:left="206" w:right="115" w:firstLine="0"/>
              <w:jc w:val="right"/>
              <w:rPr>
                <w:rFonts w:ascii="Arial Narrow" w:hAnsi="Arial Narrow"/>
                <w:color w:val="000000"/>
                <w:sz w:val="20"/>
                <w:szCs w:val="20"/>
                <w:lang w:eastAsia="es-ES"/>
              </w:rPr>
            </w:pPr>
            <w:r>
              <w:rPr>
                <w:rFonts w:ascii="Arial Narrow" w:hAnsi="Arial Narrow"/>
                <w:color w:val="000000"/>
                <w:sz w:val="20"/>
                <w:szCs w:val="20"/>
                <w:lang w:eastAsia="es-ES"/>
              </w:rPr>
              <w:t>7</w:t>
            </w:r>
          </w:p>
        </w:tc>
        <w:tc>
          <w:tcPr>
            <w:tcW w:w="1197" w:type="dxa"/>
            <w:vAlign w:val="center"/>
          </w:tcPr>
          <w:p w:rsidR="00953732" w:rsidRPr="004D3465" w:rsidRDefault="00953732" w:rsidP="004D22FC">
            <w:pPr>
              <w:widowControl/>
              <w:spacing w:after="0"/>
              <w:ind w:left="206" w:right="115" w:firstLine="0"/>
              <w:jc w:val="right"/>
              <w:rPr>
                <w:rFonts w:ascii="Arial Narrow" w:hAnsi="Arial Narrow"/>
                <w:color w:val="000000"/>
                <w:sz w:val="20"/>
                <w:szCs w:val="20"/>
                <w:lang w:eastAsia="es-ES"/>
              </w:rPr>
            </w:pPr>
            <w:r>
              <w:rPr>
                <w:rFonts w:ascii="Arial Narrow" w:hAnsi="Arial Narrow"/>
                <w:color w:val="000000"/>
                <w:sz w:val="20"/>
                <w:szCs w:val="20"/>
                <w:lang w:eastAsia="es-ES"/>
              </w:rPr>
              <w:t>5</w:t>
            </w:r>
          </w:p>
        </w:tc>
      </w:tr>
    </w:tbl>
    <w:p w:rsidR="00953732" w:rsidRPr="00953732" w:rsidRDefault="00953732" w:rsidP="000E5A01">
      <w:pPr>
        <w:pStyle w:val="texto"/>
        <w:tabs>
          <w:tab w:val="clear" w:pos="2835"/>
          <w:tab w:val="clear" w:pos="3969"/>
          <w:tab w:val="clear" w:pos="5103"/>
          <w:tab w:val="clear" w:pos="6237"/>
          <w:tab w:val="clear" w:pos="7371"/>
        </w:tabs>
        <w:spacing w:before="120" w:after="360"/>
        <w:rPr>
          <w:szCs w:val="26"/>
        </w:rPr>
      </w:pPr>
      <w:r w:rsidRPr="00B7755E">
        <w:rPr>
          <w:szCs w:val="26"/>
        </w:rPr>
        <w:t>Como se observa, en la fase 3ª las superficies de las parcelas ocupadas pr</w:t>
      </w:r>
      <w:r w:rsidRPr="00B7755E">
        <w:rPr>
          <w:szCs w:val="26"/>
        </w:rPr>
        <w:t>e</w:t>
      </w:r>
      <w:r w:rsidRPr="00B7755E">
        <w:rPr>
          <w:szCs w:val="26"/>
        </w:rPr>
        <w:t>dominan de forma relevante las que tienen una superficie mayor de 10.000 m</w:t>
      </w:r>
      <w:r w:rsidRPr="00953732">
        <w:rPr>
          <w:szCs w:val="26"/>
          <w:vertAlign w:val="superscript"/>
        </w:rPr>
        <w:t>2</w:t>
      </w:r>
      <w:r w:rsidRPr="00B7755E">
        <w:rPr>
          <w:szCs w:val="26"/>
        </w:rPr>
        <w:t>.</w:t>
      </w:r>
    </w:p>
    <w:p w:rsidR="00484F27" w:rsidRDefault="00484F27" w:rsidP="00953732">
      <w:pPr>
        <w:pStyle w:val="atitulo2"/>
      </w:pPr>
      <w:bookmarkStart w:id="44" w:name="_Toc515531876"/>
      <w:r>
        <w:t>IV.7. Inversiones y financiación pública en la Ciudad del Transporte</w:t>
      </w:r>
      <w:bookmarkEnd w:id="44"/>
    </w:p>
    <w:p w:rsidR="00484F27" w:rsidRPr="006A41AE" w:rsidRDefault="006E4420" w:rsidP="00484F27">
      <w:pPr>
        <w:pStyle w:val="texto"/>
        <w:tabs>
          <w:tab w:val="clear" w:pos="2835"/>
          <w:tab w:val="clear" w:pos="3969"/>
          <w:tab w:val="clear" w:pos="5103"/>
          <w:tab w:val="clear" w:pos="6237"/>
          <w:tab w:val="clear" w:pos="7371"/>
        </w:tabs>
        <w:rPr>
          <w:spacing w:val="0"/>
          <w:szCs w:val="26"/>
        </w:rPr>
      </w:pPr>
      <w:r w:rsidRPr="00BE57C3">
        <w:rPr>
          <w:b/>
          <w:szCs w:val="26"/>
        </w:rPr>
        <w:t>4</w:t>
      </w:r>
      <w:r w:rsidR="00E42E17" w:rsidRPr="00BE57C3">
        <w:rPr>
          <w:b/>
          <w:szCs w:val="26"/>
        </w:rPr>
        <w:t>6</w:t>
      </w:r>
      <w:r w:rsidR="00BE57C3" w:rsidRPr="00BE57C3">
        <w:rPr>
          <w:b/>
          <w:szCs w:val="26"/>
        </w:rPr>
        <w:t>.</w:t>
      </w:r>
      <w:r w:rsidR="00484F27" w:rsidRPr="00BE57C3">
        <w:rPr>
          <w:b/>
          <w:szCs w:val="26"/>
        </w:rPr>
        <w:t>ª</w:t>
      </w:r>
      <w:r w:rsidR="00484F27">
        <w:rPr>
          <w:szCs w:val="26"/>
        </w:rPr>
        <w:t xml:space="preserve"> </w:t>
      </w:r>
      <w:r w:rsidR="00484F27" w:rsidRPr="006A41AE">
        <w:rPr>
          <w:spacing w:val="0"/>
          <w:szCs w:val="26"/>
        </w:rPr>
        <w:t xml:space="preserve">El proyecto de la Ciudad del Transporte no está todavía concluido por lo que no podemos dar un importe final de las inversiones públicas y de su financiación. </w:t>
      </w:r>
    </w:p>
    <w:p w:rsidR="006C7C5A" w:rsidRPr="00DA68E2" w:rsidRDefault="006E4420" w:rsidP="001D26FB">
      <w:pPr>
        <w:pStyle w:val="texto"/>
        <w:tabs>
          <w:tab w:val="clear" w:pos="2835"/>
          <w:tab w:val="clear" w:pos="3969"/>
          <w:tab w:val="clear" w:pos="5103"/>
          <w:tab w:val="clear" w:pos="6237"/>
          <w:tab w:val="clear" w:pos="7371"/>
        </w:tabs>
        <w:rPr>
          <w:spacing w:val="0"/>
          <w:szCs w:val="26"/>
        </w:rPr>
      </w:pPr>
      <w:r w:rsidRPr="00BE57C3">
        <w:rPr>
          <w:b/>
          <w:spacing w:val="0"/>
          <w:szCs w:val="26"/>
        </w:rPr>
        <w:t>4</w:t>
      </w:r>
      <w:r w:rsidR="00E42E17" w:rsidRPr="00BE57C3">
        <w:rPr>
          <w:b/>
          <w:spacing w:val="0"/>
          <w:szCs w:val="26"/>
        </w:rPr>
        <w:t>7</w:t>
      </w:r>
      <w:r w:rsidR="00BE57C3" w:rsidRPr="00BE57C3">
        <w:rPr>
          <w:b/>
          <w:spacing w:val="0"/>
          <w:szCs w:val="26"/>
        </w:rPr>
        <w:t>.</w:t>
      </w:r>
      <w:r w:rsidR="00484F27" w:rsidRPr="00BE57C3">
        <w:rPr>
          <w:b/>
          <w:spacing w:val="0"/>
          <w:szCs w:val="26"/>
        </w:rPr>
        <w:t>ª</w:t>
      </w:r>
      <w:r w:rsidR="00484F27" w:rsidRPr="00DA68E2">
        <w:rPr>
          <w:spacing w:val="0"/>
          <w:szCs w:val="26"/>
        </w:rPr>
        <w:t xml:space="preserve"> </w:t>
      </w:r>
      <w:r w:rsidR="00484F27" w:rsidRPr="00BE57C3">
        <w:rPr>
          <w:spacing w:val="0"/>
          <w:szCs w:val="26"/>
        </w:rPr>
        <w:t>A</w:t>
      </w:r>
      <w:r w:rsidR="00484F27" w:rsidRPr="00DA68E2">
        <w:rPr>
          <w:spacing w:val="0"/>
          <w:szCs w:val="26"/>
        </w:rPr>
        <w:t xml:space="preserve"> 31 de diciembre de 2017, las inversiones públicas relevantes efectuadas en la CT ascienden a </w:t>
      </w:r>
      <w:r w:rsidR="00647BAD" w:rsidRPr="00DA68E2">
        <w:rPr>
          <w:spacing w:val="0"/>
          <w:szCs w:val="26"/>
        </w:rPr>
        <w:t>113,29</w:t>
      </w:r>
      <w:r w:rsidR="00484F27" w:rsidRPr="00DA68E2">
        <w:rPr>
          <w:color w:val="FF0000"/>
          <w:spacing w:val="0"/>
          <w:szCs w:val="26"/>
        </w:rPr>
        <w:t xml:space="preserve"> </w:t>
      </w:r>
      <w:r w:rsidR="00484F27" w:rsidRPr="00DA68E2">
        <w:rPr>
          <w:spacing w:val="0"/>
          <w:szCs w:val="26"/>
        </w:rPr>
        <w:t>millones de euros, según el siguiente cuadro y gráfico:</w:t>
      </w:r>
    </w:p>
    <w:tbl>
      <w:tblPr>
        <w:tblStyle w:val="TableNormal"/>
        <w:tblW w:w="8870" w:type="dxa"/>
        <w:jc w:val="center"/>
        <w:tblInd w:w="82" w:type="dxa"/>
        <w:tblBorders>
          <w:top w:val="single" w:sz="2" w:space="0" w:color="auto"/>
          <w:bottom w:val="single" w:sz="2" w:space="0" w:color="auto"/>
          <w:insideH w:val="single" w:sz="2" w:space="0" w:color="auto"/>
        </w:tblBorders>
        <w:tblLayout w:type="fixed"/>
        <w:tblLook w:val="01E0" w:firstRow="1" w:lastRow="1" w:firstColumn="1" w:lastColumn="1" w:noHBand="0" w:noVBand="0"/>
      </w:tblPr>
      <w:tblGrid>
        <w:gridCol w:w="2837"/>
        <w:gridCol w:w="1213"/>
        <w:gridCol w:w="1559"/>
        <w:gridCol w:w="1626"/>
        <w:gridCol w:w="1635"/>
      </w:tblGrid>
      <w:tr w:rsidR="00484F27" w:rsidRPr="00DA5BC7" w:rsidTr="006A41AE">
        <w:trPr>
          <w:trHeight w:val="255"/>
          <w:jc w:val="center"/>
        </w:trPr>
        <w:tc>
          <w:tcPr>
            <w:tcW w:w="2837" w:type="dxa"/>
            <w:tcBorders>
              <w:top w:val="single" w:sz="4" w:space="0" w:color="auto"/>
              <w:bottom w:val="single" w:sz="4" w:space="0" w:color="auto"/>
            </w:tcBorders>
            <w:shd w:val="clear" w:color="auto" w:fill="B8CCE4" w:themeFill="accent1" w:themeFillTint="66"/>
            <w:vAlign w:val="center"/>
          </w:tcPr>
          <w:p w:rsidR="00484F27" w:rsidRDefault="00484F27" w:rsidP="006A41AE">
            <w:pPr>
              <w:spacing w:after="0"/>
              <w:ind w:left="82" w:firstLine="0"/>
              <w:jc w:val="left"/>
              <w:rPr>
                <w:rFonts w:ascii="Arial" w:hAnsi="Arial" w:cs="Arial"/>
                <w:color w:val="000000"/>
                <w:sz w:val="18"/>
                <w:szCs w:val="18"/>
                <w:lang w:eastAsia="es-ES"/>
              </w:rPr>
            </w:pPr>
            <w:r>
              <w:rPr>
                <w:rFonts w:ascii="Arial" w:hAnsi="Arial" w:cs="Arial"/>
                <w:color w:val="000000"/>
                <w:sz w:val="18"/>
                <w:szCs w:val="18"/>
                <w:lang w:eastAsia="es-ES"/>
              </w:rPr>
              <w:t>Inversiones públicas CT</w:t>
            </w:r>
          </w:p>
        </w:tc>
        <w:tc>
          <w:tcPr>
            <w:tcW w:w="1213" w:type="dxa"/>
            <w:tcBorders>
              <w:top w:val="single" w:sz="4" w:space="0" w:color="auto"/>
              <w:bottom w:val="single" w:sz="4" w:space="0" w:color="auto"/>
            </w:tcBorders>
            <w:shd w:val="clear" w:color="auto" w:fill="B8CCE4" w:themeFill="accent1" w:themeFillTint="66"/>
            <w:vAlign w:val="center"/>
          </w:tcPr>
          <w:p w:rsidR="00484F27" w:rsidRPr="005B3CA8" w:rsidRDefault="00484F27" w:rsidP="004D0436">
            <w:pPr>
              <w:spacing w:after="0"/>
              <w:ind w:left="284" w:hanging="284"/>
              <w:jc w:val="left"/>
              <w:rPr>
                <w:rFonts w:ascii="Arial" w:hAnsi="Arial" w:cs="Arial"/>
                <w:color w:val="000000"/>
                <w:sz w:val="18"/>
                <w:szCs w:val="18"/>
                <w:lang w:eastAsia="es-ES"/>
              </w:rPr>
            </w:pPr>
            <w:r>
              <w:rPr>
                <w:rFonts w:ascii="Arial" w:hAnsi="Arial" w:cs="Arial"/>
                <w:color w:val="000000"/>
                <w:sz w:val="18"/>
                <w:szCs w:val="18"/>
                <w:lang w:eastAsia="es-ES"/>
              </w:rPr>
              <w:t>Comunes</w:t>
            </w:r>
          </w:p>
        </w:tc>
        <w:tc>
          <w:tcPr>
            <w:tcW w:w="1559" w:type="dxa"/>
            <w:tcBorders>
              <w:top w:val="single" w:sz="4" w:space="0" w:color="auto"/>
              <w:bottom w:val="single" w:sz="4" w:space="0" w:color="auto"/>
            </w:tcBorders>
            <w:shd w:val="clear" w:color="auto" w:fill="B8CCE4" w:themeFill="accent1" w:themeFillTint="66"/>
            <w:vAlign w:val="center"/>
          </w:tcPr>
          <w:p w:rsidR="00484F27" w:rsidRPr="00DA5BC7" w:rsidRDefault="00484F27" w:rsidP="004D0436">
            <w:pPr>
              <w:spacing w:after="0"/>
              <w:ind w:left="206" w:right="131" w:firstLine="0"/>
              <w:jc w:val="right"/>
              <w:rPr>
                <w:rFonts w:ascii="Arial" w:hAnsi="Arial" w:cs="Arial"/>
                <w:color w:val="000000"/>
                <w:sz w:val="18"/>
                <w:szCs w:val="18"/>
                <w:lang w:eastAsia="es-ES"/>
              </w:rPr>
            </w:pPr>
            <w:r>
              <w:rPr>
                <w:rFonts w:ascii="Arial" w:hAnsi="Arial" w:cs="Arial"/>
                <w:color w:val="000000"/>
                <w:sz w:val="18"/>
                <w:szCs w:val="18"/>
                <w:lang w:eastAsia="es-ES"/>
              </w:rPr>
              <w:t>1ª y 2ª fase</w:t>
            </w:r>
          </w:p>
        </w:tc>
        <w:tc>
          <w:tcPr>
            <w:tcW w:w="1626" w:type="dxa"/>
            <w:tcBorders>
              <w:top w:val="single" w:sz="4" w:space="0" w:color="auto"/>
              <w:bottom w:val="single" w:sz="4" w:space="0" w:color="auto"/>
            </w:tcBorders>
            <w:shd w:val="clear" w:color="auto" w:fill="B8CCE4" w:themeFill="accent1" w:themeFillTint="66"/>
            <w:vAlign w:val="center"/>
          </w:tcPr>
          <w:p w:rsidR="00484F27" w:rsidRPr="00DA5BC7" w:rsidRDefault="00484F27" w:rsidP="004D0436">
            <w:pPr>
              <w:spacing w:after="0"/>
              <w:ind w:left="206" w:right="115" w:firstLine="0"/>
              <w:jc w:val="right"/>
              <w:rPr>
                <w:rFonts w:ascii="Arial" w:hAnsi="Arial" w:cs="Arial"/>
                <w:color w:val="000000"/>
                <w:sz w:val="18"/>
                <w:szCs w:val="18"/>
                <w:lang w:eastAsia="es-ES"/>
              </w:rPr>
            </w:pPr>
            <w:r>
              <w:rPr>
                <w:rFonts w:ascii="Arial" w:hAnsi="Arial" w:cs="Arial"/>
                <w:color w:val="000000"/>
                <w:sz w:val="18"/>
                <w:szCs w:val="18"/>
                <w:lang w:eastAsia="es-ES"/>
              </w:rPr>
              <w:t>3ª y 4ª fase</w:t>
            </w:r>
          </w:p>
        </w:tc>
        <w:tc>
          <w:tcPr>
            <w:tcW w:w="1635" w:type="dxa"/>
            <w:tcBorders>
              <w:top w:val="single" w:sz="4" w:space="0" w:color="auto"/>
              <w:bottom w:val="single" w:sz="4" w:space="0" w:color="auto"/>
            </w:tcBorders>
            <w:shd w:val="clear" w:color="auto" w:fill="B8CCE4" w:themeFill="accent1" w:themeFillTint="66"/>
            <w:vAlign w:val="center"/>
          </w:tcPr>
          <w:p w:rsidR="00484F27" w:rsidRPr="00DA5BC7" w:rsidRDefault="00484F27" w:rsidP="004D0436">
            <w:pPr>
              <w:spacing w:after="0"/>
              <w:ind w:left="206" w:right="115" w:firstLine="0"/>
              <w:jc w:val="right"/>
              <w:rPr>
                <w:rFonts w:ascii="Arial" w:hAnsi="Arial" w:cs="Arial"/>
                <w:color w:val="000000"/>
                <w:sz w:val="18"/>
                <w:szCs w:val="18"/>
                <w:lang w:eastAsia="es-ES"/>
              </w:rPr>
            </w:pPr>
            <w:r>
              <w:rPr>
                <w:rFonts w:ascii="Arial" w:hAnsi="Arial" w:cs="Arial"/>
                <w:color w:val="000000"/>
                <w:sz w:val="18"/>
                <w:szCs w:val="18"/>
                <w:lang w:eastAsia="es-ES"/>
              </w:rPr>
              <w:t>Total</w:t>
            </w:r>
          </w:p>
        </w:tc>
      </w:tr>
      <w:tr w:rsidR="00484F27" w:rsidRPr="00612D84" w:rsidTr="006A41AE">
        <w:trPr>
          <w:trHeight w:val="255"/>
          <w:jc w:val="center"/>
        </w:trPr>
        <w:tc>
          <w:tcPr>
            <w:tcW w:w="2837" w:type="dxa"/>
            <w:tcBorders>
              <w:top w:val="single" w:sz="4" w:space="0" w:color="auto"/>
              <w:bottom w:val="single" w:sz="2" w:space="0" w:color="auto"/>
            </w:tcBorders>
            <w:vAlign w:val="center"/>
          </w:tcPr>
          <w:p w:rsidR="00484F27" w:rsidRPr="007F08A5" w:rsidRDefault="00484F27" w:rsidP="006A41AE">
            <w:pPr>
              <w:widowControl/>
              <w:spacing w:after="0"/>
              <w:ind w:left="82" w:right="115" w:firstLine="0"/>
              <w:jc w:val="left"/>
              <w:rPr>
                <w:rFonts w:ascii="Arial Narrow" w:hAnsi="Arial Narrow"/>
                <w:color w:val="000000"/>
                <w:sz w:val="20"/>
                <w:szCs w:val="20"/>
                <w:lang w:eastAsia="es-ES"/>
              </w:rPr>
            </w:pPr>
            <w:r w:rsidRPr="007F08A5">
              <w:rPr>
                <w:rFonts w:ascii="Arial Narrow" w:hAnsi="Arial Narrow"/>
                <w:color w:val="000000"/>
                <w:sz w:val="20"/>
                <w:szCs w:val="20"/>
                <w:lang w:eastAsia="es-ES"/>
              </w:rPr>
              <w:t>Infraestructuras externas</w:t>
            </w:r>
          </w:p>
        </w:tc>
        <w:tc>
          <w:tcPr>
            <w:tcW w:w="1213" w:type="dxa"/>
            <w:tcBorders>
              <w:top w:val="single" w:sz="4" w:space="0" w:color="auto"/>
              <w:bottom w:val="single" w:sz="2" w:space="0" w:color="auto"/>
            </w:tcBorders>
            <w:vAlign w:val="center"/>
          </w:tcPr>
          <w:p w:rsidR="00484F27" w:rsidRPr="008A528D" w:rsidRDefault="00E56FD3" w:rsidP="00E56FD3">
            <w:pPr>
              <w:spacing w:after="0"/>
              <w:ind w:left="206" w:right="115" w:firstLine="0"/>
              <w:jc w:val="right"/>
              <w:rPr>
                <w:rFonts w:ascii="Arial Narrow" w:hAnsi="Arial Narrow"/>
                <w:color w:val="000000"/>
                <w:sz w:val="20"/>
                <w:szCs w:val="20"/>
                <w:lang w:eastAsia="es-ES"/>
              </w:rPr>
            </w:pPr>
            <w:r w:rsidRPr="00E56FD3">
              <w:rPr>
                <w:rFonts w:ascii="Arial Narrow" w:hAnsi="Arial Narrow"/>
                <w:color w:val="000000"/>
                <w:sz w:val="20"/>
                <w:szCs w:val="20"/>
                <w:lang w:eastAsia="es-ES"/>
              </w:rPr>
              <w:t>11.114.976</w:t>
            </w:r>
          </w:p>
        </w:tc>
        <w:tc>
          <w:tcPr>
            <w:tcW w:w="1559" w:type="dxa"/>
            <w:tcBorders>
              <w:top w:val="single" w:sz="4" w:space="0" w:color="auto"/>
              <w:bottom w:val="single" w:sz="2" w:space="0" w:color="auto"/>
            </w:tcBorders>
            <w:vAlign w:val="center"/>
          </w:tcPr>
          <w:p w:rsidR="00484F27" w:rsidRPr="008A528D" w:rsidRDefault="00484F27" w:rsidP="004D0436">
            <w:pPr>
              <w:spacing w:after="0"/>
              <w:ind w:firstLineChars="100" w:firstLine="220"/>
              <w:jc w:val="right"/>
              <w:rPr>
                <w:rFonts w:ascii="Arial Narrow" w:hAnsi="Arial Narrow" w:cs="Calibri"/>
                <w:color w:val="000000"/>
                <w:lang w:val="es-ES" w:eastAsia="es-ES"/>
              </w:rPr>
            </w:pPr>
          </w:p>
        </w:tc>
        <w:tc>
          <w:tcPr>
            <w:tcW w:w="1626" w:type="dxa"/>
            <w:tcBorders>
              <w:top w:val="single" w:sz="4" w:space="0" w:color="auto"/>
              <w:bottom w:val="single" w:sz="2" w:space="0" w:color="auto"/>
            </w:tcBorders>
            <w:vAlign w:val="center"/>
          </w:tcPr>
          <w:p w:rsidR="00484F27" w:rsidRPr="008A528D" w:rsidRDefault="00484F27" w:rsidP="004D0436">
            <w:pPr>
              <w:spacing w:after="0"/>
              <w:ind w:firstLineChars="100" w:firstLine="220"/>
              <w:jc w:val="right"/>
              <w:rPr>
                <w:rFonts w:ascii="Arial Narrow" w:hAnsi="Arial Narrow" w:cs="Calibri"/>
                <w:color w:val="000000"/>
                <w:lang w:val="es-ES" w:eastAsia="es-ES"/>
              </w:rPr>
            </w:pPr>
          </w:p>
        </w:tc>
        <w:tc>
          <w:tcPr>
            <w:tcW w:w="1635" w:type="dxa"/>
            <w:tcBorders>
              <w:top w:val="single" w:sz="4" w:space="0" w:color="auto"/>
              <w:bottom w:val="single" w:sz="2" w:space="0" w:color="auto"/>
            </w:tcBorders>
            <w:vAlign w:val="center"/>
          </w:tcPr>
          <w:p w:rsidR="00484F27" w:rsidRPr="008A528D" w:rsidRDefault="00E56FD3" w:rsidP="004D0436">
            <w:pPr>
              <w:spacing w:after="0"/>
              <w:ind w:left="206" w:right="115" w:firstLine="0"/>
              <w:jc w:val="right"/>
              <w:rPr>
                <w:rFonts w:ascii="Arial Narrow" w:hAnsi="Arial Narrow"/>
                <w:color w:val="000000"/>
                <w:sz w:val="20"/>
                <w:szCs w:val="20"/>
                <w:lang w:eastAsia="es-ES"/>
              </w:rPr>
            </w:pPr>
            <w:r w:rsidRPr="00E56FD3">
              <w:rPr>
                <w:rFonts w:ascii="Arial Narrow" w:hAnsi="Arial Narrow"/>
                <w:color w:val="000000"/>
                <w:sz w:val="20"/>
                <w:szCs w:val="20"/>
                <w:lang w:eastAsia="es-ES"/>
              </w:rPr>
              <w:t>11.114.976</w:t>
            </w:r>
          </w:p>
        </w:tc>
      </w:tr>
      <w:tr w:rsidR="00484F27" w:rsidRPr="00612D84" w:rsidTr="006A41AE">
        <w:trPr>
          <w:trHeight w:val="255"/>
          <w:jc w:val="center"/>
        </w:trPr>
        <w:tc>
          <w:tcPr>
            <w:tcW w:w="2837" w:type="dxa"/>
            <w:tcBorders>
              <w:top w:val="single" w:sz="2" w:space="0" w:color="auto"/>
            </w:tcBorders>
            <w:vAlign w:val="center"/>
          </w:tcPr>
          <w:p w:rsidR="00484F27" w:rsidRPr="007F08A5" w:rsidRDefault="00484F27" w:rsidP="006A41AE">
            <w:pPr>
              <w:widowControl/>
              <w:spacing w:after="0"/>
              <w:ind w:left="82" w:firstLine="0"/>
              <w:jc w:val="left"/>
              <w:rPr>
                <w:rFonts w:ascii="Arial Narrow" w:hAnsi="Arial Narrow"/>
                <w:color w:val="000000"/>
                <w:sz w:val="20"/>
                <w:szCs w:val="20"/>
                <w:lang w:eastAsia="es-ES"/>
              </w:rPr>
            </w:pPr>
            <w:r w:rsidRPr="007F08A5">
              <w:rPr>
                <w:rFonts w:ascii="Arial Narrow" w:hAnsi="Arial Narrow"/>
                <w:color w:val="000000"/>
                <w:sz w:val="20"/>
                <w:szCs w:val="20"/>
                <w:lang w:eastAsia="es-ES"/>
              </w:rPr>
              <w:t>Expropiación terrenos</w:t>
            </w:r>
          </w:p>
        </w:tc>
        <w:tc>
          <w:tcPr>
            <w:tcW w:w="1213" w:type="dxa"/>
            <w:tcBorders>
              <w:top w:val="single" w:sz="2" w:space="0" w:color="auto"/>
            </w:tcBorders>
            <w:vAlign w:val="center"/>
          </w:tcPr>
          <w:p w:rsidR="00484F27" w:rsidRPr="007F08A5" w:rsidRDefault="00484F27" w:rsidP="004D0436">
            <w:pPr>
              <w:widowControl/>
              <w:spacing w:after="0"/>
              <w:ind w:left="206" w:right="115" w:firstLine="0"/>
              <w:jc w:val="right"/>
              <w:rPr>
                <w:rFonts w:ascii="Arial Narrow" w:hAnsi="Arial Narrow"/>
                <w:color w:val="000000"/>
                <w:sz w:val="20"/>
                <w:szCs w:val="20"/>
                <w:lang w:eastAsia="es-ES"/>
              </w:rPr>
            </w:pPr>
          </w:p>
        </w:tc>
        <w:tc>
          <w:tcPr>
            <w:tcW w:w="1559" w:type="dxa"/>
            <w:tcBorders>
              <w:top w:val="single" w:sz="2" w:space="0" w:color="auto"/>
            </w:tcBorders>
            <w:vAlign w:val="center"/>
          </w:tcPr>
          <w:p w:rsidR="00484F27" w:rsidRPr="007F08A5" w:rsidRDefault="00484F27" w:rsidP="004D0436">
            <w:pPr>
              <w:widowControl/>
              <w:spacing w:after="0"/>
              <w:ind w:left="206" w:right="115" w:firstLine="0"/>
              <w:jc w:val="right"/>
              <w:rPr>
                <w:rFonts w:ascii="Arial Narrow" w:hAnsi="Arial Narrow"/>
                <w:color w:val="000000"/>
                <w:sz w:val="20"/>
                <w:szCs w:val="20"/>
                <w:lang w:eastAsia="es-ES"/>
              </w:rPr>
            </w:pPr>
            <w:r w:rsidRPr="007F08A5">
              <w:rPr>
                <w:rFonts w:ascii="Arial Narrow" w:hAnsi="Arial Narrow"/>
                <w:color w:val="000000"/>
                <w:sz w:val="20"/>
                <w:szCs w:val="20"/>
                <w:lang w:eastAsia="es-ES"/>
              </w:rPr>
              <w:t>17.472.452</w:t>
            </w:r>
          </w:p>
        </w:tc>
        <w:tc>
          <w:tcPr>
            <w:tcW w:w="1626" w:type="dxa"/>
            <w:tcBorders>
              <w:top w:val="single" w:sz="2" w:space="0" w:color="auto"/>
            </w:tcBorders>
            <w:vAlign w:val="center"/>
          </w:tcPr>
          <w:p w:rsidR="00484F27" w:rsidRPr="007F08A5" w:rsidRDefault="00647BAD" w:rsidP="004D0436">
            <w:pPr>
              <w:widowControl/>
              <w:spacing w:after="0"/>
              <w:ind w:left="206" w:right="115" w:firstLine="0"/>
              <w:jc w:val="right"/>
              <w:rPr>
                <w:rFonts w:ascii="Arial Narrow" w:hAnsi="Arial Narrow"/>
                <w:color w:val="000000"/>
                <w:sz w:val="20"/>
                <w:szCs w:val="20"/>
                <w:lang w:eastAsia="es-ES"/>
              </w:rPr>
            </w:pPr>
            <w:r>
              <w:rPr>
                <w:rFonts w:ascii="Arial Narrow" w:hAnsi="Arial Narrow"/>
                <w:color w:val="000000"/>
                <w:sz w:val="20"/>
                <w:szCs w:val="20"/>
                <w:lang w:eastAsia="es-ES"/>
              </w:rPr>
              <w:t>74.413.752</w:t>
            </w:r>
          </w:p>
        </w:tc>
        <w:tc>
          <w:tcPr>
            <w:tcW w:w="1635" w:type="dxa"/>
            <w:tcBorders>
              <w:top w:val="single" w:sz="2" w:space="0" w:color="auto"/>
            </w:tcBorders>
            <w:vAlign w:val="center"/>
          </w:tcPr>
          <w:p w:rsidR="00484F27" w:rsidRPr="00405EBB" w:rsidRDefault="00647BAD" w:rsidP="004D0436">
            <w:pPr>
              <w:spacing w:after="0"/>
              <w:ind w:left="206" w:right="115" w:firstLine="0"/>
              <w:jc w:val="right"/>
              <w:rPr>
                <w:rFonts w:ascii="Arial Narrow" w:hAnsi="Arial Narrow"/>
                <w:color w:val="000000"/>
                <w:sz w:val="20"/>
                <w:szCs w:val="20"/>
                <w:lang w:eastAsia="es-ES"/>
              </w:rPr>
            </w:pPr>
            <w:r>
              <w:rPr>
                <w:rFonts w:ascii="Arial Narrow" w:hAnsi="Arial Narrow"/>
                <w:color w:val="000000"/>
                <w:sz w:val="20"/>
                <w:szCs w:val="20"/>
                <w:lang w:eastAsia="es-ES"/>
              </w:rPr>
              <w:t>91.886.204</w:t>
            </w:r>
          </w:p>
        </w:tc>
      </w:tr>
      <w:tr w:rsidR="00484F27" w:rsidRPr="00612D84" w:rsidTr="006A41AE">
        <w:trPr>
          <w:trHeight w:val="255"/>
          <w:jc w:val="center"/>
        </w:trPr>
        <w:tc>
          <w:tcPr>
            <w:tcW w:w="2837" w:type="dxa"/>
            <w:tcBorders>
              <w:top w:val="single" w:sz="2" w:space="0" w:color="auto"/>
            </w:tcBorders>
            <w:vAlign w:val="center"/>
          </w:tcPr>
          <w:p w:rsidR="00484F27" w:rsidRPr="007F08A5" w:rsidRDefault="00484F27" w:rsidP="006A41AE">
            <w:pPr>
              <w:widowControl/>
              <w:spacing w:after="0"/>
              <w:ind w:left="82" w:firstLine="0"/>
              <w:jc w:val="left"/>
              <w:rPr>
                <w:rFonts w:ascii="Arial Narrow" w:hAnsi="Arial Narrow"/>
                <w:color w:val="000000"/>
                <w:sz w:val="20"/>
                <w:szCs w:val="20"/>
                <w:lang w:eastAsia="es-ES"/>
              </w:rPr>
            </w:pPr>
            <w:r>
              <w:rPr>
                <w:rFonts w:ascii="Arial Narrow" w:hAnsi="Arial Narrow"/>
                <w:color w:val="000000"/>
                <w:sz w:val="20"/>
                <w:szCs w:val="20"/>
                <w:lang w:eastAsia="es-ES"/>
              </w:rPr>
              <w:t>Proyecto</w:t>
            </w:r>
            <w:r w:rsidRPr="007F08A5">
              <w:rPr>
                <w:rFonts w:ascii="Arial Narrow" w:hAnsi="Arial Narrow"/>
                <w:color w:val="000000"/>
                <w:sz w:val="20"/>
                <w:szCs w:val="20"/>
                <w:lang w:eastAsia="es-ES"/>
              </w:rPr>
              <w:t xml:space="preserve"> PSIS</w:t>
            </w:r>
            <w:r>
              <w:rPr>
                <w:rFonts w:ascii="Arial Narrow" w:hAnsi="Arial Narrow"/>
                <w:color w:val="000000"/>
                <w:sz w:val="20"/>
                <w:szCs w:val="20"/>
                <w:lang w:eastAsia="es-ES"/>
              </w:rPr>
              <w:t xml:space="preserve"> ampliación</w:t>
            </w:r>
          </w:p>
        </w:tc>
        <w:tc>
          <w:tcPr>
            <w:tcW w:w="1213" w:type="dxa"/>
            <w:tcBorders>
              <w:top w:val="single" w:sz="2" w:space="0" w:color="auto"/>
            </w:tcBorders>
            <w:vAlign w:val="center"/>
          </w:tcPr>
          <w:p w:rsidR="00484F27" w:rsidRPr="007F08A5" w:rsidRDefault="00484F27" w:rsidP="004D0436">
            <w:pPr>
              <w:widowControl/>
              <w:spacing w:after="0"/>
              <w:ind w:left="206" w:right="115" w:firstLine="0"/>
              <w:jc w:val="right"/>
              <w:rPr>
                <w:rFonts w:ascii="Arial Narrow" w:hAnsi="Arial Narrow"/>
                <w:color w:val="000000"/>
                <w:sz w:val="20"/>
                <w:szCs w:val="20"/>
                <w:lang w:eastAsia="es-ES"/>
              </w:rPr>
            </w:pPr>
          </w:p>
        </w:tc>
        <w:tc>
          <w:tcPr>
            <w:tcW w:w="1559" w:type="dxa"/>
            <w:tcBorders>
              <w:top w:val="single" w:sz="2" w:space="0" w:color="auto"/>
            </w:tcBorders>
            <w:vAlign w:val="center"/>
          </w:tcPr>
          <w:p w:rsidR="00484F27" w:rsidRPr="007F08A5" w:rsidRDefault="00484F27" w:rsidP="004D0436">
            <w:pPr>
              <w:widowControl/>
              <w:spacing w:after="0"/>
              <w:ind w:left="206" w:right="115" w:firstLine="0"/>
              <w:jc w:val="right"/>
              <w:rPr>
                <w:rFonts w:ascii="Arial Narrow" w:hAnsi="Arial Narrow"/>
                <w:color w:val="000000"/>
                <w:sz w:val="20"/>
                <w:szCs w:val="20"/>
                <w:lang w:eastAsia="es-ES"/>
              </w:rPr>
            </w:pPr>
          </w:p>
        </w:tc>
        <w:tc>
          <w:tcPr>
            <w:tcW w:w="1626" w:type="dxa"/>
            <w:tcBorders>
              <w:top w:val="single" w:sz="2" w:space="0" w:color="auto"/>
            </w:tcBorders>
            <w:vAlign w:val="center"/>
          </w:tcPr>
          <w:p w:rsidR="00484F27" w:rsidRPr="007F08A5" w:rsidRDefault="00484F27" w:rsidP="004D0436">
            <w:pPr>
              <w:widowControl/>
              <w:spacing w:after="0"/>
              <w:ind w:left="206" w:right="115" w:firstLine="0"/>
              <w:jc w:val="right"/>
              <w:rPr>
                <w:rFonts w:ascii="Arial Narrow" w:hAnsi="Arial Narrow"/>
                <w:color w:val="000000"/>
                <w:sz w:val="20"/>
                <w:szCs w:val="20"/>
                <w:lang w:eastAsia="es-ES"/>
              </w:rPr>
            </w:pPr>
            <w:r>
              <w:rPr>
                <w:rFonts w:ascii="Arial Narrow" w:hAnsi="Arial Narrow"/>
                <w:color w:val="000000"/>
                <w:sz w:val="20"/>
                <w:szCs w:val="20"/>
                <w:lang w:eastAsia="es-ES"/>
              </w:rPr>
              <w:t>220.935</w:t>
            </w:r>
          </w:p>
        </w:tc>
        <w:tc>
          <w:tcPr>
            <w:tcW w:w="1635" w:type="dxa"/>
            <w:tcBorders>
              <w:top w:val="single" w:sz="2" w:space="0" w:color="auto"/>
            </w:tcBorders>
            <w:vAlign w:val="center"/>
          </w:tcPr>
          <w:p w:rsidR="00484F27" w:rsidRPr="00405EBB" w:rsidRDefault="00484F27" w:rsidP="004D0436">
            <w:pPr>
              <w:spacing w:after="0"/>
              <w:ind w:left="206" w:right="115" w:firstLine="0"/>
              <w:jc w:val="right"/>
              <w:rPr>
                <w:rFonts w:ascii="Arial Narrow" w:hAnsi="Arial Narrow"/>
                <w:color w:val="000000"/>
                <w:sz w:val="20"/>
                <w:szCs w:val="20"/>
                <w:lang w:eastAsia="es-ES"/>
              </w:rPr>
            </w:pPr>
            <w:r>
              <w:rPr>
                <w:rFonts w:ascii="Arial Narrow" w:hAnsi="Arial Narrow"/>
                <w:color w:val="000000"/>
                <w:sz w:val="20"/>
                <w:szCs w:val="20"/>
                <w:lang w:eastAsia="es-ES"/>
              </w:rPr>
              <w:t>220.935</w:t>
            </w:r>
          </w:p>
        </w:tc>
      </w:tr>
      <w:tr w:rsidR="00484F27" w:rsidRPr="00612D84" w:rsidTr="006A41AE">
        <w:trPr>
          <w:trHeight w:val="255"/>
          <w:jc w:val="center"/>
        </w:trPr>
        <w:tc>
          <w:tcPr>
            <w:tcW w:w="2837" w:type="dxa"/>
            <w:tcBorders>
              <w:top w:val="single" w:sz="2" w:space="0" w:color="auto"/>
            </w:tcBorders>
            <w:vAlign w:val="center"/>
          </w:tcPr>
          <w:p w:rsidR="00484F27" w:rsidRPr="007F08A5" w:rsidRDefault="00484F27" w:rsidP="006A41AE">
            <w:pPr>
              <w:widowControl/>
              <w:spacing w:after="0"/>
              <w:ind w:left="82" w:firstLine="0"/>
              <w:jc w:val="left"/>
              <w:rPr>
                <w:rFonts w:ascii="Arial Narrow" w:hAnsi="Arial Narrow"/>
                <w:color w:val="000000"/>
                <w:sz w:val="20"/>
                <w:szCs w:val="20"/>
                <w:lang w:eastAsia="es-ES"/>
              </w:rPr>
            </w:pPr>
            <w:r w:rsidRPr="007F08A5">
              <w:rPr>
                <w:rFonts w:ascii="Arial Narrow" w:hAnsi="Arial Narrow"/>
                <w:color w:val="000000"/>
                <w:sz w:val="20"/>
                <w:szCs w:val="20"/>
                <w:lang w:eastAsia="es-ES"/>
              </w:rPr>
              <w:t>Aparcamiento</w:t>
            </w:r>
            <w:r>
              <w:rPr>
                <w:rFonts w:ascii="Arial Narrow" w:hAnsi="Arial Narrow"/>
                <w:color w:val="000000"/>
                <w:sz w:val="20"/>
                <w:szCs w:val="20"/>
                <w:lang w:eastAsia="es-ES"/>
              </w:rPr>
              <w:t xml:space="preserve"> veh</w:t>
            </w:r>
            <w:r w:rsidR="006A41AE">
              <w:rPr>
                <w:rFonts w:ascii="Arial Narrow" w:hAnsi="Arial Narrow"/>
                <w:color w:val="000000"/>
                <w:sz w:val="20"/>
                <w:szCs w:val="20"/>
                <w:lang w:eastAsia="es-ES"/>
              </w:rPr>
              <w:t>ículos</w:t>
            </w:r>
            <w:r w:rsidRPr="007F08A5">
              <w:rPr>
                <w:rFonts w:ascii="Arial Narrow" w:hAnsi="Arial Narrow"/>
                <w:color w:val="000000"/>
                <w:sz w:val="20"/>
                <w:szCs w:val="20"/>
                <w:lang w:eastAsia="es-ES"/>
              </w:rPr>
              <w:t xml:space="preserve"> pesados</w:t>
            </w:r>
          </w:p>
        </w:tc>
        <w:tc>
          <w:tcPr>
            <w:tcW w:w="1213" w:type="dxa"/>
            <w:tcBorders>
              <w:top w:val="single" w:sz="2" w:space="0" w:color="auto"/>
            </w:tcBorders>
            <w:vAlign w:val="center"/>
          </w:tcPr>
          <w:p w:rsidR="00484F27" w:rsidRPr="007F08A5" w:rsidRDefault="00484F27" w:rsidP="004D0436">
            <w:pPr>
              <w:widowControl/>
              <w:spacing w:after="0"/>
              <w:ind w:left="206" w:right="115" w:firstLine="0"/>
              <w:jc w:val="right"/>
              <w:rPr>
                <w:rFonts w:ascii="Arial Narrow" w:hAnsi="Arial Narrow"/>
                <w:color w:val="000000"/>
                <w:sz w:val="20"/>
                <w:szCs w:val="20"/>
                <w:lang w:eastAsia="es-ES"/>
              </w:rPr>
            </w:pPr>
          </w:p>
        </w:tc>
        <w:tc>
          <w:tcPr>
            <w:tcW w:w="1559" w:type="dxa"/>
            <w:tcBorders>
              <w:top w:val="single" w:sz="2" w:space="0" w:color="auto"/>
            </w:tcBorders>
            <w:vAlign w:val="center"/>
          </w:tcPr>
          <w:p w:rsidR="00484F27" w:rsidRPr="007F08A5" w:rsidRDefault="00484F27" w:rsidP="004D0436">
            <w:pPr>
              <w:widowControl/>
              <w:spacing w:after="0"/>
              <w:ind w:left="206" w:right="115" w:firstLine="0"/>
              <w:jc w:val="right"/>
              <w:rPr>
                <w:rFonts w:ascii="Arial Narrow" w:hAnsi="Arial Narrow"/>
                <w:color w:val="000000"/>
                <w:sz w:val="20"/>
                <w:szCs w:val="20"/>
                <w:lang w:eastAsia="es-ES"/>
              </w:rPr>
            </w:pPr>
            <w:r>
              <w:rPr>
                <w:rFonts w:ascii="Arial Narrow" w:hAnsi="Arial Narrow"/>
                <w:color w:val="000000"/>
                <w:sz w:val="20"/>
                <w:szCs w:val="20"/>
                <w:lang w:eastAsia="es-ES"/>
              </w:rPr>
              <w:t>1.274.203</w:t>
            </w:r>
          </w:p>
        </w:tc>
        <w:tc>
          <w:tcPr>
            <w:tcW w:w="1626" w:type="dxa"/>
            <w:tcBorders>
              <w:top w:val="single" w:sz="2" w:space="0" w:color="auto"/>
            </w:tcBorders>
            <w:vAlign w:val="center"/>
          </w:tcPr>
          <w:p w:rsidR="00484F27" w:rsidRPr="007F08A5" w:rsidRDefault="00484F27" w:rsidP="004D0436">
            <w:pPr>
              <w:widowControl/>
              <w:spacing w:after="0"/>
              <w:ind w:left="206" w:right="115" w:firstLine="0"/>
              <w:jc w:val="right"/>
              <w:rPr>
                <w:rFonts w:ascii="Arial Narrow" w:hAnsi="Arial Narrow"/>
                <w:color w:val="000000"/>
                <w:sz w:val="20"/>
                <w:szCs w:val="20"/>
                <w:lang w:eastAsia="es-ES"/>
              </w:rPr>
            </w:pPr>
            <w:r>
              <w:rPr>
                <w:rFonts w:ascii="Arial Narrow" w:hAnsi="Arial Narrow"/>
                <w:color w:val="000000"/>
                <w:sz w:val="20"/>
                <w:szCs w:val="20"/>
                <w:lang w:eastAsia="es-ES"/>
              </w:rPr>
              <w:t>4.017.596</w:t>
            </w:r>
          </w:p>
        </w:tc>
        <w:tc>
          <w:tcPr>
            <w:tcW w:w="1635" w:type="dxa"/>
            <w:tcBorders>
              <w:top w:val="single" w:sz="2" w:space="0" w:color="auto"/>
            </w:tcBorders>
            <w:vAlign w:val="center"/>
          </w:tcPr>
          <w:p w:rsidR="00484F27" w:rsidRPr="00405EBB" w:rsidRDefault="00484F27" w:rsidP="004D0436">
            <w:pPr>
              <w:spacing w:after="0"/>
              <w:ind w:left="206" w:right="115" w:firstLine="0"/>
              <w:jc w:val="right"/>
              <w:rPr>
                <w:rFonts w:ascii="Arial Narrow" w:hAnsi="Arial Narrow"/>
                <w:color w:val="000000"/>
                <w:sz w:val="20"/>
                <w:szCs w:val="20"/>
                <w:lang w:eastAsia="es-ES"/>
              </w:rPr>
            </w:pPr>
            <w:r>
              <w:rPr>
                <w:rFonts w:ascii="Arial Narrow" w:hAnsi="Arial Narrow"/>
                <w:color w:val="000000"/>
                <w:sz w:val="20"/>
                <w:szCs w:val="20"/>
                <w:lang w:eastAsia="es-ES"/>
              </w:rPr>
              <w:t>5.291.799</w:t>
            </w:r>
          </w:p>
        </w:tc>
      </w:tr>
      <w:tr w:rsidR="00484F27" w:rsidRPr="00612D84" w:rsidTr="006A41AE">
        <w:trPr>
          <w:trHeight w:val="255"/>
          <w:jc w:val="center"/>
        </w:trPr>
        <w:tc>
          <w:tcPr>
            <w:tcW w:w="2837" w:type="dxa"/>
            <w:tcBorders>
              <w:top w:val="single" w:sz="2" w:space="0" w:color="auto"/>
            </w:tcBorders>
            <w:vAlign w:val="center"/>
          </w:tcPr>
          <w:p w:rsidR="00484F27" w:rsidRPr="007F08A5" w:rsidRDefault="00484F27" w:rsidP="006A41AE">
            <w:pPr>
              <w:widowControl/>
              <w:spacing w:after="0"/>
              <w:ind w:left="82" w:firstLine="0"/>
              <w:jc w:val="left"/>
              <w:rPr>
                <w:rFonts w:ascii="Arial Narrow" w:hAnsi="Arial Narrow"/>
                <w:color w:val="000000"/>
                <w:sz w:val="20"/>
                <w:szCs w:val="20"/>
                <w:lang w:eastAsia="es-ES"/>
              </w:rPr>
            </w:pPr>
            <w:r w:rsidRPr="007F08A5">
              <w:rPr>
                <w:rFonts w:ascii="Arial Narrow" w:hAnsi="Arial Narrow"/>
                <w:color w:val="000000"/>
                <w:sz w:val="20"/>
                <w:szCs w:val="20"/>
                <w:lang w:eastAsia="es-ES"/>
              </w:rPr>
              <w:t>Edificios oficinas</w:t>
            </w:r>
          </w:p>
        </w:tc>
        <w:tc>
          <w:tcPr>
            <w:tcW w:w="1213" w:type="dxa"/>
            <w:tcBorders>
              <w:top w:val="single" w:sz="2" w:space="0" w:color="auto"/>
            </w:tcBorders>
            <w:vAlign w:val="center"/>
          </w:tcPr>
          <w:p w:rsidR="00484F27" w:rsidRPr="007F08A5" w:rsidRDefault="00484F27" w:rsidP="004D0436">
            <w:pPr>
              <w:widowControl/>
              <w:spacing w:after="0"/>
              <w:ind w:left="206" w:right="115" w:firstLine="0"/>
              <w:jc w:val="right"/>
              <w:rPr>
                <w:rFonts w:ascii="Arial Narrow" w:hAnsi="Arial Narrow"/>
                <w:color w:val="000000"/>
                <w:sz w:val="20"/>
                <w:szCs w:val="20"/>
                <w:lang w:eastAsia="es-ES"/>
              </w:rPr>
            </w:pPr>
          </w:p>
        </w:tc>
        <w:tc>
          <w:tcPr>
            <w:tcW w:w="1559" w:type="dxa"/>
            <w:tcBorders>
              <w:top w:val="single" w:sz="2" w:space="0" w:color="auto"/>
            </w:tcBorders>
            <w:vAlign w:val="center"/>
          </w:tcPr>
          <w:p w:rsidR="00484F27" w:rsidRPr="007F08A5" w:rsidRDefault="00484F27" w:rsidP="004D0436">
            <w:pPr>
              <w:widowControl/>
              <w:spacing w:after="0"/>
              <w:ind w:left="206" w:right="115" w:firstLine="0"/>
              <w:jc w:val="right"/>
              <w:rPr>
                <w:rFonts w:ascii="Arial Narrow" w:hAnsi="Arial Narrow"/>
                <w:color w:val="000000"/>
                <w:sz w:val="20"/>
                <w:szCs w:val="20"/>
                <w:lang w:eastAsia="es-ES"/>
              </w:rPr>
            </w:pPr>
            <w:r>
              <w:rPr>
                <w:rFonts w:ascii="Arial Narrow" w:hAnsi="Arial Narrow"/>
                <w:color w:val="000000"/>
                <w:sz w:val="20"/>
                <w:szCs w:val="20"/>
                <w:lang w:eastAsia="es-ES"/>
              </w:rPr>
              <w:t>1.722.824</w:t>
            </w:r>
          </w:p>
        </w:tc>
        <w:tc>
          <w:tcPr>
            <w:tcW w:w="1626" w:type="dxa"/>
            <w:tcBorders>
              <w:top w:val="single" w:sz="2" w:space="0" w:color="auto"/>
            </w:tcBorders>
            <w:vAlign w:val="center"/>
          </w:tcPr>
          <w:p w:rsidR="00484F27" w:rsidRPr="007F08A5" w:rsidRDefault="00484F27" w:rsidP="004D0436">
            <w:pPr>
              <w:widowControl/>
              <w:spacing w:after="0"/>
              <w:ind w:left="206" w:right="115" w:firstLine="0"/>
              <w:jc w:val="right"/>
              <w:rPr>
                <w:rFonts w:ascii="Arial Narrow" w:hAnsi="Arial Narrow"/>
                <w:color w:val="000000"/>
                <w:sz w:val="20"/>
                <w:szCs w:val="20"/>
                <w:lang w:eastAsia="es-ES"/>
              </w:rPr>
            </w:pPr>
          </w:p>
        </w:tc>
        <w:tc>
          <w:tcPr>
            <w:tcW w:w="1635" w:type="dxa"/>
            <w:tcBorders>
              <w:top w:val="single" w:sz="2" w:space="0" w:color="auto"/>
            </w:tcBorders>
            <w:vAlign w:val="center"/>
          </w:tcPr>
          <w:p w:rsidR="00484F27" w:rsidRPr="00405EBB" w:rsidRDefault="00484F27" w:rsidP="004D0436">
            <w:pPr>
              <w:spacing w:after="0"/>
              <w:ind w:left="206" w:right="115" w:firstLine="0"/>
              <w:jc w:val="right"/>
              <w:rPr>
                <w:rFonts w:ascii="Arial Narrow" w:hAnsi="Arial Narrow"/>
                <w:color w:val="000000"/>
                <w:sz w:val="20"/>
                <w:szCs w:val="20"/>
                <w:lang w:eastAsia="es-ES"/>
              </w:rPr>
            </w:pPr>
            <w:r>
              <w:rPr>
                <w:rFonts w:ascii="Arial Narrow" w:hAnsi="Arial Narrow"/>
                <w:color w:val="000000"/>
                <w:sz w:val="20"/>
                <w:szCs w:val="20"/>
                <w:lang w:eastAsia="es-ES"/>
              </w:rPr>
              <w:t>1.722.824</w:t>
            </w:r>
          </w:p>
        </w:tc>
      </w:tr>
      <w:tr w:rsidR="00484F27" w:rsidRPr="00612D84" w:rsidTr="006A41AE">
        <w:trPr>
          <w:trHeight w:val="255"/>
          <w:jc w:val="center"/>
        </w:trPr>
        <w:tc>
          <w:tcPr>
            <w:tcW w:w="2837" w:type="dxa"/>
            <w:tcBorders>
              <w:top w:val="single" w:sz="2" w:space="0" w:color="auto"/>
            </w:tcBorders>
            <w:vAlign w:val="center"/>
          </w:tcPr>
          <w:p w:rsidR="00484F27" w:rsidRPr="007F08A5" w:rsidRDefault="00484F27" w:rsidP="006A41AE">
            <w:pPr>
              <w:widowControl/>
              <w:spacing w:after="0"/>
              <w:ind w:left="82" w:firstLine="0"/>
              <w:jc w:val="left"/>
              <w:rPr>
                <w:rFonts w:ascii="Arial Narrow" w:hAnsi="Arial Narrow"/>
                <w:color w:val="000000"/>
                <w:sz w:val="20"/>
                <w:szCs w:val="20"/>
                <w:lang w:eastAsia="es-ES"/>
              </w:rPr>
            </w:pPr>
            <w:r w:rsidRPr="007F08A5">
              <w:rPr>
                <w:rFonts w:ascii="Arial Narrow" w:hAnsi="Arial Narrow"/>
                <w:color w:val="000000"/>
                <w:sz w:val="20"/>
                <w:szCs w:val="20"/>
                <w:lang w:eastAsia="es-ES"/>
              </w:rPr>
              <w:t>Sistemas generales</w:t>
            </w:r>
          </w:p>
        </w:tc>
        <w:tc>
          <w:tcPr>
            <w:tcW w:w="1213" w:type="dxa"/>
            <w:tcBorders>
              <w:top w:val="single" w:sz="2" w:space="0" w:color="auto"/>
            </w:tcBorders>
            <w:vAlign w:val="center"/>
          </w:tcPr>
          <w:p w:rsidR="00484F27" w:rsidRPr="007F08A5" w:rsidRDefault="00484F27" w:rsidP="004D0436">
            <w:pPr>
              <w:widowControl/>
              <w:spacing w:after="0"/>
              <w:ind w:left="206" w:right="115" w:firstLine="0"/>
              <w:jc w:val="right"/>
              <w:rPr>
                <w:rFonts w:ascii="Arial Narrow" w:hAnsi="Arial Narrow"/>
                <w:color w:val="000000"/>
                <w:sz w:val="20"/>
                <w:szCs w:val="20"/>
                <w:lang w:eastAsia="es-ES"/>
              </w:rPr>
            </w:pPr>
          </w:p>
        </w:tc>
        <w:tc>
          <w:tcPr>
            <w:tcW w:w="1559" w:type="dxa"/>
            <w:tcBorders>
              <w:top w:val="single" w:sz="2" w:space="0" w:color="auto"/>
            </w:tcBorders>
            <w:vAlign w:val="center"/>
          </w:tcPr>
          <w:p w:rsidR="00484F27" w:rsidRPr="007F08A5" w:rsidRDefault="00484F27" w:rsidP="004D0436">
            <w:pPr>
              <w:widowControl/>
              <w:spacing w:after="0"/>
              <w:ind w:left="206" w:right="115" w:firstLine="0"/>
              <w:jc w:val="right"/>
              <w:rPr>
                <w:rFonts w:ascii="Arial Narrow" w:hAnsi="Arial Narrow"/>
                <w:color w:val="000000"/>
                <w:sz w:val="20"/>
                <w:szCs w:val="20"/>
                <w:lang w:eastAsia="es-ES"/>
              </w:rPr>
            </w:pPr>
          </w:p>
        </w:tc>
        <w:tc>
          <w:tcPr>
            <w:tcW w:w="1626" w:type="dxa"/>
            <w:tcBorders>
              <w:top w:val="single" w:sz="2" w:space="0" w:color="auto"/>
            </w:tcBorders>
            <w:vAlign w:val="center"/>
          </w:tcPr>
          <w:p w:rsidR="00484F27" w:rsidRPr="007F08A5" w:rsidRDefault="00484F27" w:rsidP="004D0436">
            <w:pPr>
              <w:widowControl/>
              <w:spacing w:after="0"/>
              <w:ind w:left="206" w:right="115" w:firstLine="0"/>
              <w:jc w:val="right"/>
              <w:rPr>
                <w:rFonts w:ascii="Arial Narrow" w:hAnsi="Arial Narrow"/>
                <w:color w:val="000000"/>
                <w:sz w:val="20"/>
                <w:szCs w:val="20"/>
                <w:lang w:eastAsia="es-ES"/>
              </w:rPr>
            </w:pPr>
            <w:r w:rsidRPr="007F08A5">
              <w:rPr>
                <w:rFonts w:ascii="Arial Narrow" w:hAnsi="Arial Narrow"/>
                <w:color w:val="000000"/>
                <w:sz w:val="20"/>
                <w:szCs w:val="20"/>
                <w:lang w:eastAsia="es-ES"/>
              </w:rPr>
              <w:t>2.388.186</w:t>
            </w:r>
          </w:p>
        </w:tc>
        <w:tc>
          <w:tcPr>
            <w:tcW w:w="1635" w:type="dxa"/>
            <w:tcBorders>
              <w:top w:val="single" w:sz="2" w:space="0" w:color="auto"/>
            </w:tcBorders>
            <w:vAlign w:val="center"/>
          </w:tcPr>
          <w:p w:rsidR="00484F27" w:rsidRPr="007F08A5" w:rsidRDefault="00484F27" w:rsidP="004D0436">
            <w:pPr>
              <w:widowControl/>
              <w:spacing w:after="0"/>
              <w:ind w:left="206" w:right="115" w:firstLine="0"/>
              <w:jc w:val="right"/>
              <w:rPr>
                <w:rFonts w:ascii="Arial Narrow" w:hAnsi="Arial Narrow"/>
                <w:color w:val="000000"/>
                <w:sz w:val="20"/>
                <w:szCs w:val="20"/>
                <w:lang w:eastAsia="es-ES"/>
              </w:rPr>
            </w:pPr>
            <w:r w:rsidRPr="007F08A5">
              <w:rPr>
                <w:rFonts w:ascii="Arial Narrow" w:hAnsi="Arial Narrow"/>
                <w:color w:val="000000"/>
                <w:sz w:val="20"/>
                <w:szCs w:val="20"/>
                <w:lang w:eastAsia="es-ES"/>
              </w:rPr>
              <w:t>2.388.186</w:t>
            </w:r>
          </w:p>
        </w:tc>
      </w:tr>
      <w:tr w:rsidR="00484F27" w:rsidRPr="00612D84" w:rsidTr="006A41AE">
        <w:trPr>
          <w:trHeight w:val="255"/>
          <w:jc w:val="center"/>
        </w:trPr>
        <w:tc>
          <w:tcPr>
            <w:tcW w:w="2837" w:type="dxa"/>
            <w:tcBorders>
              <w:top w:val="single" w:sz="2" w:space="0" w:color="auto"/>
            </w:tcBorders>
            <w:vAlign w:val="center"/>
          </w:tcPr>
          <w:p w:rsidR="00484F27" w:rsidRPr="007F08A5" w:rsidRDefault="00484F27" w:rsidP="006A41AE">
            <w:pPr>
              <w:widowControl/>
              <w:spacing w:after="0"/>
              <w:ind w:left="82" w:firstLine="0"/>
              <w:jc w:val="left"/>
              <w:rPr>
                <w:rFonts w:ascii="Arial Narrow" w:hAnsi="Arial Narrow"/>
                <w:color w:val="000000"/>
                <w:sz w:val="20"/>
                <w:szCs w:val="20"/>
                <w:lang w:eastAsia="es-ES"/>
              </w:rPr>
            </w:pPr>
            <w:r w:rsidRPr="007F08A5">
              <w:rPr>
                <w:rFonts w:ascii="Arial Narrow" w:hAnsi="Arial Narrow"/>
                <w:color w:val="000000"/>
                <w:sz w:val="20"/>
                <w:szCs w:val="20"/>
                <w:lang w:eastAsia="es-ES"/>
              </w:rPr>
              <w:t>Saneamiento y abastecimiento</w:t>
            </w:r>
          </w:p>
        </w:tc>
        <w:tc>
          <w:tcPr>
            <w:tcW w:w="1213" w:type="dxa"/>
            <w:tcBorders>
              <w:top w:val="single" w:sz="2" w:space="0" w:color="auto"/>
            </w:tcBorders>
            <w:vAlign w:val="center"/>
          </w:tcPr>
          <w:p w:rsidR="00484F27" w:rsidRPr="008E708D" w:rsidRDefault="00484F27" w:rsidP="004D0436">
            <w:pPr>
              <w:widowControl/>
              <w:spacing w:after="0"/>
              <w:ind w:left="206" w:right="115" w:firstLine="0"/>
              <w:jc w:val="right"/>
              <w:rPr>
                <w:rFonts w:ascii="Arial Narrow" w:hAnsi="Arial Narrow"/>
                <w:color w:val="000000"/>
                <w:sz w:val="20"/>
                <w:szCs w:val="20"/>
                <w:lang w:eastAsia="es-ES"/>
              </w:rPr>
            </w:pPr>
          </w:p>
        </w:tc>
        <w:tc>
          <w:tcPr>
            <w:tcW w:w="1559" w:type="dxa"/>
            <w:tcBorders>
              <w:top w:val="single" w:sz="2" w:space="0" w:color="auto"/>
            </w:tcBorders>
            <w:vAlign w:val="center"/>
          </w:tcPr>
          <w:p w:rsidR="00484F27" w:rsidRPr="008E708D" w:rsidRDefault="00484F27" w:rsidP="004D0436">
            <w:pPr>
              <w:widowControl/>
              <w:spacing w:after="0"/>
              <w:ind w:left="206" w:right="115" w:firstLine="0"/>
              <w:jc w:val="right"/>
              <w:rPr>
                <w:rFonts w:ascii="Arial Narrow" w:hAnsi="Arial Narrow"/>
                <w:color w:val="000000"/>
                <w:sz w:val="20"/>
                <w:szCs w:val="20"/>
                <w:lang w:eastAsia="es-ES"/>
              </w:rPr>
            </w:pPr>
          </w:p>
        </w:tc>
        <w:tc>
          <w:tcPr>
            <w:tcW w:w="1626" w:type="dxa"/>
            <w:tcBorders>
              <w:top w:val="single" w:sz="2" w:space="0" w:color="auto"/>
            </w:tcBorders>
            <w:vAlign w:val="center"/>
          </w:tcPr>
          <w:p w:rsidR="00484F27" w:rsidRPr="008E708D" w:rsidRDefault="00484F27" w:rsidP="004D0436">
            <w:pPr>
              <w:widowControl/>
              <w:spacing w:after="0"/>
              <w:ind w:left="206" w:right="115" w:firstLine="0"/>
              <w:jc w:val="right"/>
              <w:rPr>
                <w:rFonts w:ascii="Arial Narrow" w:hAnsi="Arial Narrow"/>
                <w:color w:val="000000"/>
                <w:sz w:val="20"/>
                <w:szCs w:val="20"/>
                <w:lang w:eastAsia="es-ES"/>
              </w:rPr>
            </w:pPr>
            <w:r>
              <w:rPr>
                <w:rFonts w:ascii="Arial Narrow" w:hAnsi="Arial Narrow"/>
                <w:color w:val="000000"/>
                <w:sz w:val="20"/>
                <w:szCs w:val="20"/>
                <w:lang w:eastAsia="es-ES"/>
              </w:rPr>
              <w:t>342.000</w:t>
            </w:r>
          </w:p>
        </w:tc>
        <w:tc>
          <w:tcPr>
            <w:tcW w:w="1635" w:type="dxa"/>
            <w:tcBorders>
              <w:top w:val="single" w:sz="2" w:space="0" w:color="auto"/>
            </w:tcBorders>
            <w:vAlign w:val="center"/>
          </w:tcPr>
          <w:p w:rsidR="00484F27" w:rsidRPr="008E708D" w:rsidRDefault="00484F27" w:rsidP="004D0436">
            <w:pPr>
              <w:widowControl/>
              <w:spacing w:after="0"/>
              <w:ind w:left="206" w:right="115" w:firstLine="0"/>
              <w:jc w:val="right"/>
              <w:rPr>
                <w:rFonts w:ascii="Arial Narrow" w:hAnsi="Arial Narrow"/>
                <w:color w:val="000000"/>
                <w:sz w:val="20"/>
                <w:szCs w:val="20"/>
                <w:lang w:eastAsia="es-ES"/>
              </w:rPr>
            </w:pPr>
            <w:r>
              <w:rPr>
                <w:rFonts w:ascii="Arial Narrow" w:hAnsi="Arial Narrow"/>
                <w:color w:val="000000"/>
                <w:sz w:val="20"/>
                <w:szCs w:val="20"/>
                <w:lang w:eastAsia="es-ES"/>
              </w:rPr>
              <w:t>342.000</w:t>
            </w:r>
          </w:p>
        </w:tc>
      </w:tr>
      <w:tr w:rsidR="00484F27" w:rsidRPr="00583102" w:rsidTr="006A41AE">
        <w:trPr>
          <w:trHeight w:val="255"/>
          <w:jc w:val="center"/>
        </w:trPr>
        <w:tc>
          <w:tcPr>
            <w:tcW w:w="2837" w:type="dxa"/>
            <w:tcBorders>
              <w:top w:val="single" w:sz="2" w:space="0" w:color="auto"/>
            </w:tcBorders>
            <w:vAlign w:val="center"/>
          </w:tcPr>
          <w:p w:rsidR="00484F27" w:rsidRPr="00583102" w:rsidRDefault="00484F27" w:rsidP="006A41AE">
            <w:pPr>
              <w:widowControl/>
              <w:spacing w:after="0"/>
              <w:ind w:left="82" w:firstLine="0"/>
              <w:jc w:val="left"/>
              <w:rPr>
                <w:rFonts w:ascii="Arial Narrow" w:hAnsi="Arial Narrow"/>
                <w:color w:val="000000"/>
                <w:sz w:val="20"/>
                <w:szCs w:val="20"/>
                <w:lang w:eastAsia="es-ES"/>
              </w:rPr>
            </w:pPr>
            <w:r w:rsidRPr="00583102">
              <w:rPr>
                <w:rFonts w:ascii="Arial Narrow" w:hAnsi="Arial Narrow"/>
                <w:color w:val="000000"/>
                <w:sz w:val="20"/>
                <w:szCs w:val="20"/>
                <w:lang w:eastAsia="es-ES"/>
              </w:rPr>
              <w:t>Compra acciones socios minoritarios</w:t>
            </w:r>
          </w:p>
        </w:tc>
        <w:tc>
          <w:tcPr>
            <w:tcW w:w="1213" w:type="dxa"/>
            <w:tcBorders>
              <w:top w:val="single" w:sz="2" w:space="0" w:color="auto"/>
            </w:tcBorders>
            <w:vAlign w:val="center"/>
          </w:tcPr>
          <w:p w:rsidR="00484F27" w:rsidRPr="00583102" w:rsidRDefault="00484F27" w:rsidP="004D0436">
            <w:pPr>
              <w:spacing w:after="0"/>
              <w:ind w:left="206" w:right="115" w:firstLine="0"/>
              <w:jc w:val="right"/>
              <w:rPr>
                <w:rFonts w:ascii="Arial Narrow" w:hAnsi="Arial Narrow"/>
                <w:color w:val="000000"/>
                <w:sz w:val="20"/>
                <w:szCs w:val="20"/>
                <w:lang w:eastAsia="es-ES"/>
              </w:rPr>
            </w:pPr>
            <w:r>
              <w:rPr>
                <w:rFonts w:ascii="Arial Narrow" w:hAnsi="Arial Narrow"/>
                <w:color w:val="000000"/>
                <w:sz w:val="20"/>
                <w:szCs w:val="20"/>
                <w:lang w:eastAsia="es-ES"/>
              </w:rPr>
              <w:t>135.225</w:t>
            </w:r>
          </w:p>
        </w:tc>
        <w:tc>
          <w:tcPr>
            <w:tcW w:w="1559" w:type="dxa"/>
            <w:tcBorders>
              <w:top w:val="single" w:sz="2" w:space="0" w:color="auto"/>
            </w:tcBorders>
            <w:vAlign w:val="center"/>
          </w:tcPr>
          <w:p w:rsidR="00484F27" w:rsidRPr="00583102" w:rsidRDefault="00484F27" w:rsidP="004D0436">
            <w:pPr>
              <w:widowControl/>
              <w:spacing w:after="0"/>
              <w:ind w:left="206" w:right="115" w:firstLine="0"/>
              <w:jc w:val="right"/>
              <w:rPr>
                <w:rFonts w:ascii="Arial Narrow" w:hAnsi="Arial Narrow"/>
                <w:color w:val="000000"/>
                <w:sz w:val="20"/>
                <w:szCs w:val="20"/>
                <w:lang w:eastAsia="es-ES"/>
              </w:rPr>
            </w:pPr>
          </w:p>
        </w:tc>
        <w:tc>
          <w:tcPr>
            <w:tcW w:w="1626" w:type="dxa"/>
            <w:tcBorders>
              <w:top w:val="single" w:sz="2" w:space="0" w:color="auto"/>
            </w:tcBorders>
            <w:vAlign w:val="center"/>
          </w:tcPr>
          <w:p w:rsidR="00484F27" w:rsidRPr="00583102" w:rsidRDefault="00484F27" w:rsidP="004D0436">
            <w:pPr>
              <w:widowControl/>
              <w:spacing w:after="0"/>
              <w:ind w:left="206" w:right="115" w:firstLine="0"/>
              <w:jc w:val="right"/>
              <w:rPr>
                <w:rFonts w:ascii="Arial Narrow" w:hAnsi="Arial Narrow"/>
                <w:color w:val="000000"/>
                <w:sz w:val="20"/>
                <w:szCs w:val="20"/>
                <w:lang w:eastAsia="es-ES"/>
              </w:rPr>
            </w:pPr>
          </w:p>
        </w:tc>
        <w:tc>
          <w:tcPr>
            <w:tcW w:w="1635" w:type="dxa"/>
            <w:tcBorders>
              <w:top w:val="single" w:sz="2" w:space="0" w:color="auto"/>
            </w:tcBorders>
            <w:vAlign w:val="center"/>
          </w:tcPr>
          <w:p w:rsidR="00484F27" w:rsidRPr="00583102" w:rsidRDefault="00484F27" w:rsidP="004D0436">
            <w:pPr>
              <w:widowControl/>
              <w:spacing w:after="0"/>
              <w:ind w:left="206" w:right="115" w:firstLine="0"/>
              <w:jc w:val="right"/>
              <w:rPr>
                <w:rFonts w:ascii="Arial Narrow" w:hAnsi="Arial Narrow"/>
                <w:color w:val="000000"/>
                <w:sz w:val="20"/>
                <w:szCs w:val="20"/>
                <w:lang w:eastAsia="es-ES"/>
              </w:rPr>
            </w:pPr>
            <w:r>
              <w:rPr>
                <w:rFonts w:ascii="Arial Narrow" w:hAnsi="Arial Narrow"/>
                <w:color w:val="000000"/>
                <w:sz w:val="20"/>
                <w:szCs w:val="20"/>
                <w:lang w:eastAsia="es-ES"/>
              </w:rPr>
              <w:t>135.225</w:t>
            </w:r>
          </w:p>
        </w:tc>
      </w:tr>
      <w:tr w:rsidR="00B313BF" w:rsidRPr="00583102" w:rsidTr="006A41AE">
        <w:trPr>
          <w:trHeight w:val="255"/>
          <w:jc w:val="center"/>
        </w:trPr>
        <w:tc>
          <w:tcPr>
            <w:tcW w:w="2837" w:type="dxa"/>
            <w:tcBorders>
              <w:top w:val="single" w:sz="4" w:space="0" w:color="auto"/>
              <w:bottom w:val="single" w:sz="4" w:space="0" w:color="auto"/>
            </w:tcBorders>
            <w:vAlign w:val="center"/>
          </w:tcPr>
          <w:p w:rsidR="00B313BF" w:rsidRPr="00B313BF" w:rsidRDefault="00B313BF" w:rsidP="006A41AE">
            <w:pPr>
              <w:widowControl/>
              <w:spacing w:after="0"/>
              <w:ind w:left="82" w:firstLine="0"/>
              <w:jc w:val="left"/>
              <w:rPr>
                <w:rFonts w:ascii="Arial Narrow" w:hAnsi="Arial Narrow"/>
                <w:color w:val="000000"/>
                <w:sz w:val="20"/>
                <w:szCs w:val="20"/>
                <w:lang w:eastAsia="es-ES"/>
              </w:rPr>
            </w:pPr>
            <w:r w:rsidRPr="00B313BF">
              <w:rPr>
                <w:rFonts w:ascii="Arial Narrow" w:hAnsi="Arial Narrow"/>
                <w:color w:val="000000"/>
                <w:sz w:val="20"/>
                <w:szCs w:val="20"/>
                <w:lang w:eastAsia="es-ES"/>
              </w:rPr>
              <w:t>Explanaci</w:t>
            </w:r>
            <w:r>
              <w:rPr>
                <w:rFonts w:ascii="Arial Narrow" w:hAnsi="Arial Narrow"/>
                <w:color w:val="000000"/>
                <w:sz w:val="20"/>
                <w:szCs w:val="20"/>
                <w:lang w:eastAsia="es-ES"/>
              </w:rPr>
              <w:t>ón 4ª fase (</w:t>
            </w:r>
            <w:r w:rsidRPr="00B313BF">
              <w:rPr>
                <w:rFonts w:ascii="Arial Narrow" w:hAnsi="Arial Narrow"/>
                <w:color w:val="000000"/>
                <w:sz w:val="20"/>
                <w:szCs w:val="20"/>
                <w:lang w:eastAsia="es-ES"/>
              </w:rPr>
              <w:t>Nasuvinsa)</w:t>
            </w:r>
          </w:p>
        </w:tc>
        <w:tc>
          <w:tcPr>
            <w:tcW w:w="1213" w:type="dxa"/>
            <w:tcBorders>
              <w:top w:val="single" w:sz="4" w:space="0" w:color="auto"/>
              <w:bottom w:val="single" w:sz="4" w:space="0" w:color="auto"/>
            </w:tcBorders>
            <w:vAlign w:val="center"/>
          </w:tcPr>
          <w:p w:rsidR="00B313BF" w:rsidRPr="00B313BF" w:rsidRDefault="00B313BF" w:rsidP="00B313BF">
            <w:pPr>
              <w:widowControl/>
              <w:spacing w:after="0"/>
              <w:ind w:left="206" w:right="115" w:firstLine="0"/>
              <w:jc w:val="right"/>
              <w:rPr>
                <w:rFonts w:ascii="Arial Narrow" w:hAnsi="Arial Narrow"/>
                <w:color w:val="000000"/>
                <w:sz w:val="20"/>
                <w:szCs w:val="20"/>
                <w:lang w:eastAsia="es-ES"/>
              </w:rPr>
            </w:pPr>
          </w:p>
        </w:tc>
        <w:tc>
          <w:tcPr>
            <w:tcW w:w="1559" w:type="dxa"/>
            <w:tcBorders>
              <w:top w:val="single" w:sz="4" w:space="0" w:color="auto"/>
              <w:bottom w:val="single" w:sz="4" w:space="0" w:color="auto"/>
            </w:tcBorders>
            <w:vAlign w:val="center"/>
          </w:tcPr>
          <w:p w:rsidR="00B313BF" w:rsidRPr="00B313BF" w:rsidRDefault="00B313BF" w:rsidP="00B313BF">
            <w:pPr>
              <w:widowControl/>
              <w:spacing w:after="0"/>
              <w:ind w:left="206" w:right="115" w:firstLine="0"/>
              <w:jc w:val="right"/>
              <w:rPr>
                <w:rFonts w:ascii="Arial Narrow" w:hAnsi="Arial Narrow"/>
                <w:color w:val="000000"/>
                <w:sz w:val="20"/>
                <w:szCs w:val="20"/>
                <w:lang w:eastAsia="es-ES"/>
              </w:rPr>
            </w:pPr>
          </w:p>
        </w:tc>
        <w:tc>
          <w:tcPr>
            <w:tcW w:w="1626" w:type="dxa"/>
            <w:tcBorders>
              <w:top w:val="single" w:sz="4" w:space="0" w:color="auto"/>
              <w:bottom w:val="single" w:sz="4" w:space="0" w:color="auto"/>
            </w:tcBorders>
            <w:vAlign w:val="center"/>
          </w:tcPr>
          <w:p w:rsidR="00B313BF" w:rsidRPr="00B313BF" w:rsidRDefault="00B313BF" w:rsidP="00B313BF">
            <w:pPr>
              <w:widowControl/>
              <w:spacing w:after="0"/>
              <w:ind w:left="206" w:right="115" w:firstLine="0"/>
              <w:jc w:val="right"/>
              <w:rPr>
                <w:rFonts w:ascii="Arial Narrow" w:hAnsi="Arial Narrow"/>
                <w:color w:val="000000"/>
                <w:sz w:val="20"/>
                <w:szCs w:val="20"/>
                <w:lang w:eastAsia="es-ES"/>
              </w:rPr>
            </w:pPr>
            <w:r>
              <w:rPr>
                <w:rFonts w:ascii="Arial Narrow" w:hAnsi="Arial Narrow"/>
                <w:color w:val="000000"/>
                <w:sz w:val="20"/>
                <w:szCs w:val="20"/>
                <w:lang w:eastAsia="es-ES"/>
              </w:rPr>
              <w:t>185.293</w:t>
            </w:r>
          </w:p>
        </w:tc>
        <w:tc>
          <w:tcPr>
            <w:tcW w:w="1635" w:type="dxa"/>
            <w:tcBorders>
              <w:top w:val="single" w:sz="4" w:space="0" w:color="auto"/>
              <w:bottom w:val="single" w:sz="4" w:space="0" w:color="auto"/>
            </w:tcBorders>
            <w:vAlign w:val="center"/>
          </w:tcPr>
          <w:p w:rsidR="00B313BF" w:rsidRPr="00B313BF" w:rsidRDefault="00B313BF" w:rsidP="00B313BF">
            <w:pPr>
              <w:widowControl/>
              <w:spacing w:after="0"/>
              <w:ind w:left="206" w:right="115" w:firstLine="0"/>
              <w:jc w:val="right"/>
              <w:rPr>
                <w:rFonts w:ascii="Arial Narrow" w:hAnsi="Arial Narrow"/>
                <w:color w:val="000000"/>
                <w:sz w:val="20"/>
                <w:szCs w:val="20"/>
                <w:lang w:eastAsia="es-ES"/>
              </w:rPr>
            </w:pPr>
            <w:r>
              <w:rPr>
                <w:rFonts w:ascii="Arial Narrow" w:hAnsi="Arial Narrow"/>
                <w:color w:val="000000"/>
                <w:sz w:val="20"/>
                <w:szCs w:val="20"/>
                <w:lang w:eastAsia="es-ES"/>
              </w:rPr>
              <w:t>185.293</w:t>
            </w:r>
          </w:p>
        </w:tc>
      </w:tr>
      <w:tr w:rsidR="00484F27" w:rsidRPr="00612D84" w:rsidTr="006A41AE">
        <w:trPr>
          <w:trHeight w:val="255"/>
          <w:jc w:val="center"/>
        </w:trPr>
        <w:tc>
          <w:tcPr>
            <w:tcW w:w="2837" w:type="dxa"/>
            <w:tcBorders>
              <w:top w:val="single" w:sz="4" w:space="0" w:color="auto"/>
              <w:bottom w:val="single" w:sz="4" w:space="0" w:color="auto"/>
            </w:tcBorders>
            <w:shd w:val="clear" w:color="auto" w:fill="B8CCE4" w:themeFill="accent1" w:themeFillTint="66"/>
            <w:vAlign w:val="center"/>
          </w:tcPr>
          <w:p w:rsidR="00484F27" w:rsidRPr="005B3CA8" w:rsidRDefault="00484F27" w:rsidP="006A41AE">
            <w:pPr>
              <w:spacing w:after="0"/>
              <w:ind w:left="82" w:firstLine="0"/>
              <w:jc w:val="left"/>
              <w:rPr>
                <w:rFonts w:ascii="Arial" w:hAnsi="Arial" w:cs="Arial"/>
                <w:color w:val="000000"/>
                <w:sz w:val="18"/>
                <w:szCs w:val="18"/>
                <w:lang w:eastAsia="es-ES"/>
              </w:rPr>
            </w:pPr>
            <w:r>
              <w:rPr>
                <w:rFonts w:ascii="Arial" w:hAnsi="Arial" w:cs="Arial"/>
                <w:color w:val="000000"/>
                <w:sz w:val="18"/>
                <w:szCs w:val="18"/>
                <w:lang w:eastAsia="es-ES"/>
              </w:rPr>
              <w:t>Total a 31/XII/2017</w:t>
            </w:r>
          </w:p>
        </w:tc>
        <w:tc>
          <w:tcPr>
            <w:tcW w:w="1213" w:type="dxa"/>
            <w:tcBorders>
              <w:top w:val="single" w:sz="4" w:space="0" w:color="auto"/>
              <w:bottom w:val="single" w:sz="4" w:space="0" w:color="auto"/>
            </w:tcBorders>
            <w:shd w:val="clear" w:color="auto" w:fill="B8CCE4" w:themeFill="accent1" w:themeFillTint="66"/>
            <w:vAlign w:val="center"/>
          </w:tcPr>
          <w:p w:rsidR="00484F27" w:rsidRPr="005B3CA8" w:rsidRDefault="00647BAD" w:rsidP="004D0436">
            <w:pPr>
              <w:spacing w:after="0"/>
              <w:ind w:left="284" w:right="-12" w:firstLine="0"/>
              <w:jc w:val="right"/>
              <w:rPr>
                <w:rFonts w:ascii="Arial" w:hAnsi="Arial" w:cs="Arial"/>
                <w:color w:val="000000"/>
                <w:sz w:val="18"/>
                <w:szCs w:val="18"/>
                <w:lang w:eastAsia="es-ES"/>
              </w:rPr>
            </w:pPr>
            <w:r>
              <w:rPr>
                <w:rFonts w:ascii="Arial" w:hAnsi="Arial" w:cs="Arial"/>
                <w:color w:val="000000"/>
                <w:sz w:val="18"/>
                <w:szCs w:val="18"/>
                <w:lang w:eastAsia="es-ES"/>
              </w:rPr>
              <w:t>11.250.201</w:t>
            </w:r>
          </w:p>
        </w:tc>
        <w:tc>
          <w:tcPr>
            <w:tcW w:w="1559" w:type="dxa"/>
            <w:tcBorders>
              <w:top w:val="single" w:sz="4" w:space="0" w:color="auto"/>
              <w:bottom w:val="single" w:sz="4" w:space="0" w:color="auto"/>
            </w:tcBorders>
            <w:shd w:val="clear" w:color="auto" w:fill="B8CCE4" w:themeFill="accent1" w:themeFillTint="66"/>
            <w:vAlign w:val="center"/>
          </w:tcPr>
          <w:p w:rsidR="00484F27" w:rsidRPr="005B3CA8" w:rsidRDefault="00484F27" w:rsidP="004D0436">
            <w:pPr>
              <w:spacing w:after="0"/>
              <w:ind w:left="284" w:right="162" w:firstLine="0"/>
              <w:jc w:val="right"/>
              <w:rPr>
                <w:rFonts w:ascii="Arial" w:hAnsi="Arial" w:cs="Arial"/>
                <w:color w:val="000000"/>
                <w:sz w:val="18"/>
                <w:szCs w:val="18"/>
                <w:lang w:eastAsia="es-ES"/>
              </w:rPr>
            </w:pPr>
            <w:r>
              <w:rPr>
                <w:rFonts w:ascii="Arial" w:hAnsi="Arial" w:cs="Arial"/>
                <w:color w:val="000000"/>
                <w:sz w:val="18"/>
                <w:szCs w:val="18"/>
                <w:lang w:eastAsia="es-ES"/>
              </w:rPr>
              <w:t>20.469.479</w:t>
            </w:r>
          </w:p>
        </w:tc>
        <w:tc>
          <w:tcPr>
            <w:tcW w:w="1626" w:type="dxa"/>
            <w:tcBorders>
              <w:top w:val="single" w:sz="4" w:space="0" w:color="auto"/>
              <w:bottom w:val="single" w:sz="4" w:space="0" w:color="auto"/>
            </w:tcBorders>
            <w:shd w:val="clear" w:color="auto" w:fill="B8CCE4" w:themeFill="accent1" w:themeFillTint="66"/>
            <w:vAlign w:val="center"/>
          </w:tcPr>
          <w:p w:rsidR="00484F27" w:rsidRPr="005B3CA8" w:rsidRDefault="00647BAD" w:rsidP="004D0436">
            <w:pPr>
              <w:spacing w:after="0"/>
              <w:ind w:left="284" w:right="115" w:firstLine="0"/>
              <w:jc w:val="right"/>
              <w:rPr>
                <w:rFonts w:ascii="Arial" w:hAnsi="Arial" w:cs="Arial"/>
                <w:color w:val="000000"/>
                <w:sz w:val="18"/>
                <w:szCs w:val="18"/>
                <w:lang w:eastAsia="es-ES"/>
              </w:rPr>
            </w:pPr>
            <w:r>
              <w:rPr>
                <w:rFonts w:ascii="Arial" w:hAnsi="Arial" w:cs="Arial"/>
                <w:color w:val="000000"/>
                <w:sz w:val="18"/>
                <w:szCs w:val="18"/>
                <w:lang w:eastAsia="es-ES"/>
              </w:rPr>
              <w:t>81.567.762</w:t>
            </w:r>
          </w:p>
        </w:tc>
        <w:tc>
          <w:tcPr>
            <w:tcW w:w="1635" w:type="dxa"/>
            <w:tcBorders>
              <w:top w:val="single" w:sz="4" w:space="0" w:color="auto"/>
              <w:bottom w:val="single" w:sz="4" w:space="0" w:color="auto"/>
            </w:tcBorders>
            <w:shd w:val="clear" w:color="auto" w:fill="B8CCE4" w:themeFill="accent1" w:themeFillTint="66"/>
            <w:vAlign w:val="center"/>
          </w:tcPr>
          <w:p w:rsidR="00484F27" w:rsidRPr="005B3CA8" w:rsidRDefault="00647BAD" w:rsidP="00B313BF">
            <w:pPr>
              <w:spacing w:after="0"/>
              <w:ind w:left="284" w:right="115" w:firstLine="0"/>
              <w:jc w:val="right"/>
              <w:rPr>
                <w:rFonts w:ascii="Arial" w:hAnsi="Arial" w:cs="Arial"/>
                <w:color w:val="000000"/>
                <w:sz w:val="18"/>
                <w:szCs w:val="18"/>
                <w:lang w:eastAsia="es-ES"/>
              </w:rPr>
            </w:pPr>
            <w:r>
              <w:rPr>
                <w:rFonts w:ascii="Arial" w:hAnsi="Arial" w:cs="Arial"/>
                <w:color w:val="000000"/>
                <w:sz w:val="18"/>
                <w:szCs w:val="18"/>
                <w:lang w:eastAsia="es-ES"/>
              </w:rPr>
              <w:t>113.287.442</w:t>
            </w:r>
          </w:p>
        </w:tc>
      </w:tr>
    </w:tbl>
    <w:p w:rsidR="00484F27" w:rsidRDefault="00484F27" w:rsidP="00484F27">
      <w:pPr>
        <w:pStyle w:val="texto"/>
        <w:tabs>
          <w:tab w:val="clear" w:pos="2835"/>
          <w:tab w:val="clear" w:pos="3969"/>
          <w:tab w:val="clear" w:pos="5103"/>
          <w:tab w:val="clear" w:pos="6237"/>
          <w:tab w:val="clear" w:pos="7371"/>
        </w:tabs>
        <w:rPr>
          <w:szCs w:val="26"/>
        </w:rPr>
      </w:pPr>
    </w:p>
    <w:p w:rsidR="00E56FD3" w:rsidRDefault="00647BAD" w:rsidP="00647BAD">
      <w:pPr>
        <w:pStyle w:val="texto"/>
        <w:tabs>
          <w:tab w:val="clear" w:pos="2835"/>
          <w:tab w:val="clear" w:pos="3969"/>
          <w:tab w:val="clear" w:pos="5103"/>
          <w:tab w:val="clear" w:pos="6237"/>
          <w:tab w:val="clear" w:pos="7371"/>
        </w:tabs>
        <w:jc w:val="center"/>
        <w:rPr>
          <w:szCs w:val="26"/>
        </w:rPr>
      </w:pPr>
      <w:r>
        <w:rPr>
          <w:noProof/>
          <w:lang w:val="es-ES" w:eastAsia="es-ES"/>
        </w:rPr>
        <w:drawing>
          <wp:inline distT="0" distB="0" distL="0" distR="0" wp14:anchorId="3068FA29" wp14:editId="4651D06F">
            <wp:extent cx="4572000" cy="2743200"/>
            <wp:effectExtent l="38100" t="0" r="19050" b="1905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84F27" w:rsidRDefault="00484F27" w:rsidP="00484F27">
      <w:pPr>
        <w:pStyle w:val="texto"/>
        <w:tabs>
          <w:tab w:val="clear" w:pos="2835"/>
          <w:tab w:val="clear" w:pos="3969"/>
          <w:tab w:val="clear" w:pos="5103"/>
          <w:tab w:val="clear" w:pos="6237"/>
          <w:tab w:val="clear" w:pos="7371"/>
        </w:tabs>
        <w:rPr>
          <w:szCs w:val="26"/>
        </w:rPr>
      </w:pPr>
      <w:r>
        <w:rPr>
          <w:szCs w:val="26"/>
        </w:rPr>
        <w:t>Del importe total, destacamos que el 8</w:t>
      </w:r>
      <w:r w:rsidR="00647BAD">
        <w:rPr>
          <w:szCs w:val="26"/>
        </w:rPr>
        <w:t>1</w:t>
      </w:r>
      <w:r>
        <w:rPr>
          <w:szCs w:val="26"/>
        </w:rPr>
        <w:t xml:space="preserve"> por ciento se corresponde con la a</w:t>
      </w:r>
      <w:r>
        <w:rPr>
          <w:szCs w:val="26"/>
        </w:rPr>
        <w:t>d</w:t>
      </w:r>
      <w:r>
        <w:rPr>
          <w:szCs w:val="26"/>
        </w:rPr>
        <w:t xml:space="preserve">quisición de suelo mediante el pago de las expropiaciones y un </w:t>
      </w:r>
      <w:r w:rsidR="00647BAD">
        <w:rPr>
          <w:szCs w:val="26"/>
        </w:rPr>
        <w:t>10</w:t>
      </w:r>
      <w:r w:rsidRPr="00CF4071">
        <w:rPr>
          <w:color w:val="FF0000"/>
          <w:szCs w:val="26"/>
        </w:rPr>
        <w:t xml:space="preserve"> </w:t>
      </w:r>
      <w:r>
        <w:rPr>
          <w:szCs w:val="26"/>
        </w:rPr>
        <w:t>por ciento a infraestructuras externas ejecutadas directamente por el Gobierno de Navarra</w:t>
      </w:r>
      <w:r w:rsidR="00647BAD">
        <w:rPr>
          <w:szCs w:val="26"/>
        </w:rPr>
        <w:t>; un seis por ciento</w:t>
      </w:r>
      <w:r>
        <w:rPr>
          <w:szCs w:val="26"/>
        </w:rPr>
        <w:t xml:space="preserve"> corresponde a la adquisición de inmuebles dentro de la CT por la sociedad gestora (edificios y aparc</w:t>
      </w:r>
      <w:r w:rsidR="00647BAD">
        <w:rPr>
          <w:szCs w:val="26"/>
        </w:rPr>
        <w:t xml:space="preserve">amiento de vehículos pesados) y, el resto, </w:t>
      </w:r>
      <w:r>
        <w:rPr>
          <w:szCs w:val="26"/>
        </w:rPr>
        <w:t>a otras inversiones</w:t>
      </w:r>
      <w:r w:rsidR="00511F33">
        <w:rPr>
          <w:szCs w:val="26"/>
        </w:rPr>
        <w:t xml:space="preserve"> fundamentalmente en sistemas generales</w:t>
      </w:r>
      <w:r>
        <w:rPr>
          <w:szCs w:val="26"/>
        </w:rPr>
        <w:t xml:space="preserve">. </w:t>
      </w:r>
    </w:p>
    <w:p w:rsidR="00484F27" w:rsidRDefault="00484F27" w:rsidP="00484F27">
      <w:pPr>
        <w:pStyle w:val="texto"/>
        <w:tabs>
          <w:tab w:val="clear" w:pos="2835"/>
          <w:tab w:val="clear" w:pos="3969"/>
          <w:tab w:val="clear" w:pos="5103"/>
          <w:tab w:val="clear" w:pos="6237"/>
          <w:tab w:val="clear" w:pos="7371"/>
        </w:tabs>
        <w:rPr>
          <w:szCs w:val="26"/>
        </w:rPr>
      </w:pPr>
      <w:r>
        <w:rPr>
          <w:szCs w:val="26"/>
        </w:rPr>
        <w:t>Por fases, la 1ª y 2ª representan el 18 por ciento del total invertido, en tanto que la 3ª y 4ª suponen el 7</w:t>
      </w:r>
      <w:r w:rsidR="00647BAD">
        <w:rPr>
          <w:szCs w:val="26"/>
        </w:rPr>
        <w:t>2</w:t>
      </w:r>
      <w:r>
        <w:rPr>
          <w:szCs w:val="26"/>
        </w:rPr>
        <w:t xml:space="preserve"> por ciento del mismo</w:t>
      </w:r>
      <w:r w:rsidR="0023051E">
        <w:rPr>
          <w:szCs w:val="26"/>
        </w:rPr>
        <w:t>; esta variación entre fases se explica</w:t>
      </w:r>
      <w:r>
        <w:rPr>
          <w:szCs w:val="26"/>
        </w:rPr>
        <w:t xml:space="preserve"> especialmente por el coste de las expropiaciones.</w:t>
      </w:r>
    </w:p>
    <w:p w:rsidR="00484F27" w:rsidRDefault="006E4420" w:rsidP="00803A49">
      <w:pPr>
        <w:pStyle w:val="texto"/>
        <w:tabs>
          <w:tab w:val="clear" w:pos="2835"/>
          <w:tab w:val="clear" w:pos="3969"/>
          <w:tab w:val="clear" w:pos="5103"/>
          <w:tab w:val="clear" w:pos="6237"/>
          <w:tab w:val="clear" w:pos="7371"/>
        </w:tabs>
        <w:spacing w:after="240"/>
        <w:rPr>
          <w:szCs w:val="26"/>
        </w:rPr>
      </w:pPr>
      <w:r w:rsidRPr="00BE57C3">
        <w:rPr>
          <w:b/>
          <w:szCs w:val="26"/>
        </w:rPr>
        <w:t>4</w:t>
      </w:r>
      <w:r w:rsidR="00E42E17" w:rsidRPr="00BE57C3">
        <w:rPr>
          <w:b/>
          <w:szCs w:val="26"/>
        </w:rPr>
        <w:t>8</w:t>
      </w:r>
      <w:r w:rsidR="00BE57C3" w:rsidRPr="00BE57C3">
        <w:rPr>
          <w:b/>
          <w:szCs w:val="26"/>
        </w:rPr>
        <w:t>.</w:t>
      </w:r>
      <w:r w:rsidR="00484F27" w:rsidRPr="00BE57C3">
        <w:rPr>
          <w:b/>
          <w:szCs w:val="26"/>
        </w:rPr>
        <w:t>ª</w:t>
      </w:r>
      <w:r w:rsidR="00484F27" w:rsidRPr="00FD33DB">
        <w:rPr>
          <w:szCs w:val="26"/>
        </w:rPr>
        <w:t xml:space="preserve"> </w:t>
      </w:r>
      <w:r w:rsidR="00484F27">
        <w:rPr>
          <w:szCs w:val="26"/>
        </w:rPr>
        <w:t>La financiación obtenida directamente por la CT</w:t>
      </w:r>
      <w:r w:rsidR="00CF4071">
        <w:rPr>
          <w:szCs w:val="26"/>
        </w:rPr>
        <w:t xml:space="preserve"> –derivada de los ingr</w:t>
      </w:r>
      <w:r w:rsidR="00CF4071">
        <w:rPr>
          <w:szCs w:val="26"/>
        </w:rPr>
        <w:t>e</w:t>
      </w:r>
      <w:r w:rsidR="00CF4071">
        <w:rPr>
          <w:szCs w:val="26"/>
        </w:rPr>
        <w:t>sos de la sociedad gestora por su propia</w:t>
      </w:r>
      <w:r w:rsidR="00B313BF">
        <w:rPr>
          <w:szCs w:val="26"/>
        </w:rPr>
        <w:t xml:space="preserve"> actividad</w:t>
      </w:r>
      <w:r w:rsidR="00CF4071">
        <w:rPr>
          <w:szCs w:val="26"/>
        </w:rPr>
        <w:t xml:space="preserve"> como de</w:t>
      </w:r>
      <w:r w:rsidR="00C36A03">
        <w:rPr>
          <w:szCs w:val="26"/>
        </w:rPr>
        <w:t xml:space="preserve"> aportaciones del</w:t>
      </w:r>
      <w:r w:rsidR="00605602">
        <w:rPr>
          <w:szCs w:val="26"/>
        </w:rPr>
        <w:t xml:space="preserve">  </w:t>
      </w:r>
      <w:r w:rsidR="00CF4071">
        <w:rPr>
          <w:szCs w:val="26"/>
        </w:rPr>
        <w:t xml:space="preserve"> Gobierno de Navarra</w:t>
      </w:r>
      <w:r w:rsidR="006A41AE">
        <w:rPr>
          <w:szCs w:val="26"/>
        </w:rPr>
        <w:t>–</w:t>
      </w:r>
      <w:r w:rsidR="00484F27">
        <w:rPr>
          <w:szCs w:val="26"/>
        </w:rPr>
        <w:t xml:space="preserve"> asciende a un total de 105,18 millones de euros, según el siguiente cuadro y gráfico. </w:t>
      </w:r>
    </w:p>
    <w:tbl>
      <w:tblPr>
        <w:tblStyle w:val="TableNormal"/>
        <w:tblW w:w="8775" w:type="dxa"/>
        <w:jc w:val="center"/>
        <w:tblInd w:w="-13" w:type="dxa"/>
        <w:tblBorders>
          <w:top w:val="single" w:sz="2" w:space="0" w:color="auto"/>
          <w:bottom w:val="single" w:sz="2" w:space="0" w:color="auto"/>
          <w:insideH w:val="single" w:sz="2" w:space="0" w:color="auto"/>
        </w:tblBorders>
        <w:tblLayout w:type="fixed"/>
        <w:tblLook w:val="01E0" w:firstRow="1" w:lastRow="1" w:firstColumn="1" w:lastColumn="1" w:noHBand="0" w:noVBand="0"/>
      </w:tblPr>
      <w:tblGrid>
        <w:gridCol w:w="3578"/>
        <w:gridCol w:w="1275"/>
        <w:gridCol w:w="1174"/>
        <w:gridCol w:w="1283"/>
        <w:gridCol w:w="1465"/>
      </w:tblGrid>
      <w:tr w:rsidR="00484F27" w:rsidRPr="00DA5BC7" w:rsidTr="00803A49">
        <w:trPr>
          <w:trHeight w:val="284"/>
          <w:jc w:val="center"/>
        </w:trPr>
        <w:tc>
          <w:tcPr>
            <w:tcW w:w="3578" w:type="dxa"/>
            <w:tcBorders>
              <w:top w:val="single" w:sz="4" w:space="0" w:color="auto"/>
              <w:bottom w:val="single" w:sz="4" w:space="0" w:color="auto"/>
            </w:tcBorders>
            <w:shd w:val="clear" w:color="auto" w:fill="B8CCE4" w:themeFill="accent1" w:themeFillTint="66"/>
            <w:vAlign w:val="center"/>
          </w:tcPr>
          <w:p w:rsidR="00484F27" w:rsidRDefault="00484F27" w:rsidP="006A41AE">
            <w:pPr>
              <w:spacing w:after="0"/>
              <w:ind w:firstLine="0"/>
              <w:rPr>
                <w:rFonts w:ascii="Arial" w:hAnsi="Arial" w:cs="Arial"/>
                <w:color w:val="000000"/>
                <w:sz w:val="18"/>
                <w:szCs w:val="18"/>
                <w:lang w:eastAsia="es-ES"/>
              </w:rPr>
            </w:pPr>
            <w:r>
              <w:rPr>
                <w:rFonts w:ascii="Arial" w:hAnsi="Arial" w:cs="Arial"/>
                <w:color w:val="000000"/>
                <w:sz w:val="18"/>
                <w:szCs w:val="18"/>
                <w:lang w:eastAsia="es-ES"/>
              </w:rPr>
              <w:t>Financiación CT</w:t>
            </w:r>
          </w:p>
        </w:tc>
        <w:tc>
          <w:tcPr>
            <w:tcW w:w="1275" w:type="dxa"/>
            <w:tcBorders>
              <w:top w:val="single" w:sz="4" w:space="0" w:color="auto"/>
              <w:bottom w:val="single" w:sz="4" w:space="0" w:color="auto"/>
            </w:tcBorders>
            <w:shd w:val="clear" w:color="auto" w:fill="B8CCE4" w:themeFill="accent1" w:themeFillTint="66"/>
            <w:vAlign w:val="center"/>
          </w:tcPr>
          <w:p w:rsidR="00484F27" w:rsidRPr="005B3CA8" w:rsidRDefault="00484F27" w:rsidP="006A41AE">
            <w:pPr>
              <w:spacing w:after="0"/>
              <w:ind w:left="142" w:right="141" w:firstLine="0"/>
              <w:jc w:val="right"/>
              <w:rPr>
                <w:rFonts w:ascii="Arial" w:hAnsi="Arial" w:cs="Arial"/>
                <w:color w:val="000000"/>
                <w:sz w:val="18"/>
                <w:szCs w:val="18"/>
                <w:lang w:eastAsia="es-ES"/>
              </w:rPr>
            </w:pPr>
            <w:r>
              <w:rPr>
                <w:rFonts w:ascii="Arial" w:hAnsi="Arial" w:cs="Arial"/>
                <w:color w:val="000000"/>
                <w:sz w:val="18"/>
                <w:szCs w:val="18"/>
                <w:lang w:eastAsia="es-ES"/>
              </w:rPr>
              <w:t>Comunes</w:t>
            </w:r>
          </w:p>
        </w:tc>
        <w:tc>
          <w:tcPr>
            <w:tcW w:w="1174" w:type="dxa"/>
            <w:tcBorders>
              <w:top w:val="single" w:sz="4" w:space="0" w:color="auto"/>
              <w:bottom w:val="single" w:sz="4" w:space="0" w:color="auto"/>
            </w:tcBorders>
            <w:shd w:val="clear" w:color="auto" w:fill="B8CCE4" w:themeFill="accent1" w:themeFillTint="66"/>
            <w:vAlign w:val="center"/>
          </w:tcPr>
          <w:p w:rsidR="00484F27" w:rsidRPr="00DA5BC7" w:rsidRDefault="00484F27" w:rsidP="006A41AE">
            <w:pPr>
              <w:spacing w:after="0"/>
              <w:ind w:left="37" w:right="-1" w:firstLine="0"/>
              <w:jc w:val="right"/>
              <w:rPr>
                <w:rFonts w:ascii="Arial" w:hAnsi="Arial" w:cs="Arial"/>
                <w:color w:val="000000"/>
                <w:sz w:val="18"/>
                <w:szCs w:val="18"/>
                <w:lang w:eastAsia="es-ES"/>
              </w:rPr>
            </w:pPr>
            <w:r>
              <w:rPr>
                <w:rFonts w:ascii="Arial" w:hAnsi="Arial" w:cs="Arial"/>
                <w:color w:val="000000"/>
                <w:sz w:val="18"/>
                <w:szCs w:val="18"/>
                <w:lang w:eastAsia="es-ES"/>
              </w:rPr>
              <w:t>1ª y 2ª fase</w:t>
            </w:r>
          </w:p>
        </w:tc>
        <w:tc>
          <w:tcPr>
            <w:tcW w:w="1283" w:type="dxa"/>
            <w:tcBorders>
              <w:top w:val="single" w:sz="4" w:space="0" w:color="auto"/>
              <w:bottom w:val="single" w:sz="4" w:space="0" w:color="auto"/>
            </w:tcBorders>
            <w:shd w:val="clear" w:color="auto" w:fill="B8CCE4" w:themeFill="accent1" w:themeFillTint="66"/>
            <w:vAlign w:val="center"/>
          </w:tcPr>
          <w:p w:rsidR="00484F27" w:rsidRPr="00DA5BC7" w:rsidRDefault="00484F27" w:rsidP="006A41AE">
            <w:pPr>
              <w:spacing w:after="0"/>
              <w:ind w:left="107" w:firstLine="0"/>
              <w:jc w:val="right"/>
              <w:rPr>
                <w:rFonts w:ascii="Arial" w:hAnsi="Arial" w:cs="Arial"/>
                <w:color w:val="000000"/>
                <w:sz w:val="18"/>
                <w:szCs w:val="18"/>
                <w:lang w:eastAsia="es-ES"/>
              </w:rPr>
            </w:pPr>
            <w:r>
              <w:rPr>
                <w:rFonts w:ascii="Arial" w:hAnsi="Arial" w:cs="Arial"/>
                <w:color w:val="000000"/>
                <w:sz w:val="18"/>
                <w:szCs w:val="18"/>
                <w:lang w:eastAsia="es-ES"/>
              </w:rPr>
              <w:t>3ª y 4ª fase</w:t>
            </w:r>
          </w:p>
        </w:tc>
        <w:tc>
          <w:tcPr>
            <w:tcW w:w="1465" w:type="dxa"/>
            <w:tcBorders>
              <w:top w:val="single" w:sz="4" w:space="0" w:color="auto"/>
              <w:bottom w:val="single" w:sz="4" w:space="0" w:color="auto"/>
            </w:tcBorders>
            <w:shd w:val="clear" w:color="auto" w:fill="B8CCE4" w:themeFill="accent1" w:themeFillTint="66"/>
            <w:vAlign w:val="center"/>
          </w:tcPr>
          <w:p w:rsidR="00484F27" w:rsidRPr="00DA5BC7" w:rsidRDefault="00484F27" w:rsidP="006A41AE">
            <w:pPr>
              <w:spacing w:after="0"/>
              <w:ind w:left="206" w:right="115" w:firstLine="0"/>
              <w:jc w:val="right"/>
              <w:rPr>
                <w:rFonts w:ascii="Arial" w:hAnsi="Arial" w:cs="Arial"/>
                <w:color w:val="000000"/>
                <w:sz w:val="18"/>
                <w:szCs w:val="18"/>
                <w:lang w:eastAsia="es-ES"/>
              </w:rPr>
            </w:pPr>
            <w:r>
              <w:rPr>
                <w:rFonts w:ascii="Arial" w:hAnsi="Arial" w:cs="Arial"/>
                <w:color w:val="000000"/>
                <w:sz w:val="18"/>
                <w:szCs w:val="18"/>
                <w:lang w:eastAsia="es-ES"/>
              </w:rPr>
              <w:t>Total</w:t>
            </w:r>
          </w:p>
        </w:tc>
      </w:tr>
      <w:tr w:rsidR="00484F27" w:rsidRPr="00C33F56" w:rsidTr="00803A49">
        <w:trPr>
          <w:trHeight w:val="284"/>
          <w:jc w:val="center"/>
        </w:trPr>
        <w:tc>
          <w:tcPr>
            <w:tcW w:w="3578" w:type="dxa"/>
            <w:tcBorders>
              <w:top w:val="single" w:sz="4" w:space="0" w:color="auto"/>
            </w:tcBorders>
            <w:vAlign w:val="center"/>
          </w:tcPr>
          <w:p w:rsidR="00484F27" w:rsidRPr="00C33F56" w:rsidRDefault="00484F27" w:rsidP="006A41AE">
            <w:pPr>
              <w:widowControl/>
              <w:spacing w:after="0"/>
              <w:ind w:firstLine="0"/>
              <w:rPr>
                <w:rFonts w:ascii="Arial Narrow" w:hAnsi="Arial Narrow"/>
                <w:color w:val="000000"/>
                <w:sz w:val="20"/>
                <w:szCs w:val="20"/>
                <w:lang w:eastAsia="es-ES"/>
              </w:rPr>
            </w:pPr>
            <w:r w:rsidRPr="00C33F56">
              <w:rPr>
                <w:rFonts w:ascii="Arial Narrow" w:hAnsi="Arial Narrow"/>
                <w:color w:val="000000"/>
                <w:sz w:val="20"/>
                <w:szCs w:val="20"/>
                <w:lang w:eastAsia="es-ES"/>
              </w:rPr>
              <w:t>Ampliaciones de Capital</w:t>
            </w:r>
            <w:r>
              <w:rPr>
                <w:rFonts w:ascii="Arial Narrow" w:hAnsi="Arial Narrow"/>
                <w:color w:val="000000"/>
                <w:sz w:val="20"/>
                <w:szCs w:val="20"/>
                <w:lang w:eastAsia="es-ES"/>
              </w:rPr>
              <w:t xml:space="preserve"> GN</w:t>
            </w:r>
          </w:p>
        </w:tc>
        <w:tc>
          <w:tcPr>
            <w:tcW w:w="1275" w:type="dxa"/>
            <w:tcBorders>
              <w:top w:val="single" w:sz="4" w:space="0" w:color="auto"/>
            </w:tcBorders>
            <w:vAlign w:val="center"/>
          </w:tcPr>
          <w:p w:rsidR="00484F27" w:rsidRPr="00B91961" w:rsidRDefault="00484F27" w:rsidP="006A41AE">
            <w:pPr>
              <w:widowControl/>
              <w:spacing w:after="0"/>
              <w:ind w:left="142" w:right="141" w:firstLine="0"/>
              <w:jc w:val="right"/>
              <w:rPr>
                <w:rFonts w:ascii="Arial Narrow" w:hAnsi="Arial Narrow"/>
                <w:sz w:val="20"/>
                <w:szCs w:val="20"/>
                <w:lang w:eastAsia="es-ES"/>
              </w:rPr>
            </w:pPr>
            <w:r w:rsidRPr="00B91961">
              <w:rPr>
                <w:rFonts w:ascii="Arial Narrow" w:hAnsi="Arial Narrow"/>
                <w:sz w:val="20"/>
                <w:szCs w:val="20"/>
                <w:lang w:eastAsia="es-ES"/>
              </w:rPr>
              <w:t>15.670.139</w:t>
            </w:r>
          </w:p>
        </w:tc>
        <w:tc>
          <w:tcPr>
            <w:tcW w:w="1174" w:type="dxa"/>
            <w:tcBorders>
              <w:top w:val="single" w:sz="4" w:space="0" w:color="auto"/>
            </w:tcBorders>
            <w:vAlign w:val="center"/>
          </w:tcPr>
          <w:p w:rsidR="00484F27" w:rsidRPr="00C33F56" w:rsidRDefault="00484F27" w:rsidP="006A41AE">
            <w:pPr>
              <w:widowControl/>
              <w:spacing w:after="0"/>
              <w:ind w:left="37" w:right="-1" w:firstLine="0"/>
              <w:jc w:val="right"/>
              <w:rPr>
                <w:rFonts w:ascii="Arial Narrow" w:hAnsi="Arial Narrow"/>
                <w:color w:val="000000"/>
                <w:sz w:val="20"/>
                <w:szCs w:val="20"/>
                <w:lang w:eastAsia="es-ES"/>
              </w:rPr>
            </w:pPr>
          </w:p>
        </w:tc>
        <w:tc>
          <w:tcPr>
            <w:tcW w:w="1283" w:type="dxa"/>
            <w:tcBorders>
              <w:top w:val="single" w:sz="4" w:space="0" w:color="auto"/>
            </w:tcBorders>
            <w:vAlign w:val="center"/>
          </w:tcPr>
          <w:p w:rsidR="00484F27" w:rsidRPr="00C33F56" w:rsidRDefault="00484F27" w:rsidP="006A41AE">
            <w:pPr>
              <w:widowControl/>
              <w:spacing w:after="0"/>
              <w:ind w:left="107" w:firstLine="0"/>
              <w:jc w:val="right"/>
              <w:rPr>
                <w:rFonts w:ascii="Arial Narrow" w:hAnsi="Arial Narrow"/>
                <w:color w:val="000000"/>
                <w:sz w:val="20"/>
                <w:szCs w:val="20"/>
                <w:lang w:eastAsia="es-ES"/>
              </w:rPr>
            </w:pPr>
          </w:p>
        </w:tc>
        <w:tc>
          <w:tcPr>
            <w:tcW w:w="1465" w:type="dxa"/>
            <w:tcBorders>
              <w:top w:val="single" w:sz="4" w:space="0" w:color="auto"/>
            </w:tcBorders>
            <w:vAlign w:val="center"/>
          </w:tcPr>
          <w:p w:rsidR="00484F27" w:rsidRPr="00C33F56" w:rsidRDefault="00484F27" w:rsidP="006A41AE">
            <w:pPr>
              <w:widowControl/>
              <w:spacing w:after="0"/>
              <w:ind w:left="206" w:right="115" w:firstLine="0"/>
              <w:jc w:val="right"/>
              <w:rPr>
                <w:rFonts w:ascii="Arial Narrow" w:hAnsi="Arial Narrow"/>
                <w:color w:val="000000"/>
                <w:sz w:val="20"/>
                <w:szCs w:val="20"/>
                <w:lang w:eastAsia="es-ES"/>
              </w:rPr>
            </w:pPr>
            <w:r>
              <w:rPr>
                <w:rFonts w:ascii="Arial Narrow" w:hAnsi="Arial Narrow"/>
                <w:color w:val="000000"/>
                <w:sz w:val="20"/>
                <w:szCs w:val="20"/>
                <w:lang w:eastAsia="es-ES"/>
              </w:rPr>
              <w:t>15.670.139</w:t>
            </w:r>
          </w:p>
        </w:tc>
      </w:tr>
      <w:tr w:rsidR="00484F27" w:rsidRPr="00C33F56" w:rsidTr="00803A49">
        <w:trPr>
          <w:trHeight w:val="284"/>
          <w:jc w:val="center"/>
        </w:trPr>
        <w:tc>
          <w:tcPr>
            <w:tcW w:w="3578" w:type="dxa"/>
            <w:tcBorders>
              <w:top w:val="single" w:sz="4" w:space="0" w:color="auto"/>
            </w:tcBorders>
            <w:vAlign w:val="center"/>
          </w:tcPr>
          <w:p w:rsidR="00484F27" w:rsidRPr="00C33F56" w:rsidRDefault="00484F27" w:rsidP="006A41AE">
            <w:pPr>
              <w:widowControl/>
              <w:spacing w:after="0"/>
              <w:ind w:firstLine="0"/>
              <w:rPr>
                <w:rFonts w:ascii="Arial Narrow" w:hAnsi="Arial Narrow"/>
                <w:color w:val="000000"/>
                <w:sz w:val="20"/>
                <w:szCs w:val="20"/>
                <w:lang w:eastAsia="es-ES"/>
              </w:rPr>
            </w:pPr>
            <w:r w:rsidRPr="00C33F56">
              <w:rPr>
                <w:rFonts w:ascii="Arial Narrow" w:hAnsi="Arial Narrow"/>
                <w:color w:val="000000"/>
                <w:sz w:val="20"/>
                <w:szCs w:val="20"/>
                <w:lang w:eastAsia="es-ES"/>
              </w:rPr>
              <w:t>Aportaciones socio CPEN</w:t>
            </w:r>
          </w:p>
        </w:tc>
        <w:tc>
          <w:tcPr>
            <w:tcW w:w="1275" w:type="dxa"/>
            <w:tcBorders>
              <w:top w:val="single" w:sz="4" w:space="0" w:color="auto"/>
            </w:tcBorders>
            <w:vAlign w:val="center"/>
          </w:tcPr>
          <w:p w:rsidR="00484F27" w:rsidRPr="00B91961" w:rsidRDefault="00484F27" w:rsidP="006A41AE">
            <w:pPr>
              <w:widowControl/>
              <w:spacing w:after="0"/>
              <w:ind w:left="142" w:right="141" w:firstLine="0"/>
              <w:jc w:val="right"/>
              <w:rPr>
                <w:rFonts w:ascii="Arial Narrow" w:hAnsi="Arial Narrow"/>
                <w:sz w:val="20"/>
                <w:szCs w:val="20"/>
                <w:lang w:eastAsia="es-ES"/>
              </w:rPr>
            </w:pPr>
            <w:r w:rsidRPr="00B91961">
              <w:rPr>
                <w:rFonts w:ascii="Arial Narrow" w:hAnsi="Arial Narrow"/>
                <w:sz w:val="20"/>
                <w:szCs w:val="20"/>
                <w:lang w:eastAsia="es-ES"/>
              </w:rPr>
              <w:t>2.091.540</w:t>
            </w:r>
          </w:p>
        </w:tc>
        <w:tc>
          <w:tcPr>
            <w:tcW w:w="1174" w:type="dxa"/>
            <w:tcBorders>
              <w:top w:val="single" w:sz="4" w:space="0" w:color="auto"/>
            </w:tcBorders>
            <w:vAlign w:val="center"/>
          </w:tcPr>
          <w:p w:rsidR="00484F27" w:rsidRPr="00C33F56" w:rsidRDefault="00484F27" w:rsidP="006A41AE">
            <w:pPr>
              <w:spacing w:after="0"/>
              <w:ind w:left="37" w:right="-1" w:firstLine="0"/>
              <w:jc w:val="right"/>
              <w:rPr>
                <w:rFonts w:ascii="Arial Narrow" w:hAnsi="Arial Narrow"/>
                <w:color w:val="000000"/>
                <w:lang w:eastAsia="es-ES"/>
              </w:rPr>
            </w:pPr>
          </w:p>
        </w:tc>
        <w:tc>
          <w:tcPr>
            <w:tcW w:w="1283" w:type="dxa"/>
            <w:tcBorders>
              <w:top w:val="single" w:sz="4" w:space="0" w:color="auto"/>
            </w:tcBorders>
            <w:vAlign w:val="center"/>
          </w:tcPr>
          <w:p w:rsidR="00484F27" w:rsidRPr="00C33F56" w:rsidRDefault="00484F27" w:rsidP="006A41AE">
            <w:pPr>
              <w:spacing w:after="0"/>
              <w:ind w:left="107" w:firstLine="0"/>
              <w:jc w:val="right"/>
              <w:rPr>
                <w:rFonts w:ascii="Arial Narrow" w:hAnsi="Arial Narrow"/>
                <w:color w:val="000000"/>
                <w:lang w:eastAsia="es-ES"/>
              </w:rPr>
            </w:pPr>
          </w:p>
        </w:tc>
        <w:tc>
          <w:tcPr>
            <w:tcW w:w="1465" w:type="dxa"/>
            <w:tcBorders>
              <w:top w:val="single" w:sz="4" w:space="0" w:color="auto"/>
            </w:tcBorders>
            <w:vAlign w:val="center"/>
          </w:tcPr>
          <w:p w:rsidR="00484F27" w:rsidRPr="00C33F56" w:rsidRDefault="00484F27" w:rsidP="006A41AE">
            <w:pPr>
              <w:widowControl/>
              <w:spacing w:after="0"/>
              <w:ind w:left="206" w:right="115" w:firstLine="0"/>
              <w:jc w:val="right"/>
              <w:rPr>
                <w:rFonts w:ascii="Arial Narrow" w:hAnsi="Arial Narrow"/>
                <w:color w:val="000000"/>
                <w:sz w:val="20"/>
                <w:szCs w:val="20"/>
                <w:lang w:eastAsia="es-ES"/>
              </w:rPr>
            </w:pPr>
            <w:r w:rsidRPr="00C33F56">
              <w:rPr>
                <w:rFonts w:ascii="Arial Narrow" w:hAnsi="Arial Narrow"/>
                <w:color w:val="000000"/>
                <w:sz w:val="20"/>
                <w:szCs w:val="20"/>
                <w:lang w:eastAsia="es-ES"/>
              </w:rPr>
              <w:t>2.091.540</w:t>
            </w:r>
          </w:p>
        </w:tc>
      </w:tr>
      <w:tr w:rsidR="00484F27" w:rsidRPr="006A5D48" w:rsidTr="00803A49">
        <w:trPr>
          <w:trHeight w:val="284"/>
          <w:jc w:val="center"/>
        </w:trPr>
        <w:tc>
          <w:tcPr>
            <w:tcW w:w="3578" w:type="dxa"/>
            <w:tcBorders>
              <w:top w:val="single" w:sz="4" w:space="0" w:color="auto"/>
            </w:tcBorders>
            <w:vAlign w:val="center"/>
          </w:tcPr>
          <w:p w:rsidR="00484F27" w:rsidRPr="006A5D48" w:rsidRDefault="00484F27" w:rsidP="006A41AE">
            <w:pPr>
              <w:widowControl/>
              <w:spacing w:after="0"/>
              <w:ind w:firstLine="0"/>
              <w:rPr>
                <w:rFonts w:ascii="Arial Narrow" w:hAnsi="Arial Narrow"/>
                <w:color w:val="000000"/>
                <w:sz w:val="20"/>
                <w:szCs w:val="20"/>
                <w:lang w:eastAsia="es-ES"/>
              </w:rPr>
            </w:pPr>
            <w:r w:rsidRPr="006A5D48">
              <w:rPr>
                <w:rFonts w:ascii="Arial Narrow" w:hAnsi="Arial Narrow"/>
                <w:color w:val="000000"/>
                <w:sz w:val="20"/>
                <w:szCs w:val="20"/>
                <w:lang w:eastAsia="es-ES"/>
              </w:rPr>
              <w:t>Subvención</w:t>
            </w:r>
            <w:r>
              <w:rPr>
                <w:rFonts w:ascii="Arial Narrow" w:hAnsi="Arial Narrow"/>
                <w:color w:val="000000"/>
                <w:sz w:val="20"/>
                <w:szCs w:val="20"/>
                <w:lang w:eastAsia="es-ES"/>
              </w:rPr>
              <w:t xml:space="preserve"> GN</w:t>
            </w:r>
            <w:r w:rsidRPr="006A5D48">
              <w:rPr>
                <w:rFonts w:ascii="Arial Narrow" w:hAnsi="Arial Narrow"/>
                <w:color w:val="000000"/>
                <w:sz w:val="20"/>
                <w:szCs w:val="20"/>
                <w:lang w:eastAsia="es-ES"/>
              </w:rPr>
              <w:t xml:space="preserve"> </w:t>
            </w:r>
            <w:r>
              <w:rPr>
                <w:rFonts w:ascii="Arial Narrow" w:hAnsi="Arial Narrow"/>
                <w:color w:val="000000"/>
                <w:sz w:val="20"/>
                <w:szCs w:val="20"/>
                <w:lang w:eastAsia="es-ES"/>
              </w:rPr>
              <w:t>c</w:t>
            </w:r>
            <w:r w:rsidRPr="00C33F56">
              <w:rPr>
                <w:rFonts w:ascii="Arial Narrow" w:hAnsi="Arial Narrow"/>
                <w:color w:val="000000"/>
                <w:sz w:val="20"/>
                <w:szCs w:val="20"/>
                <w:lang w:eastAsia="es-ES"/>
              </w:rPr>
              <w:t>r</w:t>
            </w:r>
            <w:r>
              <w:rPr>
                <w:rFonts w:ascii="Arial Narrow" w:hAnsi="Arial Narrow"/>
                <w:color w:val="000000"/>
                <w:sz w:val="20"/>
                <w:szCs w:val="20"/>
                <w:lang w:eastAsia="es-ES"/>
              </w:rPr>
              <w:t>é</w:t>
            </w:r>
            <w:r w:rsidRPr="00C33F56">
              <w:rPr>
                <w:rFonts w:ascii="Arial Narrow" w:hAnsi="Arial Narrow"/>
                <w:color w:val="000000"/>
                <w:sz w:val="20"/>
                <w:szCs w:val="20"/>
                <w:lang w:eastAsia="es-ES"/>
              </w:rPr>
              <w:t>dito ext</w:t>
            </w:r>
            <w:r>
              <w:rPr>
                <w:rFonts w:ascii="Arial Narrow" w:hAnsi="Arial Narrow"/>
                <w:color w:val="000000"/>
                <w:sz w:val="20"/>
                <w:szCs w:val="20"/>
                <w:lang w:eastAsia="es-ES"/>
              </w:rPr>
              <w:t>r</w:t>
            </w:r>
            <w:r w:rsidRPr="00C33F56">
              <w:rPr>
                <w:rFonts w:ascii="Arial Narrow" w:hAnsi="Arial Narrow"/>
                <w:color w:val="000000"/>
                <w:sz w:val="20"/>
                <w:szCs w:val="20"/>
                <w:lang w:eastAsia="es-ES"/>
              </w:rPr>
              <w:t>aordinar</w:t>
            </w:r>
            <w:r>
              <w:rPr>
                <w:rFonts w:ascii="Arial Narrow" w:hAnsi="Arial Narrow"/>
                <w:color w:val="000000"/>
                <w:sz w:val="20"/>
                <w:szCs w:val="20"/>
                <w:lang w:eastAsia="es-ES"/>
              </w:rPr>
              <w:t>i</w:t>
            </w:r>
            <w:r w:rsidRPr="00C33F56">
              <w:rPr>
                <w:rFonts w:ascii="Arial Narrow" w:hAnsi="Arial Narrow"/>
                <w:color w:val="000000"/>
                <w:sz w:val="20"/>
                <w:szCs w:val="20"/>
                <w:lang w:eastAsia="es-ES"/>
              </w:rPr>
              <w:t>o LF</w:t>
            </w:r>
            <w:r>
              <w:rPr>
                <w:rFonts w:ascii="Arial Narrow" w:hAnsi="Arial Narrow"/>
                <w:color w:val="000000"/>
                <w:sz w:val="20"/>
                <w:szCs w:val="20"/>
                <w:lang w:eastAsia="es-ES"/>
              </w:rPr>
              <w:t xml:space="preserve"> 5/</w:t>
            </w:r>
            <w:r w:rsidRPr="00C33F56">
              <w:rPr>
                <w:rFonts w:ascii="Arial Narrow" w:hAnsi="Arial Narrow"/>
                <w:color w:val="000000"/>
                <w:sz w:val="20"/>
                <w:szCs w:val="20"/>
                <w:lang w:eastAsia="es-ES"/>
              </w:rPr>
              <w:t>2017</w:t>
            </w:r>
          </w:p>
        </w:tc>
        <w:tc>
          <w:tcPr>
            <w:tcW w:w="1275" w:type="dxa"/>
            <w:tcBorders>
              <w:top w:val="single" w:sz="4" w:space="0" w:color="auto"/>
            </w:tcBorders>
            <w:vAlign w:val="center"/>
          </w:tcPr>
          <w:p w:rsidR="00484F27" w:rsidRPr="006A5D48" w:rsidRDefault="00484F27" w:rsidP="006A41AE">
            <w:pPr>
              <w:widowControl/>
              <w:spacing w:after="0"/>
              <w:ind w:left="142" w:right="141" w:firstLine="0"/>
              <w:jc w:val="right"/>
              <w:rPr>
                <w:rFonts w:ascii="Arial Narrow" w:hAnsi="Arial Narrow"/>
                <w:color w:val="000000"/>
                <w:sz w:val="20"/>
                <w:szCs w:val="20"/>
                <w:lang w:eastAsia="es-ES"/>
              </w:rPr>
            </w:pPr>
          </w:p>
        </w:tc>
        <w:tc>
          <w:tcPr>
            <w:tcW w:w="1174" w:type="dxa"/>
            <w:tcBorders>
              <w:top w:val="single" w:sz="4" w:space="0" w:color="auto"/>
            </w:tcBorders>
            <w:vAlign w:val="center"/>
          </w:tcPr>
          <w:p w:rsidR="00484F27" w:rsidRPr="006A5D48" w:rsidRDefault="00484F27" w:rsidP="006A41AE">
            <w:pPr>
              <w:widowControl/>
              <w:spacing w:after="0"/>
              <w:ind w:left="37" w:right="-1" w:firstLine="0"/>
              <w:jc w:val="right"/>
              <w:rPr>
                <w:rFonts w:ascii="Arial Narrow" w:hAnsi="Arial Narrow"/>
                <w:color w:val="000000"/>
                <w:sz w:val="20"/>
                <w:szCs w:val="20"/>
                <w:lang w:eastAsia="es-ES"/>
              </w:rPr>
            </w:pPr>
          </w:p>
        </w:tc>
        <w:tc>
          <w:tcPr>
            <w:tcW w:w="1283" w:type="dxa"/>
            <w:tcBorders>
              <w:top w:val="single" w:sz="4" w:space="0" w:color="auto"/>
            </w:tcBorders>
            <w:vAlign w:val="center"/>
          </w:tcPr>
          <w:p w:rsidR="00484F27" w:rsidRPr="006A5D48" w:rsidRDefault="00484F27" w:rsidP="006A41AE">
            <w:pPr>
              <w:spacing w:after="0"/>
              <w:ind w:left="107" w:firstLine="0"/>
              <w:jc w:val="right"/>
              <w:rPr>
                <w:rFonts w:ascii="Arial Narrow" w:hAnsi="Arial Narrow"/>
                <w:color w:val="000000"/>
                <w:sz w:val="20"/>
                <w:szCs w:val="20"/>
                <w:lang w:eastAsia="es-ES"/>
              </w:rPr>
            </w:pPr>
            <w:r>
              <w:rPr>
                <w:rFonts w:ascii="Arial Narrow" w:hAnsi="Arial Narrow"/>
                <w:color w:val="000000"/>
                <w:sz w:val="20"/>
                <w:szCs w:val="20"/>
                <w:lang w:eastAsia="es-ES"/>
              </w:rPr>
              <w:t>51.365.000</w:t>
            </w:r>
          </w:p>
        </w:tc>
        <w:tc>
          <w:tcPr>
            <w:tcW w:w="1465" w:type="dxa"/>
            <w:tcBorders>
              <w:top w:val="single" w:sz="4" w:space="0" w:color="auto"/>
            </w:tcBorders>
            <w:vAlign w:val="center"/>
          </w:tcPr>
          <w:p w:rsidR="00484F27" w:rsidRPr="006A5D48" w:rsidRDefault="00484F27" w:rsidP="006A41AE">
            <w:pPr>
              <w:spacing w:after="0"/>
              <w:ind w:left="206" w:right="115" w:firstLine="0"/>
              <w:jc w:val="right"/>
              <w:rPr>
                <w:rFonts w:ascii="Arial Narrow" w:hAnsi="Arial Narrow"/>
                <w:color w:val="000000"/>
                <w:sz w:val="20"/>
                <w:szCs w:val="20"/>
                <w:lang w:eastAsia="es-ES"/>
              </w:rPr>
            </w:pPr>
            <w:r>
              <w:rPr>
                <w:rFonts w:ascii="Arial Narrow" w:hAnsi="Arial Narrow"/>
                <w:color w:val="000000"/>
                <w:sz w:val="20"/>
                <w:szCs w:val="20"/>
                <w:lang w:eastAsia="es-ES"/>
              </w:rPr>
              <w:t>51.365.000</w:t>
            </w:r>
          </w:p>
        </w:tc>
      </w:tr>
      <w:tr w:rsidR="00484F27" w:rsidRPr="00612D84" w:rsidTr="00803A49">
        <w:trPr>
          <w:trHeight w:val="284"/>
          <w:jc w:val="center"/>
        </w:trPr>
        <w:tc>
          <w:tcPr>
            <w:tcW w:w="3578" w:type="dxa"/>
            <w:tcBorders>
              <w:top w:val="single" w:sz="4" w:space="0" w:color="auto"/>
            </w:tcBorders>
            <w:vAlign w:val="center"/>
          </w:tcPr>
          <w:p w:rsidR="00484F27" w:rsidRPr="007F08A5" w:rsidRDefault="00484F27" w:rsidP="006A41AE">
            <w:pPr>
              <w:widowControl/>
              <w:spacing w:after="0"/>
              <w:ind w:firstLine="0"/>
              <w:rPr>
                <w:rFonts w:ascii="Arial Narrow" w:hAnsi="Arial Narrow"/>
                <w:color w:val="000000"/>
                <w:sz w:val="20"/>
                <w:szCs w:val="20"/>
                <w:lang w:eastAsia="es-ES"/>
              </w:rPr>
            </w:pPr>
            <w:r>
              <w:rPr>
                <w:rFonts w:ascii="Arial Narrow" w:hAnsi="Arial Narrow"/>
                <w:color w:val="000000"/>
                <w:sz w:val="20"/>
                <w:szCs w:val="20"/>
                <w:lang w:eastAsia="es-ES"/>
              </w:rPr>
              <w:t xml:space="preserve">Subvenciones de capital GN </w:t>
            </w:r>
            <w:r w:rsidRPr="00581BE0">
              <w:rPr>
                <w:rFonts w:ascii="Arial Narrow" w:hAnsi="Arial Narrow"/>
                <w:color w:val="000000"/>
                <w:sz w:val="20"/>
                <w:szCs w:val="20"/>
                <w:vertAlign w:val="superscript"/>
                <w:lang w:eastAsia="es-ES"/>
              </w:rPr>
              <w:t>(1)</w:t>
            </w:r>
          </w:p>
        </w:tc>
        <w:tc>
          <w:tcPr>
            <w:tcW w:w="1275" w:type="dxa"/>
            <w:tcBorders>
              <w:top w:val="single" w:sz="4" w:space="0" w:color="auto"/>
            </w:tcBorders>
            <w:vAlign w:val="center"/>
          </w:tcPr>
          <w:p w:rsidR="00484F27" w:rsidRPr="008E708D" w:rsidRDefault="00484F27" w:rsidP="006A41AE">
            <w:pPr>
              <w:widowControl/>
              <w:spacing w:after="0"/>
              <w:ind w:left="142" w:right="141" w:firstLine="0"/>
              <w:jc w:val="right"/>
              <w:rPr>
                <w:rFonts w:ascii="Arial Narrow" w:hAnsi="Arial Narrow"/>
                <w:color w:val="000000"/>
                <w:sz w:val="20"/>
                <w:szCs w:val="20"/>
                <w:lang w:eastAsia="es-ES"/>
              </w:rPr>
            </w:pPr>
          </w:p>
        </w:tc>
        <w:tc>
          <w:tcPr>
            <w:tcW w:w="1174" w:type="dxa"/>
            <w:tcBorders>
              <w:top w:val="single" w:sz="4" w:space="0" w:color="auto"/>
            </w:tcBorders>
            <w:vAlign w:val="center"/>
          </w:tcPr>
          <w:p w:rsidR="00484F27" w:rsidRPr="008E708D" w:rsidRDefault="00484F27" w:rsidP="006A41AE">
            <w:pPr>
              <w:widowControl/>
              <w:spacing w:after="0"/>
              <w:ind w:left="37" w:right="-1" w:firstLine="0"/>
              <w:jc w:val="right"/>
              <w:rPr>
                <w:rFonts w:ascii="Arial Narrow" w:hAnsi="Arial Narrow"/>
                <w:color w:val="000000"/>
                <w:sz w:val="20"/>
                <w:szCs w:val="20"/>
                <w:lang w:eastAsia="es-ES"/>
              </w:rPr>
            </w:pPr>
            <w:r>
              <w:rPr>
                <w:rFonts w:ascii="Arial Narrow" w:hAnsi="Arial Narrow"/>
                <w:color w:val="000000"/>
                <w:sz w:val="20"/>
                <w:szCs w:val="20"/>
                <w:lang w:eastAsia="es-ES"/>
              </w:rPr>
              <w:t>1.414.187</w:t>
            </w:r>
          </w:p>
        </w:tc>
        <w:tc>
          <w:tcPr>
            <w:tcW w:w="1283" w:type="dxa"/>
            <w:tcBorders>
              <w:top w:val="single" w:sz="4" w:space="0" w:color="auto"/>
            </w:tcBorders>
            <w:vAlign w:val="center"/>
          </w:tcPr>
          <w:p w:rsidR="00484F27" w:rsidRPr="008E708D" w:rsidRDefault="00484F27" w:rsidP="006A41AE">
            <w:pPr>
              <w:widowControl/>
              <w:spacing w:after="0"/>
              <w:ind w:left="107" w:firstLine="0"/>
              <w:jc w:val="right"/>
              <w:rPr>
                <w:rFonts w:ascii="Arial Narrow" w:hAnsi="Arial Narrow"/>
                <w:color w:val="000000"/>
                <w:sz w:val="20"/>
                <w:szCs w:val="20"/>
                <w:lang w:eastAsia="es-ES"/>
              </w:rPr>
            </w:pPr>
          </w:p>
        </w:tc>
        <w:tc>
          <w:tcPr>
            <w:tcW w:w="1465" w:type="dxa"/>
            <w:tcBorders>
              <w:top w:val="single" w:sz="4" w:space="0" w:color="auto"/>
            </w:tcBorders>
            <w:vAlign w:val="center"/>
          </w:tcPr>
          <w:p w:rsidR="00484F27" w:rsidRPr="008E708D" w:rsidRDefault="00484F27" w:rsidP="006A41AE">
            <w:pPr>
              <w:widowControl/>
              <w:spacing w:after="0"/>
              <w:ind w:left="206" w:right="115" w:firstLine="0"/>
              <w:jc w:val="right"/>
              <w:rPr>
                <w:rFonts w:ascii="Arial Narrow" w:hAnsi="Arial Narrow"/>
                <w:color w:val="000000"/>
                <w:sz w:val="20"/>
                <w:szCs w:val="20"/>
                <w:lang w:eastAsia="es-ES"/>
              </w:rPr>
            </w:pPr>
            <w:r>
              <w:rPr>
                <w:rFonts w:ascii="Arial Narrow" w:hAnsi="Arial Narrow"/>
                <w:color w:val="000000"/>
                <w:sz w:val="20"/>
                <w:szCs w:val="20"/>
                <w:lang w:eastAsia="es-ES"/>
              </w:rPr>
              <w:t>1.414.187</w:t>
            </w:r>
          </w:p>
        </w:tc>
      </w:tr>
      <w:tr w:rsidR="00484F27" w:rsidRPr="00612D84" w:rsidTr="00803A49">
        <w:trPr>
          <w:trHeight w:val="284"/>
          <w:jc w:val="center"/>
        </w:trPr>
        <w:tc>
          <w:tcPr>
            <w:tcW w:w="3578" w:type="dxa"/>
            <w:tcBorders>
              <w:top w:val="single" w:sz="4" w:space="0" w:color="auto"/>
            </w:tcBorders>
            <w:vAlign w:val="center"/>
          </w:tcPr>
          <w:p w:rsidR="00484F27" w:rsidRPr="007F08A5" w:rsidRDefault="00484F27" w:rsidP="006A41AE">
            <w:pPr>
              <w:widowControl/>
              <w:spacing w:after="0"/>
              <w:ind w:firstLine="0"/>
              <w:rPr>
                <w:rFonts w:ascii="Arial Narrow" w:hAnsi="Arial Narrow"/>
                <w:color w:val="000000"/>
                <w:sz w:val="20"/>
                <w:szCs w:val="20"/>
                <w:lang w:eastAsia="es-ES"/>
              </w:rPr>
            </w:pPr>
            <w:r>
              <w:rPr>
                <w:rFonts w:ascii="Arial Narrow" w:hAnsi="Arial Narrow"/>
                <w:color w:val="000000"/>
                <w:sz w:val="20"/>
                <w:szCs w:val="20"/>
                <w:lang w:eastAsia="es-ES"/>
              </w:rPr>
              <w:t xml:space="preserve">Subvenciones de explotación GN </w:t>
            </w:r>
            <w:r w:rsidRPr="00581BE0">
              <w:rPr>
                <w:rFonts w:ascii="Arial Narrow" w:hAnsi="Arial Narrow"/>
                <w:color w:val="000000"/>
                <w:sz w:val="20"/>
                <w:szCs w:val="20"/>
                <w:vertAlign w:val="superscript"/>
                <w:lang w:eastAsia="es-ES"/>
              </w:rPr>
              <w:t>(1)</w:t>
            </w:r>
          </w:p>
        </w:tc>
        <w:tc>
          <w:tcPr>
            <w:tcW w:w="1275" w:type="dxa"/>
            <w:tcBorders>
              <w:top w:val="single" w:sz="4" w:space="0" w:color="auto"/>
            </w:tcBorders>
            <w:vAlign w:val="center"/>
          </w:tcPr>
          <w:p w:rsidR="00484F27" w:rsidRPr="007F08A5" w:rsidRDefault="00484F27" w:rsidP="006A41AE">
            <w:pPr>
              <w:widowControl/>
              <w:spacing w:after="0"/>
              <w:ind w:left="142" w:right="141" w:firstLine="0"/>
              <w:jc w:val="right"/>
              <w:rPr>
                <w:rFonts w:ascii="Arial Narrow" w:hAnsi="Arial Narrow"/>
                <w:color w:val="000000"/>
                <w:sz w:val="20"/>
                <w:szCs w:val="20"/>
                <w:lang w:eastAsia="es-ES"/>
              </w:rPr>
            </w:pPr>
          </w:p>
        </w:tc>
        <w:tc>
          <w:tcPr>
            <w:tcW w:w="1174" w:type="dxa"/>
            <w:tcBorders>
              <w:top w:val="single" w:sz="4" w:space="0" w:color="auto"/>
            </w:tcBorders>
            <w:vAlign w:val="center"/>
          </w:tcPr>
          <w:p w:rsidR="00484F27" w:rsidRPr="007F08A5" w:rsidRDefault="00484F27" w:rsidP="006A41AE">
            <w:pPr>
              <w:widowControl/>
              <w:spacing w:after="0"/>
              <w:ind w:left="37" w:right="-1" w:firstLine="0"/>
              <w:jc w:val="right"/>
              <w:rPr>
                <w:rFonts w:ascii="Arial Narrow" w:hAnsi="Arial Narrow"/>
                <w:color w:val="000000"/>
                <w:sz w:val="20"/>
                <w:szCs w:val="20"/>
                <w:lang w:eastAsia="es-ES"/>
              </w:rPr>
            </w:pPr>
            <w:r>
              <w:rPr>
                <w:rFonts w:ascii="Arial Narrow" w:hAnsi="Arial Narrow"/>
                <w:color w:val="000000"/>
                <w:sz w:val="20"/>
                <w:szCs w:val="20"/>
                <w:lang w:eastAsia="es-ES"/>
              </w:rPr>
              <w:t>4.000.000</w:t>
            </w:r>
          </w:p>
        </w:tc>
        <w:tc>
          <w:tcPr>
            <w:tcW w:w="1283" w:type="dxa"/>
            <w:tcBorders>
              <w:top w:val="single" w:sz="4" w:space="0" w:color="auto"/>
            </w:tcBorders>
            <w:vAlign w:val="center"/>
          </w:tcPr>
          <w:p w:rsidR="00484F27" w:rsidRPr="007F08A5" w:rsidRDefault="00484F27" w:rsidP="006A41AE">
            <w:pPr>
              <w:widowControl/>
              <w:spacing w:after="0"/>
              <w:ind w:left="107" w:firstLine="0"/>
              <w:jc w:val="right"/>
              <w:rPr>
                <w:rFonts w:ascii="Arial Narrow" w:hAnsi="Arial Narrow"/>
                <w:color w:val="000000"/>
                <w:sz w:val="20"/>
                <w:szCs w:val="20"/>
                <w:lang w:eastAsia="es-ES"/>
              </w:rPr>
            </w:pPr>
          </w:p>
        </w:tc>
        <w:tc>
          <w:tcPr>
            <w:tcW w:w="1465" w:type="dxa"/>
            <w:tcBorders>
              <w:top w:val="single" w:sz="4" w:space="0" w:color="auto"/>
            </w:tcBorders>
            <w:vAlign w:val="center"/>
          </w:tcPr>
          <w:p w:rsidR="00484F27" w:rsidRPr="007F08A5" w:rsidRDefault="00484F27" w:rsidP="006A41AE">
            <w:pPr>
              <w:widowControl/>
              <w:spacing w:after="0"/>
              <w:ind w:left="206" w:right="115" w:firstLine="0"/>
              <w:jc w:val="right"/>
              <w:rPr>
                <w:rFonts w:ascii="Arial Narrow" w:hAnsi="Arial Narrow"/>
                <w:color w:val="000000"/>
                <w:sz w:val="20"/>
                <w:szCs w:val="20"/>
                <w:lang w:eastAsia="es-ES"/>
              </w:rPr>
            </w:pPr>
            <w:r>
              <w:rPr>
                <w:rFonts w:ascii="Arial Narrow" w:hAnsi="Arial Narrow"/>
                <w:color w:val="000000"/>
                <w:sz w:val="20"/>
                <w:szCs w:val="20"/>
                <w:lang w:eastAsia="es-ES"/>
              </w:rPr>
              <w:t>4.000.000</w:t>
            </w:r>
          </w:p>
        </w:tc>
      </w:tr>
      <w:tr w:rsidR="00484F27" w:rsidRPr="00612D84" w:rsidTr="00803A49">
        <w:trPr>
          <w:trHeight w:val="284"/>
          <w:jc w:val="center"/>
        </w:trPr>
        <w:tc>
          <w:tcPr>
            <w:tcW w:w="3578" w:type="dxa"/>
            <w:tcBorders>
              <w:top w:val="single" w:sz="4" w:space="0" w:color="auto"/>
            </w:tcBorders>
            <w:vAlign w:val="center"/>
          </w:tcPr>
          <w:p w:rsidR="00484F27" w:rsidRPr="007F08A5" w:rsidRDefault="00484F27" w:rsidP="006A41AE">
            <w:pPr>
              <w:widowControl/>
              <w:spacing w:after="0"/>
              <w:ind w:firstLine="0"/>
              <w:rPr>
                <w:rFonts w:ascii="Arial Narrow" w:hAnsi="Arial Narrow"/>
                <w:color w:val="000000"/>
                <w:sz w:val="20"/>
                <w:szCs w:val="20"/>
                <w:lang w:eastAsia="es-ES"/>
              </w:rPr>
            </w:pPr>
            <w:r>
              <w:rPr>
                <w:rFonts w:ascii="Arial Narrow" w:hAnsi="Arial Narrow"/>
                <w:color w:val="000000"/>
                <w:sz w:val="20"/>
                <w:szCs w:val="20"/>
                <w:lang w:eastAsia="es-ES"/>
              </w:rPr>
              <w:t xml:space="preserve">Ingresos </w:t>
            </w:r>
            <w:r w:rsidR="00B313BF">
              <w:rPr>
                <w:rFonts w:ascii="Arial Narrow" w:hAnsi="Arial Narrow"/>
                <w:color w:val="000000"/>
                <w:sz w:val="20"/>
                <w:szCs w:val="20"/>
                <w:lang w:eastAsia="es-ES"/>
              </w:rPr>
              <w:t>porcentaje s/</w:t>
            </w:r>
            <w:r>
              <w:rPr>
                <w:rFonts w:ascii="Arial Narrow" w:hAnsi="Arial Narrow"/>
                <w:color w:val="000000"/>
                <w:sz w:val="20"/>
                <w:szCs w:val="20"/>
                <w:lang w:eastAsia="es-ES"/>
              </w:rPr>
              <w:t>ventas terrenos</w:t>
            </w:r>
          </w:p>
        </w:tc>
        <w:tc>
          <w:tcPr>
            <w:tcW w:w="1275" w:type="dxa"/>
            <w:tcBorders>
              <w:top w:val="single" w:sz="4" w:space="0" w:color="auto"/>
            </w:tcBorders>
            <w:vAlign w:val="center"/>
          </w:tcPr>
          <w:p w:rsidR="00484F27" w:rsidRPr="007F08A5" w:rsidRDefault="00484F27" w:rsidP="006A41AE">
            <w:pPr>
              <w:widowControl/>
              <w:spacing w:after="0"/>
              <w:ind w:left="142" w:right="141" w:firstLine="0"/>
              <w:jc w:val="right"/>
              <w:rPr>
                <w:rFonts w:ascii="Arial Narrow" w:hAnsi="Arial Narrow"/>
                <w:color w:val="000000"/>
                <w:sz w:val="20"/>
                <w:szCs w:val="20"/>
                <w:lang w:eastAsia="es-ES"/>
              </w:rPr>
            </w:pPr>
          </w:p>
        </w:tc>
        <w:tc>
          <w:tcPr>
            <w:tcW w:w="1174" w:type="dxa"/>
            <w:tcBorders>
              <w:top w:val="single" w:sz="4" w:space="0" w:color="auto"/>
            </w:tcBorders>
            <w:vAlign w:val="center"/>
          </w:tcPr>
          <w:p w:rsidR="00484F27" w:rsidRPr="00647BAD" w:rsidRDefault="00484F27" w:rsidP="006A41AE">
            <w:pPr>
              <w:widowControl/>
              <w:spacing w:after="0"/>
              <w:ind w:left="37" w:right="-1" w:firstLine="0"/>
              <w:jc w:val="right"/>
              <w:rPr>
                <w:rFonts w:ascii="Arial Narrow" w:hAnsi="Arial Narrow"/>
                <w:sz w:val="20"/>
                <w:szCs w:val="20"/>
                <w:lang w:eastAsia="es-ES"/>
              </w:rPr>
            </w:pPr>
            <w:r w:rsidRPr="00647BAD">
              <w:rPr>
                <w:rFonts w:ascii="Arial Narrow" w:hAnsi="Arial Narrow"/>
                <w:sz w:val="20"/>
                <w:szCs w:val="20"/>
                <w:lang w:eastAsia="es-ES"/>
              </w:rPr>
              <w:t>5.839.175</w:t>
            </w:r>
          </w:p>
        </w:tc>
        <w:tc>
          <w:tcPr>
            <w:tcW w:w="1283" w:type="dxa"/>
            <w:tcBorders>
              <w:top w:val="single" w:sz="4" w:space="0" w:color="auto"/>
            </w:tcBorders>
            <w:vAlign w:val="center"/>
          </w:tcPr>
          <w:p w:rsidR="00484F27" w:rsidRPr="00647BAD" w:rsidRDefault="00484F27" w:rsidP="006A41AE">
            <w:pPr>
              <w:widowControl/>
              <w:spacing w:after="0"/>
              <w:ind w:left="107" w:firstLine="0"/>
              <w:jc w:val="right"/>
              <w:rPr>
                <w:rFonts w:ascii="Arial Narrow" w:hAnsi="Arial Narrow"/>
                <w:sz w:val="20"/>
                <w:szCs w:val="20"/>
                <w:lang w:eastAsia="es-ES"/>
              </w:rPr>
            </w:pPr>
            <w:r w:rsidRPr="00647BAD">
              <w:rPr>
                <w:rFonts w:ascii="Arial Narrow" w:hAnsi="Arial Narrow"/>
                <w:sz w:val="20"/>
                <w:szCs w:val="20"/>
                <w:lang w:eastAsia="es-ES"/>
              </w:rPr>
              <w:t>4.798.147</w:t>
            </w:r>
          </w:p>
        </w:tc>
        <w:tc>
          <w:tcPr>
            <w:tcW w:w="1465" w:type="dxa"/>
            <w:tcBorders>
              <w:top w:val="single" w:sz="4" w:space="0" w:color="auto"/>
            </w:tcBorders>
            <w:vAlign w:val="center"/>
          </w:tcPr>
          <w:p w:rsidR="00484F27" w:rsidRPr="00647BAD" w:rsidRDefault="00484F27" w:rsidP="006A41AE">
            <w:pPr>
              <w:spacing w:after="0"/>
              <w:ind w:left="206" w:right="115" w:firstLine="0"/>
              <w:jc w:val="right"/>
              <w:rPr>
                <w:rFonts w:ascii="Arial Narrow" w:hAnsi="Arial Narrow"/>
                <w:sz w:val="20"/>
                <w:szCs w:val="20"/>
                <w:lang w:eastAsia="es-ES"/>
              </w:rPr>
            </w:pPr>
            <w:r w:rsidRPr="00647BAD">
              <w:rPr>
                <w:rFonts w:ascii="Arial Narrow" w:hAnsi="Arial Narrow"/>
                <w:sz w:val="20"/>
                <w:szCs w:val="20"/>
                <w:lang w:eastAsia="es-ES"/>
              </w:rPr>
              <w:t>10.637.322</w:t>
            </w:r>
          </w:p>
        </w:tc>
      </w:tr>
      <w:tr w:rsidR="00484F27" w:rsidRPr="00612D84" w:rsidTr="00803A49">
        <w:trPr>
          <w:trHeight w:val="284"/>
          <w:jc w:val="center"/>
        </w:trPr>
        <w:tc>
          <w:tcPr>
            <w:tcW w:w="3578" w:type="dxa"/>
            <w:tcBorders>
              <w:top w:val="single" w:sz="4" w:space="0" w:color="auto"/>
            </w:tcBorders>
            <w:vAlign w:val="center"/>
          </w:tcPr>
          <w:p w:rsidR="00484F27" w:rsidRPr="007F08A5" w:rsidRDefault="00484F27" w:rsidP="006A41AE">
            <w:pPr>
              <w:widowControl/>
              <w:spacing w:after="0"/>
              <w:ind w:firstLine="0"/>
              <w:rPr>
                <w:rFonts w:ascii="Arial Narrow" w:hAnsi="Arial Narrow"/>
                <w:color w:val="000000"/>
                <w:sz w:val="20"/>
                <w:szCs w:val="20"/>
                <w:lang w:eastAsia="es-ES"/>
              </w:rPr>
            </w:pPr>
            <w:r>
              <w:rPr>
                <w:rFonts w:ascii="Arial Narrow" w:hAnsi="Arial Narrow"/>
                <w:color w:val="000000"/>
                <w:sz w:val="20"/>
                <w:szCs w:val="20"/>
                <w:lang w:eastAsia="es-ES"/>
              </w:rPr>
              <w:t xml:space="preserve">Canon devengado UTE </w:t>
            </w:r>
            <w:r w:rsidRPr="00581BE0">
              <w:rPr>
                <w:rFonts w:ascii="Arial Narrow" w:hAnsi="Arial Narrow"/>
                <w:color w:val="000000"/>
                <w:sz w:val="20"/>
                <w:szCs w:val="20"/>
                <w:vertAlign w:val="superscript"/>
                <w:lang w:eastAsia="es-ES"/>
              </w:rPr>
              <w:t>(2)</w:t>
            </w:r>
          </w:p>
        </w:tc>
        <w:tc>
          <w:tcPr>
            <w:tcW w:w="1275" w:type="dxa"/>
            <w:tcBorders>
              <w:top w:val="single" w:sz="4" w:space="0" w:color="auto"/>
            </w:tcBorders>
            <w:vAlign w:val="center"/>
          </w:tcPr>
          <w:p w:rsidR="00484F27" w:rsidRPr="007F08A5" w:rsidRDefault="00484F27" w:rsidP="006A41AE">
            <w:pPr>
              <w:widowControl/>
              <w:spacing w:after="0"/>
              <w:ind w:left="142" w:right="141" w:firstLine="0"/>
              <w:jc w:val="right"/>
              <w:rPr>
                <w:rFonts w:ascii="Arial Narrow" w:hAnsi="Arial Narrow"/>
                <w:color w:val="000000"/>
                <w:sz w:val="20"/>
                <w:szCs w:val="20"/>
                <w:lang w:eastAsia="es-ES"/>
              </w:rPr>
            </w:pPr>
          </w:p>
        </w:tc>
        <w:tc>
          <w:tcPr>
            <w:tcW w:w="1174" w:type="dxa"/>
            <w:tcBorders>
              <w:top w:val="single" w:sz="4" w:space="0" w:color="auto"/>
            </w:tcBorders>
            <w:vAlign w:val="center"/>
          </w:tcPr>
          <w:p w:rsidR="00484F27" w:rsidRPr="007F08A5" w:rsidRDefault="00484F27" w:rsidP="006A41AE">
            <w:pPr>
              <w:widowControl/>
              <w:spacing w:after="0"/>
              <w:ind w:left="37" w:right="-1" w:firstLine="0"/>
              <w:jc w:val="right"/>
              <w:rPr>
                <w:rFonts w:ascii="Arial Narrow" w:hAnsi="Arial Narrow"/>
                <w:color w:val="000000"/>
                <w:sz w:val="20"/>
                <w:szCs w:val="20"/>
                <w:lang w:eastAsia="es-ES"/>
              </w:rPr>
            </w:pPr>
          </w:p>
        </w:tc>
        <w:tc>
          <w:tcPr>
            <w:tcW w:w="1283" w:type="dxa"/>
            <w:tcBorders>
              <w:top w:val="single" w:sz="4" w:space="0" w:color="auto"/>
            </w:tcBorders>
            <w:vAlign w:val="center"/>
          </w:tcPr>
          <w:p w:rsidR="00484F27" w:rsidRPr="007F08A5" w:rsidRDefault="00484F27" w:rsidP="006A41AE">
            <w:pPr>
              <w:widowControl/>
              <w:spacing w:after="0"/>
              <w:ind w:left="107" w:firstLine="0"/>
              <w:jc w:val="right"/>
              <w:rPr>
                <w:rFonts w:ascii="Arial Narrow" w:hAnsi="Arial Narrow"/>
                <w:color w:val="000000"/>
                <w:sz w:val="20"/>
                <w:szCs w:val="20"/>
                <w:lang w:eastAsia="es-ES"/>
              </w:rPr>
            </w:pPr>
            <w:r>
              <w:rPr>
                <w:rFonts w:ascii="Arial Narrow" w:hAnsi="Arial Narrow"/>
                <w:color w:val="000000"/>
                <w:sz w:val="20"/>
                <w:szCs w:val="20"/>
                <w:lang w:eastAsia="es-ES"/>
              </w:rPr>
              <w:t>20.002.095</w:t>
            </w:r>
          </w:p>
        </w:tc>
        <w:tc>
          <w:tcPr>
            <w:tcW w:w="1465" w:type="dxa"/>
            <w:tcBorders>
              <w:top w:val="single" w:sz="4" w:space="0" w:color="auto"/>
            </w:tcBorders>
            <w:vAlign w:val="center"/>
          </w:tcPr>
          <w:p w:rsidR="00484F27" w:rsidRPr="00405EBB" w:rsidRDefault="00484F27" w:rsidP="006A41AE">
            <w:pPr>
              <w:spacing w:after="0"/>
              <w:ind w:left="206" w:right="115" w:firstLine="0"/>
              <w:jc w:val="right"/>
              <w:rPr>
                <w:rFonts w:ascii="Arial Narrow" w:hAnsi="Arial Narrow"/>
                <w:color w:val="000000"/>
                <w:sz w:val="20"/>
                <w:szCs w:val="20"/>
                <w:lang w:eastAsia="es-ES"/>
              </w:rPr>
            </w:pPr>
            <w:r>
              <w:rPr>
                <w:rFonts w:ascii="Arial Narrow" w:hAnsi="Arial Narrow"/>
                <w:color w:val="000000"/>
                <w:sz w:val="20"/>
                <w:szCs w:val="20"/>
                <w:lang w:eastAsia="es-ES"/>
              </w:rPr>
              <w:t>20.002.095</w:t>
            </w:r>
          </w:p>
        </w:tc>
      </w:tr>
      <w:tr w:rsidR="00484F27" w:rsidRPr="00612D84" w:rsidTr="00803A49">
        <w:trPr>
          <w:trHeight w:val="284"/>
          <w:jc w:val="center"/>
        </w:trPr>
        <w:tc>
          <w:tcPr>
            <w:tcW w:w="3578" w:type="dxa"/>
            <w:tcBorders>
              <w:bottom w:val="single" w:sz="4" w:space="0" w:color="auto"/>
            </w:tcBorders>
            <w:shd w:val="clear" w:color="auto" w:fill="B8CCE4" w:themeFill="accent1" w:themeFillTint="66"/>
            <w:vAlign w:val="center"/>
          </w:tcPr>
          <w:p w:rsidR="00484F27" w:rsidRPr="005B3CA8" w:rsidRDefault="00484F27" w:rsidP="006A41AE">
            <w:pPr>
              <w:spacing w:after="0"/>
              <w:ind w:firstLine="0"/>
              <w:rPr>
                <w:rFonts w:ascii="Arial" w:hAnsi="Arial" w:cs="Arial"/>
                <w:color w:val="000000"/>
                <w:sz w:val="18"/>
                <w:szCs w:val="18"/>
                <w:lang w:eastAsia="es-ES"/>
              </w:rPr>
            </w:pPr>
            <w:r>
              <w:rPr>
                <w:rFonts w:ascii="Arial" w:hAnsi="Arial" w:cs="Arial"/>
                <w:color w:val="000000"/>
                <w:sz w:val="18"/>
                <w:szCs w:val="18"/>
                <w:lang w:eastAsia="es-ES"/>
              </w:rPr>
              <w:t>Total a 31/XII/2017</w:t>
            </w:r>
          </w:p>
        </w:tc>
        <w:tc>
          <w:tcPr>
            <w:tcW w:w="1275" w:type="dxa"/>
            <w:tcBorders>
              <w:bottom w:val="single" w:sz="4" w:space="0" w:color="auto"/>
            </w:tcBorders>
            <w:shd w:val="clear" w:color="auto" w:fill="B8CCE4" w:themeFill="accent1" w:themeFillTint="66"/>
            <w:vAlign w:val="center"/>
          </w:tcPr>
          <w:p w:rsidR="00484F27" w:rsidRPr="005B3CA8" w:rsidRDefault="00484F27" w:rsidP="006A41AE">
            <w:pPr>
              <w:spacing w:after="0"/>
              <w:ind w:left="142" w:right="141" w:firstLine="0"/>
              <w:jc w:val="right"/>
              <w:rPr>
                <w:rFonts w:ascii="Arial" w:hAnsi="Arial" w:cs="Arial"/>
                <w:color w:val="000000"/>
                <w:sz w:val="18"/>
                <w:szCs w:val="18"/>
                <w:lang w:eastAsia="es-ES"/>
              </w:rPr>
            </w:pPr>
            <w:r>
              <w:rPr>
                <w:rFonts w:ascii="Arial" w:hAnsi="Arial" w:cs="Arial"/>
                <w:color w:val="000000"/>
                <w:sz w:val="18"/>
                <w:szCs w:val="18"/>
                <w:lang w:eastAsia="es-ES"/>
              </w:rPr>
              <w:t>17.761.679</w:t>
            </w:r>
          </w:p>
        </w:tc>
        <w:tc>
          <w:tcPr>
            <w:tcW w:w="1174" w:type="dxa"/>
            <w:tcBorders>
              <w:bottom w:val="single" w:sz="4" w:space="0" w:color="auto"/>
            </w:tcBorders>
            <w:shd w:val="clear" w:color="auto" w:fill="B8CCE4" w:themeFill="accent1" w:themeFillTint="66"/>
            <w:vAlign w:val="center"/>
          </w:tcPr>
          <w:p w:rsidR="00484F27" w:rsidRPr="00E3179F" w:rsidRDefault="00484F27" w:rsidP="006A41AE">
            <w:pPr>
              <w:spacing w:after="0"/>
              <w:ind w:leftChars="19" w:left="38" w:right="-1" w:firstLine="0"/>
              <w:jc w:val="right"/>
              <w:rPr>
                <w:rFonts w:ascii="Arial" w:eastAsia="Times New Roman" w:hAnsi="Arial" w:cs="Arial"/>
                <w:color w:val="000000"/>
                <w:sz w:val="18"/>
                <w:szCs w:val="18"/>
                <w:lang w:eastAsia="es-ES"/>
              </w:rPr>
            </w:pPr>
            <w:r w:rsidRPr="00E3179F">
              <w:rPr>
                <w:rFonts w:ascii="Arial" w:eastAsia="Times New Roman" w:hAnsi="Arial" w:cs="Arial"/>
                <w:color w:val="000000"/>
                <w:sz w:val="18"/>
                <w:szCs w:val="18"/>
                <w:lang w:eastAsia="es-ES"/>
              </w:rPr>
              <w:t>11.253.362</w:t>
            </w:r>
          </w:p>
        </w:tc>
        <w:tc>
          <w:tcPr>
            <w:tcW w:w="1283" w:type="dxa"/>
            <w:tcBorders>
              <w:bottom w:val="single" w:sz="4" w:space="0" w:color="auto"/>
            </w:tcBorders>
            <w:shd w:val="clear" w:color="auto" w:fill="B8CCE4" w:themeFill="accent1" w:themeFillTint="66"/>
            <w:vAlign w:val="center"/>
          </w:tcPr>
          <w:p w:rsidR="00484F27" w:rsidRPr="00E3179F" w:rsidRDefault="00484F27" w:rsidP="006A41AE">
            <w:pPr>
              <w:spacing w:after="0"/>
              <w:ind w:left="107" w:firstLine="0"/>
              <w:jc w:val="right"/>
              <w:rPr>
                <w:rFonts w:ascii="Arial" w:eastAsia="Times New Roman" w:hAnsi="Arial" w:cs="Arial"/>
                <w:color w:val="000000"/>
                <w:sz w:val="18"/>
                <w:szCs w:val="18"/>
                <w:lang w:eastAsia="es-ES"/>
              </w:rPr>
            </w:pPr>
            <w:r w:rsidRPr="00E3179F">
              <w:rPr>
                <w:rFonts w:ascii="Arial" w:eastAsia="Times New Roman" w:hAnsi="Arial" w:cs="Arial"/>
                <w:color w:val="000000"/>
                <w:sz w:val="18"/>
                <w:szCs w:val="18"/>
                <w:lang w:eastAsia="es-ES"/>
              </w:rPr>
              <w:t>76.165.242</w:t>
            </w:r>
          </w:p>
        </w:tc>
        <w:tc>
          <w:tcPr>
            <w:tcW w:w="1465" w:type="dxa"/>
            <w:tcBorders>
              <w:bottom w:val="single" w:sz="4" w:space="0" w:color="auto"/>
            </w:tcBorders>
            <w:shd w:val="clear" w:color="auto" w:fill="B8CCE4" w:themeFill="accent1" w:themeFillTint="66"/>
            <w:vAlign w:val="center"/>
          </w:tcPr>
          <w:p w:rsidR="00484F27" w:rsidRPr="00E3179F" w:rsidRDefault="00484F27" w:rsidP="006A41AE">
            <w:pPr>
              <w:spacing w:after="0"/>
              <w:ind w:left="19" w:right="56" w:firstLineChars="10" w:firstLine="18"/>
              <w:jc w:val="right"/>
              <w:rPr>
                <w:rFonts w:ascii="Arial" w:eastAsia="Times New Roman" w:hAnsi="Arial" w:cs="Arial"/>
                <w:color w:val="000000"/>
                <w:sz w:val="18"/>
                <w:szCs w:val="18"/>
                <w:lang w:eastAsia="es-ES"/>
              </w:rPr>
            </w:pPr>
            <w:r w:rsidRPr="00E3179F">
              <w:rPr>
                <w:rFonts w:ascii="Arial" w:eastAsia="Times New Roman" w:hAnsi="Arial" w:cs="Arial"/>
                <w:color w:val="000000"/>
                <w:sz w:val="18"/>
                <w:szCs w:val="18"/>
                <w:lang w:eastAsia="es-ES"/>
              </w:rPr>
              <w:t>105.180.283</w:t>
            </w:r>
          </w:p>
        </w:tc>
      </w:tr>
    </w:tbl>
    <w:p w:rsidR="00484F27" w:rsidRPr="00803A49" w:rsidRDefault="00803A49" w:rsidP="00803A49">
      <w:pPr>
        <w:spacing w:before="60" w:after="0"/>
        <w:ind w:left="84" w:firstLine="0"/>
        <w:jc w:val="left"/>
        <w:rPr>
          <w:rFonts w:ascii="Arial Narrow" w:eastAsia="Calibri" w:hAnsi="Arial Narrow"/>
          <w:color w:val="000000"/>
          <w:sz w:val="18"/>
          <w:szCs w:val="18"/>
          <w:lang w:eastAsia="es-ES"/>
        </w:rPr>
      </w:pPr>
      <w:r w:rsidRPr="00803A49">
        <w:rPr>
          <w:rFonts w:ascii="Arial Narrow" w:eastAsia="Calibri" w:hAnsi="Arial Narrow"/>
          <w:color w:val="000000"/>
          <w:vertAlign w:val="superscript"/>
          <w:lang w:eastAsia="es-ES"/>
        </w:rPr>
        <w:t>(1)</w:t>
      </w:r>
      <w:r>
        <w:rPr>
          <w:rFonts w:ascii="Arial Narrow" w:eastAsia="Calibri" w:hAnsi="Arial Narrow"/>
          <w:color w:val="000000"/>
          <w:lang w:eastAsia="es-ES"/>
        </w:rPr>
        <w:t xml:space="preserve"> </w:t>
      </w:r>
      <w:r w:rsidR="00484F27" w:rsidRPr="00803A49">
        <w:rPr>
          <w:rFonts w:ascii="Arial Narrow" w:eastAsia="Calibri" w:hAnsi="Arial Narrow"/>
          <w:color w:val="000000"/>
          <w:sz w:val="18"/>
          <w:szCs w:val="18"/>
          <w:lang w:eastAsia="es-ES"/>
        </w:rPr>
        <w:t>Destinadas específicamente a financiar las expropiaciones de la 1ª fase</w:t>
      </w:r>
    </w:p>
    <w:p w:rsidR="00484F27" w:rsidRPr="00803A49" w:rsidRDefault="00803A49" w:rsidP="00803A49">
      <w:pPr>
        <w:spacing w:after="0"/>
        <w:ind w:left="84" w:firstLine="0"/>
        <w:jc w:val="left"/>
        <w:rPr>
          <w:rFonts w:ascii="Arial Narrow" w:eastAsia="Calibri" w:hAnsi="Arial Narrow"/>
          <w:color w:val="000000"/>
          <w:lang w:eastAsia="es-ES"/>
        </w:rPr>
      </w:pPr>
      <w:r w:rsidRPr="00803A49">
        <w:rPr>
          <w:rFonts w:ascii="Arial Narrow" w:eastAsia="Calibri" w:hAnsi="Arial Narrow"/>
          <w:color w:val="000000"/>
          <w:vertAlign w:val="superscript"/>
          <w:lang w:eastAsia="es-ES"/>
        </w:rPr>
        <w:t>(2)</w:t>
      </w:r>
      <w:r>
        <w:rPr>
          <w:rFonts w:ascii="Arial Narrow" w:eastAsia="Calibri" w:hAnsi="Arial Narrow"/>
          <w:color w:val="000000"/>
          <w:lang w:eastAsia="es-ES"/>
        </w:rPr>
        <w:t xml:space="preserve"> </w:t>
      </w:r>
      <w:r w:rsidR="00484F27" w:rsidRPr="00803A49">
        <w:rPr>
          <w:rFonts w:ascii="Arial Narrow" w:eastAsia="Calibri" w:hAnsi="Arial Narrow"/>
          <w:color w:val="000000"/>
          <w:sz w:val="18"/>
          <w:szCs w:val="18"/>
          <w:lang w:eastAsia="es-ES"/>
        </w:rPr>
        <w:t xml:space="preserve">A 31 de diciembre de 2017, la UTE adeuda por este concepto un </w:t>
      </w:r>
      <w:r w:rsidR="00426968" w:rsidRPr="00803A49">
        <w:rPr>
          <w:rFonts w:ascii="Arial Narrow" w:eastAsia="Calibri" w:hAnsi="Arial Narrow"/>
          <w:color w:val="000000"/>
          <w:sz w:val="18"/>
          <w:szCs w:val="18"/>
          <w:lang w:eastAsia="es-ES"/>
        </w:rPr>
        <w:t>total de 8,79 millones de euros (IVA incluido)</w:t>
      </w:r>
    </w:p>
    <w:p w:rsidR="00484F27" w:rsidRDefault="00484F27" w:rsidP="00803A49">
      <w:pPr>
        <w:pStyle w:val="texto"/>
        <w:tabs>
          <w:tab w:val="clear" w:pos="2835"/>
          <w:tab w:val="clear" w:pos="3969"/>
          <w:tab w:val="clear" w:pos="5103"/>
          <w:tab w:val="clear" w:pos="6237"/>
          <w:tab w:val="clear" w:pos="7371"/>
        </w:tabs>
        <w:spacing w:after="240"/>
        <w:ind w:firstLine="0"/>
        <w:rPr>
          <w:szCs w:val="26"/>
        </w:rPr>
      </w:pPr>
    </w:p>
    <w:p w:rsidR="00484F27" w:rsidRDefault="00484F27" w:rsidP="00484F27">
      <w:pPr>
        <w:pStyle w:val="texto"/>
        <w:tabs>
          <w:tab w:val="clear" w:pos="2835"/>
          <w:tab w:val="clear" w:pos="3969"/>
          <w:tab w:val="clear" w:pos="5103"/>
          <w:tab w:val="clear" w:pos="6237"/>
          <w:tab w:val="clear" w:pos="7371"/>
        </w:tabs>
        <w:ind w:firstLine="0"/>
        <w:jc w:val="center"/>
        <w:rPr>
          <w:szCs w:val="26"/>
        </w:rPr>
      </w:pPr>
      <w:r>
        <w:rPr>
          <w:noProof/>
          <w:lang w:val="es-ES" w:eastAsia="es-ES"/>
        </w:rPr>
        <w:drawing>
          <wp:inline distT="0" distB="0" distL="0" distR="0" wp14:anchorId="4BB60E7C" wp14:editId="225694EC">
            <wp:extent cx="4572000" cy="2743200"/>
            <wp:effectExtent l="38100" t="0" r="19050" b="1905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62071" w:rsidRDefault="00484F27" w:rsidP="00484F27">
      <w:pPr>
        <w:pStyle w:val="texto"/>
        <w:tabs>
          <w:tab w:val="clear" w:pos="2835"/>
          <w:tab w:val="clear" w:pos="3969"/>
          <w:tab w:val="clear" w:pos="5103"/>
          <w:tab w:val="clear" w:pos="6237"/>
          <w:tab w:val="clear" w:pos="7371"/>
        </w:tabs>
        <w:rPr>
          <w:szCs w:val="26"/>
        </w:rPr>
      </w:pPr>
      <w:r>
        <w:rPr>
          <w:szCs w:val="26"/>
        </w:rPr>
        <w:t>De este importe total, el 54 por ciento procede de subvenciones concedidas por el Gobierno de Navarra, el 29 por ciento de la propia actividad comercial de la sociedad gestora y el 17 por ciento de ampliaciones de capital desembo</w:t>
      </w:r>
      <w:r>
        <w:rPr>
          <w:szCs w:val="26"/>
        </w:rPr>
        <w:t>l</w:t>
      </w:r>
      <w:r>
        <w:rPr>
          <w:szCs w:val="26"/>
        </w:rPr>
        <w:t>sados por el Gobierno de Navarra y de aportaciones del socio único de la s</w:t>
      </w:r>
      <w:r>
        <w:rPr>
          <w:szCs w:val="26"/>
        </w:rPr>
        <w:t>o</w:t>
      </w:r>
      <w:r>
        <w:rPr>
          <w:szCs w:val="26"/>
        </w:rPr>
        <w:t xml:space="preserve">ciedad gestora (CPEN). </w:t>
      </w:r>
    </w:p>
    <w:p w:rsidR="009F0CB8" w:rsidRPr="00803A49" w:rsidRDefault="009F0CB8" w:rsidP="009F0CB8">
      <w:pPr>
        <w:pStyle w:val="texto"/>
        <w:tabs>
          <w:tab w:val="clear" w:pos="2835"/>
          <w:tab w:val="clear" w:pos="3969"/>
          <w:tab w:val="clear" w:pos="5103"/>
          <w:tab w:val="clear" w:pos="6237"/>
          <w:tab w:val="clear" w:pos="7371"/>
        </w:tabs>
        <w:rPr>
          <w:szCs w:val="26"/>
        </w:rPr>
      </w:pPr>
      <w:r>
        <w:rPr>
          <w:szCs w:val="26"/>
        </w:rPr>
        <w:t>También conviene indicar que en mayo de 2007 la sociedad gestora formal</w:t>
      </w:r>
      <w:r>
        <w:rPr>
          <w:szCs w:val="26"/>
        </w:rPr>
        <w:t>i</w:t>
      </w:r>
      <w:r>
        <w:rPr>
          <w:szCs w:val="26"/>
        </w:rPr>
        <w:t>zó tres créditos para financiar parcialmente la ampliación de la CTP por un l</w:t>
      </w:r>
      <w:r>
        <w:rPr>
          <w:szCs w:val="26"/>
        </w:rPr>
        <w:t>í</w:t>
      </w:r>
      <w:r>
        <w:rPr>
          <w:szCs w:val="26"/>
        </w:rPr>
        <w:t>mite de 13 millones de euros y una vigencia de 10 años. En la actualidad, estas líneas de crédito están canceladas.</w:t>
      </w:r>
    </w:p>
    <w:p w:rsidR="00B91961" w:rsidRDefault="00B91961" w:rsidP="00DA68E2">
      <w:pPr>
        <w:pStyle w:val="texto"/>
        <w:tabs>
          <w:tab w:val="clear" w:pos="2835"/>
          <w:tab w:val="clear" w:pos="3969"/>
          <w:tab w:val="clear" w:pos="5103"/>
          <w:tab w:val="clear" w:pos="6237"/>
          <w:tab w:val="clear" w:pos="7371"/>
        </w:tabs>
        <w:spacing w:after="200"/>
        <w:rPr>
          <w:szCs w:val="26"/>
        </w:rPr>
      </w:pPr>
      <w:r w:rsidRPr="00BE57C3">
        <w:rPr>
          <w:b/>
          <w:szCs w:val="26"/>
        </w:rPr>
        <w:t>4</w:t>
      </w:r>
      <w:r w:rsidR="00E42E17" w:rsidRPr="00BE57C3">
        <w:rPr>
          <w:b/>
          <w:szCs w:val="26"/>
        </w:rPr>
        <w:t>9</w:t>
      </w:r>
      <w:r w:rsidR="00BE57C3" w:rsidRPr="00BE57C3">
        <w:rPr>
          <w:b/>
          <w:szCs w:val="26"/>
        </w:rPr>
        <w:t>.</w:t>
      </w:r>
      <w:r w:rsidRPr="00BE57C3">
        <w:rPr>
          <w:b/>
          <w:szCs w:val="26"/>
        </w:rPr>
        <w:t>ª</w:t>
      </w:r>
      <w:r w:rsidRPr="00B91961">
        <w:rPr>
          <w:szCs w:val="26"/>
        </w:rPr>
        <w:t xml:space="preserve"> </w:t>
      </w:r>
      <w:r>
        <w:rPr>
          <w:szCs w:val="26"/>
        </w:rPr>
        <w:t xml:space="preserve">A efectos informativos, y de acuerdo con la </w:t>
      </w:r>
      <w:r w:rsidR="00EF0368">
        <w:rPr>
          <w:szCs w:val="26"/>
        </w:rPr>
        <w:t>documentación</w:t>
      </w:r>
      <w:r>
        <w:rPr>
          <w:szCs w:val="26"/>
        </w:rPr>
        <w:t xml:space="preserve"> disponible, las inversiones realizadas por la UTE en la CTP </w:t>
      </w:r>
      <w:r w:rsidRPr="00B91961">
        <w:rPr>
          <w:szCs w:val="26"/>
        </w:rPr>
        <w:t>hasta finales de 2017 se est</w:t>
      </w:r>
      <w:r w:rsidRPr="00B91961">
        <w:rPr>
          <w:szCs w:val="26"/>
        </w:rPr>
        <w:t>i</w:t>
      </w:r>
      <w:r w:rsidRPr="00B91961">
        <w:rPr>
          <w:szCs w:val="26"/>
        </w:rPr>
        <w:t>man en un total de 87,50 millones de euros, de los q</w:t>
      </w:r>
      <w:r>
        <w:rPr>
          <w:szCs w:val="26"/>
        </w:rPr>
        <w:t>ue el 40 por ciento corre</w:t>
      </w:r>
      <w:r>
        <w:rPr>
          <w:szCs w:val="26"/>
        </w:rPr>
        <w:t>s</w:t>
      </w:r>
      <w:r>
        <w:rPr>
          <w:szCs w:val="26"/>
        </w:rPr>
        <w:t>ponde a urbanización y el 60 por ciento a construcción de naves. Su detalle por fases, se presenta en el siguiente cuadro</w:t>
      </w:r>
      <w:r w:rsidR="00803A49">
        <w:rPr>
          <w:szCs w:val="26"/>
        </w:rPr>
        <w:t xml:space="preserve">, </w:t>
      </w:r>
      <w:r>
        <w:rPr>
          <w:szCs w:val="26"/>
        </w:rPr>
        <w:t>en millones de euros</w:t>
      </w:r>
      <w:r w:rsidR="00803A49">
        <w:rPr>
          <w:szCs w:val="26"/>
        </w:rPr>
        <w:t>:</w:t>
      </w:r>
    </w:p>
    <w:tbl>
      <w:tblPr>
        <w:tblStyle w:val="TableNormal"/>
        <w:tblW w:w="0" w:type="auto"/>
        <w:jc w:val="center"/>
        <w:tblBorders>
          <w:top w:val="single" w:sz="2" w:space="0" w:color="auto"/>
          <w:bottom w:val="single" w:sz="2" w:space="0" w:color="auto"/>
          <w:insideH w:val="single" w:sz="2" w:space="0" w:color="auto"/>
        </w:tblBorders>
        <w:tblLayout w:type="fixed"/>
        <w:tblLook w:val="01E0" w:firstRow="1" w:lastRow="1" w:firstColumn="1" w:lastColumn="1" w:noHBand="0" w:noVBand="0"/>
      </w:tblPr>
      <w:tblGrid>
        <w:gridCol w:w="4863"/>
        <w:gridCol w:w="1822"/>
        <w:gridCol w:w="1068"/>
        <w:gridCol w:w="1036"/>
      </w:tblGrid>
      <w:tr w:rsidR="00B91961" w:rsidRPr="00DA5BC7" w:rsidTr="00803A49">
        <w:trPr>
          <w:trHeight w:val="284"/>
          <w:jc w:val="center"/>
        </w:trPr>
        <w:tc>
          <w:tcPr>
            <w:tcW w:w="4863" w:type="dxa"/>
            <w:tcBorders>
              <w:top w:val="single" w:sz="4" w:space="0" w:color="auto"/>
              <w:bottom w:val="single" w:sz="4" w:space="0" w:color="auto"/>
            </w:tcBorders>
            <w:shd w:val="clear" w:color="auto" w:fill="B8CCE4" w:themeFill="accent1" w:themeFillTint="66"/>
            <w:vAlign w:val="center"/>
          </w:tcPr>
          <w:p w:rsidR="00B91961" w:rsidRDefault="00B91961" w:rsidP="00BE57C3">
            <w:pPr>
              <w:spacing w:after="0"/>
              <w:ind w:left="142" w:firstLine="0"/>
              <w:jc w:val="left"/>
              <w:rPr>
                <w:rFonts w:ascii="Arial" w:hAnsi="Arial" w:cs="Arial"/>
                <w:color w:val="000000"/>
                <w:sz w:val="18"/>
                <w:szCs w:val="18"/>
                <w:lang w:eastAsia="es-ES"/>
              </w:rPr>
            </w:pPr>
            <w:r>
              <w:rPr>
                <w:rFonts w:ascii="Arial" w:hAnsi="Arial" w:cs="Arial"/>
                <w:color w:val="000000"/>
                <w:sz w:val="18"/>
                <w:szCs w:val="18"/>
                <w:lang w:eastAsia="es-ES"/>
              </w:rPr>
              <w:t>Inversión</w:t>
            </w:r>
          </w:p>
        </w:tc>
        <w:tc>
          <w:tcPr>
            <w:tcW w:w="1822" w:type="dxa"/>
            <w:tcBorders>
              <w:top w:val="single" w:sz="4" w:space="0" w:color="auto"/>
              <w:bottom w:val="single" w:sz="4" w:space="0" w:color="auto"/>
            </w:tcBorders>
            <w:shd w:val="clear" w:color="auto" w:fill="B8CCE4" w:themeFill="accent1" w:themeFillTint="66"/>
            <w:vAlign w:val="center"/>
          </w:tcPr>
          <w:p w:rsidR="00B91961" w:rsidRPr="005B3CA8" w:rsidRDefault="00B91961" w:rsidP="00803A49">
            <w:pPr>
              <w:spacing w:after="0"/>
              <w:ind w:left="99" w:right="22" w:firstLine="0"/>
              <w:jc w:val="right"/>
              <w:rPr>
                <w:rFonts w:ascii="Arial" w:hAnsi="Arial" w:cs="Arial"/>
                <w:color w:val="000000"/>
                <w:sz w:val="18"/>
                <w:szCs w:val="18"/>
                <w:lang w:eastAsia="es-ES"/>
              </w:rPr>
            </w:pPr>
            <w:r>
              <w:rPr>
                <w:rFonts w:ascii="Arial" w:hAnsi="Arial" w:cs="Arial"/>
                <w:color w:val="000000"/>
                <w:sz w:val="18"/>
                <w:szCs w:val="18"/>
                <w:lang w:eastAsia="es-ES"/>
              </w:rPr>
              <w:t>1ª fase</w:t>
            </w:r>
          </w:p>
        </w:tc>
        <w:tc>
          <w:tcPr>
            <w:tcW w:w="1068" w:type="dxa"/>
            <w:tcBorders>
              <w:top w:val="single" w:sz="4" w:space="0" w:color="auto"/>
              <w:bottom w:val="single" w:sz="4" w:space="0" w:color="auto"/>
            </w:tcBorders>
            <w:shd w:val="clear" w:color="auto" w:fill="B8CCE4" w:themeFill="accent1" w:themeFillTint="66"/>
            <w:vAlign w:val="center"/>
          </w:tcPr>
          <w:p w:rsidR="00B91961" w:rsidRPr="00DA5BC7" w:rsidRDefault="00B91961" w:rsidP="00803A49">
            <w:pPr>
              <w:spacing w:after="0"/>
              <w:ind w:firstLine="0"/>
              <w:jc w:val="right"/>
              <w:rPr>
                <w:rFonts w:ascii="Arial" w:hAnsi="Arial" w:cs="Arial"/>
                <w:color w:val="000000"/>
                <w:sz w:val="18"/>
                <w:szCs w:val="18"/>
                <w:lang w:eastAsia="es-ES"/>
              </w:rPr>
            </w:pPr>
            <w:r>
              <w:rPr>
                <w:rFonts w:ascii="Arial" w:hAnsi="Arial" w:cs="Arial"/>
                <w:color w:val="000000"/>
                <w:sz w:val="18"/>
                <w:szCs w:val="18"/>
                <w:lang w:eastAsia="es-ES"/>
              </w:rPr>
              <w:t>2ª fase</w:t>
            </w:r>
          </w:p>
        </w:tc>
        <w:tc>
          <w:tcPr>
            <w:tcW w:w="1036" w:type="dxa"/>
            <w:tcBorders>
              <w:top w:val="single" w:sz="4" w:space="0" w:color="auto"/>
              <w:bottom w:val="single" w:sz="4" w:space="0" w:color="auto"/>
            </w:tcBorders>
            <w:shd w:val="clear" w:color="auto" w:fill="B8CCE4" w:themeFill="accent1" w:themeFillTint="66"/>
            <w:vAlign w:val="center"/>
          </w:tcPr>
          <w:p w:rsidR="00B91961" w:rsidRPr="00DA5BC7" w:rsidRDefault="00B91961" w:rsidP="00803A49">
            <w:pPr>
              <w:spacing w:after="0"/>
              <w:ind w:left="44" w:right="115" w:firstLine="0"/>
              <w:jc w:val="right"/>
              <w:rPr>
                <w:rFonts w:ascii="Arial" w:hAnsi="Arial" w:cs="Arial"/>
                <w:color w:val="000000"/>
                <w:sz w:val="18"/>
                <w:szCs w:val="18"/>
                <w:lang w:eastAsia="es-ES"/>
              </w:rPr>
            </w:pPr>
            <w:r>
              <w:rPr>
                <w:rFonts w:ascii="Arial" w:hAnsi="Arial" w:cs="Arial"/>
                <w:color w:val="000000"/>
                <w:sz w:val="18"/>
                <w:szCs w:val="18"/>
                <w:lang w:eastAsia="es-ES"/>
              </w:rPr>
              <w:t>3ª fase</w:t>
            </w:r>
          </w:p>
        </w:tc>
      </w:tr>
      <w:tr w:rsidR="00B91961" w:rsidRPr="00C33F56" w:rsidTr="00803A49">
        <w:trPr>
          <w:trHeight w:val="284"/>
          <w:jc w:val="center"/>
        </w:trPr>
        <w:tc>
          <w:tcPr>
            <w:tcW w:w="4863" w:type="dxa"/>
            <w:tcBorders>
              <w:top w:val="single" w:sz="4" w:space="0" w:color="auto"/>
              <w:bottom w:val="single" w:sz="2" w:space="0" w:color="auto"/>
            </w:tcBorders>
            <w:vAlign w:val="center"/>
          </w:tcPr>
          <w:p w:rsidR="00B91961" w:rsidRPr="00C33F56" w:rsidRDefault="00B91961" w:rsidP="00BE57C3">
            <w:pPr>
              <w:widowControl/>
              <w:spacing w:after="0"/>
              <w:ind w:left="142" w:firstLine="0"/>
              <w:jc w:val="left"/>
              <w:rPr>
                <w:rFonts w:ascii="Arial Narrow" w:hAnsi="Arial Narrow"/>
                <w:color w:val="000000"/>
                <w:sz w:val="20"/>
                <w:szCs w:val="20"/>
                <w:lang w:eastAsia="es-ES"/>
              </w:rPr>
            </w:pPr>
            <w:r>
              <w:rPr>
                <w:rFonts w:ascii="Arial Narrow" w:hAnsi="Arial Narrow"/>
                <w:color w:val="000000"/>
                <w:sz w:val="20"/>
                <w:szCs w:val="20"/>
                <w:lang w:eastAsia="es-ES"/>
              </w:rPr>
              <w:t>Urbanización</w:t>
            </w:r>
          </w:p>
        </w:tc>
        <w:tc>
          <w:tcPr>
            <w:tcW w:w="1822" w:type="dxa"/>
            <w:tcBorders>
              <w:top w:val="single" w:sz="4" w:space="0" w:color="auto"/>
              <w:bottom w:val="single" w:sz="2" w:space="0" w:color="auto"/>
            </w:tcBorders>
            <w:vAlign w:val="center"/>
          </w:tcPr>
          <w:p w:rsidR="00B91961" w:rsidRPr="00C33F56" w:rsidRDefault="00B91961" w:rsidP="00803A49">
            <w:pPr>
              <w:widowControl/>
              <w:spacing w:after="0"/>
              <w:ind w:left="99" w:right="22" w:firstLine="0"/>
              <w:jc w:val="right"/>
              <w:rPr>
                <w:rFonts w:ascii="Arial Narrow" w:hAnsi="Arial Narrow"/>
                <w:color w:val="000000"/>
                <w:sz w:val="20"/>
                <w:szCs w:val="20"/>
                <w:lang w:eastAsia="es-ES"/>
              </w:rPr>
            </w:pPr>
            <w:r>
              <w:rPr>
                <w:rFonts w:ascii="Arial Narrow" w:hAnsi="Arial Narrow"/>
                <w:color w:val="000000"/>
                <w:sz w:val="20"/>
                <w:szCs w:val="20"/>
                <w:lang w:eastAsia="es-ES"/>
              </w:rPr>
              <w:t>15,40</w:t>
            </w:r>
          </w:p>
        </w:tc>
        <w:tc>
          <w:tcPr>
            <w:tcW w:w="1068" w:type="dxa"/>
            <w:tcBorders>
              <w:top w:val="single" w:sz="4" w:space="0" w:color="auto"/>
              <w:bottom w:val="single" w:sz="2" w:space="0" w:color="auto"/>
            </w:tcBorders>
            <w:vAlign w:val="center"/>
          </w:tcPr>
          <w:p w:rsidR="00B91961" w:rsidRPr="00C33F56" w:rsidRDefault="00B91961" w:rsidP="00803A49">
            <w:pPr>
              <w:widowControl/>
              <w:spacing w:after="0"/>
              <w:ind w:firstLine="0"/>
              <w:jc w:val="right"/>
              <w:rPr>
                <w:rFonts w:ascii="Arial Narrow" w:hAnsi="Arial Narrow"/>
                <w:color w:val="000000"/>
                <w:sz w:val="20"/>
                <w:szCs w:val="20"/>
                <w:lang w:eastAsia="es-ES"/>
              </w:rPr>
            </w:pPr>
            <w:r>
              <w:rPr>
                <w:rFonts w:ascii="Arial Narrow" w:hAnsi="Arial Narrow"/>
                <w:color w:val="000000"/>
                <w:sz w:val="20"/>
                <w:szCs w:val="20"/>
                <w:lang w:eastAsia="es-ES"/>
              </w:rPr>
              <w:t>5,02</w:t>
            </w:r>
          </w:p>
        </w:tc>
        <w:tc>
          <w:tcPr>
            <w:tcW w:w="1036" w:type="dxa"/>
            <w:tcBorders>
              <w:top w:val="single" w:sz="4" w:space="0" w:color="auto"/>
              <w:bottom w:val="single" w:sz="2" w:space="0" w:color="auto"/>
            </w:tcBorders>
            <w:vAlign w:val="center"/>
          </w:tcPr>
          <w:p w:rsidR="00B91961" w:rsidRPr="00C33F56" w:rsidRDefault="00B91961" w:rsidP="00803A49">
            <w:pPr>
              <w:widowControl/>
              <w:spacing w:after="0"/>
              <w:ind w:left="44" w:right="115" w:firstLine="0"/>
              <w:jc w:val="right"/>
              <w:rPr>
                <w:rFonts w:ascii="Arial Narrow" w:hAnsi="Arial Narrow"/>
                <w:color w:val="000000"/>
                <w:sz w:val="20"/>
                <w:szCs w:val="20"/>
                <w:lang w:eastAsia="es-ES"/>
              </w:rPr>
            </w:pPr>
            <w:r>
              <w:rPr>
                <w:rFonts w:ascii="Arial Narrow" w:hAnsi="Arial Narrow"/>
                <w:color w:val="000000"/>
                <w:sz w:val="20"/>
                <w:szCs w:val="20"/>
                <w:lang w:eastAsia="es-ES"/>
              </w:rPr>
              <w:t>14,48</w:t>
            </w:r>
          </w:p>
        </w:tc>
      </w:tr>
      <w:tr w:rsidR="00B91961" w:rsidRPr="00C33F56" w:rsidTr="004E1C2E">
        <w:trPr>
          <w:trHeight w:val="284"/>
          <w:jc w:val="center"/>
        </w:trPr>
        <w:tc>
          <w:tcPr>
            <w:tcW w:w="4863" w:type="dxa"/>
            <w:tcBorders>
              <w:top w:val="single" w:sz="2" w:space="0" w:color="auto"/>
              <w:bottom w:val="single" w:sz="4" w:space="0" w:color="auto"/>
            </w:tcBorders>
            <w:vAlign w:val="center"/>
          </w:tcPr>
          <w:p w:rsidR="00B91961" w:rsidRPr="00C33F56" w:rsidRDefault="00B91961" w:rsidP="00BE57C3">
            <w:pPr>
              <w:widowControl/>
              <w:spacing w:after="0"/>
              <w:ind w:left="142" w:firstLine="0"/>
              <w:jc w:val="left"/>
              <w:rPr>
                <w:rFonts w:ascii="Arial Narrow" w:hAnsi="Arial Narrow"/>
                <w:color w:val="000000"/>
                <w:sz w:val="20"/>
                <w:szCs w:val="20"/>
                <w:lang w:eastAsia="es-ES"/>
              </w:rPr>
            </w:pPr>
            <w:r>
              <w:rPr>
                <w:rFonts w:ascii="Arial Narrow" w:hAnsi="Arial Narrow"/>
                <w:color w:val="000000"/>
                <w:sz w:val="20"/>
                <w:szCs w:val="20"/>
                <w:lang w:eastAsia="es-ES"/>
              </w:rPr>
              <w:t>Construcción naves</w:t>
            </w:r>
          </w:p>
        </w:tc>
        <w:tc>
          <w:tcPr>
            <w:tcW w:w="1822" w:type="dxa"/>
            <w:tcBorders>
              <w:top w:val="single" w:sz="2" w:space="0" w:color="auto"/>
              <w:bottom w:val="single" w:sz="4" w:space="0" w:color="auto"/>
            </w:tcBorders>
            <w:vAlign w:val="center"/>
          </w:tcPr>
          <w:p w:rsidR="00B91961" w:rsidRPr="00C33F56" w:rsidRDefault="00B91961" w:rsidP="00803A49">
            <w:pPr>
              <w:widowControl/>
              <w:spacing w:after="0"/>
              <w:ind w:left="99" w:right="22" w:firstLine="0"/>
              <w:jc w:val="right"/>
              <w:rPr>
                <w:rFonts w:ascii="Arial Narrow" w:hAnsi="Arial Narrow"/>
                <w:color w:val="000000"/>
                <w:sz w:val="20"/>
                <w:szCs w:val="20"/>
                <w:lang w:eastAsia="es-ES"/>
              </w:rPr>
            </w:pPr>
            <w:r>
              <w:rPr>
                <w:rFonts w:ascii="Arial Narrow" w:hAnsi="Arial Narrow"/>
                <w:color w:val="000000"/>
                <w:sz w:val="20"/>
                <w:szCs w:val="20"/>
                <w:lang w:eastAsia="es-ES"/>
              </w:rPr>
              <w:t>25,87</w:t>
            </w:r>
          </w:p>
        </w:tc>
        <w:tc>
          <w:tcPr>
            <w:tcW w:w="1068" w:type="dxa"/>
            <w:tcBorders>
              <w:top w:val="single" w:sz="2" w:space="0" w:color="auto"/>
              <w:bottom w:val="single" w:sz="4" w:space="0" w:color="auto"/>
            </w:tcBorders>
            <w:vAlign w:val="center"/>
          </w:tcPr>
          <w:p w:rsidR="00B91961" w:rsidRPr="00C33F56" w:rsidRDefault="00B91961" w:rsidP="00803A49">
            <w:pPr>
              <w:widowControl/>
              <w:spacing w:after="0"/>
              <w:ind w:left="206" w:firstLine="0"/>
              <w:jc w:val="right"/>
              <w:rPr>
                <w:rFonts w:ascii="Arial Narrow" w:hAnsi="Arial Narrow"/>
                <w:color w:val="000000"/>
                <w:sz w:val="20"/>
                <w:szCs w:val="20"/>
                <w:lang w:eastAsia="es-ES"/>
              </w:rPr>
            </w:pPr>
            <w:r>
              <w:rPr>
                <w:rFonts w:ascii="Arial Narrow" w:hAnsi="Arial Narrow"/>
                <w:color w:val="000000"/>
                <w:sz w:val="20"/>
                <w:szCs w:val="20"/>
                <w:lang w:eastAsia="es-ES"/>
              </w:rPr>
              <w:t>13,59</w:t>
            </w:r>
          </w:p>
        </w:tc>
        <w:tc>
          <w:tcPr>
            <w:tcW w:w="1036" w:type="dxa"/>
            <w:tcBorders>
              <w:top w:val="single" w:sz="2" w:space="0" w:color="auto"/>
              <w:bottom w:val="single" w:sz="4" w:space="0" w:color="auto"/>
            </w:tcBorders>
            <w:vAlign w:val="center"/>
          </w:tcPr>
          <w:p w:rsidR="00B91961" w:rsidRPr="00C33F56" w:rsidRDefault="00B91961" w:rsidP="00803A49">
            <w:pPr>
              <w:widowControl/>
              <w:spacing w:after="0"/>
              <w:ind w:left="44" w:right="115" w:firstLine="0"/>
              <w:jc w:val="right"/>
              <w:rPr>
                <w:rFonts w:ascii="Arial Narrow" w:hAnsi="Arial Narrow"/>
                <w:color w:val="000000"/>
                <w:sz w:val="20"/>
                <w:szCs w:val="20"/>
                <w:lang w:eastAsia="es-ES"/>
              </w:rPr>
            </w:pPr>
            <w:r>
              <w:rPr>
                <w:rFonts w:ascii="Arial Narrow" w:hAnsi="Arial Narrow"/>
                <w:color w:val="000000"/>
                <w:sz w:val="20"/>
                <w:szCs w:val="20"/>
                <w:lang w:eastAsia="es-ES"/>
              </w:rPr>
              <w:t>13,14</w:t>
            </w:r>
          </w:p>
        </w:tc>
      </w:tr>
      <w:tr w:rsidR="00B91961" w:rsidRPr="005B3CA8" w:rsidTr="004E1C2E">
        <w:trPr>
          <w:trHeight w:val="284"/>
          <w:jc w:val="center"/>
        </w:trPr>
        <w:tc>
          <w:tcPr>
            <w:tcW w:w="4863" w:type="dxa"/>
            <w:tcBorders>
              <w:top w:val="single" w:sz="4" w:space="0" w:color="auto"/>
              <w:bottom w:val="single" w:sz="4" w:space="0" w:color="auto"/>
            </w:tcBorders>
            <w:shd w:val="clear" w:color="auto" w:fill="B8CCE4" w:themeFill="accent1" w:themeFillTint="66"/>
            <w:vAlign w:val="center"/>
          </w:tcPr>
          <w:p w:rsidR="00B91961" w:rsidRPr="005B3CA8" w:rsidRDefault="00B91961" w:rsidP="00BE57C3">
            <w:pPr>
              <w:spacing w:after="0"/>
              <w:ind w:left="142" w:firstLine="0"/>
              <w:jc w:val="left"/>
              <w:rPr>
                <w:rFonts w:ascii="Arial" w:hAnsi="Arial" w:cs="Arial"/>
                <w:color w:val="000000"/>
                <w:sz w:val="18"/>
                <w:szCs w:val="18"/>
                <w:lang w:eastAsia="es-ES"/>
              </w:rPr>
            </w:pPr>
            <w:r>
              <w:rPr>
                <w:rFonts w:ascii="Arial" w:hAnsi="Arial" w:cs="Arial"/>
                <w:color w:val="000000"/>
                <w:sz w:val="18"/>
                <w:szCs w:val="18"/>
                <w:lang w:eastAsia="es-ES"/>
              </w:rPr>
              <w:t>Total</w:t>
            </w:r>
          </w:p>
        </w:tc>
        <w:tc>
          <w:tcPr>
            <w:tcW w:w="1822" w:type="dxa"/>
            <w:tcBorders>
              <w:top w:val="single" w:sz="4" w:space="0" w:color="auto"/>
              <w:bottom w:val="single" w:sz="4" w:space="0" w:color="auto"/>
            </w:tcBorders>
            <w:shd w:val="clear" w:color="auto" w:fill="B8CCE4" w:themeFill="accent1" w:themeFillTint="66"/>
            <w:vAlign w:val="center"/>
          </w:tcPr>
          <w:p w:rsidR="00B91961" w:rsidRPr="005B3CA8" w:rsidRDefault="00B91961" w:rsidP="00803A49">
            <w:pPr>
              <w:spacing w:after="0"/>
              <w:ind w:left="99" w:right="22" w:firstLine="0"/>
              <w:jc w:val="right"/>
              <w:rPr>
                <w:rFonts w:ascii="Arial" w:hAnsi="Arial" w:cs="Arial"/>
                <w:color w:val="000000"/>
                <w:sz w:val="18"/>
                <w:szCs w:val="18"/>
                <w:lang w:eastAsia="es-ES"/>
              </w:rPr>
            </w:pPr>
            <w:r>
              <w:rPr>
                <w:rFonts w:ascii="Arial" w:hAnsi="Arial" w:cs="Arial"/>
                <w:color w:val="000000"/>
                <w:sz w:val="18"/>
                <w:szCs w:val="18"/>
                <w:lang w:eastAsia="es-ES"/>
              </w:rPr>
              <w:t>41,27</w:t>
            </w:r>
          </w:p>
        </w:tc>
        <w:tc>
          <w:tcPr>
            <w:tcW w:w="1068" w:type="dxa"/>
            <w:tcBorders>
              <w:top w:val="single" w:sz="4" w:space="0" w:color="auto"/>
              <w:bottom w:val="single" w:sz="4" w:space="0" w:color="auto"/>
            </w:tcBorders>
            <w:shd w:val="clear" w:color="auto" w:fill="B8CCE4" w:themeFill="accent1" w:themeFillTint="66"/>
            <w:vAlign w:val="center"/>
          </w:tcPr>
          <w:p w:rsidR="00B91961" w:rsidRPr="00966604" w:rsidRDefault="00B91961" w:rsidP="00803A49">
            <w:pPr>
              <w:spacing w:after="0"/>
              <w:ind w:left="206" w:firstLineChars="200" w:firstLine="360"/>
              <w:jc w:val="right"/>
              <w:rPr>
                <w:rFonts w:ascii="Arial Narrow" w:hAnsi="Arial Narrow"/>
                <w:color w:val="000000"/>
                <w:sz w:val="20"/>
                <w:szCs w:val="20"/>
                <w:lang w:eastAsia="es-ES"/>
              </w:rPr>
            </w:pPr>
            <w:r w:rsidRPr="00966604">
              <w:rPr>
                <w:rFonts w:ascii="Arial" w:hAnsi="Arial" w:cs="Arial"/>
                <w:color w:val="000000"/>
                <w:sz w:val="18"/>
                <w:szCs w:val="18"/>
                <w:lang w:val="es-ES" w:eastAsia="es-ES"/>
              </w:rPr>
              <w:t>18,61</w:t>
            </w:r>
          </w:p>
        </w:tc>
        <w:tc>
          <w:tcPr>
            <w:tcW w:w="1036" w:type="dxa"/>
            <w:tcBorders>
              <w:top w:val="single" w:sz="4" w:space="0" w:color="auto"/>
              <w:bottom w:val="single" w:sz="4" w:space="0" w:color="auto"/>
            </w:tcBorders>
            <w:shd w:val="clear" w:color="auto" w:fill="B8CCE4" w:themeFill="accent1" w:themeFillTint="66"/>
            <w:vAlign w:val="center"/>
          </w:tcPr>
          <w:p w:rsidR="00B91961" w:rsidRPr="002B581F" w:rsidRDefault="00B91961" w:rsidP="00803A49">
            <w:pPr>
              <w:spacing w:after="0"/>
              <w:ind w:left="44" w:right="115" w:firstLineChars="200" w:firstLine="360"/>
              <w:jc w:val="right"/>
              <w:rPr>
                <w:rFonts w:ascii="Arial" w:hAnsi="Arial" w:cs="Arial"/>
                <w:color w:val="000000"/>
                <w:sz w:val="18"/>
                <w:szCs w:val="18"/>
                <w:lang w:val="es-ES" w:eastAsia="es-ES"/>
              </w:rPr>
            </w:pPr>
            <w:r>
              <w:rPr>
                <w:rFonts w:ascii="Arial" w:hAnsi="Arial" w:cs="Arial"/>
                <w:color w:val="000000"/>
                <w:sz w:val="18"/>
                <w:szCs w:val="18"/>
                <w:lang w:val="es-ES" w:eastAsia="es-ES"/>
              </w:rPr>
              <w:t>27,62</w:t>
            </w:r>
          </w:p>
        </w:tc>
      </w:tr>
    </w:tbl>
    <w:p w:rsidR="00B91961" w:rsidRPr="00B91961" w:rsidRDefault="00B91961" w:rsidP="00DA68E2">
      <w:pPr>
        <w:pStyle w:val="texto"/>
        <w:tabs>
          <w:tab w:val="clear" w:pos="2835"/>
          <w:tab w:val="clear" w:pos="3969"/>
          <w:tab w:val="clear" w:pos="5103"/>
          <w:tab w:val="clear" w:pos="6237"/>
          <w:tab w:val="clear" w:pos="7371"/>
        </w:tabs>
        <w:spacing w:before="180" w:after="240"/>
        <w:rPr>
          <w:szCs w:val="26"/>
        </w:rPr>
      </w:pPr>
      <w:r>
        <w:rPr>
          <w:szCs w:val="26"/>
        </w:rPr>
        <w:t xml:space="preserve">No consta información sobre los resultados económicos obtenidos por la UTE en estos ejercicios de </w:t>
      </w:r>
      <w:r w:rsidR="00730B74">
        <w:rPr>
          <w:szCs w:val="26"/>
        </w:rPr>
        <w:t>gest</w:t>
      </w:r>
      <w:r w:rsidR="00984724">
        <w:rPr>
          <w:szCs w:val="26"/>
        </w:rPr>
        <w:t>i</w:t>
      </w:r>
      <w:r w:rsidR="00730B74">
        <w:rPr>
          <w:szCs w:val="26"/>
        </w:rPr>
        <w:t>ón</w:t>
      </w:r>
      <w:r>
        <w:rPr>
          <w:szCs w:val="26"/>
        </w:rPr>
        <w:t xml:space="preserve"> de la CT.</w:t>
      </w:r>
    </w:p>
    <w:p w:rsidR="009C7803" w:rsidRDefault="009C7803" w:rsidP="005136BB">
      <w:pPr>
        <w:pStyle w:val="atitulo2"/>
      </w:pPr>
      <w:bookmarkStart w:id="45" w:name="_Toc515531877"/>
      <w:r>
        <w:t>IV.8. Desarrollo de la 4ª fase de la Ciudad del Transporte</w:t>
      </w:r>
      <w:bookmarkEnd w:id="45"/>
    </w:p>
    <w:p w:rsidR="00361B67" w:rsidRDefault="00E42E17" w:rsidP="00803A49">
      <w:pPr>
        <w:pStyle w:val="texto"/>
        <w:tabs>
          <w:tab w:val="clear" w:pos="2835"/>
          <w:tab w:val="clear" w:pos="3969"/>
          <w:tab w:val="clear" w:pos="5103"/>
          <w:tab w:val="clear" w:pos="6237"/>
          <w:tab w:val="clear" w:pos="7371"/>
        </w:tabs>
        <w:spacing w:after="240"/>
        <w:rPr>
          <w:szCs w:val="26"/>
        </w:rPr>
      </w:pPr>
      <w:r w:rsidRPr="00BE57C3">
        <w:rPr>
          <w:b/>
          <w:szCs w:val="26"/>
        </w:rPr>
        <w:t>50</w:t>
      </w:r>
      <w:r w:rsidR="00BE57C3" w:rsidRPr="00BE57C3">
        <w:rPr>
          <w:b/>
          <w:szCs w:val="26"/>
        </w:rPr>
        <w:t>.</w:t>
      </w:r>
      <w:r w:rsidR="00361B67" w:rsidRPr="00BE57C3">
        <w:rPr>
          <w:b/>
          <w:szCs w:val="26"/>
        </w:rPr>
        <w:t>ª</w:t>
      </w:r>
      <w:r w:rsidR="00361B67">
        <w:rPr>
          <w:szCs w:val="26"/>
        </w:rPr>
        <w:t xml:space="preserve"> Inicialmente, </w:t>
      </w:r>
      <w:r w:rsidR="005C6B99">
        <w:rPr>
          <w:szCs w:val="26"/>
        </w:rPr>
        <w:t>el objetivo</w:t>
      </w:r>
      <w:r w:rsidR="00550133">
        <w:rPr>
          <w:szCs w:val="26"/>
        </w:rPr>
        <w:t xml:space="preserve"> </w:t>
      </w:r>
      <w:r w:rsidR="003A5AA2">
        <w:rPr>
          <w:szCs w:val="26"/>
        </w:rPr>
        <w:t>prioritario</w:t>
      </w:r>
      <w:r w:rsidR="005C6B99">
        <w:rPr>
          <w:szCs w:val="26"/>
        </w:rPr>
        <w:t xml:space="preserve"> de esta fase</w:t>
      </w:r>
      <w:r w:rsidR="003A5AA2">
        <w:rPr>
          <w:szCs w:val="26"/>
        </w:rPr>
        <w:t>,</w:t>
      </w:r>
      <w:r w:rsidR="00361B67">
        <w:rPr>
          <w:szCs w:val="26"/>
        </w:rPr>
        <w:t xml:space="preserve"> y así se contempla en </w:t>
      </w:r>
      <w:r w:rsidR="003A5AA2">
        <w:rPr>
          <w:szCs w:val="26"/>
        </w:rPr>
        <w:t>el PSIS de la ampliación aprobado en 2004</w:t>
      </w:r>
      <w:r w:rsidR="00361B67">
        <w:rPr>
          <w:szCs w:val="26"/>
        </w:rPr>
        <w:t>, era lograr la intermodalidad con el transporte ferroviario</w:t>
      </w:r>
      <w:r w:rsidR="00530F50">
        <w:rPr>
          <w:szCs w:val="26"/>
        </w:rPr>
        <w:t>, mediante un ramal ferroviario de conexión directa con la red de RENFE y vinculada al centro logístico de Noáin</w:t>
      </w:r>
      <w:r w:rsidR="00361B67">
        <w:rPr>
          <w:szCs w:val="26"/>
        </w:rPr>
        <w:t>.</w:t>
      </w:r>
      <w:r w:rsidR="00960563">
        <w:rPr>
          <w:szCs w:val="26"/>
        </w:rPr>
        <w:t xml:space="preserve"> De acuerdo con el </w:t>
      </w:r>
      <w:r w:rsidR="00FD6087">
        <w:rPr>
          <w:szCs w:val="26"/>
        </w:rPr>
        <w:t>te</w:t>
      </w:r>
      <w:r w:rsidR="00FD6087">
        <w:rPr>
          <w:szCs w:val="26"/>
        </w:rPr>
        <w:t>x</w:t>
      </w:r>
      <w:r w:rsidR="00FD6087">
        <w:rPr>
          <w:szCs w:val="26"/>
        </w:rPr>
        <w:t xml:space="preserve">to refundido del </w:t>
      </w:r>
      <w:r w:rsidR="00960563">
        <w:rPr>
          <w:szCs w:val="26"/>
        </w:rPr>
        <w:t>citado PSIS, la superficie de esta fase es de 382.738 m</w:t>
      </w:r>
      <w:r w:rsidR="00960563" w:rsidRPr="00960563">
        <w:rPr>
          <w:szCs w:val="26"/>
          <w:vertAlign w:val="superscript"/>
        </w:rPr>
        <w:t>2</w:t>
      </w:r>
      <w:r w:rsidR="00960563">
        <w:rPr>
          <w:szCs w:val="26"/>
        </w:rPr>
        <w:t xml:space="preserve"> y se desglosa en las distintas zonas que se reflejan en el siguiente cuadro:</w:t>
      </w:r>
    </w:p>
    <w:tbl>
      <w:tblPr>
        <w:tblW w:w="8763" w:type="dxa"/>
        <w:jc w:val="center"/>
        <w:tblCellMar>
          <w:left w:w="70" w:type="dxa"/>
          <w:right w:w="70" w:type="dxa"/>
        </w:tblCellMar>
        <w:tblLook w:val="04A0" w:firstRow="1" w:lastRow="0" w:firstColumn="1" w:lastColumn="0" w:noHBand="0" w:noVBand="1"/>
      </w:tblPr>
      <w:tblGrid>
        <w:gridCol w:w="7854"/>
        <w:gridCol w:w="1075"/>
      </w:tblGrid>
      <w:tr w:rsidR="00960563" w:rsidRPr="00DC3CE7" w:rsidTr="0062585B">
        <w:trPr>
          <w:trHeight w:val="255"/>
          <w:jc w:val="center"/>
        </w:trPr>
        <w:tc>
          <w:tcPr>
            <w:tcW w:w="7854" w:type="dxa"/>
            <w:tcBorders>
              <w:top w:val="single" w:sz="4" w:space="0" w:color="auto"/>
              <w:bottom w:val="single" w:sz="4" w:space="0" w:color="auto"/>
            </w:tcBorders>
            <w:shd w:val="clear" w:color="auto" w:fill="B8CCE4" w:themeFill="accent1" w:themeFillTint="66"/>
            <w:noWrap/>
            <w:vAlign w:val="center"/>
            <w:hideMark/>
          </w:tcPr>
          <w:p w:rsidR="00960563" w:rsidRPr="000A2B37" w:rsidRDefault="00C21173" w:rsidP="00C21173">
            <w:pPr>
              <w:widowControl w:val="0"/>
              <w:spacing w:after="0"/>
              <w:ind w:firstLine="0"/>
              <w:jc w:val="left"/>
              <w:rPr>
                <w:rFonts w:ascii="Arial" w:hAnsi="Arial" w:cs="Arial"/>
                <w:color w:val="000000"/>
                <w:sz w:val="18"/>
                <w:szCs w:val="18"/>
                <w:lang w:eastAsia="es-ES"/>
              </w:rPr>
            </w:pPr>
            <w:r>
              <w:rPr>
                <w:rFonts w:ascii="Arial" w:hAnsi="Arial" w:cs="Arial"/>
                <w:color w:val="000000"/>
                <w:sz w:val="18"/>
                <w:szCs w:val="18"/>
                <w:lang w:eastAsia="es-ES"/>
              </w:rPr>
              <w:t>4ª fase CT</w:t>
            </w:r>
            <w:r w:rsidR="00960563">
              <w:rPr>
                <w:rFonts w:ascii="Arial" w:hAnsi="Arial" w:cs="Arial"/>
                <w:color w:val="000000"/>
                <w:sz w:val="18"/>
                <w:szCs w:val="18"/>
                <w:lang w:eastAsia="es-ES"/>
              </w:rPr>
              <w:t>/superficie (m</w:t>
            </w:r>
            <w:r w:rsidR="00960563" w:rsidRPr="000A2B37">
              <w:rPr>
                <w:rFonts w:ascii="Arial" w:hAnsi="Arial" w:cs="Arial"/>
                <w:color w:val="000000"/>
                <w:sz w:val="18"/>
                <w:szCs w:val="18"/>
                <w:vertAlign w:val="superscript"/>
                <w:lang w:eastAsia="es-ES"/>
              </w:rPr>
              <w:t>2</w:t>
            </w:r>
            <w:r w:rsidR="00960563">
              <w:rPr>
                <w:rFonts w:ascii="Arial" w:hAnsi="Arial" w:cs="Arial"/>
                <w:color w:val="000000"/>
                <w:sz w:val="18"/>
                <w:szCs w:val="18"/>
                <w:lang w:eastAsia="es-ES"/>
              </w:rPr>
              <w:t>)</w:t>
            </w:r>
          </w:p>
        </w:tc>
        <w:tc>
          <w:tcPr>
            <w:tcW w:w="909" w:type="dxa"/>
            <w:tcBorders>
              <w:top w:val="single" w:sz="4" w:space="0" w:color="auto"/>
              <w:bottom w:val="single" w:sz="4" w:space="0" w:color="auto"/>
            </w:tcBorders>
            <w:shd w:val="clear" w:color="auto" w:fill="B8CCE4" w:themeFill="accent1" w:themeFillTint="66"/>
            <w:vAlign w:val="center"/>
            <w:hideMark/>
          </w:tcPr>
          <w:p w:rsidR="00960563" w:rsidRPr="000A2B37" w:rsidRDefault="00960563" w:rsidP="004D4827">
            <w:pPr>
              <w:widowControl w:val="0"/>
              <w:spacing w:after="0"/>
              <w:ind w:left="284" w:firstLine="0"/>
              <w:jc w:val="left"/>
              <w:rPr>
                <w:rFonts w:ascii="Arial" w:hAnsi="Arial" w:cs="Arial"/>
                <w:color w:val="000000"/>
                <w:sz w:val="18"/>
                <w:szCs w:val="18"/>
                <w:lang w:eastAsia="es-ES"/>
              </w:rPr>
            </w:pPr>
            <w:r w:rsidRPr="000A2B37">
              <w:rPr>
                <w:rFonts w:ascii="Arial" w:hAnsi="Arial" w:cs="Arial"/>
                <w:color w:val="000000"/>
                <w:sz w:val="18"/>
                <w:szCs w:val="18"/>
                <w:lang w:eastAsia="es-ES"/>
              </w:rPr>
              <w:t>4ª fase</w:t>
            </w:r>
          </w:p>
        </w:tc>
      </w:tr>
      <w:tr w:rsidR="00960563" w:rsidRPr="00DC3CE7" w:rsidTr="0062585B">
        <w:trPr>
          <w:trHeight w:val="255"/>
          <w:jc w:val="center"/>
        </w:trPr>
        <w:tc>
          <w:tcPr>
            <w:tcW w:w="7854" w:type="dxa"/>
            <w:tcBorders>
              <w:top w:val="single" w:sz="4" w:space="0" w:color="auto"/>
              <w:bottom w:val="single" w:sz="2" w:space="0" w:color="auto"/>
            </w:tcBorders>
            <w:shd w:val="clear" w:color="auto" w:fill="auto"/>
            <w:noWrap/>
            <w:vAlign w:val="center"/>
            <w:hideMark/>
          </w:tcPr>
          <w:p w:rsidR="00960563" w:rsidRPr="000A2B37" w:rsidRDefault="00960563" w:rsidP="00803A49">
            <w:pPr>
              <w:spacing w:after="0"/>
              <w:ind w:firstLine="0"/>
              <w:jc w:val="left"/>
              <w:rPr>
                <w:rFonts w:ascii="Arial Narrow" w:hAnsi="Arial Narrow"/>
                <w:color w:val="000000"/>
                <w:lang w:eastAsia="es-ES"/>
              </w:rPr>
            </w:pPr>
            <w:r w:rsidRPr="000A2B37">
              <w:rPr>
                <w:rFonts w:ascii="Arial Narrow" w:hAnsi="Arial Narrow"/>
                <w:color w:val="000000"/>
                <w:lang w:eastAsia="es-ES"/>
              </w:rPr>
              <w:t>Viales e infraestructuras</w:t>
            </w:r>
          </w:p>
        </w:tc>
        <w:tc>
          <w:tcPr>
            <w:tcW w:w="909" w:type="dxa"/>
            <w:tcBorders>
              <w:top w:val="single" w:sz="4" w:space="0" w:color="auto"/>
              <w:bottom w:val="single" w:sz="2" w:space="0" w:color="auto"/>
            </w:tcBorders>
            <w:shd w:val="clear" w:color="auto" w:fill="auto"/>
            <w:noWrap/>
            <w:vAlign w:val="center"/>
          </w:tcPr>
          <w:p w:rsidR="00960563" w:rsidRPr="000A2B37" w:rsidRDefault="00960563" w:rsidP="004D4827">
            <w:pPr>
              <w:spacing w:after="0"/>
              <w:ind w:left="56" w:firstLine="0"/>
              <w:jc w:val="right"/>
              <w:rPr>
                <w:rFonts w:ascii="Arial Narrow" w:hAnsi="Arial Narrow"/>
                <w:color w:val="000000"/>
                <w:lang w:eastAsia="es-ES"/>
              </w:rPr>
            </w:pPr>
            <w:r>
              <w:rPr>
                <w:rFonts w:ascii="Arial Narrow" w:hAnsi="Arial Narrow"/>
                <w:color w:val="000000"/>
                <w:lang w:eastAsia="es-ES"/>
              </w:rPr>
              <w:t>76.682</w:t>
            </w:r>
          </w:p>
        </w:tc>
      </w:tr>
      <w:tr w:rsidR="00960563" w:rsidRPr="00DC3CE7" w:rsidTr="0062585B">
        <w:trPr>
          <w:trHeight w:val="255"/>
          <w:jc w:val="center"/>
        </w:trPr>
        <w:tc>
          <w:tcPr>
            <w:tcW w:w="7854" w:type="dxa"/>
            <w:tcBorders>
              <w:top w:val="single" w:sz="2" w:space="0" w:color="auto"/>
              <w:bottom w:val="single" w:sz="2" w:space="0" w:color="auto"/>
            </w:tcBorders>
            <w:shd w:val="clear" w:color="auto" w:fill="auto"/>
            <w:noWrap/>
            <w:vAlign w:val="center"/>
            <w:hideMark/>
          </w:tcPr>
          <w:p w:rsidR="00960563" w:rsidRPr="000A2B37" w:rsidRDefault="00960563" w:rsidP="00803A49">
            <w:pPr>
              <w:spacing w:after="0"/>
              <w:ind w:firstLine="0"/>
              <w:jc w:val="left"/>
              <w:rPr>
                <w:rFonts w:ascii="Arial Narrow" w:hAnsi="Arial Narrow"/>
                <w:color w:val="000000"/>
                <w:lang w:eastAsia="es-ES"/>
              </w:rPr>
            </w:pPr>
            <w:r w:rsidRPr="000A2B37">
              <w:rPr>
                <w:rFonts w:ascii="Arial Narrow" w:hAnsi="Arial Narrow"/>
                <w:color w:val="000000"/>
                <w:lang w:eastAsia="es-ES"/>
              </w:rPr>
              <w:t>Zonas verdes</w:t>
            </w:r>
          </w:p>
        </w:tc>
        <w:tc>
          <w:tcPr>
            <w:tcW w:w="909" w:type="dxa"/>
            <w:tcBorders>
              <w:top w:val="single" w:sz="2" w:space="0" w:color="auto"/>
              <w:bottom w:val="single" w:sz="2" w:space="0" w:color="auto"/>
            </w:tcBorders>
            <w:shd w:val="clear" w:color="auto" w:fill="auto"/>
            <w:noWrap/>
            <w:vAlign w:val="center"/>
          </w:tcPr>
          <w:p w:rsidR="00960563" w:rsidRPr="000A2B37" w:rsidRDefault="00960563" w:rsidP="004D4827">
            <w:pPr>
              <w:spacing w:after="0"/>
              <w:ind w:left="56" w:firstLine="0"/>
              <w:jc w:val="right"/>
              <w:rPr>
                <w:rFonts w:ascii="Arial Narrow" w:hAnsi="Arial Narrow"/>
                <w:color w:val="000000"/>
                <w:lang w:eastAsia="es-ES"/>
              </w:rPr>
            </w:pPr>
            <w:r>
              <w:rPr>
                <w:rFonts w:ascii="Arial Narrow" w:hAnsi="Arial Narrow"/>
                <w:color w:val="000000"/>
                <w:lang w:eastAsia="es-ES"/>
              </w:rPr>
              <w:t>76.348</w:t>
            </w:r>
          </w:p>
        </w:tc>
      </w:tr>
      <w:tr w:rsidR="00960563" w:rsidRPr="00DC3CE7" w:rsidTr="0062585B">
        <w:trPr>
          <w:trHeight w:val="255"/>
          <w:jc w:val="center"/>
        </w:trPr>
        <w:tc>
          <w:tcPr>
            <w:tcW w:w="7854" w:type="dxa"/>
            <w:tcBorders>
              <w:top w:val="single" w:sz="2" w:space="0" w:color="auto"/>
              <w:bottom w:val="single" w:sz="2" w:space="0" w:color="auto"/>
            </w:tcBorders>
            <w:shd w:val="clear" w:color="auto" w:fill="auto"/>
            <w:noWrap/>
            <w:vAlign w:val="center"/>
            <w:hideMark/>
          </w:tcPr>
          <w:p w:rsidR="00960563" w:rsidRPr="000A2B37" w:rsidRDefault="00960563" w:rsidP="00803A49">
            <w:pPr>
              <w:spacing w:after="0"/>
              <w:ind w:firstLine="0"/>
              <w:jc w:val="left"/>
              <w:rPr>
                <w:rFonts w:ascii="Arial Narrow" w:hAnsi="Arial Narrow"/>
                <w:color w:val="000000"/>
                <w:lang w:eastAsia="es-ES"/>
              </w:rPr>
            </w:pPr>
            <w:r w:rsidRPr="000A2B37">
              <w:rPr>
                <w:rFonts w:ascii="Arial Narrow" w:hAnsi="Arial Narrow"/>
                <w:color w:val="000000"/>
                <w:lang w:eastAsia="es-ES"/>
              </w:rPr>
              <w:t>Zonas dotacionales</w:t>
            </w:r>
          </w:p>
        </w:tc>
        <w:tc>
          <w:tcPr>
            <w:tcW w:w="909" w:type="dxa"/>
            <w:tcBorders>
              <w:top w:val="single" w:sz="2" w:space="0" w:color="auto"/>
              <w:bottom w:val="single" w:sz="2" w:space="0" w:color="auto"/>
            </w:tcBorders>
            <w:shd w:val="clear" w:color="auto" w:fill="auto"/>
            <w:noWrap/>
            <w:vAlign w:val="center"/>
          </w:tcPr>
          <w:p w:rsidR="00960563" w:rsidRPr="000A2B37" w:rsidRDefault="00960563" w:rsidP="004D4827">
            <w:pPr>
              <w:spacing w:after="0"/>
              <w:ind w:left="56" w:firstLine="0"/>
              <w:jc w:val="right"/>
              <w:rPr>
                <w:rFonts w:ascii="Arial Narrow" w:hAnsi="Arial Narrow"/>
                <w:color w:val="000000"/>
                <w:lang w:eastAsia="es-ES"/>
              </w:rPr>
            </w:pPr>
            <w:r>
              <w:rPr>
                <w:rFonts w:ascii="Arial Narrow" w:hAnsi="Arial Narrow"/>
                <w:color w:val="000000"/>
                <w:lang w:eastAsia="es-ES"/>
              </w:rPr>
              <w:t>13.055</w:t>
            </w:r>
          </w:p>
        </w:tc>
      </w:tr>
      <w:tr w:rsidR="00960563" w:rsidRPr="00DC3CE7" w:rsidTr="0062585B">
        <w:trPr>
          <w:trHeight w:val="255"/>
          <w:jc w:val="center"/>
        </w:trPr>
        <w:tc>
          <w:tcPr>
            <w:tcW w:w="7854" w:type="dxa"/>
            <w:tcBorders>
              <w:top w:val="single" w:sz="2" w:space="0" w:color="auto"/>
              <w:bottom w:val="single" w:sz="2" w:space="0" w:color="auto"/>
            </w:tcBorders>
            <w:shd w:val="clear" w:color="auto" w:fill="auto"/>
            <w:noWrap/>
            <w:vAlign w:val="center"/>
            <w:hideMark/>
          </w:tcPr>
          <w:p w:rsidR="00960563" w:rsidRPr="000A2B37" w:rsidRDefault="00960563" w:rsidP="00803A49">
            <w:pPr>
              <w:spacing w:after="0"/>
              <w:ind w:firstLine="0"/>
              <w:jc w:val="left"/>
              <w:rPr>
                <w:rFonts w:ascii="Arial Narrow" w:hAnsi="Arial Narrow"/>
                <w:color w:val="000000"/>
                <w:lang w:eastAsia="es-ES"/>
              </w:rPr>
            </w:pPr>
            <w:r w:rsidRPr="000A2B37">
              <w:rPr>
                <w:rFonts w:ascii="Arial Narrow" w:hAnsi="Arial Narrow"/>
                <w:color w:val="000000"/>
                <w:lang w:eastAsia="es-ES"/>
              </w:rPr>
              <w:t>Plataforma intermodal</w:t>
            </w:r>
          </w:p>
        </w:tc>
        <w:tc>
          <w:tcPr>
            <w:tcW w:w="909" w:type="dxa"/>
            <w:tcBorders>
              <w:top w:val="single" w:sz="2" w:space="0" w:color="auto"/>
              <w:bottom w:val="single" w:sz="2" w:space="0" w:color="auto"/>
            </w:tcBorders>
            <w:shd w:val="clear" w:color="auto" w:fill="auto"/>
            <w:noWrap/>
            <w:vAlign w:val="center"/>
          </w:tcPr>
          <w:p w:rsidR="00960563" w:rsidRPr="000A2B37" w:rsidRDefault="00960563" w:rsidP="004D4827">
            <w:pPr>
              <w:spacing w:after="0"/>
              <w:ind w:left="56" w:firstLine="0"/>
              <w:jc w:val="right"/>
              <w:rPr>
                <w:rFonts w:ascii="Arial Narrow" w:hAnsi="Arial Narrow"/>
                <w:color w:val="000000"/>
                <w:lang w:eastAsia="es-ES"/>
              </w:rPr>
            </w:pPr>
            <w:r>
              <w:rPr>
                <w:rFonts w:ascii="Arial Narrow" w:hAnsi="Arial Narrow"/>
                <w:color w:val="000000"/>
                <w:lang w:eastAsia="es-ES"/>
              </w:rPr>
              <w:t>65.648</w:t>
            </w:r>
          </w:p>
        </w:tc>
      </w:tr>
      <w:tr w:rsidR="00960563" w:rsidRPr="00DC3CE7" w:rsidTr="0062585B">
        <w:trPr>
          <w:trHeight w:val="255"/>
          <w:jc w:val="center"/>
        </w:trPr>
        <w:tc>
          <w:tcPr>
            <w:tcW w:w="7854" w:type="dxa"/>
            <w:tcBorders>
              <w:top w:val="single" w:sz="2" w:space="0" w:color="auto"/>
              <w:bottom w:val="single" w:sz="2" w:space="0" w:color="auto"/>
            </w:tcBorders>
            <w:shd w:val="clear" w:color="auto" w:fill="auto"/>
            <w:noWrap/>
            <w:vAlign w:val="center"/>
            <w:hideMark/>
          </w:tcPr>
          <w:p w:rsidR="00960563" w:rsidRPr="000A2B37" w:rsidRDefault="00960563" w:rsidP="00803A49">
            <w:pPr>
              <w:spacing w:after="0"/>
              <w:ind w:firstLine="0"/>
              <w:jc w:val="left"/>
              <w:rPr>
                <w:rFonts w:ascii="Arial Narrow" w:hAnsi="Arial Narrow"/>
                <w:color w:val="000000"/>
                <w:lang w:eastAsia="es-ES"/>
              </w:rPr>
            </w:pPr>
            <w:r w:rsidRPr="000A2B37">
              <w:rPr>
                <w:rFonts w:ascii="Arial Narrow" w:hAnsi="Arial Narrow"/>
                <w:color w:val="000000"/>
                <w:lang w:eastAsia="es-ES"/>
              </w:rPr>
              <w:t>Naves zona intermodal</w:t>
            </w:r>
          </w:p>
        </w:tc>
        <w:tc>
          <w:tcPr>
            <w:tcW w:w="909" w:type="dxa"/>
            <w:tcBorders>
              <w:top w:val="single" w:sz="2" w:space="0" w:color="auto"/>
              <w:bottom w:val="single" w:sz="2" w:space="0" w:color="auto"/>
            </w:tcBorders>
            <w:shd w:val="clear" w:color="auto" w:fill="auto"/>
            <w:noWrap/>
            <w:vAlign w:val="center"/>
          </w:tcPr>
          <w:p w:rsidR="00960563" w:rsidRPr="000A2B37" w:rsidRDefault="00960563" w:rsidP="004D4827">
            <w:pPr>
              <w:spacing w:after="0"/>
              <w:ind w:left="56" w:firstLine="0"/>
              <w:jc w:val="right"/>
              <w:rPr>
                <w:rFonts w:ascii="Arial Narrow" w:hAnsi="Arial Narrow"/>
                <w:color w:val="000000"/>
                <w:lang w:eastAsia="es-ES"/>
              </w:rPr>
            </w:pPr>
            <w:r>
              <w:rPr>
                <w:rFonts w:ascii="Arial Narrow" w:hAnsi="Arial Narrow"/>
                <w:color w:val="000000"/>
                <w:lang w:eastAsia="es-ES"/>
              </w:rPr>
              <w:t>53.181</w:t>
            </w:r>
          </w:p>
        </w:tc>
      </w:tr>
      <w:tr w:rsidR="00960563" w:rsidRPr="00DC3CE7" w:rsidTr="0062585B">
        <w:trPr>
          <w:trHeight w:val="255"/>
          <w:jc w:val="center"/>
        </w:trPr>
        <w:tc>
          <w:tcPr>
            <w:tcW w:w="7854" w:type="dxa"/>
            <w:tcBorders>
              <w:top w:val="single" w:sz="2" w:space="0" w:color="auto"/>
              <w:bottom w:val="single" w:sz="2" w:space="0" w:color="auto"/>
            </w:tcBorders>
            <w:shd w:val="clear" w:color="auto" w:fill="auto"/>
            <w:noWrap/>
            <w:vAlign w:val="center"/>
            <w:hideMark/>
          </w:tcPr>
          <w:p w:rsidR="00960563" w:rsidRPr="000A2B37" w:rsidRDefault="00960563" w:rsidP="00803A49">
            <w:pPr>
              <w:spacing w:after="0"/>
              <w:ind w:firstLine="0"/>
              <w:jc w:val="left"/>
              <w:rPr>
                <w:rFonts w:ascii="Arial Narrow" w:hAnsi="Arial Narrow"/>
                <w:color w:val="000000"/>
                <w:lang w:eastAsia="es-ES"/>
              </w:rPr>
            </w:pPr>
            <w:r w:rsidRPr="000A2B37">
              <w:rPr>
                <w:rFonts w:ascii="Arial Narrow" w:hAnsi="Arial Narrow"/>
                <w:color w:val="000000"/>
                <w:lang w:eastAsia="es-ES"/>
              </w:rPr>
              <w:t>Naves edificación adosada</w:t>
            </w:r>
          </w:p>
        </w:tc>
        <w:tc>
          <w:tcPr>
            <w:tcW w:w="909" w:type="dxa"/>
            <w:tcBorders>
              <w:top w:val="single" w:sz="2" w:space="0" w:color="auto"/>
              <w:bottom w:val="single" w:sz="2" w:space="0" w:color="auto"/>
            </w:tcBorders>
            <w:shd w:val="clear" w:color="auto" w:fill="auto"/>
            <w:noWrap/>
            <w:vAlign w:val="center"/>
          </w:tcPr>
          <w:p w:rsidR="00960563" w:rsidRPr="000A2B37" w:rsidRDefault="00960563" w:rsidP="004D4827">
            <w:pPr>
              <w:spacing w:after="0"/>
              <w:ind w:left="56" w:firstLine="0"/>
              <w:jc w:val="right"/>
              <w:rPr>
                <w:rFonts w:ascii="Arial Narrow" w:hAnsi="Arial Narrow"/>
                <w:color w:val="000000"/>
                <w:lang w:eastAsia="es-ES"/>
              </w:rPr>
            </w:pPr>
            <w:r>
              <w:rPr>
                <w:rFonts w:ascii="Arial Narrow" w:hAnsi="Arial Narrow"/>
                <w:color w:val="000000"/>
                <w:lang w:eastAsia="es-ES"/>
              </w:rPr>
              <w:t>97.824</w:t>
            </w:r>
          </w:p>
        </w:tc>
      </w:tr>
      <w:tr w:rsidR="00960563" w:rsidRPr="00DC3CE7" w:rsidTr="0062585B">
        <w:trPr>
          <w:trHeight w:val="255"/>
          <w:jc w:val="center"/>
        </w:trPr>
        <w:tc>
          <w:tcPr>
            <w:tcW w:w="7854" w:type="dxa"/>
            <w:tcBorders>
              <w:top w:val="single" w:sz="2" w:space="0" w:color="auto"/>
              <w:bottom w:val="single" w:sz="2" w:space="0" w:color="auto"/>
            </w:tcBorders>
            <w:shd w:val="clear" w:color="auto" w:fill="B8CCE4" w:themeFill="accent1" w:themeFillTint="66"/>
            <w:noWrap/>
            <w:vAlign w:val="center"/>
            <w:hideMark/>
          </w:tcPr>
          <w:p w:rsidR="00960563" w:rsidRPr="000A2B37" w:rsidRDefault="00960563" w:rsidP="00803A49">
            <w:pPr>
              <w:widowControl w:val="0"/>
              <w:spacing w:after="0"/>
              <w:ind w:firstLine="0"/>
              <w:jc w:val="left"/>
              <w:rPr>
                <w:rFonts w:ascii="Arial" w:hAnsi="Arial" w:cs="Arial"/>
                <w:color w:val="000000"/>
                <w:sz w:val="18"/>
                <w:szCs w:val="18"/>
                <w:lang w:eastAsia="es-ES"/>
              </w:rPr>
            </w:pPr>
            <w:r w:rsidRPr="000A2B37">
              <w:rPr>
                <w:rFonts w:ascii="Arial" w:hAnsi="Arial" w:cs="Arial"/>
                <w:color w:val="000000"/>
                <w:sz w:val="18"/>
                <w:szCs w:val="18"/>
                <w:lang w:eastAsia="es-ES"/>
              </w:rPr>
              <w:t>Total superficie ampliación</w:t>
            </w:r>
          </w:p>
        </w:tc>
        <w:tc>
          <w:tcPr>
            <w:tcW w:w="909" w:type="dxa"/>
            <w:tcBorders>
              <w:top w:val="single" w:sz="2" w:space="0" w:color="auto"/>
              <w:bottom w:val="single" w:sz="2" w:space="0" w:color="auto"/>
            </w:tcBorders>
            <w:shd w:val="clear" w:color="auto" w:fill="B8CCE4" w:themeFill="accent1" w:themeFillTint="66"/>
            <w:noWrap/>
            <w:vAlign w:val="center"/>
          </w:tcPr>
          <w:p w:rsidR="00960563" w:rsidRPr="000A2B37" w:rsidRDefault="00960563" w:rsidP="004D4827">
            <w:pPr>
              <w:widowControl w:val="0"/>
              <w:spacing w:after="0"/>
              <w:ind w:left="284" w:firstLine="0"/>
              <w:jc w:val="right"/>
              <w:rPr>
                <w:rFonts w:ascii="Arial" w:hAnsi="Arial" w:cs="Arial"/>
                <w:color w:val="000000"/>
                <w:sz w:val="18"/>
                <w:szCs w:val="18"/>
                <w:lang w:eastAsia="es-ES"/>
              </w:rPr>
            </w:pPr>
            <w:r>
              <w:rPr>
                <w:rFonts w:ascii="Arial" w:hAnsi="Arial" w:cs="Arial"/>
                <w:color w:val="000000"/>
                <w:sz w:val="18"/>
                <w:szCs w:val="18"/>
                <w:lang w:eastAsia="es-ES"/>
              </w:rPr>
              <w:t>382.738</w:t>
            </w:r>
          </w:p>
        </w:tc>
      </w:tr>
      <w:tr w:rsidR="00960563" w:rsidRPr="00DC3CE7" w:rsidTr="0062585B">
        <w:trPr>
          <w:trHeight w:val="255"/>
          <w:jc w:val="center"/>
        </w:trPr>
        <w:tc>
          <w:tcPr>
            <w:tcW w:w="7854" w:type="dxa"/>
            <w:tcBorders>
              <w:top w:val="single" w:sz="2" w:space="0" w:color="auto"/>
              <w:bottom w:val="single" w:sz="4" w:space="0" w:color="auto"/>
            </w:tcBorders>
            <w:shd w:val="clear" w:color="auto" w:fill="B8CCE4" w:themeFill="accent1" w:themeFillTint="66"/>
            <w:noWrap/>
            <w:vAlign w:val="center"/>
          </w:tcPr>
          <w:p w:rsidR="00960563" w:rsidRPr="000A2B37" w:rsidRDefault="00960563" w:rsidP="00803A49">
            <w:pPr>
              <w:widowControl w:val="0"/>
              <w:spacing w:after="0"/>
              <w:ind w:firstLine="0"/>
              <w:jc w:val="left"/>
              <w:rPr>
                <w:rFonts w:ascii="Arial" w:hAnsi="Arial" w:cs="Arial"/>
                <w:color w:val="000000"/>
                <w:sz w:val="18"/>
                <w:szCs w:val="18"/>
                <w:lang w:eastAsia="es-ES"/>
              </w:rPr>
            </w:pPr>
            <w:r w:rsidRPr="000A2B37">
              <w:rPr>
                <w:rFonts w:ascii="Arial" w:hAnsi="Arial" w:cs="Arial"/>
                <w:color w:val="000000"/>
                <w:sz w:val="18"/>
                <w:szCs w:val="18"/>
                <w:lang w:eastAsia="es-ES"/>
              </w:rPr>
              <w:t>Total superficie construida</w:t>
            </w:r>
          </w:p>
        </w:tc>
        <w:tc>
          <w:tcPr>
            <w:tcW w:w="909" w:type="dxa"/>
            <w:tcBorders>
              <w:top w:val="single" w:sz="2" w:space="0" w:color="auto"/>
              <w:bottom w:val="single" w:sz="4" w:space="0" w:color="auto"/>
            </w:tcBorders>
            <w:shd w:val="clear" w:color="auto" w:fill="B8CCE4" w:themeFill="accent1" w:themeFillTint="66"/>
            <w:noWrap/>
            <w:vAlign w:val="center"/>
          </w:tcPr>
          <w:p w:rsidR="00960563" w:rsidRPr="000A2B37" w:rsidRDefault="00960563" w:rsidP="004D4827">
            <w:pPr>
              <w:widowControl w:val="0"/>
              <w:spacing w:after="0"/>
              <w:ind w:left="284" w:firstLine="0"/>
              <w:jc w:val="right"/>
              <w:rPr>
                <w:rFonts w:ascii="Arial" w:hAnsi="Arial" w:cs="Arial"/>
                <w:color w:val="000000"/>
                <w:sz w:val="18"/>
                <w:szCs w:val="18"/>
                <w:lang w:eastAsia="es-ES"/>
              </w:rPr>
            </w:pPr>
            <w:r>
              <w:rPr>
                <w:rFonts w:ascii="Arial" w:hAnsi="Arial" w:cs="Arial"/>
                <w:color w:val="000000"/>
                <w:sz w:val="18"/>
                <w:szCs w:val="18"/>
                <w:lang w:eastAsia="es-ES"/>
              </w:rPr>
              <w:t>161.461</w:t>
            </w:r>
          </w:p>
        </w:tc>
      </w:tr>
    </w:tbl>
    <w:p w:rsidR="00530F50" w:rsidRPr="00DA68E2" w:rsidRDefault="00530F50" w:rsidP="00DA68E2">
      <w:pPr>
        <w:pStyle w:val="texto"/>
        <w:tabs>
          <w:tab w:val="clear" w:pos="2835"/>
          <w:tab w:val="clear" w:pos="3969"/>
          <w:tab w:val="clear" w:pos="5103"/>
          <w:tab w:val="clear" w:pos="6237"/>
          <w:tab w:val="clear" w:pos="7371"/>
        </w:tabs>
        <w:spacing w:before="120" w:after="120"/>
        <w:rPr>
          <w:spacing w:val="-4"/>
          <w:szCs w:val="26"/>
        </w:rPr>
      </w:pPr>
      <w:r w:rsidRPr="00DA68E2">
        <w:rPr>
          <w:spacing w:val="-4"/>
          <w:szCs w:val="26"/>
        </w:rPr>
        <w:t>De esta superficie, en torno al 31 por ciento está relacionada con la intermodalidad.</w:t>
      </w:r>
    </w:p>
    <w:p w:rsidR="001A3BC9" w:rsidRDefault="001A3BC9" w:rsidP="00530F50">
      <w:pPr>
        <w:pStyle w:val="texto"/>
        <w:tabs>
          <w:tab w:val="clear" w:pos="2835"/>
          <w:tab w:val="clear" w:pos="3969"/>
          <w:tab w:val="clear" w:pos="5103"/>
          <w:tab w:val="clear" w:pos="6237"/>
          <w:tab w:val="clear" w:pos="7371"/>
        </w:tabs>
        <w:rPr>
          <w:szCs w:val="26"/>
        </w:rPr>
      </w:pPr>
      <w:r>
        <w:rPr>
          <w:szCs w:val="26"/>
        </w:rPr>
        <w:t>El coste de la expropiación de los terrenos de la 4ª fase se estima en torno a los 25 millones de euros.</w:t>
      </w:r>
    </w:p>
    <w:p w:rsidR="00550133" w:rsidRPr="0062585B" w:rsidRDefault="00B91961" w:rsidP="00550133">
      <w:pPr>
        <w:pStyle w:val="texto"/>
        <w:tabs>
          <w:tab w:val="clear" w:pos="2835"/>
          <w:tab w:val="clear" w:pos="3969"/>
          <w:tab w:val="clear" w:pos="5103"/>
          <w:tab w:val="clear" w:pos="6237"/>
          <w:tab w:val="clear" w:pos="7371"/>
        </w:tabs>
        <w:rPr>
          <w:spacing w:val="0"/>
          <w:szCs w:val="26"/>
        </w:rPr>
      </w:pPr>
      <w:r w:rsidRPr="00BE57C3">
        <w:rPr>
          <w:b/>
          <w:szCs w:val="26"/>
        </w:rPr>
        <w:t>5</w:t>
      </w:r>
      <w:r w:rsidR="00E42E17" w:rsidRPr="00BE57C3">
        <w:rPr>
          <w:b/>
          <w:szCs w:val="26"/>
        </w:rPr>
        <w:t>1</w:t>
      </w:r>
      <w:r w:rsidR="00BE57C3" w:rsidRPr="00BE57C3">
        <w:rPr>
          <w:b/>
          <w:szCs w:val="26"/>
        </w:rPr>
        <w:t>.</w:t>
      </w:r>
      <w:r w:rsidR="00550133" w:rsidRPr="00BE57C3">
        <w:rPr>
          <w:b/>
          <w:szCs w:val="26"/>
        </w:rPr>
        <w:t>ª</w:t>
      </w:r>
      <w:r w:rsidR="00550133">
        <w:rPr>
          <w:szCs w:val="26"/>
        </w:rPr>
        <w:t xml:space="preserve"> </w:t>
      </w:r>
      <w:r w:rsidR="00550133" w:rsidRPr="0062585B">
        <w:rPr>
          <w:spacing w:val="0"/>
          <w:szCs w:val="26"/>
        </w:rPr>
        <w:t xml:space="preserve">Los estudios de viabilidad que se realizan posteriormente </w:t>
      </w:r>
      <w:r w:rsidR="0062585B" w:rsidRPr="0062585B">
        <w:rPr>
          <w:spacing w:val="0"/>
          <w:szCs w:val="26"/>
        </w:rPr>
        <w:t>–</w:t>
      </w:r>
      <w:r w:rsidR="00550133" w:rsidRPr="0062585B">
        <w:rPr>
          <w:spacing w:val="0"/>
          <w:szCs w:val="26"/>
        </w:rPr>
        <w:t>2010</w:t>
      </w:r>
      <w:r w:rsidR="0062585B" w:rsidRPr="0062585B">
        <w:rPr>
          <w:spacing w:val="0"/>
          <w:szCs w:val="26"/>
        </w:rPr>
        <w:t>–</w:t>
      </w:r>
      <w:r w:rsidR="00550133" w:rsidRPr="0062585B">
        <w:rPr>
          <w:spacing w:val="0"/>
          <w:szCs w:val="26"/>
        </w:rPr>
        <w:t xml:space="preserve"> descartan, a medio plazo, el acceso directo de la CT a la red ferroviaria, tanto por su elevado coste como por la imposibilidad de disponer en su ámbito físico de vías con long</w:t>
      </w:r>
      <w:r w:rsidR="00550133" w:rsidRPr="0062585B">
        <w:rPr>
          <w:spacing w:val="0"/>
          <w:szCs w:val="26"/>
        </w:rPr>
        <w:t>i</w:t>
      </w:r>
      <w:r w:rsidR="00550133" w:rsidRPr="0062585B">
        <w:rPr>
          <w:spacing w:val="0"/>
          <w:szCs w:val="26"/>
        </w:rPr>
        <w:t>tud superior a los 750</w:t>
      </w:r>
      <w:r w:rsidR="001920EE" w:rsidRPr="0062585B">
        <w:rPr>
          <w:spacing w:val="0"/>
          <w:szCs w:val="26"/>
        </w:rPr>
        <w:t xml:space="preserve"> </w:t>
      </w:r>
      <w:r w:rsidR="00550133" w:rsidRPr="0062585B">
        <w:rPr>
          <w:spacing w:val="0"/>
          <w:szCs w:val="26"/>
        </w:rPr>
        <w:t xml:space="preserve">m y la incertidumbre sobre </w:t>
      </w:r>
      <w:r w:rsidR="003D0A3F">
        <w:rPr>
          <w:spacing w:val="0"/>
          <w:szCs w:val="26"/>
        </w:rPr>
        <w:t xml:space="preserve">el </w:t>
      </w:r>
      <w:r w:rsidR="00550133" w:rsidRPr="0062585B">
        <w:rPr>
          <w:spacing w:val="0"/>
          <w:szCs w:val="26"/>
        </w:rPr>
        <w:t xml:space="preserve">volumen de la demanda real existente. </w:t>
      </w:r>
      <w:r w:rsidR="00960563" w:rsidRPr="0062585B">
        <w:rPr>
          <w:spacing w:val="0"/>
          <w:szCs w:val="26"/>
        </w:rPr>
        <w:t xml:space="preserve">El objetivo alternativo que se plantea es lograr la máxima </w:t>
      </w:r>
      <w:r w:rsidR="00E77745" w:rsidRPr="0062585B">
        <w:rPr>
          <w:spacing w:val="0"/>
          <w:szCs w:val="26"/>
        </w:rPr>
        <w:t>complement</w:t>
      </w:r>
      <w:r w:rsidR="00E77745" w:rsidRPr="0062585B">
        <w:rPr>
          <w:spacing w:val="0"/>
          <w:szCs w:val="26"/>
        </w:rPr>
        <w:t>a</w:t>
      </w:r>
      <w:r w:rsidR="00E77745" w:rsidRPr="0062585B">
        <w:rPr>
          <w:spacing w:val="0"/>
          <w:szCs w:val="26"/>
        </w:rPr>
        <w:t>riedad</w:t>
      </w:r>
      <w:r w:rsidR="00960563" w:rsidRPr="0062585B">
        <w:rPr>
          <w:spacing w:val="0"/>
          <w:szCs w:val="26"/>
        </w:rPr>
        <w:t xml:space="preserve"> entre la Ciudad del Transporte y el Centro Logístico de Noáin (RENFE).</w:t>
      </w:r>
    </w:p>
    <w:p w:rsidR="00723779" w:rsidRDefault="00B56BB6" w:rsidP="00550133">
      <w:pPr>
        <w:pStyle w:val="texto"/>
        <w:tabs>
          <w:tab w:val="clear" w:pos="2835"/>
          <w:tab w:val="clear" w:pos="3969"/>
          <w:tab w:val="clear" w:pos="5103"/>
          <w:tab w:val="clear" w:pos="6237"/>
          <w:tab w:val="clear" w:pos="7371"/>
        </w:tabs>
        <w:rPr>
          <w:szCs w:val="26"/>
        </w:rPr>
      </w:pPr>
      <w:r w:rsidRPr="00BE57C3">
        <w:rPr>
          <w:b/>
          <w:szCs w:val="26"/>
        </w:rPr>
        <w:t>5</w:t>
      </w:r>
      <w:r w:rsidR="00E42E17" w:rsidRPr="00BE57C3">
        <w:rPr>
          <w:b/>
          <w:szCs w:val="26"/>
        </w:rPr>
        <w:t>2</w:t>
      </w:r>
      <w:r w:rsidR="00BE57C3" w:rsidRPr="00BE57C3">
        <w:rPr>
          <w:b/>
          <w:szCs w:val="26"/>
        </w:rPr>
        <w:t>.</w:t>
      </w:r>
      <w:r w:rsidR="004716E1" w:rsidRPr="00BE57C3">
        <w:rPr>
          <w:b/>
          <w:szCs w:val="26"/>
        </w:rPr>
        <w:t>ª</w:t>
      </w:r>
      <w:r w:rsidR="00550133">
        <w:rPr>
          <w:szCs w:val="26"/>
        </w:rPr>
        <w:t xml:space="preserve"> Actualmente</w:t>
      </w:r>
      <w:r w:rsidR="00723779">
        <w:rPr>
          <w:szCs w:val="26"/>
        </w:rPr>
        <w:t>,</w:t>
      </w:r>
      <w:r w:rsidR="00530F50">
        <w:rPr>
          <w:szCs w:val="26"/>
        </w:rPr>
        <w:t xml:space="preserve"> y de acuerdo con el citado estudio de viabilidad,</w:t>
      </w:r>
      <w:r w:rsidR="00723779">
        <w:rPr>
          <w:szCs w:val="26"/>
        </w:rPr>
        <w:t xml:space="preserve"> Nasuvi</w:t>
      </w:r>
      <w:r w:rsidR="00723779">
        <w:rPr>
          <w:szCs w:val="26"/>
        </w:rPr>
        <w:t>n</w:t>
      </w:r>
      <w:r w:rsidR="00723779">
        <w:rPr>
          <w:szCs w:val="26"/>
        </w:rPr>
        <w:t>sa está</w:t>
      </w:r>
      <w:r w:rsidR="00550133">
        <w:rPr>
          <w:szCs w:val="26"/>
        </w:rPr>
        <w:t xml:space="preserve"> plantea</w:t>
      </w:r>
      <w:r w:rsidR="00723779">
        <w:rPr>
          <w:szCs w:val="26"/>
        </w:rPr>
        <w:t>ndo</w:t>
      </w:r>
      <w:r w:rsidR="00550133">
        <w:rPr>
          <w:szCs w:val="26"/>
        </w:rPr>
        <w:t xml:space="preserve"> una nueva modificación del PSIS</w:t>
      </w:r>
      <w:r w:rsidR="00723779">
        <w:rPr>
          <w:szCs w:val="26"/>
        </w:rPr>
        <w:t xml:space="preserve"> de la ampliación</w:t>
      </w:r>
      <w:r w:rsidR="003D72C7">
        <w:rPr>
          <w:szCs w:val="26"/>
        </w:rPr>
        <w:t xml:space="preserve"> </w:t>
      </w:r>
      <w:r w:rsidR="005A773A">
        <w:rPr>
          <w:szCs w:val="26"/>
        </w:rPr>
        <w:t>que</w:t>
      </w:r>
      <w:r w:rsidR="003D0A3F">
        <w:rPr>
          <w:szCs w:val="26"/>
        </w:rPr>
        <w:t xml:space="preserve"> fue</w:t>
      </w:r>
      <w:r w:rsidR="003D72C7">
        <w:rPr>
          <w:szCs w:val="26"/>
        </w:rPr>
        <w:t xml:space="preserve"> </w:t>
      </w:r>
      <w:r w:rsidR="00723779">
        <w:rPr>
          <w:szCs w:val="26"/>
        </w:rPr>
        <w:t>presentad</w:t>
      </w:r>
      <w:r w:rsidR="003D0A3F">
        <w:rPr>
          <w:szCs w:val="26"/>
        </w:rPr>
        <w:t>a</w:t>
      </w:r>
      <w:r w:rsidR="00723779">
        <w:rPr>
          <w:szCs w:val="26"/>
        </w:rPr>
        <w:t xml:space="preserve"> por el Gobierno de Navarra en septiembre de 2017</w:t>
      </w:r>
      <w:r w:rsidR="003D72C7">
        <w:rPr>
          <w:szCs w:val="26"/>
        </w:rPr>
        <w:t xml:space="preserve">. En </w:t>
      </w:r>
      <w:r w:rsidR="003D0A3F">
        <w:rPr>
          <w:szCs w:val="26"/>
        </w:rPr>
        <w:t>dicha mod</w:t>
      </w:r>
      <w:r w:rsidR="003D0A3F">
        <w:rPr>
          <w:szCs w:val="26"/>
        </w:rPr>
        <w:t>i</w:t>
      </w:r>
      <w:r w:rsidR="003D0A3F">
        <w:rPr>
          <w:szCs w:val="26"/>
        </w:rPr>
        <w:t>ficación</w:t>
      </w:r>
      <w:r w:rsidR="00B7188C">
        <w:rPr>
          <w:szCs w:val="26"/>
        </w:rPr>
        <w:t xml:space="preserve"> se contempla</w:t>
      </w:r>
      <w:r w:rsidR="00723779">
        <w:rPr>
          <w:szCs w:val="26"/>
        </w:rPr>
        <w:t xml:space="preserve"> un cambio de usos del terreno afectado –se ampl</w:t>
      </w:r>
      <w:r w:rsidR="00EF0368">
        <w:rPr>
          <w:szCs w:val="26"/>
        </w:rPr>
        <w:t>ía</w:t>
      </w:r>
      <w:r w:rsidR="00723779">
        <w:rPr>
          <w:szCs w:val="26"/>
        </w:rPr>
        <w:t>, ad</w:t>
      </w:r>
      <w:r w:rsidR="00723779">
        <w:rPr>
          <w:szCs w:val="26"/>
        </w:rPr>
        <w:t>e</w:t>
      </w:r>
      <w:r w:rsidR="00723779">
        <w:rPr>
          <w:szCs w:val="26"/>
        </w:rPr>
        <w:t>más de los propios del transporte y logística, a cualquier uso industrial</w:t>
      </w:r>
      <w:r w:rsidR="00803A49">
        <w:rPr>
          <w:szCs w:val="26"/>
        </w:rPr>
        <w:t>–</w:t>
      </w:r>
      <w:r w:rsidR="00530F50">
        <w:rPr>
          <w:szCs w:val="26"/>
        </w:rPr>
        <w:t xml:space="preserve">, </w:t>
      </w:r>
      <w:r w:rsidR="00723779">
        <w:rPr>
          <w:szCs w:val="26"/>
        </w:rPr>
        <w:t>as</w:t>
      </w:r>
      <w:r w:rsidR="00723779">
        <w:rPr>
          <w:szCs w:val="26"/>
        </w:rPr>
        <w:t>u</w:t>
      </w:r>
      <w:r w:rsidR="00723779">
        <w:rPr>
          <w:szCs w:val="26"/>
        </w:rPr>
        <w:t>m</w:t>
      </w:r>
      <w:r w:rsidR="00530F50">
        <w:rPr>
          <w:szCs w:val="26"/>
        </w:rPr>
        <w:t>iendo Nasuvinsa</w:t>
      </w:r>
      <w:r w:rsidR="00723779">
        <w:rPr>
          <w:szCs w:val="26"/>
        </w:rPr>
        <w:t xml:space="preserve"> directamente las obras de urban</w:t>
      </w:r>
      <w:r w:rsidR="00530F50">
        <w:rPr>
          <w:szCs w:val="26"/>
        </w:rPr>
        <w:t>ización y la co</w:t>
      </w:r>
      <w:r w:rsidR="00723779">
        <w:rPr>
          <w:szCs w:val="26"/>
        </w:rPr>
        <w:t>m</w:t>
      </w:r>
      <w:r w:rsidR="00530F50">
        <w:rPr>
          <w:szCs w:val="26"/>
        </w:rPr>
        <w:t>e</w:t>
      </w:r>
      <w:r w:rsidR="00723779">
        <w:rPr>
          <w:szCs w:val="26"/>
        </w:rPr>
        <w:t>rcialización del suelo.</w:t>
      </w:r>
      <w:r w:rsidR="002C4927">
        <w:rPr>
          <w:szCs w:val="26"/>
        </w:rPr>
        <w:t xml:space="preserve"> La sociedad Nasunvinsa conserva el 100 por cien de los terrenos.</w:t>
      </w:r>
    </w:p>
    <w:p w:rsidR="005C6B99" w:rsidRPr="00A21E93" w:rsidRDefault="006E4420" w:rsidP="00803A49">
      <w:pPr>
        <w:pStyle w:val="texto"/>
        <w:tabs>
          <w:tab w:val="clear" w:pos="2835"/>
          <w:tab w:val="clear" w:pos="3969"/>
          <w:tab w:val="clear" w:pos="5103"/>
          <w:tab w:val="clear" w:pos="6237"/>
          <w:tab w:val="clear" w:pos="7371"/>
        </w:tabs>
        <w:spacing w:after="240"/>
        <w:rPr>
          <w:szCs w:val="26"/>
        </w:rPr>
      </w:pPr>
      <w:r w:rsidRPr="00BE57C3">
        <w:rPr>
          <w:b/>
          <w:szCs w:val="26"/>
        </w:rPr>
        <w:t>5</w:t>
      </w:r>
      <w:r w:rsidR="00E42E17" w:rsidRPr="00BE57C3">
        <w:rPr>
          <w:b/>
          <w:szCs w:val="26"/>
        </w:rPr>
        <w:t>3</w:t>
      </w:r>
      <w:r w:rsidR="00BE57C3" w:rsidRPr="00BE57C3">
        <w:rPr>
          <w:b/>
          <w:szCs w:val="26"/>
        </w:rPr>
        <w:t>.</w:t>
      </w:r>
      <w:r w:rsidR="00723779" w:rsidRPr="00BE57C3">
        <w:rPr>
          <w:b/>
          <w:szCs w:val="26"/>
        </w:rPr>
        <w:t>ª</w:t>
      </w:r>
      <w:r w:rsidR="00723779" w:rsidRPr="00A21E93">
        <w:rPr>
          <w:szCs w:val="26"/>
        </w:rPr>
        <w:t xml:space="preserve"> A 31 de diciembre de 2017, Nasuvinsa ha invertido un total de </w:t>
      </w:r>
      <w:r w:rsidR="00A21E93" w:rsidRPr="00A21E93">
        <w:rPr>
          <w:szCs w:val="26"/>
        </w:rPr>
        <w:t>185.293 euros</w:t>
      </w:r>
      <w:r w:rsidR="00723779" w:rsidRPr="00A21E93">
        <w:rPr>
          <w:szCs w:val="26"/>
        </w:rPr>
        <w:t xml:space="preserve"> en tales obras de urbanización</w:t>
      </w:r>
      <w:r w:rsidR="00A21E93" w:rsidRPr="00A21E93">
        <w:rPr>
          <w:szCs w:val="26"/>
        </w:rPr>
        <w:t>, fundamentalmente en actuaciones de e</w:t>
      </w:r>
      <w:r w:rsidR="00A21E93" w:rsidRPr="00A21E93">
        <w:rPr>
          <w:szCs w:val="26"/>
        </w:rPr>
        <w:t>x</w:t>
      </w:r>
      <w:r w:rsidR="00A21E93" w:rsidRPr="00A21E93">
        <w:rPr>
          <w:szCs w:val="26"/>
        </w:rPr>
        <w:t>planación del terreno.</w:t>
      </w:r>
    </w:p>
    <w:p w:rsidR="00F61F33" w:rsidRDefault="00F61F33" w:rsidP="00256E83">
      <w:pPr>
        <w:pStyle w:val="atitulo2"/>
      </w:pPr>
      <w:bookmarkStart w:id="46" w:name="_Toc515531878"/>
      <w:r>
        <w:t>IV.9. Nivel de ocupación de la C</w:t>
      </w:r>
      <w:r w:rsidR="009C7803">
        <w:t>iudad del Transporte</w:t>
      </w:r>
      <w:bookmarkEnd w:id="46"/>
    </w:p>
    <w:p w:rsidR="003F5FC2" w:rsidRPr="00181EF1" w:rsidRDefault="006E4420" w:rsidP="00F61F33">
      <w:pPr>
        <w:pStyle w:val="texto"/>
        <w:tabs>
          <w:tab w:val="clear" w:pos="2835"/>
          <w:tab w:val="clear" w:pos="3969"/>
          <w:tab w:val="clear" w:pos="5103"/>
          <w:tab w:val="clear" w:pos="6237"/>
          <w:tab w:val="clear" w:pos="7371"/>
        </w:tabs>
        <w:rPr>
          <w:szCs w:val="26"/>
        </w:rPr>
      </w:pPr>
      <w:r w:rsidRPr="00BE57C3">
        <w:rPr>
          <w:b/>
          <w:szCs w:val="26"/>
        </w:rPr>
        <w:t>5</w:t>
      </w:r>
      <w:r w:rsidR="00E42E17" w:rsidRPr="00BE57C3">
        <w:rPr>
          <w:b/>
          <w:szCs w:val="26"/>
        </w:rPr>
        <w:t>4</w:t>
      </w:r>
      <w:r w:rsidR="00BE57C3" w:rsidRPr="00BE57C3">
        <w:rPr>
          <w:b/>
          <w:szCs w:val="26"/>
        </w:rPr>
        <w:t>.</w:t>
      </w:r>
      <w:r w:rsidR="001D778E" w:rsidRPr="00BE57C3">
        <w:rPr>
          <w:b/>
          <w:szCs w:val="26"/>
        </w:rPr>
        <w:t>ª</w:t>
      </w:r>
      <w:r w:rsidR="001D778E">
        <w:rPr>
          <w:szCs w:val="26"/>
        </w:rPr>
        <w:t xml:space="preserve"> La</w:t>
      </w:r>
      <w:r w:rsidR="00F61F33" w:rsidRPr="00F61F33">
        <w:rPr>
          <w:szCs w:val="26"/>
        </w:rPr>
        <w:t xml:space="preserve"> 1ª y 2ª fase de la C</w:t>
      </w:r>
      <w:r w:rsidR="009C7803">
        <w:rPr>
          <w:szCs w:val="26"/>
        </w:rPr>
        <w:t>T</w:t>
      </w:r>
      <w:r w:rsidR="00730B74">
        <w:rPr>
          <w:szCs w:val="26"/>
        </w:rPr>
        <w:t xml:space="preserve"> están </w:t>
      </w:r>
      <w:r w:rsidR="00A21E93">
        <w:rPr>
          <w:szCs w:val="26"/>
        </w:rPr>
        <w:t>ocupadas en su totalidad.</w:t>
      </w:r>
      <w:r w:rsidR="003F5FC2">
        <w:rPr>
          <w:color w:val="FF0000"/>
          <w:szCs w:val="26"/>
        </w:rPr>
        <w:t xml:space="preserve"> </w:t>
      </w:r>
      <w:r w:rsidR="003F5FC2" w:rsidRPr="00181EF1">
        <w:rPr>
          <w:szCs w:val="26"/>
        </w:rPr>
        <w:t>Como concl</w:t>
      </w:r>
      <w:r w:rsidR="003F5FC2" w:rsidRPr="00181EF1">
        <w:rPr>
          <w:szCs w:val="26"/>
        </w:rPr>
        <w:t>u</w:t>
      </w:r>
      <w:r w:rsidR="003F5FC2" w:rsidRPr="00181EF1">
        <w:rPr>
          <w:szCs w:val="26"/>
        </w:rPr>
        <w:t>sión</w:t>
      </w:r>
      <w:r w:rsidR="00181EF1">
        <w:rPr>
          <w:szCs w:val="26"/>
        </w:rPr>
        <w:t>,</w:t>
      </w:r>
      <w:r w:rsidR="003F5FC2" w:rsidRPr="00181EF1">
        <w:rPr>
          <w:szCs w:val="26"/>
        </w:rPr>
        <w:t xml:space="preserve"> podemos afirmar que estas dos fases resultaron un éxito comercial desde el punto de vista de ocupación para servicios relacionados con el transporte y su logística.</w:t>
      </w:r>
    </w:p>
    <w:p w:rsidR="003F5FC2" w:rsidRDefault="006E4420" w:rsidP="00410583">
      <w:pPr>
        <w:pStyle w:val="texto"/>
        <w:tabs>
          <w:tab w:val="clear" w:pos="2835"/>
          <w:tab w:val="clear" w:pos="3969"/>
          <w:tab w:val="clear" w:pos="5103"/>
          <w:tab w:val="clear" w:pos="6237"/>
          <w:tab w:val="clear" w:pos="7371"/>
        </w:tabs>
        <w:rPr>
          <w:szCs w:val="26"/>
        </w:rPr>
      </w:pPr>
      <w:r w:rsidRPr="00BE57C3">
        <w:rPr>
          <w:b/>
          <w:szCs w:val="26"/>
        </w:rPr>
        <w:t>5</w:t>
      </w:r>
      <w:r w:rsidR="00E42E17" w:rsidRPr="00BE57C3">
        <w:rPr>
          <w:b/>
          <w:szCs w:val="26"/>
        </w:rPr>
        <w:t>5</w:t>
      </w:r>
      <w:r w:rsidR="00BE57C3" w:rsidRPr="00BE57C3">
        <w:rPr>
          <w:b/>
          <w:szCs w:val="26"/>
        </w:rPr>
        <w:t>.</w:t>
      </w:r>
      <w:r w:rsidR="003F5FC2" w:rsidRPr="00BE57C3">
        <w:rPr>
          <w:b/>
          <w:szCs w:val="26"/>
        </w:rPr>
        <w:t>ª</w:t>
      </w:r>
      <w:r w:rsidR="00410583">
        <w:rPr>
          <w:szCs w:val="26"/>
        </w:rPr>
        <w:t xml:space="preserve"> El </w:t>
      </w:r>
      <w:r w:rsidR="003F5FC2">
        <w:rPr>
          <w:szCs w:val="26"/>
        </w:rPr>
        <w:t xml:space="preserve">inicio del </w:t>
      </w:r>
      <w:r w:rsidR="00410583">
        <w:rPr>
          <w:szCs w:val="26"/>
        </w:rPr>
        <w:t>desarrollo de la ampliaci</w:t>
      </w:r>
      <w:r w:rsidR="003F5FC2">
        <w:rPr>
          <w:szCs w:val="26"/>
        </w:rPr>
        <w:t xml:space="preserve">ón de la CT </w:t>
      </w:r>
      <w:r w:rsidR="00DA68E2">
        <w:rPr>
          <w:szCs w:val="26"/>
        </w:rPr>
        <w:t>–</w:t>
      </w:r>
      <w:r w:rsidR="003F5FC2">
        <w:rPr>
          <w:szCs w:val="26"/>
        </w:rPr>
        <w:t>centrado fundame</w:t>
      </w:r>
      <w:r w:rsidR="003F5FC2">
        <w:rPr>
          <w:szCs w:val="26"/>
        </w:rPr>
        <w:t>n</w:t>
      </w:r>
      <w:r w:rsidR="003F5FC2">
        <w:rPr>
          <w:szCs w:val="26"/>
        </w:rPr>
        <w:t>talmente en la 3ª fase</w:t>
      </w:r>
      <w:r w:rsidR="00DA68E2">
        <w:rPr>
          <w:szCs w:val="26"/>
        </w:rPr>
        <w:t>–</w:t>
      </w:r>
      <w:r w:rsidR="003F5FC2">
        <w:rPr>
          <w:szCs w:val="26"/>
        </w:rPr>
        <w:t xml:space="preserve"> coincide con la crisis económica</w:t>
      </w:r>
      <w:r w:rsidR="003D0A3F">
        <w:rPr>
          <w:szCs w:val="26"/>
        </w:rPr>
        <w:t>,</w:t>
      </w:r>
      <w:r w:rsidR="003F5FC2">
        <w:rPr>
          <w:szCs w:val="26"/>
        </w:rPr>
        <w:t xml:space="preserve"> lo que afecta muy d</w:t>
      </w:r>
      <w:r w:rsidR="003F5FC2">
        <w:rPr>
          <w:szCs w:val="26"/>
        </w:rPr>
        <w:t>i</w:t>
      </w:r>
      <w:r w:rsidR="00CD05A4">
        <w:rPr>
          <w:szCs w:val="26"/>
        </w:rPr>
        <w:t>rectamente a su ocupación</w:t>
      </w:r>
      <w:r w:rsidR="000C7B98">
        <w:rPr>
          <w:szCs w:val="26"/>
        </w:rPr>
        <w:t xml:space="preserve"> </w:t>
      </w:r>
      <w:r w:rsidR="00CD05A4">
        <w:rPr>
          <w:szCs w:val="26"/>
        </w:rPr>
        <w:t>ante</w:t>
      </w:r>
      <w:r w:rsidR="000C7B98">
        <w:rPr>
          <w:szCs w:val="26"/>
        </w:rPr>
        <w:t xml:space="preserve"> la reducción relevante </w:t>
      </w:r>
      <w:r w:rsidR="00CD05A4">
        <w:rPr>
          <w:szCs w:val="26"/>
        </w:rPr>
        <w:t>de la</w:t>
      </w:r>
      <w:r w:rsidR="000C7B98">
        <w:rPr>
          <w:szCs w:val="26"/>
        </w:rPr>
        <w:t xml:space="preserve"> demanda</w:t>
      </w:r>
      <w:r w:rsidR="003F5FC2">
        <w:rPr>
          <w:szCs w:val="26"/>
        </w:rPr>
        <w:t>.</w:t>
      </w:r>
    </w:p>
    <w:p w:rsidR="003F5FC2" w:rsidRDefault="003F5FC2" w:rsidP="00F61F33">
      <w:pPr>
        <w:pStyle w:val="texto"/>
        <w:tabs>
          <w:tab w:val="clear" w:pos="2835"/>
          <w:tab w:val="clear" w:pos="3969"/>
          <w:tab w:val="clear" w:pos="5103"/>
          <w:tab w:val="clear" w:pos="6237"/>
          <w:tab w:val="clear" w:pos="7371"/>
        </w:tabs>
        <w:rPr>
          <w:szCs w:val="26"/>
        </w:rPr>
      </w:pPr>
      <w:r w:rsidRPr="00647BAD">
        <w:rPr>
          <w:szCs w:val="26"/>
        </w:rPr>
        <w:t>Resultado de ello, el</w:t>
      </w:r>
      <w:r w:rsidR="00F61F33" w:rsidRPr="00647BAD">
        <w:rPr>
          <w:szCs w:val="26"/>
        </w:rPr>
        <w:t xml:space="preserve"> nivel de ocupación</w:t>
      </w:r>
      <w:r w:rsidRPr="00647BAD">
        <w:rPr>
          <w:szCs w:val="26"/>
        </w:rPr>
        <w:t xml:space="preserve"> de esta 3ª fase</w:t>
      </w:r>
      <w:r w:rsidR="00F61F33" w:rsidRPr="00647BAD">
        <w:rPr>
          <w:szCs w:val="26"/>
        </w:rPr>
        <w:t xml:space="preserve"> está en torno al </w:t>
      </w:r>
      <w:r w:rsidR="00647BAD" w:rsidRPr="00647BAD">
        <w:rPr>
          <w:szCs w:val="26"/>
        </w:rPr>
        <w:t>54</w:t>
      </w:r>
      <w:r w:rsidR="00F61F33" w:rsidRPr="00647BAD">
        <w:rPr>
          <w:szCs w:val="26"/>
        </w:rPr>
        <w:t xml:space="preserve"> por ciento</w:t>
      </w:r>
      <w:r w:rsidRPr="00647BAD">
        <w:rPr>
          <w:szCs w:val="26"/>
        </w:rPr>
        <w:t>, conservando</w:t>
      </w:r>
      <w:r w:rsidR="009975EB" w:rsidRPr="00647BAD">
        <w:rPr>
          <w:szCs w:val="26"/>
        </w:rPr>
        <w:t xml:space="preserve"> actualmente </w:t>
      </w:r>
      <w:r w:rsidRPr="00647BAD">
        <w:rPr>
          <w:szCs w:val="26"/>
        </w:rPr>
        <w:t xml:space="preserve">Nasuvinsa el </w:t>
      </w:r>
      <w:r w:rsidR="00647BAD" w:rsidRPr="00647BAD">
        <w:rPr>
          <w:szCs w:val="26"/>
        </w:rPr>
        <w:t>46</w:t>
      </w:r>
      <w:r w:rsidRPr="00647BAD">
        <w:rPr>
          <w:szCs w:val="26"/>
        </w:rPr>
        <w:t xml:space="preserve"> por ciento de los terrenos.</w:t>
      </w:r>
      <w:r w:rsidR="00F61F33" w:rsidRPr="00647BAD">
        <w:rPr>
          <w:szCs w:val="26"/>
        </w:rPr>
        <w:t xml:space="preserve"> </w:t>
      </w:r>
    </w:p>
    <w:p w:rsidR="00F61F33" w:rsidRDefault="00F61F33" w:rsidP="00F61F33">
      <w:pPr>
        <w:pStyle w:val="texto"/>
        <w:tabs>
          <w:tab w:val="clear" w:pos="2835"/>
          <w:tab w:val="clear" w:pos="3969"/>
          <w:tab w:val="clear" w:pos="5103"/>
          <w:tab w:val="clear" w:pos="6237"/>
          <w:tab w:val="clear" w:pos="7371"/>
        </w:tabs>
        <w:rPr>
          <w:szCs w:val="26"/>
        </w:rPr>
      </w:pPr>
      <w:r>
        <w:rPr>
          <w:szCs w:val="26"/>
        </w:rPr>
        <w:t>La fase 4ª se encuentra aún en fase de configuración</w:t>
      </w:r>
      <w:r w:rsidR="00361B67">
        <w:rPr>
          <w:szCs w:val="26"/>
        </w:rPr>
        <w:t xml:space="preserve"> y diseño</w:t>
      </w:r>
      <w:r>
        <w:rPr>
          <w:szCs w:val="26"/>
        </w:rPr>
        <w:t xml:space="preserve"> definitiv</w:t>
      </w:r>
      <w:r w:rsidR="00751F01">
        <w:rPr>
          <w:szCs w:val="26"/>
        </w:rPr>
        <w:t xml:space="preserve">o. Destacamos que estos terrenos son uno de los analizados y </w:t>
      </w:r>
      <w:r w:rsidR="007B3902">
        <w:rPr>
          <w:szCs w:val="26"/>
        </w:rPr>
        <w:t xml:space="preserve">mejor </w:t>
      </w:r>
      <w:r w:rsidR="00751F01">
        <w:rPr>
          <w:szCs w:val="26"/>
        </w:rPr>
        <w:t>valorados p</w:t>
      </w:r>
      <w:r w:rsidR="00751F01">
        <w:rPr>
          <w:szCs w:val="26"/>
        </w:rPr>
        <w:t>a</w:t>
      </w:r>
      <w:r w:rsidR="00751F01">
        <w:rPr>
          <w:szCs w:val="26"/>
        </w:rPr>
        <w:t xml:space="preserve">ra la </w:t>
      </w:r>
      <w:r w:rsidR="00996993">
        <w:rPr>
          <w:szCs w:val="26"/>
        </w:rPr>
        <w:t xml:space="preserve">posible </w:t>
      </w:r>
      <w:r w:rsidR="00751F01">
        <w:rPr>
          <w:szCs w:val="26"/>
        </w:rPr>
        <w:t>instalación</w:t>
      </w:r>
      <w:r w:rsidR="007B3902">
        <w:rPr>
          <w:szCs w:val="26"/>
        </w:rPr>
        <w:t xml:space="preserve"> de una planta de tratamiento de residuos orgánicos</w:t>
      </w:r>
      <w:r w:rsidR="00E86B32">
        <w:rPr>
          <w:szCs w:val="26"/>
        </w:rPr>
        <w:t xml:space="preserve"> y envases</w:t>
      </w:r>
      <w:r w:rsidR="007B3902">
        <w:rPr>
          <w:szCs w:val="26"/>
        </w:rPr>
        <w:t xml:space="preserve"> por la Mancomunidad de la Comarca de Pamplona.</w:t>
      </w:r>
      <w:r w:rsidR="00751F01">
        <w:rPr>
          <w:szCs w:val="26"/>
        </w:rPr>
        <w:t xml:space="preserve"> </w:t>
      </w:r>
    </w:p>
    <w:p w:rsidR="004B5EA5" w:rsidRPr="009975EB" w:rsidRDefault="004B5EA5" w:rsidP="004B5EA5">
      <w:pPr>
        <w:pStyle w:val="texto"/>
        <w:tabs>
          <w:tab w:val="clear" w:pos="2835"/>
          <w:tab w:val="clear" w:pos="3969"/>
          <w:tab w:val="clear" w:pos="5103"/>
          <w:tab w:val="clear" w:pos="6237"/>
          <w:tab w:val="clear" w:pos="7371"/>
        </w:tabs>
        <w:rPr>
          <w:szCs w:val="26"/>
        </w:rPr>
      </w:pPr>
      <w:r w:rsidRPr="00BE57C3">
        <w:rPr>
          <w:b/>
          <w:szCs w:val="26"/>
        </w:rPr>
        <w:t>5</w:t>
      </w:r>
      <w:r w:rsidR="00E42E17" w:rsidRPr="00BE57C3">
        <w:rPr>
          <w:b/>
          <w:szCs w:val="26"/>
        </w:rPr>
        <w:t>6</w:t>
      </w:r>
      <w:r w:rsidR="00BE57C3" w:rsidRPr="00BE57C3">
        <w:rPr>
          <w:b/>
          <w:szCs w:val="26"/>
        </w:rPr>
        <w:t>.</w:t>
      </w:r>
      <w:r w:rsidRPr="00BE57C3">
        <w:rPr>
          <w:b/>
          <w:szCs w:val="26"/>
        </w:rPr>
        <w:t>ª</w:t>
      </w:r>
      <w:r>
        <w:rPr>
          <w:szCs w:val="26"/>
        </w:rPr>
        <w:t xml:space="preserve"> </w:t>
      </w:r>
      <w:r w:rsidR="00730B74">
        <w:rPr>
          <w:szCs w:val="26"/>
        </w:rPr>
        <w:t>De los cuatro</w:t>
      </w:r>
      <w:r w:rsidRPr="009975EB">
        <w:rPr>
          <w:szCs w:val="26"/>
        </w:rPr>
        <w:t xml:space="preserve"> edificios que se dotaron para servicios complementarios –oficinas</w:t>
      </w:r>
      <w:r w:rsidR="00DA68E2">
        <w:rPr>
          <w:szCs w:val="26"/>
        </w:rPr>
        <w:t>–</w:t>
      </w:r>
      <w:r w:rsidR="00730B74">
        <w:rPr>
          <w:szCs w:val="26"/>
        </w:rPr>
        <w:t>, tres están</w:t>
      </w:r>
      <w:r w:rsidRPr="009975EB">
        <w:rPr>
          <w:szCs w:val="26"/>
        </w:rPr>
        <w:t xml:space="preserve"> actualmente sin uso</w:t>
      </w:r>
      <w:r w:rsidR="00730B74">
        <w:rPr>
          <w:szCs w:val="26"/>
        </w:rPr>
        <w:t xml:space="preserve"> y uno ocupado al 50 por ciento.</w:t>
      </w:r>
    </w:p>
    <w:p w:rsidR="004B5EA5" w:rsidRDefault="004B5EA5" w:rsidP="004B5EA5">
      <w:pPr>
        <w:pStyle w:val="texto"/>
        <w:tabs>
          <w:tab w:val="clear" w:pos="2835"/>
          <w:tab w:val="clear" w:pos="3969"/>
          <w:tab w:val="clear" w:pos="5103"/>
          <w:tab w:val="clear" w:pos="6237"/>
          <w:tab w:val="clear" w:pos="7371"/>
        </w:tabs>
        <w:rPr>
          <w:szCs w:val="26"/>
        </w:rPr>
      </w:pPr>
      <w:r>
        <w:rPr>
          <w:szCs w:val="26"/>
        </w:rPr>
        <w:t>Destacamos igualmente la relevancia del aparcamiento de vehículos pesados y mercancías peligrosas con una extensión de 54.700 m</w:t>
      </w:r>
      <w:r w:rsidRPr="00953732">
        <w:rPr>
          <w:szCs w:val="26"/>
          <w:vertAlign w:val="superscript"/>
        </w:rPr>
        <w:t>2</w:t>
      </w:r>
      <w:r>
        <w:rPr>
          <w:szCs w:val="26"/>
        </w:rPr>
        <w:t xml:space="preserve"> –que afecta tanto a la 1ª como a la 3ª fase– y con un total de 475 plazas.</w:t>
      </w:r>
    </w:p>
    <w:p w:rsidR="00700BE1" w:rsidRDefault="006E4420" w:rsidP="000E5A01">
      <w:pPr>
        <w:pStyle w:val="texto"/>
        <w:tabs>
          <w:tab w:val="clear" w:pos="2835"/>
          <w:tab w:val="clear" w:pos="3969"/>
          <w:tab w:val="clear" w:pos="5103"/>
          <w:tab w:val="clear" w:pos="6237"/>
          <w:tab w:val="clear" w:pos="7371"/>
        </w:tabs>
        <w:rPr>
          <w:rFonts w:ascii="Arial" w:hAnsi="Arial"/>
          <w:bCs/>
          <w:iCs/>
          <w:color w:val="000000"/>
          <w:spacing w:val="10"/>
          <w:kern w:val="28"/>
          <w:sz w:val="25"/>
          <w:szCs w:val="26"/>
        </w:rPr>
      </w:pPr>
      <w:r w:rsidRPr="00BE57C3">
        <w:rPr>
          <w:b/>
          <w:szCs w:val="26"/>
        </w:rPr>
        <w:t>5</w:t>
      </w:r>
      <w:r w:rsidR="00E42E17" w:rsidRPr="00BE57C3">
        <w:rPr>
          <w:b/>
          <w:szCs w:val="26"/>
        </w:rPr>
        <w:t>7</w:t>
      </w:r>
      <w:r w:rsidR="00BE57C3" w:rsidRPr="00BE57C3">
        <w:rPr>
          <w:b/>
          <w:szCs w:val="26"/>
        </w:rPr>
        <w:t>.</w:t>
      </w:r>
      <w:r w:rsidR="00F61F33" w:rsidRPr="00BE57C3">
        <w:rPr>
          <w:b/>
          <w:szCs w:val="26"/>
        </w:rPr>
        <w:t>ª</w:t>
      </w:r>
      <w:r w:rsidR="00F61F33" w:rsidRPr="009975EB">
        <w:rPr>
          <w:szCs w:val="26"/>
        </w:rPr>
        <w:t xml:space="preserve"> </w:t>
      </w:r>
      <w:r w:rsidR="003A7D45" w:rsidRPr="009975EB">
        <w:rPr>
          <w:szCs w:val="26"/>
        </w:rPr>
        <w:t>No consta un estudio o seguimiento sobre el número de empresas inst</w:t>
      </w:r>
      <w:r w:rsidR="003A7D45" w:rsidRPr="009975EB">
        <w:rPr>
          <w:szCs w:val="26"/>
        </w:rPr>
        <w:t>a</w:t>
      </w:r>
      <w:r w:rsidR="003A7D45" w:rsidRPr="009975EB">
        <w:rPr>
          <w:szCs w:val="26"/>
        </w:rPr>
        <w:t xml:space="preserve">ladas en la </w:t>
      </w:r>
      <w:r w:rsidR="00F61F33" w:rsidRPr="009975EB">
        <w:rPr>
          <w:szCs w:val="26"/>
        </w:rPr>
        <w:t>Ciudad del Tran</w:t>
      </w:r>
      <w:r w:rsidR="003F5FC2" w:rsidRPr="009975EB">
        <w:rPr>
          <w:szCs w:val="26"/>
        </w:rPr>
        <w:t>sporte</w:t>
      </w:r>
      <w:r w:rsidR="003A7D45" w:rsidRPr="009975EB">
        <w:rPr>
          <w:szCs w:val="26"/>
        </w:rPr>
        <w:t xml:space="preserve">. Según noticias periodísticas, </w:t>
      </w:r>
      <w:r w:rsidR="003F5FC2" w:rsidRPr="009975EB">
        <w:rPr>
          <w:szCs w:val="26"/>
        </w:rPr>
        <w:t>se han instal</w:t>
      </w:r>
      <w:r w:rsidR="003F5FC2" w:rsidRPr="009975EB">
        <w:rPr>
          <w:szCs w:val="26"/>
        </w:rPr>
        <w:t>a</w:t>
      </w:r>
      <w:r w:rsidR="003F5FC2" w:rsidRPr="009975EB">
        <w:rPr>
          <w:szCs w:val="26"/>
        </w:rPr>
        <w:t xml:space="preserve">do </w:t>
      </w:r>
      <w:r w:rsidR="00F61F33" w:rsidRPr="009975EB">
        <w:rPr>
          <w:szCs w:val="26"/>
        </w:rPr>
        <w:t>en torno a 1</w:t>
      </w:r>
      <w:r w:rsidR="00C53965">
        <w:rPr>
          <w:szCs w:val="26"/>
        </w:rPr>
        <w:t>30</w:t>
      </w:r>
      <w:r w:rsidR="00F61F33" w:rsidRPr="009975EB">
        <w:rPr>
          <w:szCs w:val="26"/>
        </w:rPr>
        <w:t xml:space="preserve"> empresas que dan </w:t>
      </w:r>
      <w:r w:rsidR="009C7803" w:rsidRPr="009975EB">
        <w:rPr>
          <w:szCs w:val="26"/>
        </w:rPr>
        <w:t>empleo</w:t>
      </w:r>
      <w:r w:rsidR="00F61F33" w:rsidRPr="009975EB">
        <w:rPr>
          <w:szCs w:val="26"/>
        </w:rPr>
        <w:t xml:space="preserve"> a unos </w:t>
      </w:r>
      <w:r w:rsidR="00C53965">
        <w:rPr>
          <w:szCs w:val="26"/>
        </w:rPr>
        <w:t>2.500</w:t>
      </w:r>
      <w:r w:rsidR="00F61F33" w:rsidRPr="009975EB">
        <w:rPr>
          <w:szCs w:val="26"/>
        </w:rPr>
        <w:t xml:space="preserve"> trabajadores. </w:t>
      </w:r>
    </w:p>
    <w:p w:rsidR="00261535" w:rsidRDefault="003D49B1" w:rsidP="003D49B1">
      <w:pPr>
        <w:pStyle w:val="atitulo2"/>
      </w:pPr>
      <w:bookmarkStart w:id="47" w:name="_Toc515531879"/>
      <w:r>
        <w:t>IV.10. Recomendaciones</w:t>
      </w:r>
      <w:bookmarkEnd w:id="47"/>
    </w:p>
    <w:p w:rsidR="007E59BD" w:rsidRPr="007E59BD" w:rsidRDefault="007E59BD" w:rsidP="001E6D45">
      <w:pPr>
        <w:pStyle w:val="texto"/>
        <w:tabs>
          <w:tab w:val="clear" w:pos="2835"/>
          <w:tab w:val="clear" w:pos="3969"/>
          <w:tab w:val="clear" w:pos="5103"/>
          <w:tab w:val="clear" w:pos="6237"/>
          <w:tab w:val="clear" w:pos="7371"/>
        </w:tabs>
        <w:rPr>
          <w:szCs w:val="26"/>
        </w:rPr>
      </w:pPr>
      <w:r w:rsidRPr="007E59BD">
        <w:rPr>
          <w:szCs w:val="26"/>
        </w:rPr>
        <w:t>Del trabajo realizado señalamos las siguientes recomendaciones:</w:t>
      </w:r>
    </w:p>
    <w:p w:rsidR="007E59BD" w:rsidRPr="007E59BD" w:rsidRDefault="007E59BD" w:rsidP="007E59BD">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i/>
          <w:szCs w:val="26"/>
        </w:rPr>
      </w:pPr>
      <w:r w:rsidRPr="007E59BD">
        <w:rPr>
          <w:i/>
          <w:szCs w:val="26"/>
        </w:rPr>
        <w:t>Toda infraestructura de esta dimensión y volumen</w:t>
      </w:r>
      <w:r w:rsidR="00531B5D">
        <w:rPr>
          <w:i/>
          <w:szCs w:val="26"/>
        </w:rPr>
        <w:t xml:space="preserve"> de </w:t>
      </w:r>
      <w:r w:rsidR="00941748">
        <w:rPr>
          <w:i/>
          <w:szCs w:val="26"/>
        </w:rPr>
        <w:t>recursos</w:t>
      </w:r>
      <w:r w:rsidR="00EF0368">
        <w:rPr>
          <w:i/>
          <w:szCs w:val="26"/>
        </w:rPr>
        <w:t xml:space="preserve"> públicos</w:t>
      </w:r>
      <w:r w:rsidRPr="007E59BD">
        <w:rPr>
          <w:i/>
          <w:szCs w:val="26"/>
        </w:rPr>
        <w:t xml:space="preserve"> debe estar perfectamente respaldada</w:t>
      </w:r>
      <w:r w:rsidR="00B90B5E">
        <w:rPr>
          <w:i/>
          <w:szCs w:val="26"/>
        </w:rPr>
        <w:t xml:space="preserve"> y planificada</w:t>
      </w:r>
      <w:r w:rsidRPr="007E59BD">
        <w:rPr>
          <w:i/>
          <w:szCs w:val="26"/>
        </w:rPr>
        <w:t xml:space="preserve"> con </w:t>
      </w:r>
      <w:r w:rsidR="00152071">
        <w:rPr>
          <w:i/>
          <w:szCs w:val="26"/>
        </w:rPr>
        <w:t>estudios sobre las nec</w:t>
      </w:r>
      <w:r w:rsidR="00152071">
        <w:rPr>
          <w:i/>
          <w:szCs w:val="26"/>
        </w:rPr>
        <w:t>e</w:t>
      </w:r>
      <w:r w:rsidR="00152071">
        <w:rPr>
          <w:i/>
          <w:szCs w:val="26"/>
        </w:rPr>
        <w:t>sidades a satisfacer</w:t>
      </w:r>
      <w:r w:rsidR="00180A21">
        <w:rPr>
          <w:i/>
          <w:szCs w:val="26"/>
        </w:rPr>
        <w:t>, fases de desarrollo</w:t>
      </w:r>
      <w:r w:rsidR="00152071">
        <w:rPr>
          <w:i/>
          <w:szCs w:val="26"/>
        </w:rPr>
        <w:t xml:space="preserve"> y </w:t>
      </w:r>
      <w:r w:rsidRPr="007E59BD">
        <w:rPr>
          <w:i/>
          <w:szCs w:val="26"/>
        </w:rPr>
        <w:t>planes de viabilidad que analicen su rentabilidad tanto</w:t>
      </w:r>
      <w:r w:rsidR="00152071">
        <w:rPr>
          <w:i/>
          <w:szCs w:val="26"/>
        </w:rPr>
        <w:t xml:space="preserve"> </w:t>
      </w:r>
      <w:r w:rsidRPr="007E59BD">
        <w:rPr>
          <w:i/>
          <w:szCs w:val="26"/>
        </w:rPr>
        <w:t>desde un punto de vista económico como social.</w:t>
      </w:r>
    </w:p>
    <w:p w:rsidR="007E59BD" w:rsidRPr="00212336" w:rsidRDefault="00EF0368" w:rsidP="007E59BD">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i/>
          <w:spacing w:val="2"/>
          <w:szCs w:val="26"/>
        </w:rPr>
      </w:pPr>
      <w:r>
        <w:rPr>
          <w:i/>
          <w:spacing w:val="2"/>
          <w:szCs w:val="26"/>
        </w:rPr>
        <w:t>A</w:t>
      </w:r>
      <w:r w:rsidR="007E59BD" w:rsidRPr="00212336">
        <w:rPr>
          <w:i/>
          <w:spacing w:val="2"/>
          <w:szCs w:val="26"/>
        </w:rPr>
        <w:t>rchivar adecuadamente toda la documentación generada, con independe</w:t>
      </w:r>
      <w:r w:rsidR="007E59BD" w:rsidRPr="00212336">
        <w:rPr>
          <w:i/>
          <w:spacing w:val="2"/>
          <w:szCs w:val="26"/>
        </w:rPr>
        <w:t>n</w:t>
      </w:r>
      <w:r w:rsidR="007E59BD" w:rsidRPr="00212336">
        <w:rPr>
          <w:i/>
          <w:spacing w:val="2"/>
          <w:szCs w:val="26"/>
        </w:rPr>
        <w:t>cia de cambios o modificaciones en la entidad responsable de la misma.</w:t>
      </w:r>
    </w:p>
    <w:p w:rsidR="00174B05" w:rsidRPr="00E66CD1" w:rsidRDefault="002D256F" w:rsidP="00E66CD1">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i/>
          <w:szCs w:val="26"/>
        </w:rPr>
      </w:pPr>
      <w:r w:rsidRPr="00E66CD1">
        <w:rPr>
          <w:i/>
          <w:szCs w:val="26"/>
        </w:rPr>
        <w:t>En los procesos expropiatorios</w:t>
      </w:r>
      <w:r w:rsidR="00E66CD1" w:rsidRPr="00E66CD1">
        <w:rPr>
          <w:i/>
          <w:szCs w:val="26"/>
        </w:rPr>
        <w:t>, procurar fijar los</w:t>
      </w:r>
      <w:r w:rsidRPr="00E66CD1">
        <w:rPr>
          <w:i/>
          <w:szCs w:val="26"/>
        </w:rPr>
        <w:t xml:space="preserve"> precios </w:t>
      </w:r>
      <w:r w:rsidR="00E66CD1" w:rsidRPr="00E66CD1">
        <w:rPr>
          <w:i/>
          <w:szCs w:val="26"/>
        </w:rPr>
        <w:t>en</w:t>
      </w:r>
      <w:r w:rsidRPr="00E66CD1">
        <w:rPr>
          <w:i/>
          <w:szCs w:val="26"/>
        </w:rPr>
        <w:t xml:space="preserve"> la hoja de</w:t>
      </w:r>
      <w:r w:rsidR="00E66CD1" w:rsidRPr="00E66CD1">
        <w:rPr>
          <w:i/>
          <w:szCs w:val="26"/>
        </w:rPr>
        <w:t xml:space="preserve"> aprecio de la administración </w:t>
      </w:r>
      <w:r w:rsidRPr="00E66CD1">
        <w:rPr>
          <w:i/>
          <w:szCs w:val="26"/>
        </w:rPr>
        <w:t>en térmi</w:t>
      </w:r>
      <w:r w:rsidR="00E66CD1" w:rsidRPr="00E66CD1">
        <w:rPr>
          <w:i/>
          <w:szCs w:val="26"/>
        </w:rPr>
        <w:t xml:space="preserve">nos </w:t>
      </w:r>
      <w:r w:rsidRPr="00E66CD1">
        <w:rPr>
          <w:i/>
          <w:szCs w:val="26"/>
        </w:rPr>
        <w:t>realistas y acordes con los pronu</w:t>
      </w:r>
      <w:r w:rsidRPr="00E66CD1">
        <w:rPr>
          <w:i/>
          <w:szCs w:val="26"/>
        </w:rPr>
        <w:t>n</w:t>
      </w:r>
      <w:r w:rsidRPr="00E66CD1">
        <w:rPr>
          <w:i/>
          <w:szCs w:val="26"/>
        </w:rPr>
        <w:t>ciamientos judiciales</w:t>
      </w:r>
      <w:r w:rsidR="00EF0368">
        <w:rPr>
          <w:i/>
          <w:szCs w:val="26"/>
        </w:rPr>
        <w:t xml:space="preserve"> coincidentes temporalmente</w:t>
      </w:r>
      <w:r w:rsidR="00EC6025" w:rsidRPr="00E66CD1">
        <w:rPr>
          <w:i/>
          <w:szCs w:val="26"/>
        </w:rPr>
        <w:t>.</w:t>
      </w:r>
    </w:p>
    <w:p w:rsidR="00663BF2" w:rsidRDefault="00663BF2" w:rsidP="002D256F">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i/>
          <w:szCs w:val="26"/>
        </w:rPr>
      </w:pPr>
      <w:r>
        <w:rPr>
          <w:i/>
          <w:szCs w:val="26"/>
        </w:rPr>
        <w:t>Mejorar el control sobre la</w:t>
      </w:r>
      <w:r w:rsidR="004A4939">
        <w:rPr>
          <w:i/>
          <w:szCs w:val="26"/>
        </w:rPr>
        <w:t>s obras y</w:t>
      </w:r>
      <w:r>
        <w:rPr>
          <w:i/>
          <w:szCs w:val="26"/>
        </w:rPr>
        <w:t xml:space="preserve"> gestión real</w:t>
      </w:r>
      <w:r w:rsidR="002D256F">
        <w:rPr>
          <w:i/>
          <w:szCs w:val="26"/>
        </w:rPr>
        <w:t>izada</w:t>
      </w:r>
      <w:r>
        <w:rPr>
          <w:i/>
          <w:szCs w:val="26"/>
        </w:rPr>
        <w:t xml:space="preserve"> por el adjudicatario</w:t>
      </w:r>
      <w:r w:rsidR="002D256F">
        <w:rPr>
          <w:i/>
          <w:szCs w:val="26"/>
        </w:rPr>
        <w:t xml:space="preserve"> con la finalidad de efectuar un seguimiento más eficaz y de acuerdo con los términos del correspondiente contrato.</w:t>
      </w:r>
    </w:p>
    <w:p w:rsidR="00F37143" w:rsidRPr="00E66CD1" w:rsidRDefault="00EC6025" w:rsidP="002D256F">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i/>
          <w:szCs w:val="26"/>
        </w:rPr>
      </w:pPr>
      <w:r w:rsidRPr="00E66CD1">
        <w:rPr>
          <w:i/>
          <w:szCs w:val="26"/>
        </w:rPr>
        <w:t>S</w:t>
      </w:r>
      <w:r w:rsidR="00A21DCC" w:rsidRPr="00E66CD1">
        <w:rPr>
          <w:i/>
          <w:szCs w:val="26"/>
        </w:rPr>
        <w:t>olicitar a la UTE los contratos de alquiler firmados en la 3ª fase</w:t>
      </w:r>
      <w:r w:rsidR="00F93209">
        <w:rPr>
          <w:rStyle w:val="Refdenotaalpie"/>
          <w:i/>
          <w:szCs w:val="26"/>
        </w:rPr>
        <w:footnoteReference w:id="5"/>
      </w:r>
      <w:r w:rsidR="00A21DCC" w:rsidRPr="00E66CD1">
        <w:rPr>
          <w:i/>
          <w:szCs w:val="26"/>
        </w:rPr>
        <w:t>.</w:t>
      </w:r>
    </w:p>
    <w:p w:rsidR="00E66CD1" w:rsidRDefault="00E66CD1" w:rsidP="00E66CD1">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i/>
          <w:szCs w:val="26"/>
        </w:rPr>
      </w:pPr>
      <w:r>
        <w:rPr>
          <w:i/>
          <w:szCs w:val="26"/>
        </w:rPr>
        <w:t>Garantizar efectiva</w:t>
      </w:r>
      <w:r w:rsidR="00FC4679">
        <w:rPr>
          <w:i/>
          <w:szCs w:val="26"/>
        </w:rPr>
        <w:t xml:space="preserve"> y suficientemente</w:t>
      </w:r>
      <w:r>
        <w:rPr>
          <w:i/>
          <w:szCs w:val="26"/>
        </w:rPr>
        <w:t xml:space="preserve"> el cobro de las deudas pendientes por parte de la UTE.</w:t>
      </w:r>
    </w:p>
    <w:p w:rsidR="002D256F" w:rsidRDefault="002D256F" w:rsidP="002D256F">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i/>
          <w:szCs w:val="26"/>
        </w:rPr>
      </w:pPr>
      <w:r>
        <w:rPr>
          <w:i/>
          <w:szCs w:val="26"/>
        </w:rPr>
        <w:t>Concluir la configuración definitiva de la 4ª fase de la Ciudad del Tran</w:t>
      </w:r>
      <w:r>
        <w:rPr>
          <w:i/>
          <w:szCs w:val="26"/>
        </w:rPr>
        <w:t>s</w:t>
      </w:r>
      <w:r>
        <w:rPr>
          <w:i/>
          <w:szCs w:val="26"/>
        </w:rPr>
        <w:t>porte al objeto de rentabilizarla.</w:t>
      </w:r>
    </w:p>
    <w:p w:rsidR="002D256F" w:rsidRDefault="002D256F" w:rsidP="002D256F">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i/>
          <w:szCs w:val="26"/>
        </w:rPr>
      </w:pPr>
      <w:r>
        <w:rPr>
          <w:i/>
          <w:szCs w:val="26"/>
        </w:rPr>
        <w:t xml:space="preserve">Cuando concluya </w:t>
      </w:r>
      <w:r w:rsidR="00F84B9B">
        <w:rPr>
          <w:i/>
          <w:szCs w:val="26"/>
        </w:rPr>
        <w:t>la vigencia d</w:t>
      </w:r>
      <w:r>
        <w:rPr>
          <w:i/>
          <w:szCs w:val="26"/>
        </w:rPr>
        <w:t>el derecho de superficie de la 3ª fase, anal</w:t>
      </w:r>
      <w:r>
        <w:rPr>
          <w:i/>
          <w:szCs w:val="26"/>
        </w:rPr>
        <w:t>i</w:t>
      </w:r>
      <w:r>
        <w:rPr>
          <w:i/>
          <w:szCs w:val="26"/>
        </w:rPr>
        <w:t>zar la r</w:t>
      </w:r>
      <w:r w:rsidR="00B90B5E">
        <w:rPr>
          <w:i/>
          <w:szCs w:val="26"/>
        </w:rPr>
        <w:t>azonabilidad</w:t>
      </w:r>
      <w:r>
        <w:rPr>
          <w:i/>
          <w:szCs w:val="26"/>
        </w:rPr>
        <w:t xml:space="preserve"> de aplicar la opción de compra sobre</w:t>
      </w:r>
      <w:r w:rsidR="00E66CD1">
        <w:rPr>
          <w:i/>
          <w:szCs w:val="26"/>
        </w:rPr>
        <w:t xml:space="preserve">, en su caso, </w:t>
      </w:r>
      <w:r>
        <w:rPr>
          <w:i/>
          <w:szCs w:val="26"/>
        </w:rPr>
        <w:t>los bi</w:t>
      </w:r>
      <w:r>
        <w:rPr>
          <w:i/>
          <w:szCs w:val="26"/>
        </w:rPr>
        <w:t>e</w:t>
      </w:r>
      <w:r>
        <w:rPr>
          <w:i/>
          <w:szCs w:val="26"/>
        </w:rPr>
        <w:t xml:space="preserve">nes </w:t>
      </w:r>
      <w:r w:rsidR="00B90B5E">
        <w:rPr>
          <w:i/>
          <w:szCs w:val="26"/>
        </w:rPr>
        <w:t xml:space="preserve">pendientes de </w:t>
      </w:r>
      <w:r w:rsidR="00391F45">
        <w:rPr>
          <w:i/>
          <w:szCs w:val="26"/>
        </w:rPr>
        <w:t>enajenar</w:t>
      </w:r>
      <w:r w:rsidR="00F84B9B">
        <w:rPr>
          <w:i/>
          <w:szCs w:val="26"/>
        </w:rPr>
        <w:t xml:space="preserve"> por el adjudicatario</w:t>
      </w:r>
      <w:r w:rsidR="00391F45">
        <w:rPr>
          <w:i/>
          <w:szCs w:val="26"/>
        </w:rPr>
        <w:t>.</w:t>
      </w:r>
    </w:p>
    <w:p w:rsidR="0062585B" w:rsidRPr="00941AF7" w:rsidRDefault="0062585B" w:rsidP="0062585B">
      <w:pPr>
        <w:pStyle w:val="texto"/>
        <w:tabs>
          <w:tab w:val="clear" w:pos="2835"/>
          <w:tab w:val="clear" w:pos="3969"/>
          <w:tab w:val="clear" w:pos="5103"/>
          <w:tab w:val="clear" w:pos="6237"/>
          <w:tab w:val="clear" w:pos="7371"/>
        </w:tabs>
      </w:pPr>
      <w:r w:rsidRPr="00941AF7">
        <w:t>Informe que se emite a propuesta del auditor Ignacio Cabeza del Salvador, responsable de la realización de este trabajo, una vez cumplimentados los tr</w:t>
      </w:r>
      <w:r w:rsidRPr="00941AF7">
        <w:t>á</w:t>
      </w:r>
      <w:r w:rsidRPr="00941AF7">
        <w:t>mites previstos por la normativa vigente.</w:t>
      </w:r>
    </w:p>
    <w:p w:rsidR="0062585B" w:rsidRPr="0062585B" w:rsidRDefault="0062585B" w:rsidP="00066CC0">
      <w:pPr>
        <w:pStyle w:val="texto"/>
        <w:tabs>
          <w:tab w:val="clear" w:pos="2835"/>
          <w:tab w:val="clear" w:pos="3969"/>
          <w:tab w:val="clear" w:pos="5103"/>
          <w:tab w:val="clear" w:pos="6237"/>
          <w:tab w:val="clear" w:pos="7371"/>
        </w:tabs>
        <w:spacing w:before="240" w:after="0"/>
        <w:jc w:val="center"/>
        <w:rPr>
          <w:szCs w:val="26"/>
        </w:rPr>
      </w:pPr>
      <w:r w:rsidRPr="0062585B">
        <w:rPr>
          <w:szCs w:val="26"/>
        </w:rPr>
        <w:t>Pamplona,</w:t>
      </w:r>
      <w:r w:rsidR="00001474">
        <w:rPr>
          <w:szCs w:val="26"/>
        </w:rPr>
        <w:t xml:space="preserve"> </w:t>
      </w:r>
      <w:r w:rsidRPr="0062585B">
        <w:rPr>
          <w:szCs w:val="26"/>
        </w:rPr>
        <w:t xml:space="preserve">a </w:t>
      </w:r>
      <w:r w:rsidR="00001474">
        <w:rPr>
          <w:szCs w:val="26"/>
        </w:rPr>
        <w:t>1</w:t>
      </w:r>
      <w:r>
        <w:rPr>
          <w:szCs w:val="26"/>
        </w:rPr>
        <w:t xml:space="preserve"> </w:t>
      </w:r>
      <w:r w:rsidRPr="0062585B">
        <w:rPr>
          <w:szCs w:val="26"/>
        </w:rPr>
        <w:t xml:space="preserve">de </w:t>
      </w:r>
      <w:r w:rsidR="00001474">
        <w:rPr>
          <w:szCs w:val="26"/>
        </w:rPr>
        <w:t>junio</w:t>
      </w:r>
      <w:r w:rsidRPr="0062585B">
        <w:rPr>
          <w:szCs w:val="26"/>
        </w:rPr>
        <w:t xml:space="preserve"> de 2018</w:t>
      </w:r>
    </w:p>
    <w:p w:rsidR="0062585B" w:rsidRDefault="0062585B" w:rsidP="00066CC0">
      <w:pPr>
        <w:pStyle w:val="texto"/>
        <w:tabs>
          <w:tab w:val="clear" w:pos="2835"/>
          <w:tab w:val="clear" w:pos="3969"/>
          <w:tab w:val="clear" w:pos="5103"/>
          <w:tab w:val="clear" w:pos="6237"/>
          <w:tab w:val="clear" w:pos="7371"/>
        </w:tabs>
        <w:spacing w:after="0"/>
        <w:jc w:val="center"/>
        <w:rPr>
          <w:szCs w:val="26"/>
        </w:rPr>
      </w:pPr>
      <w:r w:rsidRPr="0062585B">
        <w:rPr>
          <w:szCs w:val="26"/>
        </w:rPr>
        <w:t>La presidenta,</w:t>
      </w:r>
    </w:p>
    <w:p w:rsidR="00066CC0" w:rsidRDefault="00066CC0" w:rsidP="0062585B">
      <w:pPr>
        <w:pStyle w:val="texto"/>
        <w:tabs>
          <w:tab w:val="clear" w:pos="2835"/>
          <w:tab w:val="clear" w:pos="3969"/>
          <w:tab w:val="clear" w:pos="5103"/>
          <w:tab w:val="clear" w:pos="6237"/>
          <w:tab w:val="clear" w:pos="7371"/>
        </w:tabs>
        <w:jc w:val="center"/>
        <w:rPr>
          <w:szCs w:val="26"/>
        </w:rPr>
      </w:pPr>
    </w:p>
    <w:p w:rsidR="00066CC0" w:rsidRDefault="00066CC0" w:rsidP="0062585B">
      <w:pPr>
        <w:pStyle w:val="texto"/>
        <w:tabs>
          <w:tab w:val="clear" w:pos="2835"/>
          <w:tab w:val="clear" w:pos="3969"/>
          <w:tab w:val="clear" w:pos="5103"/>
          <w:tab w:val="clear" w:pos="6237"/>
          <w:tab w:val="clear" w:pos="7371"/>
        </w:tabs>
        <w:jc w:val="center"/>
        <w:rPr>
          <w:szCs w:val="26"/>
        </w:rPr>
      </w:pPr>
    </w:p>
    <w:p w:rsidR="00066CC0" w:rsidRPr="0062585B" w:rsidRDefault="00066CC0" w:rsidP="0062585B">
      <w:pPr>
        <w:pStyle w:val="texto"/>
        <w:tabs>
          <w:tab w:val="clear" w:pos="2835"/>
          <w:tab w:val="clear" w:pos="3969"/>
          <w:tab w:val="clear" w:pos="5103"/>
          <w:tab w:val="clear" w:pos="6237"/>
          <w:tab w:val="clear" w:pos="7371"/>
        </w:tabs>
        <w:jc w:val="center"/>
        <w:rPr>
          <w:szCs w:val="26"/>
        </w:rPr>
      </w:pPr>
    </w:p>
    <w:p w:rsidR="0062585B" w:rsidRDefault="0062585B" w:rsidP="0062585B">
      <w:pPr>
        <w:pStyle w:val="texto"/>
        <w:tabs>
          <w:tab w:val="clear" w:pos="2835"/>
          <w:tab w:val="clear" w:pos="3969"/>
          <w:tab w:val="clear" w:pos="5103"/>
          <w:tab w:val="clear" w:pos="6237"/>
          <w:tab w:val="clear" w:pos="7371"/>
        </w:tabs>
        <w:jc w:val="center"/>
        <w:rPr>
          <w:szCs w:val="26"/>
        </w:rPr>
      </w:pPr>
      <w:r w:rsidRPr="0062585B">
        <w:rPr>
          <w:szCs w:val="26"/>
        </w:rPr>
        <w:t>Asunción Olaechea Estanga</w:t>
      </w:r>
    </w:p>
    <w:p w:rsidR="00326359" w:rsidRDefault="00326359" w:rsidP="0062585B">
      <w:pPr>
        <w:pStyle w:val="texto"/>
        <w:tabs>
          <w:tab w:val="clear" w:pos="2835"/>
          <w:tab w:val="clear" w:pos="3969"/>
          <w:tab w:val="clear" w:pos="5103"/>
          <w:tab w:val="clear" w:pos="6237"/>
          <w:tab w:val="clear" w:pos="7371"/>
        </w:tabs>
        <w:jc w:val="center"/>
        <w:rPr>
          <w:szCs w:val="26"/>
        </w:rPr>
        <w:sectPr w:rsidR="00326359" w:rsidSect="00AE5E7A">
          <w:headerReference w:type="even" r:id="rId20"/>
          <w:footerReference w:type="default" r:id="rId21"/>
          <w:pgSz w:w="11907" w:h="16840" w:code="9"/>
          <w:pgMar w:top="2109" w:right="1559" w:bottom="1644" w:left="1559" w:header="369" w:footer="136" w:gutter="0"/>
          <w:pgNumType w:start="3"/>
          <w:cols w:space="720"/>
          <w:docGrid w:linePitch="360"/>
        </w:sectPr>
      </w:pPr>
    </w:p>
    <w:p w:rsidR="00CC66E9" w:rsidRPr="00533807" w:rsidRDefault="00722009" w:rsidP="00533807">
      <w:pPr>
        <w:pStyle w:val="atitulo1"/>
        <w:jc w:val="center"/>
        <w:rPr>
          <w:bCs/>
        </w:rPr>
      </w:pPr>
      <w:bookmarkStart w:id="48" w:name="_Toc515531880"/>
      <w:r w:rsidRPr="00533807">
        <w:rPr>
          <w:bCs/>
        </w:rPr>
        <w:t>ALEGACIONES FORMULADAS AL INFORME PROVISIONAL</w:t>
      </w:r>
      <w:bookmarkEnd w:id="48"/>
    </w:p>
    <w:p w:rsidR="009B4D5C" w:rsidRPr="001D5367" w:rsidRDefault="009B4D5C" w:rsidP="009B4D5C">
      <w:pPr>
        <w:rPr>
          <w:rFonts w:ascii="Helvetica LT Std" w:hAnsi="Helvetica LT Std"/>
        </w:rPr>
      </w:pPr>
      <w:r w:rsidRPr="001D5367">
        <w:rPr>
          <w:rFonts w:ascii="Helvetica LT Std" w:hAnsi="Helvetica LT Std"/>
        </w:rPr>
        <w:t>NASUVINS</w:t>
      </w:r>
      <w:r>
        <w:rPr>
          <w:rFonts w:ascii="Helvetica LT Std" w:hAnsi="Helvetica LT Std"/>
        </w:rPr>
        <w:t xml:space="preserve">A - </w:t>
      </w:r>
      <w:r w:rsidRPr="001D5367">
        <w:rPr>
          <w:rFonts w:ascii="Helvetica LT Std" w:hAnsi="Helvetica LT Std"/>
        </w:rPr>
        <w:t xml:space="preserve">NAVARRA DE SUELO Y VIVIENDA, S.A. </w:t>
      </w:r>
    </w:p>
    <w:p w:rsidR="009B4D5C" w:rsidRPr="001D5367" w:rsidRDefault="009B4D5C" w:rsidP="009B4D5C">
      <w:pPr>
        <w:rPr>
          <w:rFonts w:ascii="Helvetica LT Std" w:hAnsi="Helvetica LT Std"/>
        </w:rPr>
      </w:pPr>
      <w:r w:rsidRPr="001D5367">
        <w:rPr>
          <w:rFonts w:ascii="Helvetica LT Std" w:hAnsi="Helvetica LT Std"/>
        </w:rPr>
        <w:t xml:space="preserve">Aclaración al informe realizado por la cámara de Comptos sobre la Ciudad del Transporte de la Comarca de Pamplona. </w:t>
      </w:r>
    </w:p>
    <w:p w:rsidR="009B4D5C" w:rsidRPr="001D5367" w:rsidRDefault="009B4D5C" w:rsidP="009B4D5C">
      <w:pPr>
        <w:rPr>
          <w:rFonts w:ascii="Helvetica LT Std" w:hAnsi="Helvetica LT Std"/>
        </w:rPr>
      </w:pPr>
      <w:r w:rsidRPr="001D5367">
        <w:rPr>
          <w:rFonts w:ascii="Helvetica LT Std" w:hAnsi="Helvetica LT Std"/>
        </w:rPr>
        <w:t xml:space="preserve">Al final del informe cuando se refiere al desarrollo de la 4ª fase señala que </w:t>
      </w:r>
      <w:proofErr w:type="spellStart"/>
      <w:r w:rsidRPr="001D5367">
        <w:rPr>
          <w:rFonts w:ascii="Helvetica LT Std" w:hAnsi="Helvetica LT Std"/>
        </w:rPr>
        <w:t>Nasuvinsa</w:t>
      </w:r>
      <w:proofErr w:type="spellEnd"/>
      <w:r w:rsidRPr="001D5367">
        <w:rPr>
          <w:rFonts w:ascii="Helvetica LT Std" w:hAnsi="Helvetica LT Std"/>
        </w:rPr>
        <w:t xml:space="preserve"> está planteando una nueva modificación del Psis, iniciada en septiembre de 2017 en la que se conte</w:t>
      </w:r>
      <w:r w:rsidRPr="001D5367">
        <w:rPr>
          <w:rFonts w:ascii="Helvetica LT Std" w:hAnsi="Helvetica LT Std"/>
        </w:rPr>
        <w:t>m</w:t>
      </w:r>
      <w:r w:rsidRPr="001D5367">
        <w:rPr>
          <w:rFonts w:ascii="Helvetica LT Std" w:hAnsi="Helvetica LT Std"/>
        </w:rPr>
        <w:t xml:space="preserve">pla una ampliación de los usos previstos. </w:t>
      </w:r>
    </w:p>
    <w:p w:rsidR="009B4D5C" w:rsidRPr="001D5367" w:rsidRDefault="009B4D5C" w:rsidP="009B4D5C">
      <w:pPr>
        <w:rPr>
          <w:rFonts w:ascii="Helvetica LT Std" w:hAnsi="Helvetica LT Std"/>
        </w:rPr>
      </w:pPr>
      <w:r w:rsidRPr="001D5367">
        <w:rPr>
          <w:rFonts w:ascii="Helvetica LT Std" w:hAnsi="Helvetica LT Std"/>
        </w:rPr>
        <w:t>En realidad es cierto que se realizó el proceso de participación de una propuesta de modif</w:t>
      </w:r>
      <w:r w:rsidRPr="001D5367">
        <w:rPr>
          <w:rFonts w:ascii="Helvetica LT Std" w:hAnsi="Helvetica LT Std"/>
        </w:rPr>
        <w:t>i</w:t>
      </w:r>
      <w:r w:rsidRPr="001D5367">
        <w:rPr>
          <w:rFonts w:ascii="Helvetica LT Std" w:hAnsi="Helvetica LT Std"/>
        </w:rPr>
        <w:t xml:space="preserve">cación del Psis, que pretendía: </w:t>
      </w:r>
    </w:p>
    <w:p w:rsidR="009B4D5C" w:rsidRPr="001D5367" w:rsidRDefault="009B4D5C" w:rsidP="009B4D5C">
      <w:pPr>
        <w:rPr>
          <w:rFonts w:ascii="Helvetica LT Std" w:hAnsi="Helvetica LT Std"/>
        </w:rPr>
      </w:pPr>
      <w:r>
        <w:rPr>
          <w:rFonts w:ascii="Helvetica LT Std" w:hAnsi="Helvetica LT Std"/>
        </w:rPr>
        <w:t xml:space="preserve">a) </w:t>
      </w:r>
      <w:r w:rsidRPr="001D5367">
        <w:rPr>
          <w:rFonts w:ascii="Helvetica LT Std" w:hAnsi="Helvetica LT Std"/>
        </w:rPr>
        <w:t xml:space="preserve">Ampliar los usos previstos </w:t>
      </w:r>
    </w:p>
    <w:p w:rsidR="009B4D5C" w:rsidRPr="001D5367" w:rsidRDefault="009B4D5C" w:rsidP="009B4D5C">
      <w:pPr>
        <w:rPr>
          <w:rFonts w:ascii="Helvetica LT Std" w:hAnsi="Helvetica LT Std"/>
        </w:rPr>
      </w:pPr>
      <w:r>
        <w:rPr>
          <w:rFonts w:ascii="Helvetica LT Std" w:hAnsi="Helvetica LT Std"/>
        </w:rPr>
        <w:t xml:space="preserve">b) </w:t>
      </w:r>
      <w:r w:rsidRPr="001D5367">
        <w:rPr>
          <w:rFonts w:ascii="Helvetica LT Std" w:hAnsi="Helvetica LT Std"/>
        </w:rPr>
        <w:t xml:space="preserve">Modificar la ordenación prevista en la 4º fase, definiendo un parcelario de mayor tamaño que el previsto inicialmente. </w:t>
      </w:r>
    </w:p>
    <w:p w:rsidR="009B4D5C" w:rsidRPr="001D5367" w:rsidRDefault="009B4D5C" w:rsidP="009B4D5C">
      <w:pPr>
        <w:rPr>
          <w:rFonts w:ascii="Helvetica LT Std" w:hAnsi="Helvetica LT Std"/>
        </w:rPr>
      </w:pPr>
      <w:r w:rsidRPr="001D5367">
        <w:rPr>
          <w:rFonts w:ascii="Helvetica LT Std" w:hAnsi="Helvetica LT Std"/>
        </w:rPr>
        <w:t xml:space="preserve">En el proceso de participación las aportaciones presentadas fueron únicamente las que planteaban el mantenimiento de los usos previstos hasta el momento en el propio PSIS. </w:t>
      </w:r>
    </w:p>
    <w:p w:rsidR="009B4D5C" w:rsidRPr="001D5367" w:rsidRDefault="009B4D5C" w:rsidP="009B4D5C">
      <w:pPr>
        <w:rPr>
          <w:rFonts w:ascii="Helvetica LT Std" w:hAnsi="Helvetica LT Std"/>
        </w:rPr>
      </w:pPr>
      <w:r w:rsidRPr="001D5367">
        <w:rPr>
          <w:rFonts w:ascii="Helvetica LT Std" w:hAnsi="Helvetica LT Std"/>
        </w:rPr>
        <w:t xml:space="preserve">Por todo ello </w:t>
      </w:r>
      <w:proofErr w:type="spellStart"/>
      <w:r w:rsidRPr="001D5367">
        <w:rPr>
          <w:rFonts w:ascii="Helvetica LT Std" w:hAnsi="Helvetica LT Std"/>
        </w:rPr>
        <w:t>Nasuvinsa</w:t>
      </w:r>
      <w:proofErr w:type="spellEnd"/>
      <w:r w:rsidRPr="001D5367">
        <w:rPr>
          <w:rFonts w:ascii="Helvetica LT Std" w:hAnsi="Helvetica LT Std"/>
        </w:rPr>
        <w:t xml:space="preserve"> va a continuar con la modificación del mismo con toda seguridad en lo que se refiere a la ordenación planteada, para hacer más viable el futuro del ámbito, y debe pronunciarse sobre la oportunidad de ampliar los usos previsto</w:t>
      </w:r>
      <w:r>
        <w:rPr>
          <w:rFonts w:ascii="Helvetica LT Std" w:hAnsi="Helvetica LT Std"/>
        </w:rPr>
        <w:t>s</w:t>
      </w:r>
      <w:r w:rsidRPr="001D5367">
        <w:rPr>
          <w:rFonts w:ascii="Helvetica LT Std" w:hAnsi="Helvetica LT Std"/>
        </w:rPr>
        <w:t xml:space="preserve">, decisión que no se ha tomado a día de hoy. </w:t>
      </w:r>
    </w:p>
    <w:p w:rsidR="009B4D5C" w:rsidRPr="001D5367" w:rsidRDefault="009B4D5C" w:rsidP="009B4D5C">
      <w:pPr>
        <w:rPr>
          <w:rFonts w:ascii="Helvetica LT Std" w:hAnsi="Helvetica LT Std"/>
        </w:rPr>
      </w:pPr>
      <w:r w:rsidRPr="001D5367">
        <w:rPr>
          <w:rFonts w:ascii="Helvetica LT Std" w:hAnsi="Helvetica LT Std"/>
        </w:rPr>
        <w:t xml:space="preserve">Pamplona a 30 de mayo de 2018 </w:t>
      </w:r>
    </w:p>
    <w:p w:rsidR="009B4D5C" w:rsidRDefault="009B4D5C" w:rsidP="009B4D5C">
      <w:pPr>
        <w:rPr>
          <w:rFonts w:ascii="Helvetica LT Std" w:hAnsi="Helvetica LT Std"/>
        </w:rPr>
      </w:pPr>
      <w:r>
        <w:rPr>
          <w:rFonts w:ascii="Helvetica LT Std" w:hAnsi="Helvetica LT Std"/>
        </w:rPr>
        <w:t xml:space="preserve">José Mª </w:t>
      </w:r>
      <w:proofErr w:type="spellStart"/>
      <w:r>
        <w:rPr>
          <w:rFonts w:ascii="Helvetica LT Std" w:hAnsi="Helvetica LT Std"/>
        </w:rPr>
        <w:t>Aierdi</w:t>
      </w:r>
      <w:proofErr w:type="spellEnd"/>
      <w:r>
        <w:rPr>
          <w:rFonts w:ascii="Helvetica LT Std" w:hAnsi="Helvetica LT Std"/>
        </w:rPr>
        <w:t xml:space="preserve"> Fernández de Barrena, Director-Gerente de </w:t>
      </w:r>
      <w:proofErr w:type="spellStart"/>
      <w:r>
        <w:rPr>
          <w:rFonts w:ascii="Helvetica LT Std" w:hAnsi="Helvetica LT Std"/>
        </w:rPr>
        <w:t>Nasuvinsa</w:t>
      </w:r>
      <w:proofErr w:type="spellEnd"/>
    </w:p>
    <w:p w:rsidR="009B4D5C" w:rsidRDefault="009B4D5C" w:rsidP="009B4D5C">
      <w:pPr>
        <w:rPr>
          <w:rFonts w:ascii="Helvetica LT Std" w:hAnsi="Helvetica LT Std"/>
        </w:rPr>
      </w:pPr>
      <w:r>
        <w:rPr>
          <w:rFonts w:ascii="Helvetica LT Std" w:hAnsi="Helvetica LT Std"/>
        </w:rPr>
        <w:t>EXCONSEJERO DE FOMENTO DEL GOBIERNO DE NAVARRA</w:t>
      </w:r>
    </w:p>
    <w:p w:rsidR="009B4D5C" w:rsidRPr="001D5367" w:rsidRDefault="009B4D5C" w:rsidP="009B4D5C">
      <w:pPr>
        <w:rPr>
          <w:rFonts w:ascii="Helvetica LT Std" w:hAnsi="Helvetica LT Std"/>
        </w:rPr>
      </w:pPr>
      <w:r w:rsidRPr="001D5367">
        <w:rPr>
          <w:rFonts w:ascii="Helvetica LT Std" w:hAnsi="Helvetica LT Std"/>
        </w:rPr>
        <w:t xml:space="preserve">D. Luis </w:t>
      </w:r>
      <w:proofErr w:type="spellStart"/>
      <w:r w:rsidRPr="001D5367">
        <w:rPr>
          <w:rFonts w:ascii="Helvetica LT Std" w:hAnsi="Helvetica LT Std"/>
        </w:rPr>
        <w:t>Zarraluqui</w:t>
      </w:r>
      <w:proofErr w:type="spellEnd"/>
      <w:r w:rsidRPr="001D5367">
        <w:rPr>
          <w:rFonts w:ascii="Helvetica LT Std" w:hAnsi="Helvetica LT Std"/>
        </w:rPr>
        <w:t xml:space="preserve"> </w:t>
      </w:r>
      <w:proofErr w:type="spellStart"/>
      <w:r w:rsidRPr="001D5367">
        <w:rPr>
          <w:rFonts w:ascii="Helvetica LT Std" w:hAnsi="Helvetica LT Std"/>
        </w:rPr>
        <w:t>Ortigosa</w:t>
      </w:r>
      <w:proofErr w:type="spellEnd"/>
      <w:r w:rsidRPr="001D5367">
        <w:rPr>
          <w:rFonts w:ascii="Helvetica LT Std" w:hAnsi="Helvetica LT Std"/>
        </w:rPr>
        <w:t xml:space="preserve">, en su calidad de Ex Consejero de Fomento del Gobierno de Navarra, y en relación al Informe provisional de fiscalización de la Ciudad del Transporte de la Comarca de Pamplona (1991 a </w:t>
      </w:r>
      <w:r>
        <w:rPr>
          <w:rFonts w:ascii="Helvetica LT Std" w:hAnsi="Helvetica LT Std"/>
        </w:rPr>
        <w:t xml:space="preserve">2017), formula las siguientes </w:t>
      </w:r>
      <w:r w:rsidRPr="001D5367">
        <w:rPr>
          <w:rFonts w:ascii="Helvetica LT Std" w:hAnsi="Helvetica LT Std"/>
        </w:rPr>
        <w:t xml:space="preserve">alegaciones: </w:t>
      </w:r>
    </w:p>
    <w:p w:rsidR="009B4D5C" w:rsidRPr="001D5367" w:rsidRDefault="009B4D5C" w:rsidP="009B4D5C">
      <w:pPr>
        <w:rPr>
          <w:rFonts w:ascii="Helvetica LT Std" w:hAnsi="Helvetica LT Std"/>
        </w:rPr>
      </w:pPr>
      <w:r>
        <w:rPr>
          <w:rFonts w:ascii="Helvetica LT Std" w:hAnsi="Helvetica LT Std"/>
        </w:rPr>
        <w:t>1. En relación a la conclusión 19ª</w:t>
      </w:r>
      <w:r w:rsidRPr="001D5367">
        <w:rPr>
          <w:rFonts w:ascii="Helvetica LT Std" w:hAnsi="Helvetica LT Std"/>
        </w:rPr>
        <w:t>.Se sugiere, para mejor comprensión de la situación, añ</w:t>
      </w:r>
      <w:r w:rsidRPr="001D5367">
        <w:rPr>
          <w:rFonts w:ascii="Helvetica LT Std" w:hAnsi="Helvetica LT Std"/>
        </w:rPr>
        <w:t>a</w:t>
      </w:r>
      <w:r w:rsidRPr="001D5367">
        <w:rPr>
          <w:rFonts w:ascii="Helvetica LT Std" w:hAnsi="Helvetica LT Std"/>
        </w:rPr>
        <w:t xml:space="preserve">dir al tercer párrafo, el siguiente contenido: </w:t>
      </w:r>
    </w:p>
    <w:p w:rsidR="009B4D5C" w:rsidRPr="001D5367" w:rsidRDefault="009B4D5C" w:rsidP="009B4D5C">
      <w:pPr>
        <w:rPr>
          <w:rFonts w:ascii="Helvetica LT Std" w:hAnsi="Helvetica LT Std"/>
        </w:rPr>
      </w:pPr>
      <w:r w:rsidRPr="001D5367">
        <w:rPr>
          <w:rFonts w:ascii="Helvetica LT Std" w:hAnsi="Helvetica LT Std"/>
        </w:rPr>
        <w:t>Acuerdo del Gobierno de Navarra de 18 de marzo de 2015 en el que se manifiesta la volu</w:t>
      </w:r>
      <w:r w:rsidRPr="001D5367">
        <w:rPr>
          <w:rFonts w:ascii="Helvetica LT Std" w:hAnsi="Helvetica LT Std"/>
        </w:rPr>
        <w:t>n</w:t>
      </w:r>
      <w:r w:rsidRPr="001D5367">
        <w:rPr>
          <w:rFonts w:ascii="Helvetica LT Std" w:hAnsi="Helvetica LT Std"/>
        </w:rPr>
        <w:t xml:space="preserve">tad del Gobierno de Navarra de mantener los compromisos adquiridos en el anterior convenio y de seguir apoyando a </w:t>
      </w:r>
      <w:proofErr w:type="spellStart"/>
      <w:r w:rsidRPr="001D5367">
        <w:rPr>
          <w:rFonts w:ascii="Helvetica LT Std" w:hAnsi="Helvetica LT Std"/>
        </w:rPr>
        <w:t>Nasuvinsa</w:t>
      </w:r>
      <w:proofErr w:type="spellEnd"/>
      <w:r w:rsidRPr="001D5367">
        <w:rPr>
          <w:rFonts w:ascii="Helvetica LT Std" w:hAnsi="Helvetica LT Std"/>
        </w:rPr>
        <w:t xml:space="preserve"> en el desarrollo de la CT, especialmente en lo referente a los impo</w:t>
      </w:r>
      <w:r w:rsidRPr="001D5367">
        <w:rPr>
          <w:rFonts w:ascii="Helvetica LT Std" w:hAnsi="Helvetica LT Std"/>
        </w:rPr>
        <w:t>r</w:t>
      </w:r>
      <w:r w:rsidRPr="001D5367">
        <w:rPr>
          <w:rFonts w:ascii="Helvetica LT Std" w:hAnsi="Helvetica LT Std"/>
        </w:rPr>
        <w:t>tes para la adquisición de los terrenos. Este acuerdo se toma para proteger a dicha sociedad p</w:t>
      </w:r>
      <w:r w:rsidRPr="001D5367">
        <w:rPr>
          <w:rFonts w:ascii="Helvetica LT Std" w:hAnsi="Helvetica LT Std"/>
        </w:rPr>
        <w:t>ú</w:t>
      </w:r>
      <w:r w:rsidRPr="001D5367">
        <w:rPr>
          <w:rFonts w:ascii="Helvetica LT Std" w:hAnsi="Helvetica LT Std"/>
        </w:rPr>
        <w:t>blica, finalmente heredera de los derechos de otras sociedades anteriores creadas para el des</w:t>
      </w:r>
      <w:r w:rsidRPr="001D5367">
        <w:rPr>
          <w:rFonts w:ascii="Helvetica LT Std" w:hAnsi="Helvetica LT Std"/>
        </w:rPr>
        <w:t>a</w:t>
      </w:r>
      <w:r w:rsidRPr="001D5367">
        <w:rPr>
          <w:rFonts w:ascii="Helvetica LT Std" w:hAnsi="Helvetica LT Std"/>
        </w:rPr>
        <w:t>rrollo y gestión de la CT, ante un eventual fallo desfavorable en los diferentes pleitos judiciales s</w:t>
      </w:r>
      <w:r w:rsidRPr="001D5367">
        <w:rPr>
          <w:rFonts w:ascii="Helvetica LT Std" w:hAnsi="Helvetica LT Std"/>
        </w:rPr>
        <w:t>o</w:t>
      </w:r>
      <w:r w:rsidRPr="001D5367">
        <w:rPr>
          <w:rFonts w:ascii="Helvetica LT Std" w:hAnsi="Helvetica LT Std"/>
        </w:rPr>
        <w:t>bre el precio de las expropiaciones, entonces pendientes de resolver, y garantizar por ello su viab</w:t>
      </w:r>
      <w:r w:rsidRPr="001D5367">
        <w:rPr>
          <w:rFonts w:ascii="Helvetica LT Std" w:hAnsi="Helvetica LT Std"/>
        </w:rPr>
        <w:t>i</w:t>
      </w:r>
      <w:r w:rsidRPr="001D5367">
        <w:rPr>
          <w:rFonts w:ascii="Helvetica LT Std" w:hAnsi="Helvetica LT Std"/>
        </w:rPr>
        <w:t xml:space="preserve">lidad. </w:t>
      </w:r>
    </w:p>
    <w:p w:rsidR="009B4D5C" w:rsidRDefault="009B4D5C" w:rsidP="009B4D5C">
      <w:pPr>
        <w:rPr>
          <w:rFonts w:ascii="Helvetica LT Std" w:hAnsi="Helvetica LT Std"/>
        </w:rPr>
      </w:pPr>
      <w:r>
        <w:rPr>
          <w:rFonts w:ascii="Helvetica LT Std" w:hAnsi="Helvetica LT Std"/>
        </w:rPr>
        <w:t>2. En relación a la conclusión 32ª en su último párrafo. Se afirma que la sociedad gestora no percibe un porcentaje sobre los ingresos correspondientes a las naves dedicadas a alquiler, afi</w:t>
      </w:r>
      <w:r>
        <w:rPr>
          <w:rFonts w:ascii="Helvetica LT Std" w:hAnsi="Helvetica LT Std"/>
        </w:rPr>
        <w:t>r</w:t>
      </w:r>
      <w:r>
        <w:rPr>
          <w:rFonts w:ascii="Helvetica LT Std" w:hAnsi="Helvetica LT Std"/>
        </w:rPr>
        <w:t>mando que ello supone un incumplimiento del contrato firmado con la UTE.</w:t>
      </w:r>
    </w:p>
    <w:p w:rsidR="009B4D5C" w:rsidRPr="001D5367" w:rsidRDefault="009B4D5C" w:rsidP="009B4D5C">
      <w:pPr>
        <w:rPr>
          <w:rFonts w:ascii="Helvetica LT Std" w:hAnsi="Helvetica LT Std"/>
        </w:rPr>
      </w:pPr>
      <w:r>
        <w:rPr>
          <w:rFonts w:ascii="Helvetica LT Std" w:hAnsi="Helvetica LT Std"/>
        </w:rPr>
        <w:t>Si bien no obra en mi poder dicho contrato, y por ello no puedo hacerlo constar docume</w:t>
      </w:r>
      <w:r>
        <w:rPr>
          <w:rFonts w:ascii="Helvetica LT Std" w:hAnsi="Helvetica LT Std"/>
        </w:rPr>
        <w:t>n</w:t>
      </w:r>
      <w:r>
        <w:rPr>
          <w:rFonts w:ascii="Helvetica LT Std" w:hAnsi="Helvetica LT Std"/>
        </w:rPr>
        <w:t>talmente, tengo entendido que la concesionaria no tenía el deber contractual que se afirma, por lo que no estaríamos en ninguna situación de incumplimiento como la que se destaca. Por lo tanto, entiendo que dicho comentario conclusivo es incorrecto y debería suprimirse.</w:t>
      </w:r>
    </w:p>
    <w:p w:rsidR="009B4D5C" w:rsidRPr="001D5367" w:rsidRDefault="009B4D5C" w:rsidP="009B4D5C">
      <w:pPr>
        <w:rPr>
          <w:rFonts w:ascii="Helvetica LT Std" w:hAnsi="Helvetica LT Std"/>
        </w:rPr>
      </w:pPr>
      <w:r>
        <w:rPr>
          <w:rFonts w:ascii="Helvetica LT Std" w:hAnsi="Helvetica LT Std"/>
        </w:rPr>
        <w:t>3. En relación a la conclusión 33ª</w:t>
      </w:r>
      <w:r w:rsidRPr="001D5367">
        <w:rPr>
          <w:rFonts w:ascii="Helvetica LT Std" w:hAnsi="Helvetica LT Std"/>
        </w:rPr>
        <w:t>. En su segundo párrafo, últ</w:t>
      </w:r>
      <w:r>
        <w:rPr>
          <w:rFonts w:ascii="Helvetica LT Std" w:hAnsi="Helvetica LT Std"/>
        </w:rPr>
        <w:t xml:space="preserve">ima oración, se indica que "No </w:t>
      </w:r>
      <w:r w:rsidRPr="001D5367">
        <w:rPr>
          <w:rFonts w:ascii="Helvetica LT Std" w:hAnsi="Helvetica LT Std"/>
        </w:rPr>
        <w:t>consta expresamente el cumplimiento de la entrega de estas garantías", en relación a las gara</w:t>
      </w:r>
      <w:r w:rsidRPr="001D5367">
        <w:rPr>
          <w:rFonts w:ascii="Helvetica LT Std" w:hAnsi="Helvetica LT Std"/>
        </w:rPr>
        <w:t>n</w:t>
      </w:r>
      <w:r w:rsidRPr="001D5367">
        <w:rPr>
          <w:rFonts w:ascii="Helvetica LT Std" w:hAnsi="Helvetica LT Std"/>
        </w:rPr>
        <w:t xml:space="preserve">tías hipotecarias suficientes para cubrir la deuda pendiente. </w:t>
      </w:r>
    </w:p>
    <w:p w:rsidR="009B4D5C" w:rsidRPr="001D5367" w:rsidRDefault="009B4D5C" w:rsidP="009B4D5C">
      <w:pPr>
        <w:rPr>
          <w:rFonts w:ascii="Helvetica LT Std" w:hAnsi="Helvetica LT Std"/>
        </w:rPr>
      </w:pPr>
      <w:r w:rsidRPr="001D5367">
        <w:rPr>
          <w:rFonts w:ascii="Helvetica LT Std" w:hAnsi="Helvetica LT Std"/>
        </w:rPr>
        <w:t xml:space="preserve">Aunque al igual que en el caso anterior conservo el recuerdo de que se firmó una entrega de derecho de superficie sobre una parcela de la Tercera Fase, en forma de compraventa, para cancelar la deuda que entonces la UTE tenía pendiente con </w:t>
      </w:r>
      <w:proofErr w:type="spellStart"/>
      <w:r w:rsidRPr="001D5367">
        <w:rPr>
          <w:rFonts w:ascii="Helvetica LT Std" w:hAnsi="Helvetica LT Std"/>
        </w:rPr>
        <w:t>Nasuvinsa</w:t>
      </w:r>
      <w:proofErr w:type="spellEnd"/>
      <w:r w:rsidRPr="001D5367">
        <w:rPr>
          <w:rFonts w:ascii="Helvetica LT Std" w:hAnsi="Helvetica LT Std"/>
        </w:rPr>
        <w:t xml:space="preserve">. Esta compraventa se realizó seguramente a lo largo del año 2014, aunque no tengo en mi poder constancia documental sobre el asunto. </w:t>
      </w:r>
    </w:p>
    <w:p w:rsidR="009B4D5C" w:rsidRPr="001D5367" w:rsidRDefault="009B4D5C" w:rsidP="009B4D5C">
      <w:pPr>
        <w:rPr>
          <w:rFonts w:ascii="Helvetica LT Std" w:hAnsi="Helvetica LT Std"/>
        </w:rPr>
      </w:pPr>
      <w:r w:rsidRPr="001D5367">
        <w:rPr>
          <w:rFonts w:ascii="Helvetica LT Std" w:hAnsi="Helvetica LT Std"/>
        </w:rPr>
        <w:t>A partir del año 2015, y sobre todo a partir de junio de 2015, mes en el que ceso en mi puesto de Consejero, desconozco si se han realizado otras adquisiciones de suelo para compe</w:t>
      </w:r>
      <w:r w:rsidRPr="001D5367">
        <w:rPr>
          <w:rFonts w:ascii="Helvetica LT Std" w:hAnsi="Helvetica LT Std"/>
        </w:rPr>
        <w:t>n</w:t>
      </w:r>
      <w:r w:rsidRPr="001D5367">
        <w:rPr>
          <w:rFonts w:ascii="Helvetica LT Std" w:hAnsi="Helvetica LT Std"/>
        </w:rPr>
        <w:t xml:space="preserve">sar las deudas acumuladas en el pago del canon por la UTE. </w:t>
      </w:r>
    </w:p>
    <w:p w:rsidR="009B4D5C" w:rsidRPr="001D5367" w:rsidRDefault="009B4D5C" w:rsidP="009B4D5C">
      <w:pPr>
        <w:rPr>
          <w:rFonts w:ascii="Helvetica LT Std" w:hAnsi="Helvetica LT Std"/>
        </w:rPr>
      </w:pPr>
      <w:r w:rsidRPr="001D5367">
        <w:rPr>
          <w:rFonts w:ascii="Helvetica LT Std" w:hAnsi="Helvetica LT Std"/>
        </w:rPr>
        <w:t xml:space="preserve">Entiendo además que, de comprobarse la entrega de derecho de superficie antes referida, tal vez debiera ajustarse la cifra de cantidad pendiente de cobro que consta en el tercer párrafo de la conclusión. </w:t>
      </w:r>
    </w:p>
    <w:p w:rsidR="009B4D5C" w:rsidRPr="001D5367" w:rsidRDefault="009B4D5C" w:rsidP="009B4D5C">
      <w:pPr>
        <w:rPr>
          <w:rFonts w:ascii="Helvetica LT Std" w:hAnsi="Helvetica LT Std"/>
        </w:rPr>
      </w:pPr>
      <w:r w:rsidRPr="001D5367">
        <w:rPr>
          <w:rFonts w:ascii="Helvetica LT Std" w:hAnsi="Helvetica LT Std"/>
        </w:rPr>
        <w:t>4. En relación a la Recomendación primera (primer "</w:t>
      </w:r>
      <w:proofErr w:type="spellStart"/>
      <w:r w:rsidRPr="001D5367">
        <w:rPr>
          <w:rFonts w:ascii="Helvetica LT Std" w:hAnsi="Helvetica LT Std"/>
        </w:rPr>
        <w:t>bullet</w:t>
      </w:r>
      <w:proofErr w:type="spellEnd"/>
      <w:r w:rsidRPr="001D5367">
        <w:rPr>
          <w:rFonts w:ascii="Helvetica LT Std" w:hAnsi="Helvetica LT Std"/>
        </w:rPr>
        <w:t xml:space="preserve">"): </w:t>
      </w:r>
    </w:p>
    <w:p w:rsidR="009B4D5C" w:rsidRPr="001D5367" w:rsidRDefault="009B4D5C" w:rsidP="009B4D5C">
      <w:pPr>
        <w:rPr>
          <w:rFonts w:ascii="Helvetica LT Std" w:hAnsi="Helvetica LT Std"/>
        </w:rPr>
      </w:pPr>
      <w:r w:rsidRPr="001D5367">
        <w:rPr>
          <w:rFonts w:ascii="Helvetica LT Std" w:hAnsi="Helvetica LT Std"/>
        </w:rPr>
        <w:t>Manifiesto mi total conformidad con tan evidente recomendación. Sin embargo, considero que no puede desligarse de la recomendación tercera (tercer "</w:t>
      </w:r>
      <w:proofErr w:type="spellStart"/>
      <w:r w:rsidRPr="001D5367">
        <w:rPr>
          <w:rFonts w:ascii="Helvetica LT Std" w:hAnsi="Helvetica LT Std"/>
        </w:rPr>
        <w:t>bullet</w:t>
      </w:r>
      <w:proofErr w:type="spellEnd"/>
      <w:r w:rsidRPr="001D5367">
        <w:rPr>
          <w:rFonts w:ascii="Helvetica LT Std" w:hAnsi="Helvetica LT Std"/>
        </w:rPr>
        <w:t>"). Desde mi punto de vista, el valor de expropiación fijado por los tribunales era imprevisible y desde luego, como valor de repe</w:t>
      </w:r>
      <w:r w:rsidRPr="001D5367">
        <w:rPr>
          <w:rFonts w:ascii="Helvetica LT Std" w:hAnsi="Helvetica LT Std"/>
        </w:rPr>
        <w:t>r</w:t>
      </w:r>
      <w:r w:rsidRPr="001D5367">
        <w:rPr>
          <w:rFonts w:ascii="Helvetica LT Std" w:hAnsi="Helvetica LT Std"/>
        </w:rPr>
        <w:t>cusión en el precio final de los productos, bien sean parcelas o naves, superiores a los umbrales de precio que soporta la promoción de la propia CT. Por ello sugiero que se amplíe dicha rec</w:t>
      </w:r>
      <w:r w:rsidRPr="001D5367">
        <w:rPr>
          <w:rFonts w:ascii="Helvetica LT Std" w:hAnsi="Helvetica LT Std"/>
        </w:rPr>
        <w:t>o</w:t>
      </w:r>
      <w:r w:rsidRPr="001D5367">
        <w:rPr>
          <w:rFonts w:ascii="Helvetica LT Std" w:hAnsi="Helvetica LT Std"/>
        </w:rPr>
        <w:t>mendación con el añadido de un párrafo en esta primera recomendación con el contenido siguie</w:t>
      </w:r>
      <w:r w:rsidRPr="001D5367">
        <w:rPr>
          <w:rFonts w:ascii="Helvetica LT Std" w:hAnsi="Helvetica LT Std"/>
        </w:rPr>
        <w:t>n</w:t>
      </w:r>
      <w:r w:rsidRPr="001D5367">
        <w:rPr>
          <w:rFonts w:ascii="Helvetica LT Std" w:hAnsi="Helvetica LT Std"/>
        </w:rPr>
        <w:t xml:space="preserve">te: </w:t>
      </w:r>
    </w:p>
    <w:p w:rsidR="009B4D5C" w:rsidRPr="001D5367" w:rsidRDefault="009B4D5C" w:rsidP="009B4D5C">
      <w:pPr>
        <w:rPr>
          <w:rFonts w:ascii="Helvetica LT Std" w:hAnsi="Helvetica LT Std"/>
        </w:rPr>
      </w:pPr>
      <w:r w:rsidRPr="001D5367">
        <w:rPr>
          <w:rFonts w:ascii="Helvetica LT Std" w:hAnsi="Helvetica LT Std"/>
        </w:rPr>
        <w:t xml:space="preserve">Se deberá tener especial cuidado en las previsiones del coste del suelo, por la incidencia que posteriormente pudiera tener en la viabilidad de estas operaciones. </w:t>
      </w:r>
    </w:p>
    <w:p w:rsidR="009B4D5C" w:rsidRPr="001D5367" w:rsidRDefault="009B4D5C" w:rsidP="009B4D5C">
      <w:pPr>
        <w:rPr>
          <w:rFonts w:ascii="Helvetica LT Std" w:hAnsi="Helvetica LT Std"/>
        </w:rPr>
      </w:pPr>
      <w:r w:rsidRPr="001D5367">
        <w:rPr>
          <w:rFonts w:ascii="Helvetica LT Std" w:hAnsi="Helvetica LT Std"/>
        </w:rPr>
        <w:t>5. Añadir un párrafo al final de la recomendación tercera (tercer "</w:t>
      </w:r>
      <w:proofErr w:type="spellStart"/>
      <w:r w:rsidRPr="001D5367">
        <w:rPr>
          <w:rFonts w:ascii="Helvetica LT Std" w:hAnsi="Helvetica LT Std"/>
        </w:rPr>
        <w:t>bullet</w:t>
      </w:r>
      <w:proofErr w:type="spellEnd"/>
      <w:r w:rsidRPr="001D5367">
        <w:rPr>
          <w:rFonts w:ascii="Helvetica LT Std" w:hAnsi="Helvetica LT Std"/>
        </w:rPr>
        <w:t xml:space="preserve">"): </w:t>
      </w:r>
    </w:p>
    <w:p w:rsidR="009B4D5C" w:rsidRDefault="009B4D5C" w:rsidP="009B4D5C">
      <w:pPr>
        <w:rPr>
          <w:rFonts w:ascii="Helvetica LT Std" w:hAnsi="Helvetica LT Std"/>
        </w:rPr>
      </w:pPr>
      <w:r w:rsidRPr="001D5367">
        <w:rPr>
          <w:rFonts w:ascii="Helvetica LT Std" w:hAnsi="Helvetica LT Std"/>
        </w:rPr>
        <w:t xml:space="preserve">La fijación del precio de la expropiación en las hojas de aprecio, si se acude a este sistema de obtención de suelo, tendrá en cuenta las hipótesis y parámetros más ajustados al mercado de los terrenos y a los costes de la edificación en las promociones de carácter privado que puedan existir en el entorno. </w:t>
      </w:r>
    </w:p>
    <w:p w:rsidR="009B4D5C" w:rsidRPr="001D5367" w:rsidRDefault="009B4D5C" w:rsidP="009B4D5C">
      <w:pPr>
        <w:rPr>
          <w:rFonts w:ascii="Helvetica LT Std" w:hAnsi="Helvetica LT Std"/>
        </w:rPr>
      </w:pPr>
      <w:r>
        <w:rPr>
          <w:rFonts w:ascii="Helvetica LT Std" w:hAnsi="Helvetica LT Std"/>
        </w:rPr>
        <w:t>6. En relación a la Recomendación quinta (quinto “</w:t>
      </w:r>
      <w:proofErr w:type="spellStart"/>
      <w:r>
        <w:rPr>
          <w:rFonts w:ascii="Helvetica LT Std" w:hAnsi="Helvetica LT Std"/>
        </w:rPr>
        <w:t>bullet</w:t>
      </w:r>
      <w:proofErr w:type="spellEnd"/>
      <w:r>
        <w:rPr>
          <w:rFonts w:ascii="Helvetica LT Std" w:hAnsi="Helvetica LT Std"/>
        </w:rPr>
        <w:t xml:space="preserve">”). En relación a lo que se señala en la segunda oración del párrafo, tras la “y”, es posible que deba suprimirse por lo indicado en la alegación número dos del presente escrito. </w:t>
      </w:r>
    </w:p>
    <w:p w:rsidR="009B4D5C" w:rsidRPr="001D5367" w:rsidRDefault="009B4D5C" w:rsidP="009B4D5C">
      <w:pPr>
        <w:rPr>
          <w:rFonts w:ascii="Helvetica LT Std" w:hAnsi="Helvetica LT Std"/>
        </w:rPr>
      </w:pPr>
      <w:r>
        <w:rPr>
          <w:rFonts w:ascii="Helvetica LT Std" w:hAnsi="Helvetica LT Std"/>
        </w:rPr>
        <w:t xml:space="preserve">7. </w:t>
      </w:r>
      <w:r w:rsidRPr="001D5367">
        <w:rPr>
          <w:rFonts w:ascii="Helvetica LT Std" w:hAnsi="Helvetica LT Std"/>
        </w:rPr>
        <w:t>En relación a la Recomendación sexta (sexto "</w:t>
      </w:r>
      <w:proofErr w:type="spellStart"/>
      <w:r w:rsidRPr="001D5367">
        <w:rPr>
          <w:rFonts w:ascii="Helvetica LT Std" w:hAnsi="Helvetica LT Std"/>
        </w:rPr>
        <w:t>bullet</w:t>
      </w:r>
      <w:proofErr w:type="spellEnd"/>
      <w:r w:rsidRPr="001D5367">
        <w:rPr>
          <w:rFonts w:ascii="Helvetica LT Std" w:hAnsi="Helvetica LT Std"/>
        </w:rPr>
        <w:t>"). Si se comprueba el pago al que me he referido en mi alegación 3ª, entiendo que una forma de "garantizar" el pago de las cantid</w:t>
      </w:r>
      <w:r w:rsidRPr="001D5367">
        <w:rPr>
          <w:rFonts w:ascii="Helvetica LT Std" w:hAnsi="Helvetica LT Std"/>
        </w:rPr>
        <w:t>a</w:t>
      </w:r>
      <w:r w:rsidRPr="001D5367">
        <w:rPr>
          <w:rFonts w:ascii="Helvetica LT Std" w:hAnsi="Helvetica LT Std"/>
        </w:rPr>
        <w:t xml:space="preserve">des pendientes sería una nueva venta de derecho de superficie, que debería haberse hecho ya. Por ello propongo que dicha recomendación se reescriba en la forma siguiente o similar: </w:t>
      </w:r>
    </w:p>
    <w:p w:rsidR="009B4D5C" w:rsidRPr="001D5367" w:rsidRDefault="009B4D5C" w:rsidP="009B4D5C">
      <w:pPr>
        <w:rPr>
          <w:rFonts w:ascii="Helvetica LT Std" w:hAnsi="Helvetica LT Std"/>
        </w:rPr>
      </w:pPr>
      <w:r w:rsidRPr="001D5367">
        <w:rPr>
          <w:rFonts w:ascii="Helvetica LT Std" w:hAnsi="Helvetica LT Std"/>
        </w:rPr>
        <w:t xml:space="preserve">Cancelar las deudas pendientes de la UTE mediante la entrega del derecho de superficie que corresponda mediante un contrato de compraventa del mismo. Repetir esta fórmula a futuro de forma periódica. </w:t>
      </w:r>
    </w:p>
    <w:p w:rsidR="009B4D5C" w:rsidRPr="001D5367" w:rsidRDefault="009B4D5C" w:rsidP="009B4D5C">
      <w:pPr>
        <w:rPr>
          <w:rFonts w:ascii="Helvetica LT Std" w:hAnsi="Helvetica LT Std"/>
        </w:rPr>
      </w:pPr>
      <w:r w:rsidRPr="001D5367">
        <w:rPr>
          <w:rFonts w:ascii="Helvetica LT Std" w:hAnsi="Helvetica LT Std"/>
        </w:rPr>
        <w:t xml:space="preserve">30/05/2018 </w:t>
      </w:r>
    </w:p>
    <w:p w:rsidR="009B4D5C" w:rsidRPr="001D5367" w:rsidRDefault="009B4D5C" w:rsidP="009B4D5C">
      <w:pPr>
        <w:rPr>
          <w:rFonts w:ascii="Helvetica LT Std" w:hAnsi="Helvetica LT Std"/>
        </w:rPr>
      </w:pPr>
      <w:r w:rsidRPr="001D5367">
        <w:rPr>
          <w:rFonts w:ascii="Helvetica LT Std" w:hAnsi="Helvetica LT Std"/>
        </w:rPr>
        <w:t xml:space="preserve">Luis </w:t>
      </w:r>
      <w:proofErr w:type="spellStart"/>
      <w:r w:rsidRPr="001D5367">
        <w:rPr>
          <w:rFonts w:ascii="Helvetica LT Std" w:hAnsi="Helvetica LT Std"/>
        </w:rPr>
        <w:t>Zarraluqui</w:t>
      </w:r>
      <w:proofErr w:type="spellEnd"/>
      <w:r w:rsidRPr="001D5367">
        <w:rPr>
          <w:rFonts w:ascii="Helvetica LT Std" w:hAnsi="Helvetica LT Std"/>
        </w:rPr>
        <w:t xml:space="preserve"> </w:t>
      </w:r>
      <w:proofErr w:type="spellStart"/>
      <w:r w:rsidRPr="001D5367">
        <w:rPr>
          <w:rFonts w:ascii="Helvetica LT Std" w:hAnsi="Helvetica LT Std"/>
        </w:rPr>
        <w:t>Ortigosa</w:t>
      </w:r>
      <w:proofErr w:type="spellEnd"/>
      <w:r w:rsidRPr="001D5367">
        <w:rPr>
          <w:rFonts w:ascii="Helvetica LT Std" w:hAnsi="Helvetica LT Std"/>
        </w:rPr>
        <w:t xml:space="preserve"> </w:t>
      </w:r>
    </w:p>
    <w:p w:rsidR="009B4D5C" w:rsidRDefault="009B4D5C" w:rsidP="009B4D5C">
      <w:pPr>
        <w:rPr>
          <w:rFonts w:ascii="Helvetica LT Std" w:hAnsi="Helvetica LT Std"/>
        </w:rPr>
      </w:pPr>
      <w:r>
        <w:rPr>
          <w:rFonts w:ascii="Helvetica LT Std" w:hAnsi="Helvetica LT Std"/>
        </w:rPr>
        <w:t>SANCO-GM, UTE</w:t>
      </w:r>
    </w:p>
    <w:p w:rsidR="009B4D5C" w:rsidRPr="001D5367" w:rsidRDefault="009B4D5C" w:rsidP="009B4D5C">
      <w:pPr>
        <w:rPr>
          <w:rFonts w:ascii="Helvetica LT Std" w:hAnsi="Helvetica LT Std"/>
        </w:rPr>
      </w:pPr>
      <w:r>
        <w:rPr>
          <w:rFonts w:ascii="Helvetica LT Std" w:hAnsi="Helvetica LT Std"/>
        </w:rPr>
        <w:t>Á</w:t>
      </w:r>
      <w:r w:rsidRPr="001D5367">
        <w:rPr>
          <w:rFonts w:ascii="Helvetica LT Std" w:hAnsi="Helvetica LT Std"/>
        </w:rPr>
        <w:t>ngel-María García Clavijo</w:t>
      </w:r>
      <w:proofErr w:type="gramStart"/>
      <w:r w:rsidRPr="001D5367">
        <w:rPr>
          <w:rFonts w:ascii="Helvetica LT Std" w:hAnsi="Helvetica LT Std"/>
        </w:rPr>
        <w:t>, ,</w:t>
      </w:r>
      <w:proofErr w:type="gramEnd"/>
      <w:r w:rsidRPr="001D5367">
        <w:rPr>
          <w:rFonts w:ascii="Helvetica LT Std" w:hAnsi="Helvetica LT Std"/>
        </w:rPr>
        <w:t xml:space="preserve"> ante la Cámara De Comptos de Navarra </w:t>
      </w:r>
      <w:r>
        <w:rPr>
          <w:rFonts w:ascii="Helvetica LT Std" w:hAnsi="Helvetica LT Std"/>
        </w:rPr>
        <w:t>com</w:t>
      </w:r>
      <w:r w:rsidRPr="001D5367">
        <w:rPr>
          <w:rFonts w:ascii="Helvetica LT Std" w:hAnsi="Helvetica LT Std"/>
        </w:rPr>
        <w:t>parezco y, como sea más procedente</w:t>
      </w:r>
      <w:r>
        <w:rPr>
          <w:rFonts w:ascii="Helvetica LT Std" w:hAnsi="Helvetica LT Std"/>
        </w:rPr>
        <w:t>,</w:t>
      </w:r>
      <w:r w:rsidRPr="001D5367">
        <w:rPr>
          <w:rFonts w:ascii="Helvetica LT Std" w:hAnsi="Helvetica LT Std"/>
        </w:rPr>
        <w:t xml:space="preserve"> digo: </w:t>
      </w:r>
    </w:p>
    <w:p w:rsidR="009B4D5C" w:rsidRPr="001D5367" w:rsidRDefault="009B4D5C" w:rsidP="009B4D5C">
      <w:pPr>
        <w:rPr>
          <w:rFonts w:ascii="Helvetica LT Std" w:hAnsi="Helvetica LT Std"/>
        </w:rPr>
      </w:pPr>
      <w:r w:rsidRPr="001D5367">
        <w:rPr>
          <w:rFonts w:ascii="Helvetica LT Std" w:hAnsi="Helvetica LT Std"/>
        </w:rPr>
        <w:t>1.- Se hace referencia a la resolución de la Sra.</w:t>
      </w:r>
      <w:r>
        <w:rPr>
          <w:rFonts w:ascii="Helvetica LT Std" w:hAnsi="Helvetica LT Std"/>
        </w:rPr>
        <w:t xml:space="preserve"> Presidenta de la Cámara de Com</w:t>
      </w:r>
      <w:r w:rsidRPr="001D5367">
        <w:rPr>
          <w:rFonts w:ascii="Helvetica LT Std" w:hAnsi="Helvetica LT Std"/>
        </w:rPr>
        <w:t>ptos de Navarra de 18 de mayo de 2018, por la que se acuerda dar traslado a Sanco-GM, UTE, del "Info</w:t>
      </w:r>
      <w:r w:rsidRPr="001D5367">
        <w:rPr>
          <w:rFonts w:ascii="Helvetica LT Std" w:hAnsi="Helvetica LT Std"/>
        </w:rPr>
        <w:t>r</w:t>
      </w:r>
      <w:r w:rsidRPr="001D5367">
        <w:rPr>
          <w:rFonts w:ascii="Helvetica LT Std" w:hAnsi="Helvetica LT Std"/>
        </w:rPr>
        <w:t xml:space="preserve">me provisional sobre la Ciudad del Transporte de la Comarca de Pamplona (1991-2017)", emitido a propuesta del auditor D. Ignacio Cabeza del Salvador, y se concede a nuestra UTE trámite de alegaciones cuyo plazo de formulación fina este 30 de mayo. </w:t>
      </w:r>
    </w:p>
    <w:p w:rsidR="009B4D5C" w:rsidRPr="001D5367" w:rsidRDefault="009B4D5C" w:rsidP="009B4D5C">
      <w:pPr>
        <w:rPr>
          <w:rFonts w:ascii="Helvetica LT Std" w:hAnsi="Helvetica LT Std"/>
        </w:rPr>
      </w:pPr>
      <w:r>
        <w:rPr>
          <w:rFonts w:ascii="Helvetica LT Std" w:hAnsi="Helvetica LT Std"/>
        </w:rPr>
        <w:t>II</w:t>
      </w:r>
      <w:r w:rsidRPr="001D5367">
        <w:rPr>
          <w:rFonts w:ascii="Helvetica LT Std" w:hAnsi="Helvetica LT Std"/>
        </w:rPr>
        <w:t>.- Con carácter previo, y general, quiere resaltar esta UTE la seriedad y rigor con el que se ha abordado por la Cámara de Comptos</w:t>
      </w:r>
      <w:r>
        <w:rPr>
          <w:rFonts w:ascii="Helvetica LT Std" w:hAnsi="Helvetica LT Std"/>
        </w:rPr>
        <w:t xml:space="preserve"> la realización del meritado in</w:t>
      </w:r>
      <w:r w:rsidRPr="001D5367">
        <w:rPr>
          <w:rFonts w:ascii="Helvetica LT Std" w:hAnsi="Helvetica LT Std"/>
        </w:rPr>
        <w:t>forme provisional, y el hecho de que en ninguna</w:t>
      </w:r>
      <w:r>
        <w:rPr>
          <w:rFonts w:ascii="Helvetica LT Std" w:hAnsi="Helvetica LT Std"/>
        </w:rPr>
        <w:t xml:space="preserve"> de sus consideraciones se cues</w:t>
      </w:r>
      <w:r w:rsidRPr="001D5367">
        <w:rPr>
          <w:rFonts w:ascii="Helvetica LT Std" w:hAnsi="Helvetica LT Std"/>
        </w:rPr>
        <w:t>tione la misma seriedad y rigor en el compo</w:t>
      </w:r>
      <w:r w:rsidRPr="001D5367">
        <w:rPr>
          <w:rFonts w:ascii="Helvetica LT Std" w:hAnsi="Helvetica LT Std"/>
        </w:rPr>
        <w:t>r</w:t>
      </w:r>
      <w:r w:rsidRPr="001D5367">
        <w:rPr>
          <w:rFonts w:ascii="Helvetica LT Std" w:hAnsi="Helvetica LT Std"/>
        </w:rPr>
        <w:t>ta</w:t>
      </w:r>
      <w:r>
        <w:rPr>
          <w:rFonts w:ascii="Helvetica LT Std" w:hAnsi="Helvetica LT Std"/>
        </w:rPr>
        <w:t>miento de Sanco-GM, desde la ad</w:t>
      </w:r>
      <w:r w:rsidRPr="001D5367">
        <w:rPr>
          <w:rFonts w:ascii="Helvetica LT Std" w:hAnsi="Helvetica LT Std"/>
        </w:rPr>
        <w:t xml:space="preserve">judicación inicial que en su día le fue hecha de la primera y segunda fases de la conocida, coloquialmente, como Ciudad del Transporte de Pamplona, hasta la fecha. </w:t>
      </w:r>
    </w:p>
    <w:p w:rsidR="009B4D5C" w:rsidRPr="001D5367" w:rsidRDefault="009B4D5C" w:rsidP="009B4D5C">
      <w:pPr>
        <w:rPr>
          <w:rFonts w:ascii="Helvetica LT Std" w:hAnsi="Helvetica LT Std"/>
        </w:rPr>
      </w:pPr>
      <w:r>
        <w:rPr>
          <w:rFonts w:ascii="Helvetica LT Std" w:hAnsi="Helvetica LT Std"/>
        </w:rPr>
        <w:t>III</w:t>
      </w:r>
      <w:r w:rsidRPr="001D5367">
        <w:rPr>
          <w:rFonts w:ascii="Helvetica LT Std" w:hAnsi="Helvetica LT Std"/>
        </w:rPr>
        <w:t>.- Ello no obstante, y aunque la brevedad del plazo de alegaciones concedido, y el mismo propósito de este escrito, impiden y desaconsejan que su contenido sea más extenso y docume</w:t>
      </w:r>
      <w:r w:rsidRPr="001D5367">
        <w:rPr>
          <w:rFonts w:ascii="Helvetica LT Std" w:hAnsi="Helvetica LT Std"/>
        </w:rPr>
        <w:t>n</w:t>
      </w:r>
      <w:r w:rsidRPr="001D5367">
        <w:rPr>
          <w:rFonts w:ascii="Helvetica LT Std" w:hAnsi="Helvetica LT Std"/>
        </w:rPr>
        <w:t>tado, y que se incorpo</w:t>
      </w:r>
      <w:r>
        <w:rPr>
          <w:rFonts w:ascii="Helvetica LT Std" w:hAnsi="Helvetica LT Std"/>
        </w:rPr>
        <w:t>ren referencias más pormenoriza</w:t>
      </w:r>
      <w:r w:rsidRPr="001D5367">
        <w:rPr>
          <w:rFonts w:ascii="Helvetica LT Std" w:hAnsi="Helvetica LT Std"/>
        </w:rPr>
        <w:t>das en relación con las dificultades que han debido -y todavía deben- superarse para el buen fin de la operación, es interés de Sanco-GM h</w:t>
      </w:r>
      <w:r w:rsidRPr="001D5367">
        <w:rPr>
          <w:rFonts w:ascii="Helvetica LT Std" w:hAnsi="Helvetica LT Std"/>
        </w:rPr>
        <w:t>a</w:t>
      </w:r>
      <w:r w:rsidRPr="001D5367">
        <w:rPr>
          <w:rFonts w:ascii="Helvetica LT Std" w:hAnsi="Helvetica LT Std"/>
        </w:rPr>
        <w:t>cer una consideración general sobre el proyecto de la Ciudad del Transp</w:t>
      </w:r>
      <w:r>
        <w:rPr>
          <w:rFonts w:ascii="Helvetica LT Std" w:hAnsi="Helvetica LT Std"/>
        </w:rPr>
        <w:t>orte, y algunas precisi</w:t>
      </w:r>
      <w:r>
        <w:rPr>
          <w:rFonts w:ascii="Helvetica LT Std" w:hAnsi="Helvetica LT Std"/>
        </w:rPr>
        <w:t>o</w:t>
      </w:r>
      <w:r>
        <w:rPr>
          <w:rFonts w:ascii="Helvetica LT Std" w:hAnsi="Helvetica LT Std"/>
        </w:rPr>
        <w:t>nes par</w:t>
      </w:r>
      <w:r w:rsidRPr="001D5367">
        <w:rPr>
          <w:rFonts w:ascii="Helvetica LT Std" w:hAnsi="Helvetica LT Std"/>
        </w:rPr>
        <w:t xml:space="preserve">ticulares sobre ciertas apreciaciones contenidas en el Informe redactado. </w:t>
      </w:r>
    </w:p>
    <w:p w:rsidR="009B4D5C" w:rsidRPr="001D5367" w:rsidRDefault="009B4D5C" w:rsidP="009B4D5C">
      <w:pPr>
        <w:rPr>
          <w:rFonts w:ascii="Helvetica LT Std" w:hAnsi="Helvetica LT Std"/>
        </w:rPr>
      </w:pPr>
      <w:r w:rsidRPr="001D5367">
        <w:rPr>
          <w:rFonts w:ascii="Helvetica LT Std" w:hAnsi="Helvetica LT Std"/>
        </w:rPr>
        <w:t>IV.- Como consideración general, debe poner de manifiesto nuestra UTE que la Ciudad del Transporte de Pamplona fue concebida, y ha sido gestionada, como un proyecto estratégico para el sector del transport</w:t>
      </w:r>
      <w:r>
        <w:rPr>
          <w:rFonts w:ascii="Helvetica LT Std" w:hAnsi="Helvetica LT Std"/>
        </w:rPr>
        <w:t>e y de la logística de la comar</w:t>
      </w:r>
      <w:r w:rsidRPr="001D5367">
        <w:rPr>
          <w:rFonts w:ascii="Helvetica LT Std" w:hAnsi="Helvetica LT Std"/>
        </w:rPr>
        <w:t>ca de Pamplona, siendo controlado direct</w:t>
      </w:r>
      <w:r w:rsidRPr="001D5367">
        <w:rPr>
          <w:rFonts w:ascii="Helvetica LT Std" w:hAnsi="Helvetica LT Std"/>
        </w:rPr>
        <w:t>a</w:t>
      </w:r>
      <w:r w:rsidRPr="001D5367">
        <w:rPr>
          <w:rFonts w:ascii="Helvetica LT Std" w:hAnsi="Helvetica LT Std"/>
        </w:rPr>
        <w:t>mente por el Gobierno de Navarra a través de una sociedad pública instrumental, inicialmente Terminal de Transportes de la Comarca de Pamplona, S.A., hoy día, tras d</w:t>
      </w:r>
      <w:r>
        <w:rPr>
          <w:rFonts w:ascii="Helvetica LT Std" w:hAnsi="Helvetica LT Std"/>
        </w:rPr>
        <w:t>istintas modificaciones societa</w:t>
      </w:r>
      <w:r w:rsidRPr="001D5367">
        <w:rPr>
          <w:rFonts w:ascii="Helvetica LT Std" w:hAnsi="Helvetica LT Std"/>
        </w:rPr>
        <w:t xml:space="preserve">rias, </w:t>
      </w:r>
      <w:proofErr w:type="spellStart"/>
      <w:r w:rsidRPr="001D5367">
        <w:rPr>
          <w:rFonts w:ascii="Helvetica LT Std" w:hAnsi="Helvetica LT Std"/>
        </w:rPr>
        <w:t>Nasuvinsa</w:t>
      </w:r>
      <w:proofErr w:type="spellEnd"/>
      <w:r w:rsidRPr="001D5367">
        <w:rPr>
          <w:rFonts w:ascii="Helvetica LT Std" w:hAnsi="Helvetica LT Std"/>
        </w:rPr>
        <w:t>. El referido control público, la limitación de los precios de venta, tasados por el Gobierno de Navarra, y los altos estándares de calidad exigidos a la adjudicataria, han h</w:t>
      </w:r>
      <w:r w:rsidRPr="001D5367">
        <w:rPr>
          <w:rFonts w:ascii="Helvetica LT Std" w:hAnsi="Helvetica LT Std"/>
        </w:rPr>
        <w:t>e</w:t>
      </w:r>
      <w:r w:rsidRPr="001D5367">
        <w:rPr>
          <w:rFonts w:ascii="Helvetica LT Std" w:hAnsi="Helvetica LT Std"/>
        </w:rPr>
        <w:t xml:space="preserve">cho que la actuación de </w:t>
      </w:r>
      <w:r>
        <w:rPr>
          <w:rFonts w:ascii="Helvetica LT Std" w:hAnsi="Helvetica LT Std"/>
        </w:rPr>
        <w:t xml:space="preserve">Sanco-GM, UTE, haya necesitado </w:t>
      </w:r>
      <w:r w:rsidRPr="001D5367">
        <w:rPr>
          <w:rFonts w:ascii="Helvetica LT Std" w:hAnsi="Helvetica LT Std"/>
        </w:rPr>
        <w:t>siempre de autorización previa para sus decisiones en relación con la ejecución del proyecto. Dentro de esta consideración general, procede resaltar, por último, que desde 1991 no se ha detectado irregularidad alguna en la gestión económica de la UTE que pueda cuestionar su transparencia, o a</w:t>
      </w:r>
      <w:r>
        <w:rPr>
          <w:rFonts w:ascii="Helvetica LT Std" w:hAnsi="Helvetica LT Std"/>
        </w:rPr>
        <w:t>limentar duda sobre la existencia de inj</w:t>
      </w:r>
      <w:r w:rsidRPr="001D5367">
        <w:rPr>
          <w:rFonts w:ascii="Helvetica LT Std" w:hAnsi="Helvetica LT Std"/>
        </w:rPr>
        <w:t>erencia alguna de intereses ajenos, distintos a los establecidos y promocionados por el G</w:t>
      </w:r>
      <w:r w:rsidRPr="001D5367">
        <w:rPr>
          <w:rFonts w:ascii="Helvetica LT Std" w:hAnsi="Helvetica LT Std"/>
        </w:rPr>
        <w:t>o</w:t>
      </w:r>
      <w:r w:rsidRPr="001D5367">
        <w:rPr>
          <w:rFonts w:ascii="Helvetica LT Std" w:hAnsi="Helvetica LT Std"/>
        </w:rPr>
        <w:t xml:space="preserve">bierno de Navarra; y que los problemas financieros de la UTE que han surgido en la Tercera Fase de la Ciudad del Transporte, </w:t>
      </w:r>
      <w:r>
        <w:rPr>
          <w:rFonts w:ascii="Helvetica LT Std" w:hAnsi="Helvetica LT Std"/>
        </w:rPr>
        <w:t>y han re</w:t>
      </w:r>
      <w:r w:rsidRPr="001D5367">
        <w:rPr>
          <w:rFonts w:ascii="Helvetica LT Std" w:hAnsi="Helvetica LT Std"/>
        </w:rPr>
        <w:t xml:space="preserve">percutido a </w:t>
      </w:r>
      <w:proofErr w:type="spellStart"/>
      <w:r w:rsidRPr="001D5367">
        <w:rPr>
          <w:rFonts w:ascii="Helvetica LT Std" w:hAnsi="Helvetica LT Std"/>
        </w:rPr>
        <w:t>Nasuvinsa</w:t>
      </w:r>
      <w:proofErr w:type="spellEnd"/>
      <w:r w:rsidRPr="001D5367">
        <w:rPr>
          <w:rFonts w:ascii="Helvetica LT Std" w:hAnsi="Helvetica LT Std"/>
        </w:rPr>
        <w:t>, han tenido un origen externo conoc</w:t>
      </w:r>
      <w:r w:rsidRPr="001D5367">
        <w:rPr>
          <w:rFonts w:ascii="Helvetica LT Std" w:hAnsi="Helvetica LT Std"/>
        </w:rPr>
        <w:t>i</w:t>
      </w:r>
      <w:r w:rsidRPr="001D5367">
        <w:rPr>
          <w:rFonts w:ascii="Helvetica LT Std" w:hAnsi="Helvetica LT Std"/>
        </w:rPr>
        <w:t xml:space="preserve">do y ajeno a nuestra UTE: la crisis empresarial generalizada iniciada en 2007, que ha afectado de forma importante al sector del transporte y de la logística, y agudísimamente al sector inmobiliario, suponiendo un cambio radical, por su imprevisión y magnitud, en las circunstancias concurrentes al tiempo de sentarse las bases de desarrollo de la Tercera Fase de la Ciudad del Transporte. </w:t>
      </w:r>
    </w:p>
    <w:p w:rsidR="009B4D5C" w:rsidRPr="001D5367" w:rsidRDefault="009B4D5C" w:rsidP="009B4D5C">
      <w:pPr>
        <w:rPr>
          <w:rFonts w:ascii="Helvetica LT Std" w:hAnsi="Helvetica LT Std"/>
        </w:rPr>
      </w:pPr>
      <w:r w:rsidRPr="001D5367">
        <w:rPr>
          <w:rFonts w:ascii="Helvetica LT Std" w:hAnsi="Helvetica LT Std"/>
        </w:rPr>
        <w:t>V.- Hecha la consideración general que antecede, entendemos conveniente hacer las s</w:t>
      </w:r>
      <w:r w:rsidRPr="001D5367">
        <w:rPr>
          <w:rFonts w:ascii="Helvetica LT Std" w:hAnsi="Helvetica LT Std"/>
        </w:rPr>
        <w:t>i</w:t>
      </w:r>
      <w:r w:rsidRPr="001D5367">
        <w:rPr>
          <w:rFonts w:ascii="Helvetica LT Std" w:hAnsi="Helvetica LT Std"/>
        </w:rPr>
        <w:t xml:space="preserve">guientes alegaciones en relación con las conclusiones y recomendaciones incluidas en el informe provisional: </w:t>
      </w:r>
    </w:p>
    <w:p w:rsidR="009B4D5C" w:rsidRPr="001D5367" w:rsidRDefault="009B4D5C" w:rsidP="009B4D5C">
      <w:pPr>
        <w:rPr>
          <w:rFonts w:ascii="Helvetica LT Std" w:hAnsi="Helvetica LT Std"/>
        </w:rPr>
      </w:pPr>
      <w:r>
        <w:rPr>
          <w:rFonts w:ascii="Helvetica LT Std" w:hAnsi="Helvetica LT Std"/>
        </w:rPr>
        <w:t>1 ª</w:t>
      </w:r>
      <w:r w:rsidRPr="001D5367">
        <w:rPr>
          <w:rFonts w:ascii="Helvetica LT Std" w:hAnsi="Helvetica LT Std"/>
        </w:rPr>
        <w:t xml:space="preserve">.- Naves en arrendamiento.- </w:t>
      </w:r>
    </w:p>
    <w:p w:rsidR="009B4D5C" w:rsidRPr="001D5367" w:rsidRDefault="009B4D5C" w:rsidP="009B4D5C">
      <w:pPr>
        <w:rPr>
          <w:rFonts w:ascii="Helvetica LT Std" w:hAnsi="Helvetica LT Std"/>
        </w:rPr>
      </w:pPr>
      <w:r w:rsidRPr="001D5367">
        <w:rPr>
          <w:rFonts w:ascii="Helvetica LT Std" w:hAnsi="Helvetica LT Std"/>
        </w:rPr>
        <w:t>En relación con la conclusión 32ª, recomendación quinta, Sanco-GM, UTE, se muestra di</w:t>
      </w:r>
      <w:r w:rsidRPr="001D5367">
        <w:rPr>
          <w:rFonts w:ascii="Helvetica LT Std" w:hAnsi="Helvetica LT Std"/>
        </w:rPr>
        <w:t>s</w:t>
      </w:r>
      <w:r w:rsidRPr="001D5367">
        <w:rPr>
          <w:rFonts w:ascii="Helvetica LT Std" w:hAnsi="Helvetica LT Std"/>
        </w:rPr>
        <w:t xml:space="preserve">conforme con la denuncia de incumplimiento de contrato reseñada en el Informe. </w:t>
      </w:r>
    </w:p>
    <w:p w:rsidR="009B4D5C" w:rsidRPr="001D5367" w:rsidRDefault="009B4D5C" w:rsidP="009B4D5C">
      <w:pPr>
        <w:rPr>
          <w:rFonts w:ascii="Helvetica LT Std" w:hAnsi="Helvetica LT Std"/>
        </w:rPr>
      </w:pPr>
      <w:r w:rsidRPr="001D5367">
        <w:rPr>
          <w:rFonts w:ascii="Helvetica LT Std" w:hAnsi="Helvetica LT Std"/>
        </w:rPr>
        <w:t>En el contrato de adjudicación de la Tercera Fase, Cláusula Tercera, se impuso a la adjud</w:t>
      </w:r>
      <w:r w:rsidRPr="001D5367">
        <w:rPr>
          <w:rFonts w:ascii="Helvetica LT Std" w:hAnsi="Helvetica LT Std"/>
        </w:rPr>
        <w:t>i</w:t>
      </w:r>
      <w:r w:rsidRPr="001D5367">
        <w:rPr>
          <w:rFonts w:ascii="Helvetica LT Std" w:hAnsi="Helvetica LT Std"/>
        </w:rPr>
        <w:t>cataria la explotación en régimen de ar</w:t>
      </w:r>
      <w:r>
        <w:rPr>
          <w:rFonts w:ascii="Helvetica LT Std" w:hAnsi="Helvetica LT Std"/>
        </w:rPr>
        <w:t>rendamiento del 20% de la super</w:t>
      </w:r>
      <w:r w:rsidRPr="001D5367">
        <w:rPr>
          <w:rFonts w:ascii="Helvetica LT Std" w:hAnsi="Helvetica LT Std"/>
        </w:rPr>
        <w:t>ficie total de naves previ</w:t>
      </w:r>
      <w:r w:rsidRPr="001D5367">
        <w:rPr>
          <w:rFonts w:ascii="Helvetica LT Std" w:hAnsi="Helvetica LT Std"/>
        </w:rPr>
        <w:t>s</w:t>
      </w:r>
      <w:r w:rsidRPr="001D5367">
        <w:rPr>
          <w:rFonts w:ascii="Helvetica LT Std" w:hAnsi="Helvetica LT Std"/>
        </w:rPr>
        <w:t>tas en el PSIS. En la actualidad, de los 386.613,33 m</w:t>
      </w:r>
      <w:r w:rsidRPr="00AA12EB">
        <w:rPr>
          <w:rFonts w:ascii="Helvetica LT Std" w:hAnsi="Helvetica LT Std"/>
          <w:vertAlign w:val="superscript"/>
        </w:rPr>
        <w:t>2</w:t>
      </w:r>
      <w:r w:rsidRPr="001D5367">
        <w:rPr>
          <w:rFonts w:ascii="Helvetica LT Std" w:hAnsi="Helvetica LT Std"/>
        </w:rPr>
        <w:t xml:space="preserve"> de parcelas previstas en el PSIS se encue</w:t>
      </w:r>
      <w:r w:rsidRPr="001D5367">
        <w:rPr>
          <w:rFonts w:ascii="Helvetica LT Std" w:hAnsi="Helvetica LT Std"/>
        </w:rPr>
        <w:t>n</w:t>
      </w:r>
      <w:r w:rsidRPr="001D5367">
        <w:rPr>
          <w:rFonts w:ascii="Helvetica LT Std" w:hAnsi="Helvetica LT Std"/>
        </w:rPr>
        <w:t>tran arrendados 71.513,75 m</w:t>
      </w:r>
      <w:r w:rsidRPr="00AA12EB">
        <w:rPr>
          <w:rFonts w:ascii="Helvetica LT Std" w:hAnsi="Helvetica LT Std"/>
          <w:vertAlign w:val="superscript"/>
        </w:rPr>
        <w:t>2</w:t>
      </w:r>
      <w:r w:rsidRPr="001D5367">
        <w:rPr>
          <w:rFonts w:ascii="Helvetica LT Std" w:hAnsi="Helvetica LT Std"/>
        </w:rPr>
        <w:t>, lo que representa un 18,643% del total (y un 30, 173% de la supe</w:t>
      </w:r>
      <w:r w:rsidRPr="001D5367">
        <w:rPr>
          <w:rFonts w:ascii="Helvetica LT Std" w:hAnsi="Helvetica LT Std"/>
        </w:rPr>
        <w:t>r</w:t>
      </w:r>
      <w:r w:rsidRPr="001D5367">
        <w:rPr>
          <w:rFonts w:ascii="Helvetica LT Std" w:hAnsi="Helvetica LT Std"/>
        </w:rPr>
        <w:t>ficie vendida, que en este momento asciende a 237.010,56 m</w:t>
      </w:r>
      <w:r w:rsidRPr="00AA12EB">
        <w:rPr>
          <w:rFonts w:ascii="Helvetica LT Std" w:hAnsi="Helvetica LT Std"/>
          <w:vertAlign w:val="superscript"/>
        </w:rPr>
        <w:t>2</w:t>
      </w:r>
      <w:r w:rsidRPr="001D5367">
        <w:rPr>
          <w:rFonts w:ascii="Helvetica LT Std" w:hAnsi="Helvetica LT Std"/>
        </w:rPr>
        <w:t>), de donde resulta que, de mant</w:t>
      </w:r>
      <w:r w:rsidRPr="001D5367">
        <w:rPr>
          <w:rFonts w:ascii="Helvetica LT Std" w:hAnsi="Helvetica LT Std"/>
        </w:rPr>
        <w:t>e</w:t>
      </w:r>
      <w:r w:rsidRPr="001D5367">
        <w:rPr>
          <w:rFonts w:ascii="Helvetica LT Std" w:hAnsi="Helvetica LT Std"/>
        </w:rPr>
        <w:t>nerse el mismo porcentaje, la superficie arrendada pod</w:t>
      </w:r>
      <w:r>
        <w:rPr>
          <w:rFonts w:ascii="Helvetica LT Std" w:hAnsi="Helvetica LT Std"/>
        </w:rPr>
        <w:t>rá superar finalmente la propor</w:t>
      </w:r>
      <w:r w:rsidRPr="001D5367">
        <w:rPr>
          <w:rFonts w:ascii="Helvetica LT Std" w:hAnsi="Helvetica LT Std"/>
        </w:rPr>
        <w:t>ción co</w:t>
      </w:r>
      <w:r w:rsidRPr="001D5367">
        <w:rPr>
          <w:rFonts w:ascii="Helvetica LT Std" w:hAnsi="Helvetica LT Std"/>
        </w:rPr>
        <w:t>m</w:t>
      </w:r>
      <w:r w:rsidRPr="001D5367">
        <w:rPr>
          <w:rFonts w:ascii="Helvetica LT Std" w:hAnsi="Helvetica LT Std"/>
        </w:rPr>
        <w:t>prometida. Adjunta se acompaña hoja co</w:t>
      </w:r>
      <w:r>
        <w:rPr>
          <w:rFonts w:ascii="Helvetica LT Std" w:hAnsi="Helvetica LT Std"/>
        </w:rPr>
        <w:t>n la relación de parcelas enaje</w:t>
      </w:r>
      <w:r w:rsidRPr="001D5367">
        <w:rPr>
          <w:rFonts w:ascii="Helvetica LT Std" w:hAnsi="Helvetica LT Std"/>
        </w:rPr>
        <w:t xml:space="preserve">nables en </w:t>
      </w:r>
      <w:r>
        <w:rPr>
          <w:rFonts w:ascii="Helvetica LT Std" w:hAnsi="Helvetica LT Std"/>
        </w:rPr>
        <w:t>l</w:t>
      </w:r>
      <w:r w:rsidRPr="001D5367">
        <w:rPr>
          <w:rFonts w:ascii="Helvetica LT Std" w:hAnsi="Helvetica LT Std"/>
        </w:rPr>
        <w:t xml:space="preserve">a 3ª fase de </w:t>
      </w:r>
      <w:r>
        <w:rPr>
          <w:rFonts w:ascii="Helvetica LT Std" w:hAnsi="Helvetica LT Std"/>
        </w:rPr>
        <w:t>l</w:t>
      </w:r>
      <w:r w:rsidRPr="001D5367">
        <w:rPr>
          <w:rFonts w:ascii="Helvetica LT Std" w:hAnsi="Helvetica LT Std"/>
        </w:rPr>
        <w:t>a Ciudad de</w:t>
      </w:r>
      <w:r>
        <w:rPr>
          <w:rFonts w:ascii="Helvetica LT Std" w:hAnsi="Helvetica LT Std"/>
        </w:rPr>
        <w:t>l</w:t>
      </w:r>
      <w:r w:rsidRPr="001D5367">
        <w:rPr>
          <w:rFonts w:ascii="Helvetica LT Std" w:hAnsi="Helvetica LT Std"/>
        </w:rPr>
        <w:t xml:space="preserve"> Transporte de la Comarca de Pamplona. </w:t>
      </w:r>
    </w:p>
    <w:p w:rsidR="009B4D5C" w:rsidRPr="001D5367" w:rsidRDefault="009B4D5C" w:rsidP="009B4D5C">
      <w:pPr>
        <w:rPr>
          <w:rFonts w:ascii="Helvetica LT Std" w:hAnsi="Helvetica LT Std"/>
        </w:rPr>
      </w:pPr>
      <w:r w:rsidRPr="001D5367">
        <w:rPr>
          <w:rFonts w:ascii="Helvetica LT Std" w:hAnsi="Helvetica LT Std"/>
        </w:rPr>
        <w:t xml:space="preserve">No consta como obligación contractual específica la entrega a </w:t>
      </w:r>
      <w:proofErr w:type="spellStart"/>
      <w:r w:rsidRPr="001D5367">
        <w:rPr>
          <w:rFonts w:ascii="Helvetica LT Std" w:hAnsi="Helvetica LT Std"/>
        </w:rPr>
        <w:t>Nasuvinsa</w:t>
      </w:r>
      <w:proofErr w:type="spellEnd"/>
      <w:r w:rsidRPr="001D5367">
        <w:rPr>
          <w:rFonts w:ascii="Helvetica LT Std" w:hAnsi="Helvetica LT Std"/>
        </w:rPr>
        <w:t xml:space="preserve"> de la relación de inmuebles arrendados, por lo que no puede concluirse incumplimiento alguno en este punto. Ello no obstante adjunta se acompaña relación de naves arrendadas en la Ciudad del Transporte. </w:t>
      </w:r>
    </w:p>
    <w:p w:rsidR="009B4D5C" w:rsidRPr="001D5367" w:rsidRDefault="009B4D5C" w:rsidP="009B4D5C">
      <w:pPr>
        <w:rPr>
          <w:rFonts w:ascii="Helvetica LT Std" w:hAnsi="Helvetica LT Std"/>
        </w:rPr>
      </w:pPr>
      <w:r w:rsidRPr="001D5367">
        <w:rPr>
          <w:rFonts w:ascii="Helvetica LT Std" w:hAnsi="Helvetica LT Std"/>
        </w:rPr>
        <w:t>En relación con las naves arrendadas cuyo derec</w:t>
      </w:r>
      <w:r>
        <w:rPr>
          <w:rFonts w:ascii="Helvetica LT Std" w:hAnsi="Helvetica LT Std"/>
        </w:rPr>
        <w:t>ho de superficie se ha extingui</w:t>
      </w:r>
      <w:r w:rsidRPr="001D5367">
        <w:rPr>
          <w:rFonts w:ascii="Helvetica LT Std" w:hAnsi="Helvetica LT Std"/>
        </w:rPr>
        <w:t xml:space="preserve">do, </w:t>
      </w:r>
      <w:proofErr w:type="spellStart"/>
      <w:r w:rsidRPr="001D5367">
        <w:rPr>
          <w:rFonts w:ascii="Helvetica LT Std" w:hAnsi="Helvetica LT Std"/>
        </w:rPr>
        <w:t>Nas</w:t>
      </w:r>
      <w:r w:rsidRPr="001D5367">
        <w:rPr>
          <w:rFonts w:ascii="Helvetica LT Std" w:hAnsi="Helvetica LT Std"/>
        </w:rPr>
        <w:t>u</w:t>
      </w:r>
      <w:r w:rsidRPr="001D5367">
        <w:rPr>
          <w:rFonts w:ascii="Helvetica LT Std" w:hAnsi="Helvetica LT Std"/>
        </w:rPr>
        <w:t>vinsa</w:t>
      </w:r>
      <w:proofErr w:type="spellEnd"/>
      <w:r w:rsidRPr="001D5367">
        <w:rPr>
          <w:rFonts w:ascii="Helvetica LT Std" w:hAnsi="Helvetica LT Std"/>
        </w:rPr>
        <w:t xml:space="preserve"> ha percibido la participación en el precio que en caso de venta le correspondía. Este es el caso de la nave ejecutada en la parcela EA 03.1 en la actualidad arrendada a </w:t>
      </w:r>
      <w:proofErr w:type="spellStart"/>
      <w:r w:rsidRPr="001D5367">
        <w:rPr>
          <w:rFonts w:ascii="Helvetica LT Std" w:hAnsi="Helvetica LT Std"/>
        </w:rPr>
        <w:t>Decathlon</w:t>
      </w:r>
      <w:proofErr w:type="spellEnd"/>
      <w:r w:rsidRPr="001D5367">
        <w:rPr>
          <w:rFonts w:ascii="Helvetica LT Std" w:hAnsi="Helvetica LT Std"/>
        </w:rPr>
        <w:t xml:space="preserve">. </w:t>
      </w:r>
    </w:p>
    <w:p w:rsidR="009B4D5C" w:rsidRPr="001D5367" w:rsidRDefault="009B4D5C" w:rsidP="009B4D5C">
      <w:pPr>
        <w:rPr>
          <w:rFonts w:ascii="Helvetica LT Std" w:hAnsi="Helvetica LT Std"/>
        </w:rPr>
      </w:pPr>
      <w:r w:rsidRPr="001D5367">
        <w:rPr>
          <w:rFonts w:ascii="Helvetica LT Std" w:hAnsi="Helvetica LT Std"/>
        </w:rPr>
        <w:t xml:space="preserve">Cuando se proceda a la extinción del derecho de superficie sobre las naves arrendadas que aún lo tienen constituido hoy día, </w:t>
      </w:r>
      <w:proofErr w:type="spellStart"/>
      <w:r>
        <w:rPr>
          <w:rFonts w:ascii="Helvetica LT Std" w:hAnsi="Helvetica LT Std"/>
        </w:rPr>
        <w:t>Nasuvinsa</w:t>
      </w:r>
      <w:proofErr w:type="spellEnd"/>
      <w:r>
        <w:rPr>
          <w:rFonts w:ascii="Helvetica LT Std" w:hAnsi="Helvetica LT Std"/>
        </w:rPr>
        <w:t xml:space="preserve"> percibirá el porcenta</w:t>
      </w:r>
      <w:r w:rsidRPr="001D5367">
        <w:rPr>
          <w:rFonts w:ascii="Helvetica LT Std" w:hAnsi="Helvetica LT Std"/>
        </w:rPr>
        <w:t>je del precio de venta que le c</w:t>
      </w:r>
      <w:r w:rsidRPr="001D5367">
        <w:rPr>
          <w:rFonts w:ascii="Helvetica LT Std" w:hAnsi="Helvetica LT Std"/>
        </w:rPr>
        <w:t>o</w:t>
      </w:r>
      <w:r w:rsidRPr="001D5367">
        <w:rPr>
          <w:rFonts w:ascii="Helvetica LT Std" w:hAnsi="Helvetica LT Std"/>
        </w:rPr>
        <w:t xml:space="preserve">rresponda. </w:t>
      </w:r>
    </w:p>
    <w:p w:rsidR="009B4D5C" w:rsidRPr="001D5367" w:rsidRDefault="009B4D5C" w:rsidP="009B4D5C">
      <w:pPr>
        <w:rPr>
          <w:rFonts w:ascii="Helvetica LT Std" w:hAnsi="Helvetica LT Std"/>
        </w:rPr>
      </w:pPr>
      <w:r w:rsidRPr="001D5367">
        <w:rPr>
          <w:rFonts w:ascii="Helvetica LT Std" w:hAnsi="Helvetica LT Std"/>
        </w:rPr>
        <w:t xml:space="preserve">2ª.- Garantías.- </w:t>
      </w:r>
    </w:p>
    <w:p w:rsidR="009B4D5C" w:rsidRPr="001D5367" w:rsidRDefault="009B4D5C" w:rsidP="009B4D5C">
      <w:pPr>
        <w:rPr>
          <w:rFonts w:ascii="Helvetica LT Std" w:hAnsi="Helvetica LT Std"/>
        </w:rPr>
      </w:pPr>
      <w:r w:rsidRPr="001D5367">
        <w:rPr>
          <w:rFonts w:ascii="Helvetica LT Std" w:hAnsi="Helvetica LT Std"/>
        </w:rPr>
        <w:t>En relación con la conclusión 33ª, recomenda</w:t>
      </w:r>
      <w:r>
        <w:rPr>
          <w:rFonts w:ascii="Helvetica LT Std" w:hAnsi="Helvetica LT Std"/>
        </w:rPr>
        <w:t>ción sexta, Sanco-GM, UTE, mues</w:t>
      </w:r>
      <w:r w:rsidRPr="001D5367">
        <w:rPr>
          <w:rFonts w:ascii="Helvetica LT Std" w:hAnsi="Helvetica LT Std"/>
        </w:rPr>
        <w:t>tra igua</w:t>
      </w:r>
      <w:r w:rsidRPr="001D5367">
        <w:rPr>
          <w:rFonts w:ascii="Helvetica LT Std" w:hAnsi="Helvetica LT Std"/>
        </w:rPr>
        <w:t>l</w:t>
      </w:r>
      <w:r w:rsidRPr="001D5367">
        <w:rPr>
          <w:rFonts w:ascii="Helvetica LT Std" w:hAnsi="Helvetica LT Std"/>
        </w:rPr>
        <w:t xml:space="preserve">mente su disconformidad. </w:t>
      </w:r>
    </w:p>
    <w:p w:rsidR="009B4D5C" w:rsidRPr="001D5367" w:rsidRDefault="009B4D5C" w:rsidP="009B4D5C">
      <w:pPr>
        <w:rPr>
          <w:rFonts w:ascii="Helvetica LT Std" w:hAnsi="Helvetica LT Std"/>
        </w:rPr>
      </w:pPr>
      <w:r w:rsidRPr="001D5367">
        <w:rPr>
          <w:rFonts w:ascii="Helvetica LT Std" w:hAnsi="Helvetica LT Std"/>
        </w:rPr>
        <w:t>Se indica en el Informe que, a partir de la modifi</w:t>
      </w:r>
      <w:r>
        <w:rPr>
          <w:rFonts w:ascii="Helvetica LT Std" w:hAnsi="Helvetica LT Std"/>
        </w:rPr>
        <w:t>cación del contrato de adjudica</w:t>
      </w:r>
      <w:r w:rsidRPr="001D5367">
        <w:rPr>
          <w:rFonts w:ascii="Helvetica LT Std" w:hAnsi="Helvetica LT Std"/>
        </w:rPr>
        <w:t>ción de la Tercera Fase convenida en 2012, la U</w:t>
      </w:r>
      <w:r>
        <w:rPr>
          <w:rFonts w:ascii="Helvetica LT Std" w:hAnsi="Helvetica LT Std"/>
        </w:rPr>
        <w:t>TE debería entregar garantía hi</w:t>
      </w:r>
      <w:r w:rsidRPr="001D5367">
        <w:rPr>
          <w:rFonts w:ascii="Helvetica LT Std" w:hAnsi="Helvetica LT Std"/>
        </w:rPr>
        <w:t>potecaria suficiente de la deuda neta vencida, y que a diciembre de 2017 el canon devengado -IVA incluido- asciende a 19,58 millones, de los que queda pendiente de cobro un total de 8,79 millones, incluidos los in</w:t>
      </w:r>
      <w:r>
        <w:rPr>
          <w:rFonts w:ascii="Helvetica LT Std" w:hAnsi="Helvetica LT Std"/>
        </w:rPr>
        <w:t>ter</w:t>
      </w:r>
      <w:r>
        <w:rPr>
          <w:rFonts w:ascii="Helvetica LT Std" w:hAnsi="Helvetica LT Std"/>
        </w:rPr>
        <w:t>e</w:t>
      </w:r>
      <w:r>
        <w:rPr>
          <w:rFonts w:ascii="Helvetica LT Std" w:hAnsi="Helvetica LT Std"/>
        </w:rPr>
        <w:t>ses a un tipo de interés no</w:t>
      </w:r>
      <w:r w:rsidRPr="001D5367">
        <w:rPr>
          <w:rFonts w:ascii="Helvetica LT Std" w:hAnsi="Helvetica LT Std"/>
        </w:rPr>
        <w:t xml:space="preserve">minal anual del cinco por ciento, por lo que se recomienda que la UTE garantice efectiva y suficientemente el cobro de la deuda pendiente. </w:t>
      </w:r>
    </w:p>
    <w:p w:rsidR="009B4D5C" w:rsidRPr="001D5367" w:rsidRDefault="009B4D5C" w:rsidP="009B4D5C">
      <w:pPr>
        <w:rPr>
          <w:rFonts w:ascii="Helvetica LT Std" w:hAnsi="Helvetica LT Std"/>
        </w:rPr>
      </w:pPr>
      <w:r w:rsidRPr="001D5367">
        <w:rPr>
          <w:rFonts w:ascii="Helvetica LT Std" w:hAnsi="Helvetica LT Std"/>
        </w:rPr>
        <w:t>De acuerdo con el Convenio de 2012, pacto cuarto, como garantía de cobro</w:t>
      </w:r>
      <w:r>
        <w:rPr>
          <w:rFonts w:ascii="Helvetica LT Std" w:hAnsi="Helvetica LT Std"/>
        </w:rPr>
        <w:t xml:space="preserve"> y pa</w:t>
      </w:r>
      <w:r w:rsidRPr="001D5367">
        <w:rPr>
          <w:rFonts w:ascii="Helvetica LT Std" w:hAnsi="Helvetica LT Std"/>
        </w:rPr>
        <w:t>ra el pago de deudas, tanto de los cánones (IV</w:t>
      </w:r>
      <w:r>
        <w:rPr>
          <w:rFonts w:ascii="Helvetica LT Std" w:hAnsi="Helvetica LT Std"/>
        </w:rPr>
        <w:t>A incluido) (desde el correspon</w:t>
      </w:r>
      <w:r w:rsidRPr="001D5367">
        <w:rPr>
          <w:rFonts w:ascii="Helvetica LT Std" w:hAnsi="Helvetica LT Std"/>
        </w:rPr>
        <w:t>diente a 2012 inclusive) como de la deuda que en</w:t>
      </w:r>
      <w:r>
        <w:rPr>
          <w:rFonts w:ascii="Helvetica LT Std" w:hAnsi="Helvetica LT Std"/>
        </w:rPr>
        <w:t xml:space="preserve"> su caso pudiera generar el con</w:t>
      </w:r>
      <w:r w:rsidRPr="001D5367">
        <w:rPr>
          <w:rFonts w:ascii="Helvetica LT Std" w:hAnsi="Helvetica LT Std"/>
        </w:rPr>
        <w:t>venio existente con la Mancomunidad en rel</w:t>
      </w:r>
      <w:r w:rsidRPr="001D5367">
        <w:rPr>
          <w:rFonts w:ascii="Helvetica LT Std" w:hAnsi="Helvetica LT Std"/>
        </w:rPr>
        <w:t>a</w:t>
      </w:r>
      <w:r>
        <w:rPr>
          <w:rFonts w:ascii="Helvetica LT Std" w:hAnsi="Helvetica LT Std"/>
        </w:rPr>
        <w:t>ción con ciertas obras de sanea</w:t>
      </w:r>
      <w:r w:rsidRPr="001D5367">
        <w:rPr>
          <w:rFonts w:ascii="Helvetica LT Std" w:hAnsi="Helvetica LT Std"/>
        </w:rPr>
        <w:t xml:space="preserve">miento, se convino que ANL (hoy </w:t>
      </w:r>
      <w:proofErr w:type="spellStart"/>
      <w:r w:rsidRPr="001D5367">
        <w:rPr>
          <w:rFonts w:ascii="Helvetica LT Std" w:hAnsi="Helvetica LT Std"/>
        </w:rPr>
        <w:t>Nasuvinsa</w:t>
      </w:r>
      <w:proofErr w:type="spellEnd"/>
      <w:r w:rsidRPr="001D5367">
        <w:rPr>
          <w:rFonts w:ascii="Helvetica LT Std" w:hAnsi="Helvetica LT Std"/>
        </w:rPr>
        <w:t>) percibiría un 28% sobre el precio de venta total de parcelas y/o naves (IVA incluido), que vendría a sumarse al 10% sobre el mismo precio que ya le correspondía por la cesión del suelo, pasando de percibir un 10% a percibir un 38% del precio de</w:t>
      </w:r>
      <w:r>
        <w:rPr>
          <w:rFonts w:ascii="Helvetica LT Std" w:hAnsi="Helvetica LT Std"/>
        </w:rPr>
        <w:t xml:space="preserve"> venta total. Además de este in</w:t>
      </w:r>
      <w:r w:rsidRPr="001D5367">
        <w:rPr>
          <w:rFonts w:ascii="Helvetica LT Std" w:hAnsi="Helvetica LT Std"/>
        </w:rPr>
        <w:t xml:space="preserve">cremento de participación pactado en concepto de garantía de la deuda futura, en el pacto quinto del mencionado Convenio de 2012, se acordó que, igualmente en concepto de garantía de la deuda futura, </w:t>
      </w:r>
      <w:proofErr w:type="spellStart"/>
      <w:r w:rsidRPr="001D5367">
        <w:rPr>
          <w:rFonts w:ascii="Helvetica LT Std" w:hAnsi="Helvetica LT Std"/>
        </w:rPr>
        <w:t>Nasuvinsa</w:t>
      </w:r>
      <w:proofErr w:type="spellEnd"/>
      <w:r w:rsidRPr="001D5367">
        <w:rPr>
          <w:rFonts w:ascii="Helvetica LT Std" w:hAnsi="Helvetica LT Std"/>
        </w:rPr>
        <w:t xml:space="preserve"> percibiría el equivalente al 10% sobre el precio neto resultante en caso de eventual venta futura de la nave de </w:t>
      </w:r>
      <w:proofErr w:type="spellStart"/>
      <w:r w:rsidRPr="001D5367">
        <w:rPr>
          <w:rFonts w:ascii="Helvetica LT Std" w:hAnsi="Helvetica LT Std"/>
        </w:rPr>
        <w:t>Decathlon</w:t>
      </w:r>
      <w:proofErr w:type="spellEnd"/>
      <w:r w:rsidRPr="001D5367">
        <w:rPr>
          <w:rFonts w:ascii="Helvetica LT Std" w:hAnsi="Helvetica LT Std"/>
        </w:rPr>
        <w:t xml:space="preserve">. </w:t>
      </w:r>
    </w:p>
    <w:p w:rsidR="009B4D5C" w:rsidRPr="001D5367" w:rsidRDefault="009B4D5C" w:rsidP="009B4D5C">
      <w:pPr>
        <w:rPr>
          <w:rFonts w:ascii="Helvetica LT Std" w:hAnsi="Helvetica LT Std"/>
        </w:rPr>
      </w:pPr>
      <w:r w:rsidRPr="001D5367">
        <w:rPr>
          <w:rFonts w:ascii="Helvetica LT Std" w:hAnsi="Helvetica LT Std"/>
        </w:rPr>
        <w:t>Las garantías convenidas consistieron, pues, en los incrementos de participación en el pr</w:t>
      </w:r>
      <w:r w:rsidRPr="001D5367">
        <w:rPr>
          <w:rFonts w:ascii="Helvetica LT Std" w:hAnsi="Helvetica LT Std"/>
        </w:rPr>
        <w:t>e</w:t>
      </w:r>
      <w:r w:rsidRPr="001D5367">
        <w:rPr>
          <w:rFonts w:ascii="Helvetica LT Std" w:hAnsi="Helvetica LT Std"/>
        </w:rPr>
        <w:t xml:space="preserve">cio de venta de naves y parcelas, y de la nave arrendada a </w:t>
      </w:r>
      <w:proofErr w:type="spellStart"/>
      <w:r w:rsidRPr="001D5367">
        <w:rPr>
          <w:rFonts w:ascii="Helvetica LT Std" w:hAnsi="Helvetica LT Std"/>
        </w:rPr>
        <w:t>Decathlon</w:t>
      </w:r>
      <w:proofErr w:type="spellEnd"/>
      <w:r w:rsidRPr="001D5367">
        <w:rPr>
          <w:rFonts w:ascii="Helvetica LT Std" w:hAnsi="Helvetica LT Std"/>
        </w:rPr>
        <w:t xml:space="preserve">, establecidos a favor de </w:t>
      </w:r>
      <w:proofErr w:type="spellStart"/>
      <w:r w:rsidRPr="001D5367">
        <w:rPr>
          <w:rFonts w:ascii="Helvetica LT Std" w:hAnsi="Helvetica LT Std"/>
        </w:rPr>
        <w:t>Nasuvinsa</w:t>
      </w:r>
      <w:proofErr w:type="spellEnd"/>
      <w:r w:rsidRPr="001D5367">
        <w:rPr>
          <w:rFonts w:ascii="Helvetica LT Std" w:hAnsi="Helvetica LT Std"/>
        </w:rPr>
        <w:t xml:space="preserve">, y, por tanto, se materializarán cuando dichas ventas se produzcan. </w:t>
      </w:r>
    </w:p>
    <w:p w:rsidR="009B4D5C" w:rsidRPr="001D5367" w:rsidRDefault="009B4D5C" w:rsidP="009B4D5C">
      <w:pPr>
        <w:rPr>
          <w:rFonts w:ascii="Helvetica LT Std" w:hAnsi="Helvetica LT Std"/>
        </w:rPr>
      </w:pPr>
      <w:r w:rsidRPr="001D5367">
        <w:rPr>
          <w:rFonts w:ascii="Helvetica LT Std" w:hAnsi="Helvetica LT Std"/>
        </w:rPr>
        <w:t>Además de esas garantías, la UTE se compromet</w:t>
      </w:r>
      <w:r>
        <w:rPr>
          <w:rFonts w:ascii="Helvetica LT Std" w:hAnsi="Helvetica LT Std"/>
        </w:rPr>
        <w:t>ió a otorgar antes del 31 de di</w:t>
      </w:r>
      <w:r w:rsidRPr="001D5367">
        <w:rPr>
          <w:rFonts w:ascii="Helvetica LT Std" w:hAnsi="Helvetica LT Std"/>
        </w:rPr>
        <w:t xml:space="preserve">ciembre de 2013 garantía hipotecaria sobre ciertas parcelas en las áreas EM03, </w:t>
      </w:r>
    </w:p>
    <w:p w:rsidR="009B4D5C" w:rsidRPr="001D5367" w:rsidRDefault="009B4D5C" w:rsidP="009B4D5C">
      <w:pPr>
        <w:rPr>
          <w:rFonts w:ascii="Helvetica LT Std" w:hAnsi="Helvetica LT Std"/>
        </w:rPr>
      </w:pPr>
      <w:r w:rsidRPr="001D5367">
        <w:rPr>
          <w:rFonts w:ascii="Helvetica LT Std" w:hAnsi="Helvetica LT Std"/>
        </w:rPr>
        <w:t>EM04 y EM05. ANL no exigió en su momento la efectividad y materialización del indicado compromiso, obedeciendo ello, sin duda, al parecer de nuestra UTE, a la suficiencia de la garantía dada con el incremento de la participación sobre los precios de venta de naves de nueva con</w:t>
      </w:r>
      <w:r w:rsidRPr="001D5367">
        <w:rPr>
          <w:rFonts w:ascii="Helvetica LT Std" w:hAnsi="Helvetica LT Std"/>
        </w:rPr>
        <w:t>s</w:t>
      </w:r>
      <w:r w:rsidRPr="001D5367">
        <w:rPr>
          <w:rFonts w:ascii="Helvetica LT Std" w:hAnsi="Helvetica LT Std"/>
        </w:rPr>
        <w:t xml:space="preserve">trucción, de parcelas, y de la nave de </w:t>
      </w:r>
      <w:proofErr w:type="spellStart"/>
      <w:r w:rsidRPr="001D5367">
        <w:rPr>
          <w:rFonts w:ascii="Helvetica LT Std" w:hAnsi="Helvetica LT Std"/>
        </w:rPr>
        <w:t>Decathlon</w:t>
      </w:r>
      <w:proofErr w:type="spellEnd"/>
      <w:r w:rsidRPr="001D5367">
        <w:rPr>
          <w:rFonts w:ascii="Helvetica LT Std" w:hAnsi="Helvetica LT Std"/>
        </w:rPr>
        <w:t>; al elevado coste que tendría la constitución, ca</w:t>
      </w:r>
      <w:r w:rsidRPr="001D5367">
        <w:rPr>
          <w:rFonts w:ascii="Helvetica LT Std" w:hAnsi="Helvetica LT Std"/>
        </w:rPr>
        <w:t>n</w:t>
      </w:r>
      <w:r w:rsidRPr="001D5367">
        <w:rPr>
          <w:rFonts w:ascii="Helvetica LT Std" w:hAnsi="Helvetica LT Std"/>
        </w:rPr>
        <w:t>celación y novación de esta garantía -asumida por ANL-; y a la garantía que conlleva la extin</w:t>
      </w:r>
      <w:r>
        <w:rPr>
          <w:rFonts w:ascii="Helvetica LT Std" w:hAnsi="Helvetica LT Std"/>
        </w:rPr>
        <w:t>ción del de</w:t>
      </w:r>
      <w:r w:rsidRPr="001D5367">
        <w:rPr>
          <w:rFonts w:ascii="Helvetica LT Std" w:hAnsi="Helvetica LT Std"/>
        </w:rPr>
        <w:t>recho de superficie al vencimiento de su plazo de duración y la liquidación que en ese m</w:t>
      </w:r>
      <w:r w:rsidRPr="001D5367">
        <w:rPr>
          <w:rFonts w:ascii="Helvetica LT Std" w:hAnsi="Helvetica LT Std"/>
        </w:rPr>
        <w:t>o</w:t>
      </w:r>
      <w:r w:rsidRPr="001D5367">
        <w:rPr>
          <w:rFonts w:ascii="Helvetica LT Std" w:hAnsi="Helvetica LT Std"/>
        </w:rPr>
        <w:t xml:space="preserve">mento habrá de hacerse de la deuda pendiente. </w:t>
      </w:r>
    </w:p>
    <w:p w:rsidR="009B4D5C" w:rsidRPr="001D5367" w:rsidRDefault="009B4D5C" w:rsidP="009B4D5C">
      <w:pPr>
        <w:rPr>
          <w:rFonts w:ascii="Helvetica LT Std" w:hAnsi="Helvetica LT Std"/>
        </w:rPr>
      </w:pPr>
      <w:r w:rsidRPr="001D5367">
        <w:rPr>
          <w:rFonts w:ascii="Helvetica LT Std" w:hAnsi="Helvetica LT Std"/>
        </w:rPr>
        <w:t>A demás de las garantías reseñadas, convenidas en la modificación del contrato de adjud</w:t>
      </w:r>
      <w:r w:rsidRPr="001D5367">
        <w:rPr>
          <w:rFonts w:ascii="Helvetica LT Std" w:hAnsi="Helvetica LT Std"/>
        </w:rPr>
        <w:t>i</w:t>
      </w:r>
      <w:r w:rsidRPr="001D5367">
        <w:rPr>
          <w:rFonts w:ascii="Helvetica LT Std" w:hAnsi="Helvetica LT Std"/>
        </w:rPr>
        <w:t xml:space="preserve">cación formalizada en 2012, consta constituida otra a favor de </w:t>
      </w:r>
      <w:proofErr w:type="spellStart"/>
      <w:r w:rsidRPr="001D5367">
        <w:rPr>
          <w:rFonts w:ascii="Helvetica LT Std" w:hAnsi="Helvetica LT Std"/>
        </w:rPr>
        <w:t>Nasuvinsa</w:t>
      </w:r>
      <w:proofErr w:type="spellEnd"/>
      <w:r w:rsidRPr="001D5367">
        <w:rPr>
          <w:rFonts w:ascii="Helvetica LT Std" w:hAnsi="Helvetica LT Std"/>
        </w:rPr>
        <w:t xml:space="preserve"> sobre la parcela EA02.2, en virtud de contrato privado de compraventa suscrito el 31 de octubre de 2014, garantizando y quedando afecta dicha parcela, en virtud de la cláusula cuarta, al pago de futuras deu</w:t>
      </w:r>
      <w:r>
        <w:rPr>
          <w:rFonts w:ascii="Helvetica LT Std" w:hAnsi="Helvetica LT Std"/>
        </w:rPr>
        <w:t>das que Sanco-GM no pudiere abo</w:t>
      </w:r>
      <w:r w:rsidRPr="001D5367">
        <w:rPr>
          <w:rFonts w:ascii="Helvetica LT Std" w:hAnsi="Helvetica LT Std"/>
        </w:rPr>
        <w:t xml:space="preserve">nar a </w:t>
      </w:r>
      <w:proofErr w:type="spellStart"/>
      <w:r w:rsidRPr="001D5367">
        <w:rPr>
          <w:rFonts w:ascii="Helvetica LT Std" w:hAnsi="Helvetica LT Std"/>
        </w:rPr>
        <w:t>Nasuvinsa</w:t>
      </w:r>
      <w:proofErr w:type="spellEnd"/>
      <w:r w:rsidRPr="001D5367">
        <w:rPr>
          <w:rFonts w:ascii="Helvetica LT Std" w:hAnsi="Helvetica LT Std"/>
        </w:rPr>
        <w:t>. En el Informe provisional aprobado por la Cámara no se hace referencia a esta garantía, sin duda por desconocimiento y omisión involuntaria de la exi</w:t>
      </w:r>
      <w:r w:rsidRPr="001D5367">
        <w:rPr>
          <w:rFonts w:ascii="Helvetica LT Std" w:hAnsi="Helvetica LT Std"/>
        </w:rPr>
        <w:t>s</w:t>
      </w:r>
      <w:r w:rsidRPr="001D5367">
        <w:rPr>
          <w:rFonts w:ascii="Helvetica LT Std" w:hAnsi="Helvetica LT Std"/>
        </w:rPr>
        <w:t xml:space="preserve">tencia del contrato en que se establece, del que ahora se adjunta copia. </w:t>
      </w:r>
    </w:p>
    <w:p w:rsidR="009B4D5C" w:rsidRPr="001D5367" w:rsidRDefault="009B4D5C" w:rsidP="009B4D5C">
      <w:pPr>
        <w:rPr>
          <w:rFonts w:ascii="Helvetica LT Std" w:hAnsi="Helvetica LT Std"/>
        </w:rPr>
      </w:pPr>
      <w:r w:rsidRPr="001D5367">
        <w:rPr>
          <w:rFonts w:ascii="Helvetica LT Std" w:hAnsi="Helvetica LT Std"/>
        </w:rPr>
        <w:t xml:space="preserve">3ª.- Ampliación de usos de la Ciudad del Transporte. </w:t>
      </w:r>
    </w:p>
    <w:p w:rsidR="009B4D5C" w:rsidRPr="001D5367" w:rsidRDefault="009B4D5C" w:rsidP="009B4D5C">
      <w:pPr>
        <w:rPr>
          <w:rFonts w:ascii="Helvetica LT Std" w:hAnsi="Helvetica LT Std"/>
        </w:rPr>
      </w:pPr>
      <w:r w:rsidRPr="001D5367">
        <w:rPr>
          <w:rFonts w:ascii="Helvetica LT Std" w:hAnsi="Helvetica LT Std"/>
        </w:rPr>
        <w:t>En relación con la conclusión 55ª, y recomendación séptima, del Informe, se hace referencia al interés de la Mancomunidad de la Comarca de Pamplona para la apertura de los usos de la F</w:t>
      </w:r>
      <w:r w:rsidRPr="001D5367">
        <w:rPr>
          <w:rFonts w:ascii="Helvetica LT Std" w:hAnsi="Helvetica LT Std"/>
        </w:rPr>
        <w:t>a</w:t>
      </w:r>
      <w:r w:rsidRPr="001D5367">
        <w:rPr>
          <w:rFonts w:ascii="Helvetica LT Std" w:hAnsi="Helvetica LT Std"/>
        </w:rPr>
        <w:t>se Cuarta, para el tratamiento de residuos orgánicos y envases gestionados por la misma. Nuestra UT</w:t>
      </w:r>
      <w:r>
        <w:rPr>
          <w:rFonts w:ascii="Helvetica LT Std" w:hAnsi="Helvetica LT Std"/>
        </w:rPr>
        <w:t>E anticipa ya su disposición fa</w:t>
      </w:r>
      <w:r w:rsidRPr="001D5367">
        <w:rPr>
          <w:rFonts w:ascii="Helvetica LT Std" w:hAnsi="Helvetica LT Std"/>
        </w:rPr>
        <w:t xml:space="preserve">vorable a la ampliación de usos planteada. </w:t>
      </w:r>
    </w:p>
    <w:p w:rsidR="009B4D5C" w:rsidRPr="001D5367" w:rsidRDefault="009B4D5C" w:rsidP="009B4D5C">
      <w:pPr>
        <w:rPr>
          <w:rFonts w:ascii="Helvetica LT Std" w:hAnsi="Helvetica LT Std"/>
        </w:rPr>
      </w:pPr>
      <w:r w:rsidRPr="001D5367">
        <w:rPr>
          <w:rFonts w:ascii="Helvetica LT Std" w:hAnsi="Helvetica LT Std"/>
        </w:rPr>
        <w:t>Efectivamente, la situación actual, con la paralización del mercado de comprav</w:t>
      </w:r>
      <w:r>
        <w:rPr>
          <w:rFonts w:ascii="Helvetica LT Std" w:hAnsi="Helvetica LT Std"/>
        </w:rPr>
        <w:t>en</w:t>
      </w:r>
      <w:r w:rsidRPr="001D5367">
        <w:rPr>
          <w:rFonts w:ascii="Helvetica LT Std" w:hAnsi="Helvetica LT Std"/>
        </w:rPr>
        <w:t>ta desde el inicio de la crisis económica de 2007, ha puesto de manifiesto bien un agotamiento del interés del sector del transporte y de la logística por la inversión en activos inmobiliarios, bien una paraliz</w:t>
      </w:r>
      <w:r w:rsidRPr="001D5367">
        <w:rPr>
          <w:rFonts w:ascii="Helvetica LT Std" w:hAnsi="Helvetica LT Std"/>
        </w:rPr>
        <w:t>a</w:t>
      </w:r>
      <w:r w:rsidRPr="001D5367">
        <w:rPr>
          <w:rFonts w:ascii="Helvetica LT Std" w:hAnsi="Helvetica LT Std"/>
        </w:rPr>
        <w:t>ción tem</w:t>
      </w:r>
      <w:r>
        <w:rPr>
          <w:rFonts w:ascii="Helvetica LT Std" w:hAnsi="Helvetica LT Std"/>
        </w:rPr>
        <w:t>poral o ralentización de ese in</w:t>
      </w:r>
      <w:r w:rsidRPr="001D5367">
        <w:rPr>
          <w:rFonts w:ascii="Helvetica LT Std" w:hAnsi="Helvetica LT Std"/>
        </w:rPr>
        <w:t>terés, de tal magnitud, que pone en peligro la prop</w:t>
      </w:r>
      <w:r>
        <w:rPr>
          <w:rFonts w:ascii="Helvetica LT Std" w:hAnsi="Helvetica LT Std"/>
        </w:rPr>
        <w:t>ia viabil</w:t>
      </w:r>
      <w:r>
        <w:rPr>
          <w:rFonts w:ascii="Helvetica LT Std" w:hAnsi="Helvetica LT Std"/>
        </w:rPr>
        <w:t>i</w:t>
      </w:r>
      <w:r>
        <w:rPr>
          <w:rFonts w:ascii="Helvetica LT Std" w:hAnsi="Helvetica LT Std"/>
        </w:rPr>
        <w:t>dad económica del pro</w:t>
      </w:r>
      <w:r w:rsidRPr="001D5367">
        <w:rPr>
          <w:rFonts w:ascii="Helvetica LT Std" w:hAnsi="Helvetica LT Std"/>
        </w:rPr>
        <w:t>yecto. La apertura de la Cuarta Fase de la Ciudad del Transporte a otros usos se considera, por tanto, aconsejable en la medida en que no restringe el acceso a la misma de los empresarios del transporte y de la logística, y de que los abre a otros sectores que permiten asegurar la viabilidad</w:t>
      </w:r>
      <w:r>
        <w:rPr>
          <w:rFonts w:ascii="Helvetica LT Std" w:hAnsi="Helvetica LT Std"/>
        </w:rPr>
        <w:t xml:space="preserve"> económica del proyecto, facili</w:t>
      </w:r>
      <w:r w:rsidRPr="001D5367">
        <w:rPr>
          <w:rFonts w:ascii="Helvetica LT Std" w:hAnsi="Helvetica LT Std"/>
        </w:rPr>
        <w:t>tando el equilibrio y reparto íntegro de los b</w:t>
      </w:r>
      <w:r w:rsidRPr="001D5367">
        <w:rPr>
          <w:rFonts w:ascii="Helvetica LT Std" w:hAnsi="Helvetica LT Std"/>
        </w:rPr>
        <w:t>e</w:t>
      </w:r>
      <w:r w:rsidRPr="001D5367">
        <w:rPr>
          <w:rFonts w:ascii="Helvetica LT Std" w:hAnsi="Helvetica LT Std"/>
        </w:rPr>
        <w:t>nefic</w:t>
      </w:r>
      <w:r>
        <w:rPr>
          <w:rFonts w:ascii="Helvetica LT Std" w:hAnsi="Helvetica LT Std"/>
        </w:rPr>
        <w:t>ios y cargas que el mismo repor</w:t>
      </w:r>
      <w:r w:rsidRPr="001D5367">
        <w:rPr>
          <w:rFonts w:ascii="Helvetica LT Std" w:hAnsi="Helvetica LT Std"/>
        </w:rPr>
        <w:t>ta, y que ahora difícilmente pueden asumir y repartir en excl</w:t>
      </w:r>
      <w:r w:rsidRPr="001D5367">
        <w:rPr>
          <w:rFonts w:ascii="Helvetica LT Std" w:hAnsi="Helvetica LT Std"/>
        </w:rPr>
        <w:t>u</w:t>
      </w:r>
      <w:r w:rsidRPr="001D5367">
        <w:rPr>
          <w:rFonts w:ascii="Helvetica LT Std" w:hAnsi="Helvetica LT Std"/>
        </w:rPr>
        <w:t xml:space="preserve">siva el transporte y la logística. </w:t>
      </w:r>
    </w:p>
    <w:p w:rsidR="009B4D5C" w:rsidRPr="001D5367" w:rsidRDefault="009B4D5C" w:rsidP="009B4D5C">
      <w:pPr>
        <w:rPr>
          <w:rFonts w:ascii="Helvetica LT Std" w:hAnsi="Helvetica LT Std"/>
        </w:rPr>
      </w:pPr>
      <w:r w:rsidRPr="001D5367">
        <w:rPr>
          <w:rFonts w:ascii="Helvetica LT Std" w:hAnsi="Helvetica LT Std"/>
        </w:rPr>
        <w:t>La Mancomunidad de la Comarca de Pamplona ha mostrado su interés no sólo por la Cua</w:t>
      </w:r>
      <w:r w:rsidRPr="001D5367">
        <w:rPr>
          <w:rFonts w:ascii="Helvetica LT Std" w:hAnsi="Helvetica LT Std"/>
        </w:rPr>
        <w:t>r</w:t>
      </w:r>
      <w:r w:rsidRPr="001D5367">
        <w:rPr>
          <w:rFonts w:ascii="Helvetica LT Std" w:hAnsi="Helvetica LT Std"/>
        </w:rPr>
        <w:t>ta Fase sino por la Tercera, que dispone de terreno suficiente para atender sus necesidades i</w:t>
      </w:r>
      <w:r w:rsidRPr="001D5367">
        <w:rPr>
          <w:rFonts w:ascii="Helvetica LT Std" w:hAnsi="Helvetica LT Std"/>
        </w:rPr>
        <w:t>n</w:t>
      </w:r>
      <w:r w:rsidRPr="001D5367">
        <w:rPr>
          <w:rFonts w:ascii="Helvetica LT Std" w:hAnsi="Helvetica LT Std"/>
        </w:rPr>
        <w:t>mediatas, y perentorias, impuestas por la normativa europea. El uso pretendido es inocuo en cuanto que</w:t>
      </w:r>
      <w:r>
        <w:rPr>
          <w:rFonts w:ascii="Helvetica LT Std" w:hAnsi="Helvetica LT Std"/>
        </w:rPr>
        <w:t xml:space="preserve"> los procesos de tratamiento a </w:t>
      </w:r>
      <w:r w:rsidRPr="001D5367">
        <w:rPr>
          <w:rFonts w:ascii="Helvetica LT Std" w:hAnsi="Helvetica LT Std"/>
        </w:rPr>
        <w:t xml:space="preserve">implantar responden a los máximos estándares </w:t>
      </w:r>
      <w:r>
        <w:rPr>
          <w:rFonts w:ascii="Helvetica LT Std" w:hAnsi="Helvetica LT Std"/>
        </w:rPr>
        <w:t>de cal</w:t>
      </w:r>
      <w:r>
        <w:rPr>
          <w:rFonts w:ascii="Helvetica LT Std" w:hAnsi="Helvetica LT Std"/>
        </w:rPr>
        <w:t>i</w:t>
      </w:r>
      <w:r>
        <w:rPr>
          <w:rFonts w:ascii="Helvetica LT Std" w:hAnsi="Helvetica LT Std"/>
        </w:rPr>
        <w:t>dad y más avanzada tecno</w:t>
      </w:r>
      <w:r w:rsidRPr="001D5367">
        <w:rPr>
          <w:rFonts w:ascii="Helvetica LT Std" w:hAnsi="Helvetica LT Std"/>
        </w:rPr>
        <w:t xml:space="preserve">logía, y no tiene incidencia perjudicial alguna en el entorno, y no agota tampoco las reservas de terreno para nuevas demandas de uso para transporte y logística. </w:t>
      </w:r>
    </w:p>
    <w:p w:rsidR="009B4D5C" w:rsidRPr="001D5367" w:rsidRDefault="009B4D5C" w:rsidP="009B4D5C">
      <w:pPr>
        <w:rPr>
          <w:rFonts w:ascii="Helvetica LT Std" w:hAnsi="Helvetica LT Std"/>
        </w:rPr>
      </w:pPr>
      <w:r w:rsidRPr="001D5367">
        <w:rPr>
          <w:rFonts w:ascii="Helvetica LT Std" w:hAnsi="Helvetica LT Std"/>
        </w:rPr>
        <w:t>De acuerdo con lo dicho, la UTE considera conveniente iniciar la tramitación de una modif</w:t>
      </w:r>
      <w:r w:rsidRPr="001D5367">
        <w:rPr>
          <w:rFonts w:ascii="Helvetica LT Std" w:hAnsi="Helvetica LT Std"/>
        </w:rPr>
        <w:t>i</w:t>
      </w:r>
      <w:r w:rsidRPr="001D5367">
        <w:rPr>
          <w:rFonts w:ascii="Helvetica LT Std" w:hAnsi="Helvetica LT Std"/>
        </w:rPr>
        <w:t>cación puntual del PSIS para dar cabida en los usos, tanto en la Cuarta Fase como en la Tercera, a aquellos que puedan c</w:t>
      </w:r>
      <w:r>
        <w:rPr>
          <w:rFonts w:ascii="Helvetica LT Std" w:hAnsi="Helvetica LT Std"/>
        </w:rPr>
        <w:t>ompatibilizarse con el transpor</w:t>
      </w:r>
      <w:r w:rsidRPr="001D5367">
        <w:rPr>
          <w:rFonts w:ascii="Helvetica LT Std" w:hAnsi="Helvetica LT Std"/>
        </w:rPr>
        <w:t>te y la logística, y dar seguridad y viabilidad económica a la Ciudad del Transporte que hoy día atraviesa momentos difíciles, y en el fu</w:t>
      </w:r>
      <w:r>
        <w:rPr>
          <w:rFonts w:ascii="Helvetica LT Std" w:hAnsi="Helvetica LT Std"/>
        </w:rPr>
        <w:t>turo p</w:t>
      </w:r>
      <w:r>
        <w:rPr>
          <w:rFonts w:ascii="Helvetica LT Std" w:hAnsi="Helvetica LT Std"/>
        </w:rPr>
        <w:t>o</w:t>
      </w:r>
      <w:r>
        <w:rPr>
          <w:rFonts w:ascii="Helvetica LT Std" w:hAnsi="Helvetica LT Std"/>
        </w:rPr>
        <w:t>dría afectar a los inter</w:t>
      </w:r>
      <w:r w:rsidRPr="001D5367">
        <w:rPr>
          <w:rFonts w:ascii="Helvetica LT Std" w:hAnsi="Helvetica LT Std"/>
        </w:rPr>
        <w:t>eses públicos, forzar a estos a asumir lo que ahora, con la ampliación pla</w:t>
      </w:r>
      <w:r w:rsidRPr="001D5367">
        <w:rPr>
          <w:rFonts w:ascii="Helvetica LT Std" w:hAnsi="Helvetica LT Std"/>
        </w:rPr>
        <w:t>n</w:t>
      </w:r>
      <w:r w:rsidRPr="001D5367">
        <w:rPr>
          <w:rFonts w:ascii="Helvetica LT Std" w:hAnsi="Helvetica LT Std"/>
        </w:rPr>
        <w:t xml:space="preserve">teada, podría absorber el mercado. </w:t>
      </w:r>
    </w:p>
    <w:p w:rsidR="009B4D5C" w:rsidRPr="001D5367" w:rsidRDefault="009B4D5C" w:rsidP="009B4D5C">
      <w:pPr>
        <w:rPr>
          <w:rFonts w:ascii="Helvetica LT Std" w:hAnsi="Helvetica LT Std"/>
        </w:rPr>
      </w:pPr>
      <w:r w:rsidRPr="001D5367">
        <w:rPr>
          <w:rFonts w:ascii="Helvetica LT Std" w:hAnsi="Helvetica LT Std"/>
        </w:rPr>
        <w:t xml:space="preserve">Dicho cuanto antecede, </w:t>
      </w:r>
    </w:p>
    <w:p w:rsidR="009B4D5C" w:rsidRPr="001D5367" w:rsidRDefault="009B4D5C" w:rsidP="009B4D5C">
      <w:pPr>
        <w:rPr>
          <w:rFonts w:ascii="Helvetica LT Std" w:hAnsi="Helvetica LT Std"/>
        </w:rPr>
      </w:pPr>
      <w:r w:rsidRPr="001D5367">
        <w:rPr>
          <w:rFonts w:ascii="Helvetica LT Std" w:hAnsi="Helvetica LT Std"/>
        </w:rPr>
        <w:t>SE ELEVAN a la CÁMARA DE COMPTOS D</w:t>
      </w:r>
      <w:r>
        <w:rPr>
          <w:rFonts w:ascii="Helvetica LT Std" w:hAnsi="Helvetica LT Std"/>
        </w:rPr>
        <w:t>E NAVARRA las alegaciones conte</w:t>
      </w:r>
      <w:r w:rsidRPr="001D5367">
        <w:rPr>
          <w:rFonts w:ascii="Helvetica LT Std" w:hAnsi="Helvetica LT Std"/>
        </w:rPr>
        <w:t>nidas en el presente escrito para su debida consideración, en los términos que procedan, en el Informe defin</w:t>
      </w:r>
      <w:r w:rsidRPr="001D5367">
        <w:rPr>
          <w:rFonts w:ascii="Helvetica LT Std" w:hAnsi="Helvetica LT Std"/>
        </w:rPr>
        <w:t>i</w:t>
      </w:r>
      <w:r w:rsidRPr="001D5367">
        <w:rPr>
          <w:rFonts w:ascii="Helvetica LT Std" w:hAnsi="Helvetica LT Std"/>
        </w:rPr>
        <w:t>tivo sobre la Ciudad del Transporte de la Comarca de Pamplona (1991-2017), emitido a propuesta del auditor D. Ignacio Cabeza del Salvador, y de cuyo provisional se ha dado traslado a la comp</w:t>
      </w:r>
      <w:r w:rsidRPr="001D5367">
        <w:rPr>
          <w:rFonts w:ascii="Helvetica LT Std" w:hAnsi="Helvetica LT Std"/>
        </w:rPr>
        <w:t>a</w:t>
      </w:r>
      <w:r w:rsidRPr="001D5367">
        <w:rPr>
          <w:rFonts w:ascii="Helvetica LT Std" w:hAnsi="Helvetica LT Std"/>
        </w:rPr>
        <w:t xml:space="preserve">reciente. </w:t>
      </w:r>
    </w:p>
    <w:p w:rsidR="009B4D5C" w:rsidRPr="001D5367" w:rsidRDefault="009B4D5C" w:rsidP="009B4D5C">
      <w:pPr>
        <w:rPr>
          <w:rFonts w:ascii="Helvetica LT Std" w:hAnsi="Helvetica LT Std"/>
        </w:rPr>
      </w:pPr>
      <w:proofErr w:type="spellStart"/>
      <w:r w:rsidRPr="001D5367">
        <w:rPr>
          <w:rFonts w:ascii="Helvetica LT Std" w:hAnsi="Helvetica LT Std"/>
        </w:rPr>
        <w:t>Oriz</w:t>
      </w:r>
      <w:proofErr w:type="spellEnd"/>
      <w:r w:rsidRPr="001D5367">
        <w:rPr>
          <w:rFonts w:ascii="Helvetica LT Std" w:hAnsi="Helvetica LT Std"/>
        </w:rPr>
        <w:t xml:space="preserve">, 30 de </w:t>
      </w:r>
      <w:r>
        <w:rPr>
          <w:rFonts w:ascii="Helvetica LT Std" w:hAnsi="Helvetica LT Std"/>
        </w:rPr>
        <w:t>mayo de 2018</w:t>
      </w:r>
    </w:p>
    <w:p w:rsidR="009B4D5C" w:rsidRPr="001D5367" w:rsidRDefault="009B4D5C" w:rsidP="009B4D5C">
      <w:pPr>
        <w:rPr>
          <w:rFonts w:ascii="Helvetica LT Std" w:hAnsi="Helvetica LT Std"/>
        </w:rPr>
      </w:pPr>
      <w:r>
        <w:rPr>
          <w:rFonts w:ascii="Helvetica LT Std" w:hAnsi="Helvetica LT Std"/>
        </w:rPr>
        <w:t>Á</w:t>
      </w:r>
      <w:r w:rsidRPr="001D5367">
        <w:rPr>
          <w:rFonts w:ascii="Helvetica LT Std" w:hAnsi="Helvetica LT Std"/>
        </w:rPr>
        <w:t>ngel-María García Clavijo</w:t>
      </w:r>
    </w:p>
    <w:p w:rsidR="009B4D5C" w:rsidRPr="001D5367" w:rsidRDefault="009B4D5C" w:rsidP="009B4D5C">
      <w:pPr>
        <w:rPr>
          <w:rFonts w:ascii="Helvetica LT Std" w:hAnsi="Helvetica LT Std"/>
        </w:rPr>
      </w:pPr>
    </w:p>
    <w:p w:rsidR="00AE5E7A" w:rsidRDefault="00AE5E7A" w:rsidP="00AE5E7A">
      <w:pPr>
        <w:pStyle w:val="texto"/>
        <w:tabs>
          <w:tab w:val="clear" w:pos="2835"/>
          <w:tab w:val="clear" w:pos="3969"/>
          <w:tab w:val="clear" w:pos="5103"/>
          <w:tab w:val="clear" w:pos="6237"/>
          <w:tab w:val="clear" w:pos="7371"/>
        </w:tabs>
      </w:pPr>
    </w:p>
    <w:p w:rsidR="00AE5E7A" w:rsidRDefault="00AE5E7A" w:rsidP="00AE5E7A">
      <w:pPr>
        <w:pStyle w:val="texto"/>
        <w:tabs>
          <w:tab w:val="clear" w:pos="2835"/>
          <w:tab w:val="clear" w:pos="3969"/>
          <w:tab w:val="clear" w:pos="5103"/>
          <w:tab w:val="clear" w:pos="6237"/>
          <w:tab w:val="clear" w:pos="7371"/>
        </w:tabs>
      </w:pPr>
    </w:p>
    <w:p w:rsidR="00F54627" w:rsidRDefault="00F54627">
      <w:pPr>
        <w:spacing w:after="0"/>
        <w:ind w:firstLine="0"/>
        <w:jc w:val="left"/>
        <w:sectPr w:rsidR="00F54627" w:rsidSect="00326359">
          <w:pgSz w:w="11907" w:h="16840" w:code="9"/>
          <w:pgMar w:top="2109" w:right="1559" w:bottom="1644" w:left="1559" w:header="369" w:footer="136" w:gutter="0"/>
          <w:cols w:space="720"/>
          <w:docGrid w:linePitch="360"/>
        </w:sectPr>
      </w:pPr>
    </w:p>
    <w:p w:rsidR="0028668A" w:rsidRDefault="0028668A" w:rsidP="0028668A">
      <w:pPr>
        <w:pStyle w:val="atitulo1"/>
        <w:jc w:val="left"/>
      </w:pPr>
      <w:bookmarkStart w:id="49" w:name="_Toc515531881"/>
      <w:r>
        <w:t>Contestación de la Cámara de Comptos a las alegaciones presentadas al informe provisional.</w:t>
      </w:r>
      <w:bookmarkEnd w:id="49"/>
    </w:p>
    <w:p w:rsidR="00B260FC" w:rsidRDefault="00B260FC" w:rsidP="00B260FC">
      <w:pPr>
        <w:autoSpaceDE w:val="0"/>
        <w:autoSpaceDN w:val="0"/>
        <w:adjustRightInd w:val="0"/>
        <w:spacing w:before="140"/>
        <w:rPr>
          <w:sz w:val="26"/>
          <w:szCs w:val="26"/>
        </w:rPr>
      </w:pPr>
      <w:r>
        <w:rPr>
          <w:sz w:val="26"/>
          <w:szCs w:val="26"/>
        </w:rPr>
        <w:t>Analizadas las alegaciones presentadas, se ha incorporado al informe Definit</w:t>
      </w:r>
      <w:r>
        <w:rPr>
          <w:sz w:val="26"/>
          <w:szCs w:val="26"/>
        </w:rPr>
        <w:t>i</w:t>
      </w:r>
      <w:r>
        <w:rPr>
          <w:sz w:val="26"/>
          <w:szCs w:val="26"/>
        </w:rPr>
        <w:t xml:space="preserve">vo la relativa a los ingresos por arrendamientos, aspecto planteado en los escritos presentados por D. Luis </w:t>
      </w:r>
      <w:proofErr w:type="spellStart"/>
      <w:r>
        <w:rPr>
          <w:sz w:val="26"/>
          <w:szCs w:val="26"/>
        </w:rPr>
        <w:t>Zarraluqui</w:t>
      </w:r>
      <w:proofErr w:type="spellEnd"/>
      <w:r>
        <w:rPr>
          <w:sz w:val="26"/>
          <w:szCs w:val="26"/>
        </w:rPr>
        <w:t xml:space="preserve"> </w:t>
      </w:r>
      <w:proofErr w:type="spellStart"/>
      <w:r>
        <w:rPr>
          <w:sz w:val="26"/>
          <w:szCs w:val="26"/>
        </w:rPr>
        <w:t>Ortigosa</w:t>
      </w:r>
      <w:proofErr w:type="spellEnd"/>
      <w:r>
        <w:rPr>
          <w:sz w:val="26"/>
          <w:szCs w:val="26"/>
        </w:rPr>
        <w:t xml:space="preserve"> y D. Angel María García Clavijo. </w:t>
      </w:r>
    </w:p>
    <w:p w:rsidR="00B260FC" w:rsidRDefault="00B260FC" w:rsidP="00B260FC">
      <w:pPr>
        <w:autoSpaceDE w:val="0"/>
        <w:autoSpaceDN w:val="0"/>
        <w:adjustRightInd w:val="0"/>
        <w:spacing w:before="140"/>
        <w:rPr>
          <w:sz w:val="26"/>
          <w:szCs w:val="26"/>
        </w:rPr>
      </w:pPr>
      <w:r>
        <w:rPr>
          <w:sz w:val="26"/>
          <w:szCs w:val="26"/>
        </w:rPr>
        <w:t>Sobre el resto de alegaciones y dado que no modifican las conclusiones gen</w:t>
      </w:r>
      <w:r>
        <w:rPr>
          <w:sz w:val="26"/>
          <w:szCs w:val="26"/>
        </w:rPr>
        <w:t>e</w:t>
      </w:r>
      <w:r>
        <w:rPr>
          <w:sz w:val="26"/>
          <w:szCs w:val="26"/>
        </w:rPr>
        <w:t>rales del Informe Provisional, éste se eleva a Definitivo.</w:t>
      </w:r>
    </w:p>
    <w:p w:rsidR="00B260FC" w:rsidRPr="00324B53" w:rsidRDefault="00B260FC" w:rsidP="00B260FC">
      <w:pPr>
        <w:autoSpaceDE w:val="0"/>
        <w:autoSpaceDN w:val="0"/>
        <w:adjustRightInd w:val="0"/>
        <w:spacing w:before="140"/>
        <w:rPr>
          <w:sz w:val="26"/>
          <w:szCs w:val="26"/>
        </w:rPr>
      </w:pPr>
      <w:r>
        <w:rPr>
          <w:sz w:val="26"/>
          <w:szCs w:val="26"/>
        </w:rPr>
        <w:t>No obstante, queremos hacer las siguientes precisiones sobre las</w:t>
      </w:r>
      <w:r w:rsidRPr="00324B53">
        <w:rPr>
          <w:sz w:val="26"/>
          <w:szCs w:val="26"/>
        </w:rPr>
        <w:t xml:space="preserve"> presentadas por D. Angel María García Clavijo</w:t>
      </w:r>
      <w:r>
        <w:rPr>
          <w:sz w:val="26"/>
          <w:szCs w:val="26"/>
        </w:rPr>
        <w:t>.</w:t>
      </w:r>
    </w:p>
    <w:p w:rsidR="00B260FC" w:rsidRPr="00474A77" w:rsidRDefault="00B260FC" w:rsidP="00B260FC">
      <w:pPr>
        <w:autoSpaceDE w:val="0"/>
        <w:autoSpaceDN w:val="0"/>
        <w:adjustRightInd w:val="0"/>
        <w:spacing w:before="140"/>
        <w:rPr>
          <w:sz w:val="26"/>
          <w:szCs w:val="26"/>
        </w:rPr>
      </w:pPr>
      <w:r>
        <w:rPr>
          <w:sz w:val="26"/>
          <w:szCs w:val="26"/>
        </w:rPr>
        <w:t xml:space="preserve">En primer lugar, </w:t>
      </w:r>
      <w:r w:rsidRPr="00474A77">
        <w:rPr>
          <w:sz w:val="26"/>
          <w:szCs w:val="26"/>
        </w:rPr>
        <w:t>queremos agradecer</w:t>
      </w:r>
      <w:r>
        <w:rPr>
          <w:sz w:val="26"/>
          <w:szCs w:val="26"/>
        </w:rPr>
        <w:t>le</w:t>
      </w:r>
      <w:r w:rsidRPr="00474A77">
        <w:rPr>
          <w:sz w:val="26"/>
          <w:szCs w:val="26"/>
        </w:rPr>
        <w:t xml:space="preserve"> las palabras de reconocimiento sobre el trabajo realizado por esta Cámara.</w:t>
      </w:r>
    </w:p>
    <w:p w:rsidR="00B260FC" w:rsidRPr="00585D3B" w:rsidRDefault="00B260FC" w:rsidP="00B260FC">
      <w:pPr>
        <w:autoSpaceDE w:val="0"/>
        <w:autoSpaceDN w:val="0"/>
        <w:adjustRightInd w:val="0"/>
        <w:spacing w:before="240" w:after="240"/>
        <w:rPr>
          <w:b/>
          <w:sz w:val="26"/>
          <w:szCs w:val="26"/>
        </w:rPr>
      </w:pPr>
      <w:r w:rsidRPr="00585D3B">
        <w:rPr>
          <w:b/>
          <w:sz w:val="26"/>
          <w:szCs w:val="26"/>
        </w:rPr>
        <w:t xml:space="preserve">1ª. Sobre las naves de arrendamiento. </w:t>
      </w:r>
    </w:p>
    <w:p w:rsidR="00B260FC" w:rsidRDefault="00B260FC" w:rsidP="00B260FC">
      <w:pPr>
        <w:autoSpaceDE w:val="0"/>
        <w:autoSpaceDN w:val="0"/>
        <w:adjustRightInd w:val="0"/>
        <w:spacing w:before="140"/>
        <w:rPr>
          <w:sz w:val="26"/>
          <w:szCs w:val="26"/>
        </w:rPr>
      </w:pPr>
      <w:r w:rsidRPr="00474A77">
        <w:rPr>
          <w:sz w:val="26"/>
          <w:szCs w:val="26"/>
        </w:rPr>
        <w:t>En la alegación se indica que “</w:t>
      </w:r>
      <w:r w:rsidRPr="00474A77">
        <w:rPr>
          <w:i/>
          <w:sz w:val="26"/>
          <w:szCs w:val="26"/>
        </w:rPr>
        <w:t>no consta como obligación contractual espec</w:t>
      </w:r>
      <w:r w:rsidRPr="00474A77">
        <w:rPr>
          <w:i/>
          <w:sz w:val="26"/>
          <w:szCs w:val="26"/>
        </w:rPr>
        <w:t>í</w:t>
      </w:r>
      <w:r w:rsidRPr="00474A77">
        <w:rPr>
          <w:i/>
          <w:sz w:val="26"/>
          <w:szCs w:val="26"/>
        </w:rPr>
        <w:t xml:space="preserve">fica la entrega a </w:t>
      </w:r>
      <w:proofErr w:type="spellStart"/>
      <w:r w:rsidRPr="00474A77">
        <w:rPr>
          <w:i/>
          <w:sz w:val="26"/>
          <w:szCs w:val="26"/>
        </w:rPr>
        <w:t>Nasuvinsa</w:t>
      </w:r>
      <w:proofErr w:type="spellEnd"/>
      <w:r w:rsidRPr="00474A77">
        <w:rPr>
          <w:i/>
          <w:sz w:val="26"/>
          <w:szCs w:val="26"/>
        </w:rPr>
        <w:t xml:space="preserve"> de la relación de inmuebles arrendados, por lo que no puede concluirse incumplimiento alguno en este punto</w:t>
      </w:r>
      <w:r w:rsidRPr="00474A77">
        <w:rPr>
          <w:sz w:val="26"/>
          <w:szCs w:val="26"/>
        </w:rPr>
        <w:t xml:space="preserve">”. </w:t>
      </w:r>
    </w:p>
    <w:p w:rsidR="00B260FC" w:rsidRPr="00474A77" w:rsidRDefault="00B260FC" w:rsidP="00B260FC">
      <w:pPr>
        <w:autoSpaceDE w:val="0"/>
        <w:autoSpaceDN w:val="0"/>
        <w:adjustRightInd w:val="0"/>
        <w:spacing w:before="140"/>
        <w:rPr>
          <w:sz w:val="26"/>
          <w:szCs w:val="26"/>
        </w:rPr>
      </w:pPr>
      <w:r w:rsidRPr="00474A77">
        <w:rPr>
          <w:sz w:val="26"/>
          <w:szCs w:val="26"/>
        </w:rPr>
        <w:t>Sin embargo la cláusula Decimotercera del contrato de adjudicación, en su te</w:t>
      </w:r>
      <w:r w:rsidRPr="00474A77">
        <w:rPr>
          <w:sz w:val="26"/>
          <w:szCs w:val="26"/>
        </w:rPr>
        <w:t>r</w:t>
      </w:r>
      <w:r w:rsidRPr="00474A77">
        <w:rPr>
          <w:sz w:val="26"/>
          <w:szCs w:val="26"/>
        </w:rPr>
        <w:t>cer párrafo, señala expresamente “</w:t>
      </w:r>
      <w:r w:rsidRPr="00474A77">
        <w:rPr>
          <w:i/>
          <w:sz w:val="26"/>
          <w:szCs w:val="26"/>
        </w:rPr>
        <w:t>En relación con los arrendamientos de naves, Ciudad del Transporte de Pamplona, SA se reserva el derecho a supervisar las in</w:t>
      </w:r>
      <w:r w:rsidRPr="00474A77">
        <w:rPr>
          <w:i/>
          <w:sz w:val="26"/>
          <w:szCs w:val="26"/>
        </w:rPr>
        <w:t>s</w:t>
      </w:r>
      <w:r w:rsidRPr="00474A77">
        <w:rPr>
          <w:i/>
          <w:sz w:val="26"/>
          <w:szCs w:val="26"/>
        </w:rPr>
        <w:t xml:space="preserve">talaciones y condiciones de mantenimiento de las obras realizadas. De igual modo, la adjudicataria deberá entregar un modelo tipo de contrato para su aprobación por CTP, SA y </w:t>
      </w:r>
      <w:r w:rsidRPr="00474A77">
        <w:rPr>
          <w:i/>
          <w:sz w:val="26"/>
          <w:szCs w:val="26"/>
          <w:u w:val="single"/>
        </w:rPr>
        <w:t>deberá mantener informada a esta última entidad, en su caso, de los sucesivos arrendamientos que se realicen, poniendo a su disposición los docume</w:t>
      </w:r>
      <w:r w:rsidRPr="00474A77">
        <w:rPr>
          <w:i/>
          <w:sz w:val="26"/>
          <w:szCs w:val="26"/>
          <w:u w:val="single"/>
        </w:rPr>
        <w:t>n</w:t>
      </w:r>
      <w:r w:rsidRPr="00474A77">
        <w:rPr>
          <w:i/>
          <w:sz w:val="26"/>
          <w:szCs w:val="26"/>
          <w:u w:val="single"/>
        </w:rPr>
        <w:t>tos públicos o privados en que se hayan instrumentado</w:t>
      </w:r>
      <w:r w:rsidRPr="00474A77">
        <w:rPr>
          <w:sz w:val="26"/>
          <w:szCs w:val="26"/>
        </w:rPr>
        <w:t>” (</w:t>
      </w:r>
      <w:r>
        <w:rPr>
          <w:sz w:val="26"/>
          <w:szCs w:val="26"/>
        </w:rPr>
        <w:t>e</w:t>
      </w:r>
      <w:r w:rsidRPr="00474A77">
        <w:rPr>
          <w:sz w:val="26"/>
          <w:szCs w:val="26"/>
        </w:rPr>
        <w:t>l subrayado es nuestro)</w:t>
      </w:r>
    </w:p>
    <w:p w:rsidR="00B260FC" w:rsidRPr="00474A77" w:rsidRDefault="00B260FC" w:rsidP="00B260FC">
      <w:pPr>
        <w:autoSpaceDE w:val="0"/>
        <w:autoSpaceDN w:val="0"/>
        <w:adjustRightInd w:val="0"/>
        <w:spacing w:before="140"/>
        <w:rPr>
          <w:sz w:val="26"/>
          <w:szCs w:val="26"/>
        </w:rPr>
      </w:pPr>
      <w:r w:rsidRPr="00474A77">
        <w:rPr>
          <w:sz w:val="26"/>
          <w:szCs w:val="26"/>
        </w:rPr>
        <w:t>Por tanto s</w:t>
      </w:r>
      <w:r>
        <w:rPr>
          <w:sz w:val="26"/>
          <w:szCs w:val="26"/>
        </w:rPr>
        <w:t>í</w:t>
      </w:r>
      <w:r w:rsidRPr="00474A77">
        <w:rPr>
          <w:sz w:val="26"/>
          <w:szCs w:val="26"/>
        </w:rPr>
        <w:t xml:space="preserve"> se contempla expresamente en el contrato de adjudicación esta obligación.</w:t>
      </w:r>
    </w:p>
    <w:p w:rsidR="00B260FC" w:rsidRPr="00585D3B" w:rsidRDefault="00B260FC" w:rsidP="00B260FC">
      <w:pPr>
        <w:autoSpaceDE w:val="0"/>
        <w:autoSpaceDN w:val="0"/>
        <w:adjustRightInd w:val="0"/>
        <w:spacing w:before="240" w:after="240"/>
        <w:rPr>
          <w:b/>
          <w:sz w:val="26"/>
          <w:szCs w:val="26"/>
        </w:rPr>
      </w:pPr>
      <w:r w:rsidRPr="00585D3B">
        <w:rPr>
          <w:b/>
          <w:sz w:val="26"/>
          <w:szCs w:val="26"/>
        </w:rPr>
        <w:t>2ª. Sobre las garantías.</w:t>
      </w:r>
    </w:p>
    <w:p w:rsidR="00B260FC" w:rsidRDefault="00B260FC" w:rsidP="00B260FC">
      <w:pPr>
        <w:autoSpaceDE w:val="0"/>
        <w:autoSpaceDN w:val="0"/>
        <w:adjustRightInd w:val="0"/>
        <w:spacing w:before="140"/>
        <w:rPr>
          <w:sz w:val="26"/>
          <w:szCs w:val="26"/>
        </w:rPr>
      </w:pPr>
      <w:r>
        <w:rPr>
          <w:sz w:val="26"/>
          <w:szCs w:val="26"/>
        </w:rPr>
        <w:t>En la actualización del contrato de 2012, se establece como “garantía” de c</w:t>
      </w:r>
      <w:r>
        <w:rPr>
          <w:sz w:val="26"/>
          <w:szCs w:val="26"/>
        </w:rPr>
        <w:t>o</w:t>
      </w:r>
      <w:r>
        <w:rPr>
          <w:sz w:val="26"/>
          <w:szCs w:val="26"/>
        </w:rPr>
        <w:t>bro y pago de las deudas a favor de ANL –hoy, NASUVINSA- el porcentaje del 28 por ciento sobre el precio de la venta total y/o sobre los cobros significativos a cuenta. Entendemos que esto no es propiamente un instrumento de garantía de c</w:t>
      </w:r>
      <w:r>
        <w:rPr>
          <w:sz w:val="26"/>
          <w:szCs w:val="26"/>
        </w:rPr>
        <w:t>o</w:t>
      </w:r>
      <w:r>
        <w:rPr>
          <w:sz w:val="26"/>
          <w:szCs w:val="26"/>
        </w:rPr>
        <w:t>bro, sino una novación de las condiciones del pago de la deuda; además, tal como señala la propia alegación, no consta, hasta la fecha, que se hayan materializado operaciones a las que se les aplicó tal porcentaje.</w:t>
      </w:r>
    </w:p>
    <w:p w:rsidR="00E94B60" w:rsidRDefault="00E94B60" w:rsidP="00B260FC">
      <w:pPr>
        <w:autoSpaceDE w:val="0"/>
        <w:autoSpaceDN w:val="0"/>
        <w:adjustRightInd w:val="0"/>
        <w:spacing w:before="140"/>
        <w:rPr>
          <w:sz w:val="26"/>
          <w:szCs w:val="26"/>
        </w:rPr>
      </w:pPr>
    </w:p>
    <w:p w:rsidR="00E94B60" w:rsidRDefault="00E94B60" w:rsidP="00B260FC">
      <w:pPr>
        <w:autoSpaceDE w:val="0"/>
        <w:autoSpaceDN w:val="0"/>
        <w:adjustRightInd w:val="0"/>
        <w:spacing w:before="140"/>
        <w:rPr>
          <w:sz w:val="26"/>
          <w:szCs w:val="26"/>
        </w:rPr>
      </w:pPr>
    </w:p>
    <w:p w:rsidR="00E94B60" w:rsidRDefault="00E94B60" w:rsidP="00B260FC">
      <w:pPr>
        <w:autoSpaceDE w:val="0"/>
        <w:autoSpaceDN w:val="0"/>
        <w:adjustRightInd w:val="0"/>
        <w:spacing w:before="140"/>
        <w:rPr>
          <w:sz w:val="26"/>
          <w:szCs w:val="26"/>
        </w:rPr>
      </w:pPr>
    </w:p>
    <w:p w:rsidR="0090521A" w:rsidRDefault="00B260FC" w:rsidP="0090521A">
      <w:pPr>
        <w:autoSpaceDE w:val="0"/>
        <w:autoSpaceDN w:val="0"/>
        <w:adjustRightInd w:val="0"/>
        <w:spacing w:before="120" w:after="120"/>
        <w:rPr>
          <w:sz w:val="26"/>
          <w:szCs w:val="26"/>
        </w:rPr>
      </w:pPr>
      <w:r>
        <w:rPr>
          <w:sz w:val="26"/>
          <w:szCs w:val="26"/>
        </w:rPr>
        <w:t xml:space="preserve">Sobre el contrato privado de compraventa que nos adjunta, señalamos que sí fue puesto a nuestra disposición y que fue objeto de análisis, por lo que consta en </w:t>
      </w:r>
      <w:r w:rsidR="0090521A">
        <w:rPr>
          <w:sz w:val="26"/>
          <w:szCs w:val="26"/>
        </w:rPr>
        <w:t>nuestros papeles de trabajo. Resultado de ello, los importes que se derivan del mi</w:t>
      </w:r>
      <w:r w:rsidR="0090521A">
        <w:rPr>
          <w:sz w:val="26"/>
          <w:szCs w:val="26"/>
        </w:rPr>
        <w:t>s</w:t>
      </w:r>
      <w:r w:rsidR="0090521A">
        <w:rPr>
          <w:sz w:val="26"/>
          <w:szCs w:val="26"/>
        </w:rPr>
        <w:t xml:space="preserve">mo se han tenido en cuenta a la hora de determinar la deuda pendiente derivada del canon. </w:t>
      </w:r>
    </w:p>
    <w:p w:rsidR="00B260FC" w:rsidRDefault="00B260FC" w:rsidP="00B260FC">
      <w:pPr>
        <w:autoSpaceDE w:val="0"/>
        <w:autoSpaceDN w:val="0"/>
        <w:adjustRightInd w:val="0"/>
        <w:spacing w:before="140"/>
        <w:rPr>
          <w:sz w:val="26"/>
          <w:szCs w:val="26"/>
        </w:rPr>
      </w:pPr>
    </w:p>
    <w:p w:rsidR="00B260FC" w:rsidRDefault="00B260FC" w:rsidP="00B260FC">
      <w:pPr>
        <w:autoSpaceDE w:val="0"/>
        <w:autoSpaceDN w:val="0"/>
        <w:adjustRightInd w:val="0"/>
        <w:spacing w:after="0"/>
        <w:rPr>
          <w:sz w:val="26"/>
          <w:szCs w:val="26"/>
        </w:rPr>
      </w:pPr>
    </w:p>
    <w:p w:rsidR="00B260FC" w:rsidRDefault="00B260FC" w:rsidP="00B260FC">
      <w:pPr>
        <w:autoSpaceDE w:val="0"/>
        <w:autoSpaceDN w:val="0"/>
        <w:adjustRightInd w:val="0"/>
        <w:spacing w:after="0"/>
        <w:jc w:val="center"/>
        <w:rPr>
          <w:sz w:val="26"/>
          <w:szCs w:val="26"/>
        </w:rPr>
      </w:pPr>
      <w:r>
        <w:rPr>
          <w:sz w:val="26"/>
          <w:szCs w:val="26"/>
        </w:rPr>
        <w:t>Pamplona, 1 de junio de 2018</w:t>
      </w:r>
    </w:p>
    <w:p w:rsidR="00B260FC" w:rsidRDefault="00B260FC" w:rsidP="00B260FC">
      <w:pPr>
        <w:autoSpaceDE w:val="0"/>
        <w:autoSpaceDN w:val="0"/>
        <w:adjustRightInd w:val="0"/>
        <w:spacing w:after="0"/>
        <w:jc w:val="center"/>
        <w:rPr>
          <w:sz w:val="26"/>
          <w:szCs w:val="26"/>
        </w:rPr>
      </w:pPr>
      <w:r>
        <w:rPr>
          <w:sz w:val="26"/>
          <w:szCs w:val="26"/>
        </w:rPr>
        <w:t>La presidenta</w:t>
      </w:r>
    </w:p>
    <w:p w:rsidR="00B260FC" w:rsidRDefault="00B260FC" w:rsidP="00B260FC">
      <w:pPr>
        <w:autoSpaceDE w:val="0"/>
        <w:autoSpaceDN w:val="0"/>
        <w:adjustRightInd w:val="0"/>
        <w:spacing w:after="0"/>
        <w:jc w:val="center"/>
        <w:rPr>
          <w:sz w:val="26"/>
          <w:szCs w:val="26"/>
        </w:rPr>
      </w:pPr>
    </w:p>
    <w:p w:rsidR="00B260FC" w:rsidRDefault="00B260FC" w:rsidP="00B260FC">
      <w:pPr>
        <w:autoSpaceDE w:val="0"/>
        <w:autoSpaceDN w:val="0"/>
        <w:adjustRightInd w:val="0"/>
        <w:spacing w:after="0"/>
        <w:jc w:val="center"/>
        <w:rPr>
          <w:sz w:val="26"/>
          <w:szCs w:val="26"/>
        </w:rPr>
      </w:pPr>
    </w:p>
    <w:p w:rsidR="00B260FC" w:rsidRDefault="00B260FC" w:rsidP="00B260FC">
      <w:pPr>
        <w:autoSpaceDE w:val="0"/>
        <w:autoSpaceDN w:val="0"/>
        <w:adjustRightInd w:val="0"/>
        <w:spacing w:after="0"/>
        <w:jc w:val="center"/>
        <w:rPr>
          <w:sz w:val="26"/>
          <w:szCs w:val="26"/>
        </w:rPr>
      </w:pPr>
    </w:p>
    <w:p w:rsidR="00B260FC" w:rsidRDefault="00B260FC" w:rsidP="00B260FC">
      <w:pPr>
        <w:autoSpaceDE w:val="0"/>
        <w:autoSpaceDN w:val="0"/>
        <w:adjustRightInd w:val="0"/>
        <w:spacing w:after="0"/>
        <w:jc w:val="center"/>
        <w:rPr>
          <w:sz w:val="26"/>
          <w:szCs w:val="26"/>
        </w:rPr>
      </w:pPr>
    </w:p>
    <w:p w:rsidR="00B260FC" w:rsidRDefault="00B260FC" w:rsidP="00B260FC">
      <w:pPr>
        <w:autoSpaceDE w:val="0"/>
        <w:autoSpaceDN w:val="0"/>
        <w:adjustRightInd w:val="0"/>
        <w:spacing w:after="0"/>
        <w:jc w:val="center"/>
        <w:rPr>
          <w:sz w:val="26"/>
          <w:szCs w:val="26"/>
        </w:rPr>
      </w:pPr>
      <w:r>
        <w:rPr>
          <w:sz w:val="26"/>
          <w:szCs w:val="26"/>
        </w:rPr>
        <w:t>Asunción Olaechea Estanga</w:t>
      </w:r>
    </w:p>
    <w:p w:rsidR="00724C02" w:rsidRPr="00984C3D" w:rsidRDefault="00724C02" w:rsidP="00B260FC">
      <w:pPr>
        <w:pStyle w:val="texto"/>
        <w:tabs>
          <w:tab w:val="clear" w:pos="2835"/>
          <w:tab w:val="clear" w:pos="3969"/>
          <w:tab w:val="clear" w:pos="5103"/>
          <w:tab w:val="clear" w:pos="6237"/>
          <w:tab w:val="clear" w:pos="7371"/>
        </w:tabs>
        <w:jc w:val="center"/>
        <w:rPr>
          <w:szCs w:val="26"/>
        </w:rPr>
      </w:pPr>
    </w:p>
    <w:sectPr w:rsidR="00724C02" w:rsidRPr="00984C3D" w:rsidSect="00AE5E7A">
      <w:footerReference w:type="default" r:id="rId22"/>
      <w:footerReference w:type="first" r:id="rId23"/>
      <w:pgSz w:w="11907" w:h="16840" w:code="9"/>
      <w:pgMar w:top="2109" w:right="1559" w:bottom="1644" w:left="1559" w:header="369" w:footer="13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B50" w:rsidRDefault="00F46B50">
      <w:r>
        <w:separator/>
      </w:r>
    </w:p>
    <w:p w:rsidR="00F46B50" w:rsidRDefault="00F46B50"/>
    <w:p w:rsidR="00F46B50" w:rsidRDefault="00F46B50"/>
    <w:p w:rsidR="00F46B50" w:rsidRDefault="00F46B50"/>
  </w:endnote>
  <w:endnote w:type="continuationSeparator" w:id="0">
    <w:p w:rsidR="00F46B50" w:rsidRDefault="00F46B50">
      <w:r>
        <w:continuationSeparator/>
      </w:r>
    </w:p>
    <w:p w:rsidR="00F46B50" w:rsidRDefault="00F46B50"/>
    <w:p w:rsidR="00F46B50" w:rsidRDefault="00F46B50"/>
    <w:p w:rsidR="00F46B50" w:rsidRDefault="00F46B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00000000" w:usb1="C0007841"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illSans">
    <w:altName w:val="Courier New"/>
    <w:panose1 w:val="00000000000000000000"/>
    <w:charset w:val="00"/>
    <w:family w:val="modern"/>
    <w:notTrueType/>
    <w:pitch w:val="variable"/>
    <w:sig w:usb0="00000003" w:usb1="00000000" w:usb2="00000000" w:usb3="00000000" w:csb0="00000001" w:csb1="00000000"/>
  </w:font>
  <w:font w:name="Trajan">
    <w:panose1 w:val="00000000000000000000"/>
    <w:charset w:val="00"/>
    <w:family w:val="roman"/>
    <w:notTrueType/>
    <w:pitch w:val="variable"/>
    <w:sig w:usb0="00000003" w:usb1="00000000" w:usb2="00000000" w:usb3="00000000" w:csb0="00000001" w:csb1="00000000"/>
  </w:font>
  <w:font w:name="Helvetica LT Std">
    <w:panose1 w:val="020B0504020202020204"/>
    <w:charset w:val="00"/>
    <w:family w:val="swiss"/>
    <w:notTrueType/>
    <w:pitch w:val="variable"/>
    <w:sig w:usb0="800002AF" w:usb1="50002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B50" w:rsidRDefault="00F46B50"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46B50" w:rsidRDefault="00F46B50"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B50" w:rsidRPr="00F03814" w:rsidRDefault="00F46B50"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75C52386" wp14:editId="26F0BBC6">
          <wp:extent cx="219075" cy="371475"/>
          <wp:effectExtent l="0" t="0" r="9525" b="9525"/>
          <wp:docPr id="8" name="Imagen 8"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F46B50" w:rsidRPr="00F74E38" w:rsidRDefault="00F46B50"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B50" w:rsidRDefault="00F46B50"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B50" w:rsidRPr="00F03814" w:rsidRDefault="00F46B50"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365219F8" wp14:editId="06BB0801">
          <wp:extent cx="219075" cy="371475"/>
          <wp:effectExtent l="0" t="0" r="9525" b="9525"/>
          <wp:docPr id="10" name="Imagen 10"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D82F07">
      <w:rPr>
        <w:rStyle w:val="Nmerodepgina"/>
        <w:noProof/>
        <w:szCs w:val="24"/>
      </w:rPr>
      <w:t>54</w:t>
    </w:r>
    <w:r w:rsidRPr="001D4F09">
      <w:rPr>
        <w:rStyle w:val="Nmerodepgina"/>
        <w:szCs w:val="24"/>
      </w:rPr>
      <w:fldChar w:fldCharType="end"/>
    </w:r>
    <w:r w:rsidRPr="001D4F09">
      <w:rPr>
        <w:rStyle w:val="Nmerodepgina"/>
        <w:szCs w:val="24"/>
      </w:rPr>
      <w:t xml:space="preserve"> -</w:t>
    </w:r>
  </w:p>
  <w:p w:rsidR="00F46B50" w:rsidRPr="00C13453" w:rsidRDefault="00F46B50" w:rsidP="00D2472C">
    <w:pPr>
      <w:pStyle w:val="BorradorProvisional"/>
      <w:ind w:left="0"/>
      <w:jc w:val="center"/>
    </w:pPr>
  </w:p>
  <w:p w:rsidR="00F46B50" w:rsidRDefault="00F46B5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B50" w:rsidRPr="00F03814" w:rsidRDefault="00F46B50"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6B4FCBDC" wp14:editId="6F4C95C7">
          <wp:extent cx="219075" cy="371475"/>
          <wp:effectExtent l="0" t="0" r="9525" b="9525"/>
          <wp:docPr id="12" name="Imagen 1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p>
  <w:p w:rsidR="00F46B50" w:rsidRPr="00C13453" w:rsidRDefault="00F46B50" w:rsidP="00D2472C">
    <w:pPr>
      <w:pStyle w:val="BorradorProvisional"/>
      <w:ind w:left="0"/>
      <w:jc w:val="center"/>
    </w:pPr>
  </w:p>
  <w:p w:rsidR="00F46B50" w:rsidRDefault="00F46B5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B50" w:rsidRDefault="00F46B50" w:rsidP="0059650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B50" w:rsidRDefault="00F46B50" w:rsidP="003D277D">
      <w:pPr>
        <w:ind w:firstLine="0"/>
      </w:pPr>
      <w:r>
        <w:separator/>
      </w:r>
    </w:p>
  </w:footnote>
  <w:footnote w:type="continuationSeparator" w:id="0">
    <w:p w:rsidR="00F46B50" w:rsidRDefault="00F46B50">
      <w:r>
        <w:continuationSeparator/>
      </w:r>
    </w:p>
    <w:p w:rsidR="00F46B50" w:rsidRDefault="00F46B50"/>
    <w:p w:rsidR="00F46B50" w:rsidRDefault="00F46B50"/>
    <w:p w:rsidR="00F46B50" w:rsidRDefault="00F46B50"/>
  </w:footnote>
  <w:footnote w:id="1">
    <w:p w:rsidR="00F46B50" w:rsidRDefault="00F46B50" w:rsidP="009C3EC8">
      <w:pPr>
        <w:pStyle w:val="Textonotapie"/>
        <w:spacing w:after="0"/>
        <w:ind w:firstLine="0"/>
      </w:pPr>
      <w:r>
        <w:rPr>
          <w:rStyle w:val="Refdenotaalpie"/>
        </w:rPr>
        <w:footnoteRef/>
      </w:r>
      <w:r>
        <w:t xml:space="preserve"> Información extraída del estudio “Plan Estratégico de Áreas Logísticas e </w:t>
      </w:r>
      <w:proofErr w:type="spellStart"/>
      <w:r>
        <w:t>Intermodalidad</w:t>
      </w:r>
      <w:proofErr w:type="spellEnd"/>
      <w:r>
        <w:t xml:space="preserve"> de Navarra” de abril de 2007.</w:t>
      </w:r>
    </w:p>
  </w:footnote>
  <w:footnote w:id="2">
    <w:p w:rsidR="00F46B50" w:rsidRDefault="00F46B50" w:rsidP="00072D23">
      <w:pPr>
        <w:pStyle w:val="Textonotapie"/>
        <w:ind w:firstLine="0"/>
      </w:pPr>
      <w:r>
        <w:rPr>
          <w:rStyle w:val="Refdenotaalpie"/>
        </w:rPr>
        <w:footnoteRef/>
      </w:r>
      <w:r>
        <w:t xml:space="preserve"> Conexión que si se contemplará posteriormente dentro del PSIS de la ampliación de la CT.</w:t>
      </w:r>
    </w:p>
  </w:footnote>
  <w:footnote w:id="3">
    <w:p w:rsidR="00F93209" w:rsidRDefault="00F93209" w:rsidP="006021D1">
      <w:pPr>
        <w:pStyle w:val="Textonotapie"/>
        <w:ind w:firstLine="0"/>
      </w:pPr>
      <w:r>
        <w:rPr>
          <w:rStyle w:val="Refdenotaalpie"/>
        </w:rPr>
        <w:footnoteRef/>
      </w:r>
      <w:r>
        <w:t xml:space="preserve"> Párrafo modificado según las alegaciones presentadas.</w:t>
      </w:r>
    </w:p>
  </w:footnote>
  <w:footnote w:id="4">
    <w:p w:rsidR="00F46B50" w:rsidRDefault="00F46B50" w:rsidP="00BE57C3">
      <w:pPr>
        <w:pStyle w:val="Textonotapie"/>
        <w:spacing w:after="120"/>
        <w:ind w:firstLine="0"/>
      </w:pPr>
      <w:r>
        <w:rPr>
          <w:rStyle w:val="Refdenotaalpie"/>
        </w:rPr>
        <w:footnoteRef/>
      </w:r>
      <w:r>
        <w:t xml:space="preserve"> Como se ha señalado previamente, de 1995 a 2013, la sociedad gestora tiene como actividad exclusiva la gestión de la CT. Después de ese último año, tal actividad se engloba en otros objetos sociales más amplios.</w:t>
      </w:r>
    </w:p>
  </w:footnote>
  <w:footnote w:id="5">
    <w:p w:rsidR="00F93209" w:rsidRDefault="00F93209" w:rsidP="006021D1">
      <w:pPr>
        <w:pStyle w:val="Textonotapie"/>
        <w:ind w:firstLine="0"/>
      </w:pPr>
      <w:r>
        <w:rPr>
          <w:rStyle w:val="Refdenotaalpie"/>
        </w:rPr>
        <w:footnoteRef/>
      </w:r>
      <w:r>
        <w:t xml:space="preserve"> Recomendación modificada según las alegaciones presen</w:t>
      </w:r>
      <w:r w:rsidR="00261616">
        <w:t>t</w:t>
      </w:r>
      <w:r>
        <w:t>adas.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B50" w:rsidRPr="003B2266" w:rsidRDefault="00F46B50" w:rsidP="00444344">
    <w:pPr>
      <w:pStyle w:val="Encabezado"/>
      <w:pBdr>
        <w:bottom w:val="single" w:sz="4" w:space="1" w:color="auto"/>
      </w:pBdr>
      <w:spacing w:after="40"/>
      <w:ind w:firstLine="0"/>
      <w:jc w:val="left"/>
      <w:rPr>
        <w:sz w:val="13"/>
        <w:szCs w:val="13"/>
        <w:lang w:val="es-ES"/>
      </w:rPr>
    </w:pPr>
    <w:r>
      <w:rPr>
        <w:b/>
        <w:noProof/>
        <w:lang w:val="es-ES" w:eastAsia="es-ES"/>
      </w:rPr>
      <w:drawing>
        <wp:inline distT="0" distB="0" distL="0" distR="0" wp14:anchorId="007121AA" wp14:editId="0F251BB3">
          <wp:extent cx="771525" cy="762000"/>
          <wp:effectExtent l="0" t="0" r="9525" b="0"/>
          <wp:docPr id="7" name="Imagen 7"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sz w:val="13"/>
        <w:szCs w:val="13"/>
        <w:lang w:val="es-ES"/>
      </w:rPr>
      <w:t xml:space="preserve">         informe de fiscalización sobre la ciudad del transporte de la comarca de pamplona (1991-2017)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B50" w:rsidRDefault="00F46B50" w:rsidP="006A2D41">
    <w:pPr>
      <w:pStyle w:val="Encabezado"/>
      <w:ind w:firstLine="0"/>
      <w:jc w:val="left"/>
    </w:pPr>
    <w:r>
      <w:rPr>
        <w:noProof/>
        <w:lang w:val="es-ES" w:eastAsia="es-ES"/>
      </w:rPr>
      <w:drawing>
        <wp:inline distT="0" distB="0" distL="0" distR="0" wp14:anchorId="591DCFDF" wp14:editId="67BC7C58">
          <wp:extent cx="771525" cy="762000"/>
          <wp:effectExtent l="0" t="0" r="9525" b="0"/>
          <wp:docPr id="9" name="Imagen 9"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B50" w:rsidRDefault="00F46B50"/>
  <w:p w:rsidR="00F46B50" w:rsidRDefault="00F46B50"/>
  <w:p w:rsidR="00F46B50" w:rsidRDefault="00F46B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180E"/>
    <w:multiLevelType w:val="hybridMultilevel"/>
    <w:tmpl w:val="0DE451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762D92"/>
    <w:multiLevelType w:val="hybridMultilevel"/>
    <w:tmpl w:val="C7B288F2"/>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C7C25D4"/>
    <w:multiLevelType w:val="hybridMultilevel"/>
    <w:tmpl w:val="5BDA496C"/>
    <w:lvl w:ilvl="0" w:tplc="DF1A6F1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0E8F40DD"/>
    <w:multiLevelType w:val="hybridMultilevel"/>
    <w:tmpl w:val="21E6E952"/>
    <w:lvl w:ilvl="0" w:tplc="1B363BC6">
      <w:numFmt w:val="bullet"/>
      <w:lvlText w:val="-"/>
      <w:lvlJc w:val="left"/>
      <w:pPr>
        <w:ind w:left="1440" w:hanging="360"/>
      </w:pPr>
      <w:rPr>
        <w:rFonts w:ascii="Calibri" w:eastAsiaTheme="minorHAnsi" w:hAnsi="Calibri"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0F20606E"/>
    <w:multiLevelType w:val="hybridMultilevel"/>
    <w:tmpl w:val="3722641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FCF2594"/>
    <w:multiLevelType w:val="hybridMultilevel"/>
    <w:tmpl w:val="B2620390"/>
    <w:lvl w:ilvl="0" w:tplc="6DD03AF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7">
    <w:nsid w:val="133F0059"/>
    <w:multiLevelType w:val="hybridMultilevel"/>
    <w:tmpl w:val="FB5C9F1C"/>
    <w:lvl w:ilvl="0" w:tplc="3C9EFAB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8E11D6F"/>
    <w:multiLevelType w:val="hybridMultilevel"/>
    <w:tmpl w:val="B61613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AC0754B"/>
    <w:multiLevelType w:val="hybridMultilevel"/>
    <w:tmpl w:val="830037F2"/>
    <w:lvl w:ilvl="0" w:tplc="EB825990">
      <w:start w:val="1"/>
      <w:numFmt w:val="lowerLetter"/>
      <w:lvlText w:val="%1)"/>
      <w:lvlJc w:val="left"/>
      <w:pPr>
        <w:ind w:left="650" w:hanging="360"/>
      </w:pPr>
      <w:rPr>
        <w:rFonts w:hint="default"/>
      </w:rPr>
    </w:lvl>
    <w:lvl w:ilvl="1" w:tplc="0C0A0019" w:tentative="1">
      <w:start w:val="1"/>
      <w:numFmt w:val="lowerLetter"/>
      <w:lvlText w:val="%2."/>
      <w:lvlJc w:val="left"/>
      <w:pPr>
        <w:ind w:left="1370" w:hanging="360"/>
      </w:pPr>
    </w:lvl>
    <w:lvl w:ilvl="2" w:tplc="0C0A001B" w:tentative="1">
      <w:start w:val="1"/>
      <w:numFmt w:val="lowerRoman"/>
      <w:lvlText w:val="%3."/>
      <w:lvlJc w:val="right"/>
      <w:pPr>
        <w:ind w:left="2090" w:hanging="180"/>
      </w:pPr>
    </w:lvl>
    <w:lvl w:ilvl="3" w:tplc="0C0A000F" w:tentative="1">
      <w:start w:val="1"/>
      <w:numFmt w:val="decimal"/>
      <w:lvlText w:val="%4."/>
      <w:lvlJc w:val="left"/>
      <w:pPr>
        <w:ind w:left="2810" w:hanging="360"/>
      </w:pPr>
    </w:lvl>
    <w:lvl w:ilvl="4" w:tplc="0C0A0019" w:tentative="1">
      <w:start w:val="1"/>
      <w:numFmt w:val="lowerLetter"/>
      <w:lvlText w:val="%5."/>
      <w:lvlJc w:val="left"/>
      <w:pPr>
        <w:ind w:left="3530" w:hanging="360"/>
      </w:pPr>
    </w:lvl>
    <w:lvl w:ilvl="5" w:tplc="0C0A001B" w:tentative="1">
      <w:start w:val="1"/>
      <w:numFmt w:val="lowerRoman"/>
      <w:lvlText w:val="%6."/>
      <w:lvlJc w:val="right"/>
      <w:pPr>
        <w:ind w:left="4250" w:hanging="180"/>
      </w:pPr>
    </w:lvl>
    <w:lvl w:ilvl="6" w:tplc="0C0A000F" w:tentative="1">
      <w:start w:val="1"/>
      <w:numFmt w:val="decimal"/>
      <w:lvlText w:val="%7."/>
      <w:lvlJc w:val="left"/>
      <w:pPr>
        <w:ind w:left="4970" w:hanging="360"/>
      </w:pPr>
    </w:lvl>
    <w:lvl w:ilvl="7" w:tplc="0C0A0019" w:tentative="1">
      <w:start w:val="1"/>
      <w:numFmt w:val="lowerLetter"/>
      <w:lvlText w:val="%8."/>
      <w:lvlJc w:val="left"/>
      <w:pPr>
        <w:ind w:left="5690" w:hanging="360"/>
      </w:pPr>
    </w:lvl>
    <w:lvl w:ilvl="8" w:tplc="0C0A001B" w:tentative="1">
      <w:start w:val="1"/>
      <w:numFmt w:val="lowerRoman"/>
      <w:lvlText w:val="%9."/>
      <w:lvlJc w:val="right"/>
      <w:pPr>
        <w:ind w:left="6410" w:hanging="180"/>
      </w:pPr>
    </w:lvl>
  </w:abstractNum>
  <w:abstractNum w:abstractNumId="10">
    <w:nsid w:val="1E8E6ED9"/>
    <w:multiLevelType w:val="hybridMultilevel"/>
    <w:tmpl w:val="8C4239A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EAD0597"/>
    <w:multiLevelType w:val="hybridMultilevel"/>
    <w:tmpl w:val="5F302ED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53F2819"/>
    <w:multiLevelType w:val="multilevel"/>
    <w:tmpl w:val="BAB67394"/>
    <w:lvl w:ilvl="0">
      <w:start w:val="1"/>
      <w:numFmt w:val="decimal"/>
      <w:lvlText w:val="%1."/>
      <w:lvlJc w:val="left"/>
      <w:pPr>
        <w:ind w:left="720" w:hanging="360"/>
      </w:pPr>
    </w:lvl>
    <w:lvl w:ilvl="1">
      <w:start w:val="2"/>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3">
    <w:nsid w:val="34265966"/>
    <w:multiLevelType w:val="hybridMultilevel"/>
    <w:tmpl w:val="3F4A82F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84625A7"/>
    <w:multiLevelType w:val="hybridMultilevel"/>
    <w:tmpl w:val="794247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BCD6E35"/>
    <w:multiLevelType w:val="hybridMultilevel"/>
    <w:tmpl w:val="4CB085A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C68273C"/>
    <w:multiLevelType w:val="hybridMultilevel"/>
    <w:tmpl w:val="D462402C"/>
    <w:lvl w:ilvl="0" w:tplc="81A052D2">
      <w:start w:val="6"/>
      <w:numFmt w:val="bullet"/>
      <w:lvlText w:val="-"/>
      <w:lvlJc w:val="left"/>
      <w:pPr>
        <w:ind w:left="644" w:hanging="360"/>
      </w:pPr>
      <w:rPr>
        <w:rFonts w:ascii="Times New (W1)" w:eastAsia="Times New Roman" w:hAnsi="Times New (W1)" w:cs="Times New (W1)"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7">
    <w:nsid w:val="3E6B5284"/>
    <w:multiLevelType w:val="hybridMultilevel"/>
    <w:tmpl w:val="D7EE7E7C"/>
    <w:lvl w:ilvl="0" w:tplc="1EBA4B8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nsid w:val="3E9F0DAE"/>
    <w:multiLevelType w:val="hybridMultilevel"/>
    <w:tmpl w:val="161C726C"/>
    <w:lvl w:ilvl="0" w:tplc="70F00E40">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9">
    <w:nsid w:val="3F962E2C"/>
    <w:multiLevelType w:val="hybridMultilevel"/>
    <w:tmpl w:val="B01497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2D40856"/>
    <w:multiLevelType w:val="hybridMultilevel"/>
    <w:tmpl w:val="DD0CC48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4673393"/>
    <w:multiLevelType w:val="hybridMultilevel"/>
    <w:tmpl w:val="1674D8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7CE3507"/>
    <w:multiLevelType w:val="hybridMultilevel"/>
    <w:tmpl w:val="28F22A3A"/>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nsid w:val="57D971B7"/>
    <w:multiLevelType w:val="hybridMultilevel"/>
    <w:tmpl w:val="28ACB426"/>
    <w:lvl w:ilvl="0" w:tplc="415E4778">
      <w:start w:val="1"/>
      <w:numFmt w:val="decimal"/>
      <w:lvlText w:val="(%1)"/>
      <w:lvlJc w:val="left"/>
      <w:pPr>
        <w:ind w:left="675" w:hanging="360"/>
      </w:pPr>
      <w:rPr>
        <w:rFonts w:hint="default"/>
      </w:rPr>
    </w:lvl>
    <w:lvl w:ilvl="1" w:tplc="0C0A0019" w:tentative="1">
      <w:start w:val="1"/>
      <w:numFmt w:val="lowerLetter"/>
      <w:lvlText w:val="%2."/>
      <w:lvlJc w:val="left"/>
      <w:pPr>
        <w:ind w:left="1395" w:hanging="360"/>
      </w:pPr>
    </w:lvl>
    <w:lvl w:ilvl="2" w:tplc="0C0A001B" w:tentative="1">
      <w:start w:val="1"/>
      <w:numFmt w:val="lowerRoman"/>
      <w:lvlText w:val="%3."/>
      <w:lvlJc w:val="right"/>
      <w:pPr>
        <w:ind w:left="2115" w:hanging="180"/>
      </w:pPr>
    </w:lvl>
    <w:lvl w:ilvl="3" w:tplc="0C0A000F" w:tentative="1">
      <w:start w:val="1"/>
      <w:numFmt w:val="decimal"/>
      <w:lvlText w:val="%4."/>
      <w:lvlJc w:val="left"/>
      <w:pPr>
        <w:ind w:left="2835" w:hanging="360"/>
      </w:pPr>
    </w:lvl>
    <w:lvl w:ilvl="4" w:tplc="0C0A0019" w:tentative="1">
      <w:start w:val="1"/>
      <w:numFmt w:val="lowerLetter"/>
      <w:lvlText w:val="%5."/>
      <w:lvlJc w:val="left"/>
      <w:pPr>
        <w:ind w:left="3555" w:hanging="360"/>
      </w:pPr>
    </w:lvl>
    <w:lvl w:ilvl="5" w:tplc="0C0A001B" w:tentative="1">
      <w:start w:val="1"/>
      <w:numFmt w:val="lowerRoman"/>
      <w:lvlText w:val="%6."/>
      <w:lvlJc w:val="right"/>
      <w:pPr>
        <w:ind w:left="4275" w:hanging="180"/>
      </w:pPr>
    </w:lvl>
    <w:lvl w:ilvl="6" w:tplc="0C0A000F" w:tentative="1">
      <w:start w:val="1"/>
      <w:numFmt w:val="decimal"/>
      <w:lvlText w:val="%7."/>
      <w:lvlJc w:val="left"/>
      <w:pPr>
        <w:ind w:left="4995" w:hanging="360"/>
      </w:pPr>
    </w:lvl>
    <w:lvl w:ilvl="7" w:tplc="0C0A0019" w:tentative="1">
      <w:start w:val="1"/>
      <w:numFmt w:val="lowerLetter"/>
      <w:lvlText w:val="%8."/>
      <w:lvlJc w:val="left"/>
      <w:pPr>
        <w:ind w:left="5715" w:hanging="360"/>
      </w:pPr>
    </w:lvl>
    <w:lvl w:ilvl="8" w:tplc="0C0A001B" w:tentative="1">
      <w:start w:val="1"/>
      <w:numFmt w:val="lowerRoman"/>
      <w:lvlText w:val="%9."/>
      <w:lvlJc w:val="right"/>
      <w:pPr>
        <w:ind w:left="6435" w:hanging="180"/>
      </w:pPr>
    </w:lvl>
  </w:abstractNum>
  <w:abstractNum w:abstractNumId="24">
    <w:nsid w:val="59526EF1"/>
    <w:multiLevelType w:val="hybridMultilevel"/>
    <w:tmpl w:val="9994708A"/>
    <w:lvl w:ilvl="0" w:tplc="298098A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nsid w:val="5F5641C1"/>
    <w:multiLevelType w:val="hybridMultilevel"/>
    <w:tmpl w:val="CA78E1A2"/>
    <w:lvl w:ilvl="0" w:tplc="5EE29B3C">
      <w:start w:val="1"/>
      <w:numFmt w:val="lowerLetter"/>
      <w:lvlText w:val="%1)"/>
      <w:lvlJc w:val="left"/>
      <w:pPr>
        <w:ind w:left="650" w:hanging="360"/>
      </w:pPr>
      <w:rPr>
        <w:rFonts w:hint="default"/>
      </w:rPr>
    </w:lvl>
    <w:lvl w:ilvl="1" w:tplc="0C0A0019" w:tentative="1">
      <w:start w:val="1"/>
      <w:numFmt w:val="lowerLetter"/>
      <w:lvlText w:val="%2."/>
      <w:lvlJc w:val="left"/>
      <w:pPr>
        <w:ind w:left="1370" w:hanging="360"/>
      </w:pPr>
    </w:lvl>
    <w:lvl w:ilvl="2" w:tplc="0C0A001B" w:tentative="1">
      <w:start w:val="1"/>
      <w:numFmt w:val="lowerRoman"/>
      <w:lvlText w:val="%3."/>
      <w:lvlJc w:val="right"/>
      <w:pPr>
        <w:ind w:left="2090" w:hanging="180"/>
      </w:pPr>
    </w:lvl>
    <w:lvl w:ilvl="3" w:tplc="0C0A000F" w:tentative="1">
      <w:start w:val="1"/>
      <w:numFmt w:val="decimal"/>
      <w:lvlText w:val="%4."/>
      <w:lvlJc w:val="left"/>
      <w:pPr>
        <w:ind w:left="2810" w:hanging="360"/>
      </w:pPr>
    </w:lvl>
    <w:lvl w:ilvl="4" w:tplc="0C0A0019" w:tentative="1">
      <w:start w:val="1"/>
      <w:numFmt w:val="lowerLetter"/>
      <w:lvlText w:val="%5."/>
      <w:lvlJc w:val="left"/>
      <w:pPr>
        <w:ind w:left="3530" w:hanging="360"/>
      </w:pPr>
    </w:lvl>
    <w:lvl w:ilvl="5" w:tplc="0C0A001B" w:tentative="1">
      <w:start w:val="1"/>
      <w:numFmt w:val="lowerRoman"/>
      <w:lvlText w:val="%6."/>
      <w:lvlJc w:val="right"/>
      <w:pPr>
        <w:ind w:left="4250" w:hanging="180"/>
      </w:pPr>
    </w:lvl>
    <w:lvl w:ilvl="6" w:tplc="0C0A000F" w:tentative="1">
      <w:start w:val="1"/>
      <w:numFmt w:val="decimal"/>
      <w:lvlText w:val="%7."/>
      <w:lvlJc w:val="left"/>
      <w:pPr>
        <w:ind w:left="4970" w:hanging="360"/>
      </w:pPr>
    </w:lvl>
    <w:lvl w:ilvl="7" w:tplc="0C0A0019" w:tentative="1">
      <w:start w:val="1"/>
      <w:numFmt w:val="lowerLetter"/>
      <w:lvlText w:val="%8."/>
      <w:lvlJc w:val="left"/>
      <w:pPr>
        <w:ind w:left="5690" w:hanging="360"/>
      </w:pPr>
    </w:lvl>
    <w:lvl w:ilvl="8" w:tplc="0C0A001B" w:tentative="1">
      <w:start w:val="1"/>
      <w:numFmt w:val="lowerRoman"/>
      <w:lvlText w:val="%9."/>
      <w:lvlJc w:val="right"/>
      <w:pPr>
        <w:ind w:left="6410" w:hanging="180"/>
      </w:pPr>
    </w:lvl>
  </w:abstractNum>
  <w:abstractNum w:abstractNumId="26">
    <w:nsid w:val="61276C9B"/>
    <w:multiLevelType w:val="hybridMultilevel"/>
    <w:tmpl w:val="713ECBBE"/>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27">
    <w:nsid w:val="63127696"/>
    <w:multiLevelType w:val="hybridMultilevel"/>
    <w:tmpl w:val="A796BF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44B5128"/>
    <w:multiLevelType w:val="singleLevel"/>
    <w:tmpl w:val="F50A19D2"/>
    <w:lvl w:ilvl="0">
      <w:start w:val="46"/>
      <w:numFmt w:val="bullet"/>
      <w:lvlText w:val=""/>
      <w:lvlJc w:val="left"/>
      <w:pPr>
        <w:tabs>
          <w:tab w:val="num" w:pos="502"/>
        </w:tabs>
        <w:ind w:left="-28" w:firstLine="170"/>
      </w:pPr>
      <w:rPr>
        <w:rFonts w:ascii="Wingdings" w:hAnsi="Wingdings" w:hint="default"/>
      </w:rPr>
    </w:lvl>
  </w:abstractNum>
  <w:abstractNum w:abstractNumId="29">
    <w:nsid w:val="64A14BB2"/>
    <w:multiLevelType w:val="hybridMultilevel"/>
    <w:tmpl w:val="9CD662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4FE3016"/>
    <w:multiLevelType w:val="hybridMultilevel"/>
    <w:tmpl w:val="F9B2EC6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5972963"/>
    <w:multiLevelType w:val="hybridMultilevel"/>
    <w:tmpl w:val="3C1A23D4"/>
    <w:lvl w:ilvl="0" w:tplc="ADCCF86E">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9273F26"/>
    <w:multiLevelType w:val="hybridMultilevel"/>
    <w:tmpl w:val="848EA9FA"/>
    <w:lvl w:ilvl="0" w:tplc="08C4871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3">
    <w:nsid w:val="6B074178"/>
    <w:multiLevelType w:val="hybridMultilevel"/>
    <w:tmpl w:val="547C7E4A"/>
    <w:lvl w:ilvl="0" w:tplc="934C4862">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4">
    <w:nsid w:val="6EAF7816"/>
    <w:multiLevelType w:val="hybridMultilevel"/>
    <w:tmpl w:val="5436F1D4"/>
    <w:lvl w:ilvl="0" w:tplc="9FB20A66">
      <w:start w:val="1"/>
      <w:numFmt w:val="lowerLetter"/>
      <w:lvlText w:val="%1)"/>
      <w:lvlJc w:val="left"/>
      <w:pPr>
        <w:ind w:left="704" w:hanging="360"/>
      </w:pPr>
      <w:rPr>
        <w:rFonts w:hint="default"/>
      </w:rPr>
    </w:lvl>
    <w:lvl w:ilvl="1" w:tplc="0C0A0019" w:tentative="1">
      <w:start w:val="1"/>
      <w:numFmt w:val="lowerLetter"/>
      <w:lvlText w:val="%2."/>
      <w:lvlJc w:val="left"/>
      <w:pPr>
        <w:ind w:left="1424" w:hanging="360"/>
      </w:pPr>
    </w:lvl>
    <w:lvl w:ilvl="2" w:tplc="0C0A001B" w:tentative="1">
      <w:start w:val="1"/>
      <w:numFmt w:val="lowerRoman"/>
      <w:lvlText w:val="%3."/>
      <w:lvlJc w:val="right"/>
      <w:pPr>
        <w:ind w:left="2144" w:hanging="180"/>
      </w:pPr>
    </w:lvl>
    <w:lvl w:ilvl="3" w:tplc="0C0A000F" w:tentative="1">
      <w:start w:val="1"/>
      <w:numFmt w:val="decimal"/>
      <w:lvlText w:val="%4."/>
      <w:lvlJc w:val="left"/>
      <w:pPr>
        <w:ind w:left="2864" w:hanging="360"/>
      </w:pPr>
    </w:lvl>
    <w:lvl w:ilvl="4" w:tplc="0C0A0019" w:tentative="1">
      <w:start w:val="1"/>
      <w:numFmt w:val="lowerLetter"/>
      <w:lvlText w:val="%5."/>
      <w:lvlJc w:val="left"/>
      <w:pPr>
        <w:ind w:left="3584" w:hanging="360"/>
      </w:pPr>
    </w:lvl>
    <w:lvl w:ilvl="5" w:tplc="0C0A001B" w:tentative="1">
      <w:start w:val="1"/>
      <w:numFmt w:val="lowerRoman"/>
      <w:lvlText w:val="%6."/>
      <w:lvlJc w:val="right"/>
      <w:pPr>
        <w:ind w:left="4304" w:hanging="180"/>
      </w:pPr>
    </w:lvl>
    <w:lvl w:ilvl="6" w:tplc="0C0A000F" w:tentative="1">
      <w:start w:val="1"/>
      <w:numFmt w:val="decimal"/>
      <w:lvlText w:val="%7."/>
      <w:lvlJc w:val="left"/>
      <w:pPr>
        <w:ind w:left="5024" w:hanging="360"/>
      </w:pPr>
    </w:lvl>
    <w:lvl w:ilvl="7" w:tplc="0C0A0019" w:tentative="1">
      <w:start w:val="1"/>
      <w:numFmt w:val="lowerLetter"/>
      <w:lvlText w:val="%8."/>
      <w:lvlJc w:val="left"/>
      <w:pPr>
        <w:ind w:left="5744" w:hanging="360"/>
      </w:pPr>
    </w:lvl>
    <w:lvl w:ilvl="8" w:tplc="0C0A001B" w:tentative="1">
      <w:start w:val="1"/>
      <w:numFmt w:val="lowerRoman"/>
      <w:lvlText w:val="%9."/>
      <w:lvlJc w:val="right"/>
      <w:pPr>
        <w:ind w:left="6464" w:hanging="180"/>
      </w:pPr>
    </w:lvl>
  </w:abstractNum>
  <w:abstractNum w:abstractNumId="35">
    <w:nsid w:val="75917C03"/>
    <w:multiLevelType w:val="hybridMultilevel"/>
    <w:tmpl w:val="8A0A4D1C"/>
    <w:lvl w:ilvl="0" w:tplc="5306835A">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6">
    <w:nsid w:val="7AD06252"/>
    <w:multiLevelType w:val="hybridMultilevel"/>
    <w:tmpl w:val="9ECEC708"/>
    <w:lvl w:ilvl="0" w:tplc="918E9F74">
      <w:start w:val="1"/>
      <w:numFmt w:val="decimal"/>
      <w:lvlText w:val="(%1)"/>
      <w:lvlJc w:val="left"/>
      <w:pPr>
        <w:ind w:left="444" w:hanging="360"/>
      </w:pPr>
      <w:rPr>
        <w:rFonts w:hint="default"/>
      </w:rPr>
    </w:lvl>
    <w:lvl w:ilvl="1" w:tplc="0C0A0019" w:tentative="1">
      <w:start w:val="1"/>
      <w:numFmt w:val="lowerLetter"/>
      <w:lvlText w:val="%2."/>
      <w:lvlJc w:val="left"/>
      <w:pPr>
        <w:ind w:left="1164" w:hanging="360"/>
      </w:pPr>
    </w:lvl>
    <w:lvl w:ilvl="2" w:tplc="0C0A001B" w:tentative="1">
      <w:start w:val="1"/>
      <w:numFmt w:val="lowerRoman"/>
      <w:lvlText w:val="%3."/>
      <w:lvlJc w:val="right"/>
      <w:pPr>
        <w:ind w:left="1884" w:hanging="180"/>
      </w:pPr>
    </w:lvl>
    <w:lvl w:ilvl="3" w:tplc="0C0A000F" w:tentative="1">
      <w:start w:val="1"/>
      <w:numFmt w:val="decimal"/>
      <w:lvlText w:val="%4."/>
      <w:lvlJc w:val="left"/>
      <w:pPr>
        <w:ind w:left="2604" w:hanging="360"/>
      </w:pPr>
    </w:lvl>
    <w:lvl w:ilvl="4" w:tplc="0C0A0019" w:tentative="1">
      <w:start w:val="1"/>
      <w:numFmt w:val="lowerLetter"/>
      <w:lvlText w:val="%5."/>
      <w:lvlJc w:val="left"/>
      <w:pPr>
        <w:ind w:left="3324" w:hanging="360"/>
      </w:pPr>
    </w:lvl>
    <w:lvl w:ilvl="5" w:tplc="0C0A001B" w:tentative="1">
      <w:start w:val="1"/>
      <w:numFmt w:val="lowerRoman"/>
      <w:lvlText w:val="%6."/>
      <w:lvlJc w:val="right"/>
      <w:pPr>
        <w:ind w:left="4044" w:hanging="180"/>
      </w:pPr>
    </w:lvl>
    <w:lvl w:ilvl="6" w:tplc="0C0A000F" w:tentative="1">
      <w:start w:val="1"/>
      <w:numFmt w:val="decimal"/>
      <w:lvlText w:val="%7."/>
      <w:lvlJc w:val="left"/>
      <w:pPr>
        <w:ind w:left="4764" w:hanging="360"/>
      </w:pPr>
    </w:lvl>
    <w:lvl w:ilvl="7" w:tplc="0C0A0019" w:tentative="1">
      <w:start w:val="1"/>
      <w:numFmt w:val="lowerLetter"/>
      <w:lvlText w:val="%8."/>
      <w:lvlJc w:val="left"/>
      <w:pPr>
        <w:ind w:left="5484" w:hanging="360"/>
      </w:pPr>
    </w:lvl>
    <w:lvl w:ilvl="8" w:tplc="0C0A001B" w:tentative="1">
      <w:start w:val="1"/>
      <w:numFmt w:val="lowerRoman"/>
      <w:lvlText w:val="%9."/>
      <w:lvlJc w:val="right"/>
      <w:pPr>
        <w:ind w:left="6204" w:hanging="180"/>
      </w:pPr>
    </w:lvl>
  </w:abstractNum>
  <w:abstractNum w:abstractNumId="37">
    <w:nsid w:val="7D532DC2"/>
    <w:multiLevelType w:val="hybridMultilevel"/>
    <w:tmpl w:val="6D36342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28"/>
  </w:num>
  <w:num w:numId="2">
    <w:abstractNumId w:val="6"/>
  </w:num>
  <w:num w:numId="3">
    <w:abstractNumId w:val="16"/>
  </w:num>
  <w:num w:numId="4">
    <w:abstractNumId w:val="9"/>
  </w:num>
  <w:num w:numId="5">
    <w:abstractNumId w:val="34"/>
  </w:num>
  <w:num w:numId="6">
    <w:abstractNumId w:val="33"/>
  </w:num>
  <w:num w:numId="7">
    <w:abstractNumId w:val="17"/>
  </w:num>
  <w:num w:numId="8">
    <w:abstractNumId w:val="32"/>
  </w:num>
  <w:num w:numId="9">
    <w:abstractNumId w:val="35"/>
  </w:num>
  <w:num w:numId="10">
    <w:abstractNumId w:val="2"/>
  </w:num>
  <w:num w:numId="11">
    <w:abstractNumId w:val="23"/>
  </w:num>
  <w:num w:numId="12">
    <w:abstractNumId w:val="18"/>
  </w:num>
  <w:num w:numId="13">
    <w:abstractNumId w:val="30"/>
  </w:num>
  <w:num w:numId="14">
    <w:abstractNumId w:val="13"/>
  </w:num>
  <w:num w:numId="15">
    <w:abstractNumId w:val="27"/>
  </w:num>
  <w:num w:numId="16">
    <w:abstractNumId w:val="3"/>
  </w:num>
  <w:num w:numId="17">
    <w:abstractNumId w:val="37"/>
  </w:num>
  <w:num w:numId="18">
    <w:abstractNumId w:val="15"/>
  </w:num>
  <w:num w:numId="19">
    <w:abstractNumId w:val="10"/>
  </w:num>
  <w:num w:numId="20">
    <w:abstractNumId w:val="24"/>
  </w:num>
  <w:num w:numId="21">
    <w:abstractNumId w:val="5"/>
  </w:num>
  <w:num w:numId="22">
    <w:abstractNumId w:val="36"/>
  </w:num>
  <w:num w:numId="23">
    <w:abstractNumId w:val="14"/>
  </w:num>
  <w:num w:numId="24">
    <w:abstractNumId w:val="26"/>
  </w:num>
  <w:num w:numId="25">
    <w:abstractNumId w:val="21"/>
  </w:num>
  <w:num w:numId="26">
    <w:abstractNumId w:val="11"/>
  </w:num>
  <w:num w:numId="27">
    <w:abstractNumId w:val="12"/>
  </w:num>
  <w:num w:numId="28">
    <w:abstractNumId w:val="22"/>
  </w:num>
  <w:num w:numId="29">
    <w:abstractNumId w:val="31"/>
  </w:num>
  <w:num w:numId="30">
    <w:abstractNumId w:val="4"/>
  </w:num>
  <w:num w:numId="31">
    <w:abstractNumId w:val="19"/>
  </w:num>
  <w:num w:numId="32">
    <w:abstractNumId w:val="29"/>
  </w:num>
  <w:num w:numId="33">
    <w:abstractNumId w:val="1"/>
  </w:num>
  <w:num w:numId="34">
    <w:abstractNumId w:val="25"/>
  </w:num>
  <w:num w:numId="35">
    <w:abstractNumId w:val="8"/>
  </w:num>
  <w:num w:numId="36">
    <w:abstractNumId w:val="20"/>
  </w:num>
  <w:num w:numId="37">
    <w:abstractNumId w:val="7"/>
  </w:num>
  <w:num w:numId="3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F0A"/>
    <w:rsid w:val="00000658"/>
    <w:rsid w:val="000011B6"/>
    <w:rsid w:val="00001474"/>
    <w:rsid w:val="000019D8"/>
    <w:rsid w:val="00003674"/>
    <w:rsid w:val="00003FE9"/>
    <w:rsid w:val="0000650B"/>
    <w:rsid w:val="00006736"/>
    <w:rsid w:val="00006A97"/>
    <w:rsid w:val="000102A9"/>
    <w:rsid w:val="0001123B"/>
    <w:rsid w:val="00012A7F"/>
    <w:rsid w:val="0001388D"/>
    <w:rsid w:val="000156EF"/>
    <w:rsid w:val="000157F2"/>
    <w:rsid w:val="0001783E"/>
    <w:rsid w:val="00017A3A"/>
    <w:rsid w:val="00021189"/>
    <w:rsid w:val="000217F4"/>
    <w:rsid w:val="00027C78"/>
    <w:rsid w:val="00030394"/>
    <w:rsid w:val="00030425"/>
    <w:rsid w:val="000312CF"/>
    <w:rsid w:val="00033721"/>
    <w:rsid w:val="00034066"/>
    <w:rsid w:val="00036752"/>
    <w:rsid w:val="00036E42"/>
    <w:rsid w:val="00037A7E"/>
    <w:rsid w:val="00037D87"/>
    <w:rsid w:val="00037DBD"/>
    <w:rsid w:val="00042BA7"/>
    <w:rsid w:val="000434AC"/>
    <w:rsid w:val="0004373B"/>
    <w:rsid w:val="000448FA"/>
    <w:rsid w:val="00044A42"/>
    <w:rsid w:val="00045392"/>
    <w:rsid w:val="0005283A"/>
    <w:rsid w:val="00052A89"/>
    <w:rsid w:val="00053A42"/>
    <w:rsid w:val="00054D21"/>
    <w:rsid w:val="0005517D"/>
    <w:rsid w:val="00057049"/>
    <w:rsid w:val="00060ED1"/>
    <w:rsid w:val="000610E4"/>
    <w:rsid w:val="0006133D"/>
    <w:rsid w:val="00063585"/>
    <w:rsid w:val="000641A3"/>
    <w:rsid w:val="00066CC0"/>
    <w:rsid w:val="00067A0E"/>
    <w:rsid w:val="0007135E"/>
    <w:rsid w:val="00071487"/>
    <w:rsid w:val="00071CD0"/>
    <w:rsid w:val="00072D23"/>
    <w:rsid w:val="00073749"/>
    <w:rsid w:val="0007567A"/>
    <w:rsid w:val="00075692"/>
    <w:rsid w:val="00075AE8"/>
    <w:rsid w:val="00080123"/>
    <w:rsid w:val="0008294C"/>
    <w:rsid w:val="00082974"/>
    <w:rsid w:val="00082D9E"/>
    <w:rsid w:val="00084BB7"/>
    <w:rsid w:val="00084BDC"/>
    <w:rsid w:val="00084F6C"/>
    <w:rsid w:val="000871E6"/>
    <w:rsid w:val="00087B8D"/>
    <w:rsid w:val="00091386"/>
    <w:rsid w:val="000925C2"/>
    <w:rsid w:val="00092A46"/>
    <w:rsid w:val="00093D67"/>
    <w:rsid w:val="00093E60"/>
    <w:rsid w:val="00094877"/>
    <w:rsid w:val="00095C35"/>
    <w:rsid w:val="00097A19"/>
    <w:rsid w:val="00097E93"/>
    <w:rsid w:val="000A17EC"/>
    <w:rsid w:val="000A18B7"/>
    <w:rsid w:val="000A1B03"/>
    <w:rsid w:val="000A2549"/>
    <w:rsid w:val="000A26C6"/>
    <w:rsid w:val="000A2B37"/>
    <w:rsid w:val="000A2C1E"/>
    <w:rsid w:val="000A337D"/>
    <w:rsid w:val="000A4339"/>
    <w:rsid w:val="000A4697"/>
    <w:rsid w:val="000A520A"/>
    <w:rsid w:val="000B0D19"/>
    <w:rsid w:val="000B1137"/>
    <w:rsid w:val="000B1275"/>
    <w:rsid w:val="000B1E12"/>
    <w:rsid w:val="000B2589"/>
    <w:rsid w:val="000B2728"/>
    <w:rsid w:val="000B3943"/>
    <w:rsid w:val="000B404C"/>
    <w:rsid w:val="000B4477"/>
    <w:rsid w:val="000B5D92"/>
    <w:rsid w:val="000B7E31"/>
    <w:rsid w:val="000C0704"/>
    <w:rsid w:val="000C2B07"/>
    <w:rsid w:val="000C3598"/>
    <w:rsid w:val="000C39CC"/>
    <w:rsid w:val="000C5F0A"/>
    <w:rsid w:val="000C7566"/>
    <w:rsid w:val="000C7967"/>
    <w:rsid w:val="000C7B98"/>
    <w:rsid w:val="000D10FC"/>
    <w:rsid w:val="000D188E"/>
    <w:rsid w:val="000D1F7E"/>
    <w:rsid w:val="000D2954"/>
    <w:rsid w:val="000D30DF"/>
    <w:rsid w:val="000D4364"/>
    <w:rsid w:val="000D4614"/>
    <w:rsid w:val="000D5335"/>
    <w:rsid w:val="000D7356"/>
    <w:rsid w:val="000E026C"/>
    <w:rsid w:val="000E38F7"/>
    <w:rsid w:val="000E5A01"/>
    <w:rsid w:val="000E674E"/>
    <w:rsid w:val="000E6DD9"/>
    <w:rsid w:val="000E7B86"/>
    <w:rsid w:val="000F1239"/>
    <w:rsid w:val="000F1475"/>
    <w:rsid w:val="000F2B66"/>
    <w:rsid w:val="000F3C39"/>
    <w:rsid w:val="000F3D83"/>
    <w:rsid w:val="000F5AD9"/>
    <w:rsid w:val="000F66EA"/>
    <w:rsid w:val="00100765"/>
    <w:rsid w:val="00100F12"/>
    <w:rsid w:val="001021E6"/>
    <w:rsid w:val="001026C6"/>
    <w:rsid w:val="00103589"/>
    <w:rsid w:val="00103C5B"/>
    <w:rsid w:val="001045C9"/>
    <w:rsid w:val="00104A66"/>
    <w:rsid w:val="00107CC1"/>
    <w:rsid w:val="00110841"/>
    <w:rsid w:val="00111385"/>
    <w:rsid w:val="00111A92"/>
    <w:rsid w:val="001126F0"/>
    <w:rsid w:val="001130EE"/>
    <w:rsid w:val="00113C19"/>
    <w:rsid w:val="00113FEA"/>
    <w:rsid w:val="001145C3"/>
    <w:rsid w:val="00114E7A"/>
    <w:rsid w:val="001161D2"/>
    <w:rsid w:val="00116970"/>
    <w:rsid w:val="00120867"/>
    <w:rsid w:val="00121AD6"/>
    <w:rsid w:val="00122C42"/>
    <w:rsid w:val="00124E2C"/>
    <w:rsid w:val="00125730"/>
    <w:rsid w:val="00126FC3"/>
    <w:rsid w:val="00127222"/>
    <w:rsid w:val="00130900"/>
    <w:rsid w:val="001319A7"/>
    <w:rsid w:val="00131DF1"/>
    <w:rsid w:val="00131FA5"/>
    <w:rsid w:val="00132C38"/>
    <w:rsid w:val="00133984"/>
    <w:rsid w:val="00133B29"/>
    <w:rsid w:val="0013587F"/>
    <w:rsid w:val="001365C4"/>
    <w:rsid w:val="001372B5"/>
    <w:rsid w:val="00140D24"/>
    <w:rsid w:val="0014147D"/>
    <w:rsid w:val="00141527"/>
    <w:rsid w:val="001418D9"/>
    <w:rsid w:val="00141D29"/>
    <w:rsid w:val="0014212A"/>
    <w:rsid w:val="001429F0"/>
    <w:rsid w:val="00143EEB"/>
    <w:rsid w:val="001443AD"/>
    <w:rsid w:val="0014498E"/>
    <w:rsid w:val="0014506A"/>
    <w:rsid w:val="00145B1F"/>
    <w:rsid w:val="00146A60"/>
    <w:rsid w:val="0014728F"/>
    <w:rsid w:val="00150B05"/>
    <w:rsid w:val="00150D59"/>
    <w:rsid w:val="00152071"/>
    <w:rsid w:val="001521A2"/>
    <w:rsid w:val="00152358"/>
    <w:rsid w:val="00155BFF"/>
    <w:rsid w:val="00155E49"/>
    <w:rsid w:val="001570CE"/>
    <w:rsid w:val="00157133"/>
    <w:rsid w:val="00157405"/>
    <w:rsid w:val="0015782F"/>
    <w:rsid w:val="00160531"/>
    <w:rsid w:val="00160ACE"/>
    <w:rsid w:val="00160AE8"/>
    <w:rsid w:val="00160F66"/>
    <w:rsid w:val="001618E7"/>
    <w:rsid w:val="00162757"/>
    <w:rsid w:val="00162F70"/>
    <w:rsid w:val="001633AF"/>
    <w:rsid w:val="00164452"/>
    <w:rsid w:val="00164F97"/>
    <w:rsid w:val="00166A6C"/>
    <w:rsid w:val="0016713C"/>
    <w:rsid w:val="001713E3"/>
    <w:rsid w:val="00173254"/>
    <w:rsid w:val="001736FF"/>
    <w:rsid w:val="00173EDD"/>
    <w:rsid w:val="0017402B"/>
    <w:rsid w:val="00174B05"/>
    <w:rsid w:val="00175233"/>
    <w:rsid w:val="00175A79"/>
    <w:rsid w:val="001766D2"/>
    <w:rsid w:val="00176E46"/>
    <w:rsid w:val="00180702"/>
    <w:rsid w:val="00180A21"/>
    <w:rsid w:val="00181D37"/>
    <w:rsid w:val="00181E75"/>
    <w:rsid w:val="00181EF1"/>
    <w:rsid w:val="001835B7"/>
    <w:rsid w:val="0018426B"/>
    <w:rsid w:val="00184893"/>
    <w:rsid w:val="001851A3"/>
    <w:rsid w:val="00185A37"/>
    <w:rsid w:val="00187628"/>
    <w:rsid w:val="001920EE"/>
    <w:rsid w:val="00194309"/>
    <w:rsid w:val="001953EA"/>
    <w:rsid w:val="0019660E"/>
    <w:rsid w:val="001A0181"/>
    <w:rsid w:val="001A027C"/>
    <w:rsid w:val="001A02A3"/>
    <w:rsid w:val="001A070A"/>
    <w:rsid w:val="001A1422"/>
    <w:rsid w:val="001A2520"/>
    <w:rsid w:val="001A3BC9"/>
    <w:rsid w:val="001A5DFB"/>
    <w:rsid w:val="001A7102"/>
    <w:rsid w:val="001B182C"/>
    <w:rsid w:val="001B345A"/>
    <w:rsid w:val="001B39E2"/>
    <w:rsid w:val="001B3C35"/>
    <w:rsid w:val="001B5245"/>
    <w:rsid w:val="001B6768"/>
    <w:rsid w:val="001B67BB"/>
    <w:rsid w:val="001B6A12"/>
    <w:rsid w:val="001B7079"/>
    <w:rsid w:val="001B715B"/>
    <w:rsid w:val="001C06DA"/>
    <w:rsid w:val="001C1AF9"/>
    <w:rsid w:val="001C2B26"/>
    <w:rsid w:val="001C3523"/>
    <w:rsid w:val="001C3A32"/>
    <w:rsid w:val="001C5EAB"/>
    <w:rsid w:val="001D1E13"/>
    <w:rsid w:val="001D26FB"/>
    <w:rsid w:val="001D4065"/>
    <w:rsid w:val="001D4564"/>
    <w:rsid w:val="001D4F09"/>
    <w:rsid w:val="001D5C86"/>
    <w:rsid w:val="001D778E"/>
    <w:rsid w:val="001E0E77"/>
    <w:rsid w:val="001E10E0"/>
    <w:rsid w:val="001E2D9C"/>
    <w:rsid w:val="001E2F0E"/>
    <w:rsid w:val="001E3970"/>
    <w:rsid w:val="001E3A03"/>
    <w:rsid w:val="001E462B"/>
    <w:rsid w:val="001E4ADA"/>
    <w:rsid w:val="001E6D45"/>
    <w:rsid w:val="001E7752"/>
    <w:rsid w:val="001F10F1"/>
    <w:rsid w:val="001F1482"/>
    <w:rsid w:val="001F20D7"/>
    <w:rsid w:val="001F36AC"/>
    <w:rsid w:val="001F3887"/>
    <w:rsid w:val="001F39C4"/>
    <w:rsid w:val="001F6382"/>
    <w:rsid w:val="001F68B3"/>
    <w:rsid w:val="001F7744"/>
    <w:rsid w:val="002014EB"/>
    <w:rsid w:val="002022DA"/>
    <w:rsid w:val="00202B1A"/>
    <w:rsid w:val="00202B4C"/>
    <w:rsid w:val="0020319D"/>
    <w:rsid w:val="00204979"/>
    <w:rsid w:val="00204DED"/>
    <w:rsid w:val="0020696B"/>
    <w:rsid w:val="0021012C"/>
    <w:rsid w:val="00211D69"/>
    <w:rsid w:val="00212336"/>
    <w:rsid w:val="00212A87"/>
    <w:rsid w:val="00214AF5"/>
    <w:rsid w:val="00216EA1"/>
    <w:rsid w:val="0021746A"/>
    <w:rsid w:val="002179DB"/>
    <w:rsid w:val="0022013F"/>
    <w:rsid w:val="002212BA"/>
    <w:rsid w:val="00222057"/>
    <w:rsid w:val="002244A3"/>
    <w:rsid w:val="00225C42"/>
    <w:rsid w:val="00227E48"/>
    <w:rsid w:val="0023051E"/>
    <w:rsid w:val="00230577"/>
    <w:rsid w:val="0023111F"/>
    <w:rsid w:val="002311B0"/>
    <w:rsid w:val="0023209D"/>
    <w:rsid w:val="002324AD"/>
    <w:rsid w:val="002333F8"/>
    <w:rsid w:val="00233758"/>
    <w:rsid w:val="00233D79"/>
    <w:rsid w:val="00233F58"/>
    <w:rsid w:val="00236415"/>
    <w:rsid w:val="00237657"/>
    <w:rsid w:val="00242BA7"/>
    <w:rsid w:val="002437B5"/>
    <w:rsid w:val="00244A47"/>
    <w:rsid w:val="00244EF1"/>
    <w:rsid w:val="00246F21"/>
    <w:rsid w:val="0024779B"/>
    <w:rsid w:val="00251E55"/>
    <w:rsid w:val="00251F9F"/>
    <w:rsid w:val="00253AB0"/>
    <w:rsid w:val="00253E78"/>
    <w:rsid w:val="00254FAA"/>
    <w:rsid w:val="00255EA5"/>
    <w:rsid w:val="00256664"/>
    <w:rsid w:val="00256E83"/>
    <w:rsid w:val="00257024"/>
    <w:rsid w:val="00261535"/>
    <w:rsid w:val="00261616"/>
    <w:rsid w:val="00262163"/>
    <w:rsid w:val="00262C3C"/>
    <w:rsid w:val="00263438"/>
    <w:rsid w:val="00264A1B"/>
    <w:rsid w:val="00264C88"/>
    <w:rsid w:val="0026532C"/>
    <w:rsid w:val="0026575D"/>
    <w:rsid w:val="00267D76"/>
    <w:rsid w:val="0027035B"/>
    <w:rsid w:val="002705B0"/>
    <w:rsid w:val="002717A6"/>
    <w:rsid w:val="00272015"/>
    <w:rsid w:val="00272E47"/>
    <w:rsid w:val="00273C10"/>
    <w:rsid w:val="00274A6B"/>
    <w:rsid w:val="00274B4C"/>
    <w:rsid w:val="00274D16"/>
    <w:rsid w:val="00275550"/>
    <w:rsid w:val="00275D10"/>
    <w:rsid w:val="00276264"/>
    <w:rsid w:val="00276C3F"/>
    <w:rsid w:val="00280121"/>
    <w:rsid w:val="002813F7"/>
    <w:rsid w:val="00281DCA"/>
    <w:rsid w:val="00282505"/>
    <w:rsid w:val="00282A99"/>
    <w:rsid w:val="002858AC"/>
    <w:rsid w:val="0028668A"/>
    <w:rsid w:val="002872AC"/>
    <w:rsid w:val="00287369"/>
    <w:rsid w:val="002910BA"/>
    <w:rsid w:val="002916AE"/>
    <w:rsid w:val="002930FB"/>
    <w:rsid w:val="00294495"/>
    <w:rsid w:val="00295C78"/>
    <w:rsid w:val="00297B04"/>
    <w:rsid w:val="002A04BB"/>
    <w:rsid w:val="002A056C"/>
    <w:rsid w:val="002A06B4"/>
    <w:rsid w:val="002A327E"/>
    <w:rsid w:val="002A394A"/>
    <w:rsid w:val="002A46B1"/>
    <w:rsid w:val="002A66A5"/>
    <w:rsid w:val="002A6EBB"/>
    <w:rsid w:val="002A78F7"/>
    <w:rsid w:val="002B21E9"/>
    <w:rsid w:val="002B2B87"/>
    <w:rsid w:val="002B4E0F"/>
    <w:rsid w:val="002B5540"/>
    <w:rsid w:val="002B5754"/>
    <w:rsid w:val="002B581F"/>
    <w:rsid w:val="002B6094"/>
    <w:rsid w:val="002B61B0"/>
    <w:rsid w:val="002B6C56"/>
    <w:rsid w:val="002B6ED6"/>
    <w:rsid w:val="002B6F85"/>
    <w:rsid w:val="002B74DB"/>
    <w:rsid w:val="002B7ADD"/>
    <w:rsid w:val="002B7F37"/>
    <w:rsid w:val="002C39D9"/>
    <w:rsid w:val="002C4463"/>
    <w:rsid w:val="002C4927"/>
    <w:rsid w:val="002C5DB6"/>
    <w:rsid w:val="002C6978"/>
    <w:rsid w:val="002C6BDA"/>
    <w:rsid w:val="002C7026"/>
    <w:rsid w:val="002C7E08"/>
    <w:rsid w:val="002D089F"/>
    <w:rsid w:val="002D0F2B"/>
    <w:rsid w:val="002D1020"/>
    <w:rsid w:val="002D12B1"/>
    <w:rsid w:val="002D2493"/>
    <w:rsid w:val="002D256F"/>
    <w:rsid w:val="002D2772"/>
    <w:rsid w:val="002D2BF7"/>
    <w:rsid w:val="002D4526"/>
    <w:rsid w:val="002D508B"/>
    <w:rsid w:val="002D5511"/>
    <w:rsid w:val="002D5635"/>
    <w:rsid w:val="002D65E8"/>
    <w:rsid w:val="002D6F3B"/>
    <w:rsid w:val="002D7D32"/>
    <w:rsid w:val="002E02E5"/>
    <w:rsid w:val="002E0478"/>
    <w:rsid w:val="002E0714"/>
    <w:rsid w:val="002E0791"/>
    <w:rsid w:val="002E0AD7"/>
    <w:rsid w:val="002E0B30"/>
    <w:rsid w:val="002E1B92"/>
    <w:rsid w:val="002E2D86"/>
    <w:rsid w:val="002E4AEC"/>
    <w:rsid w:val="002E7445"/>
    <w:rsid w:val="002E7B81"/>
    <w:rsid w:val="002F09FB"/>
    <w:rsid w:val="002F0FE3"/>
    <w:rsid w:val="002F1AF0"/>
    <w:rsid w:val="002F2530"/>
    <w:rsid w:val="002F272A"/>
    <w:rsid w:val="002F3225"/>
    <w:rsid w:val="002F43BC"/>
    <w:rsid w:val="002F53B4"/>
    <w:rsid w:val="002F76D6"/>
    <w:rsid w:val="002F78CD"/>
    <w:rsid w:val="002F7BEE"/>
    <w:rsid w:val="003002BC"/>
    <w:rsid w:val="00300999"/>
    <w:rsid w:val="00302E28"/>
    <w:rsid w:val="00303506"/>
    <w:rsid w:val="00303670"/>
    <w:rsid w:val="00304C3A"/>
    <w:rsid w:val="003060D4"/>
    <w:rsid w:val="00307057"/>
    <w:rsid w:val="003074C5"/>
    <w:rsid w:val="00307CF0"/>
    <w:rsid w:val="00307E63"/>
    <w:rsid w:val="00311264"/>
    <w:rsid w:val="0031146E"/>
    <w:rsid w:val="00311D35"/>
    <w:rsid w:val="00312819"/>
    <w:rsid w:val="00312E9C"/>
    <w:rsid w:val="00313169"/>
    <w:rsid w:val="00313875"/>
    <w:rsid w:val="00316941"/>
    <w:rsid w:val="00317527"/>
    <w:rsid w:val="003175A4"/>
    <w:rsid w:val="003177E4"/>
    <w:rsid w:val="00317ABE"/>
    <w:rsid w:val="003203BF"/>
    <w:rsid w:val="003211C5"/>
    <w:rsid w:val="00321369"/>
    <w:rsid w:val="00321A25"/>
    <w:rsid w:val="00323163"/>
    <w:rsid w:val="00323A4D"/>
    <w:rsid w:val="00323D62"/>
    <w:rsid w:val="00325CEC"/>
    <w:rsid w:val="00326359"/>
    <w:rsid w:val="003271DE"/>
    <w:rsid w:val="00330787"/>
    <w:rsid w:val="00330B8D"/>
    <w:rsid w:val="0033338F"/>
    <w:rsid w:val="00333664"/>
    <w:rsid w:val="003338DE"/>
    <w:rsid w:val="003350DC"/>
    <w:rsid w:val="00335455"/>
    <w:rsid w:val="00335A4C"/>
    <w:rsid w:val="00336648"/>
    <w:rsid w:val="00337493"/>
    <w:rsid w:val="0034192B"/>
    <w:rsid w:val="0034285F"/>
    <w:rsid w:val="00343E0B"/>
    <w:rsid w:val="00344211"/>
    <w:rsid w:val="00344473"/>
    <w:rsid w:val="003464A4"/>
    <w:rsid w:val="00350E6D"/>
    <w:rsid w:val="00351684"/>
    <w:rsid w:val="003538CD"/>
    <w:rsid w:val="00354458"/>
    <w:rsid w:val="00355A5C"/>
    <w:rsid w:val="00356FEC"/>
    <w:rsid w:val="00360039"/>
    <w:rsid w:val="003616B8"/>
    <w:rsid w:val="00361B67"/>
    <w:rsid w:val="00361F1A"/>
    <w:rsid w:val="00363653"/>
    <w:rsid w:val="003637E6"/>
    <w:rsid w:val="0036509D"/>
    <w:rsid w:val="003666EE"/>
    <w:rsid w:val="00372251"/>
    <w:rsid w:val="0037228C"/>
    <w:rsid w:val="003736DE"/>
    <w:rsid w:val="003738FD"/>
    <w:rsid w:val="00375975"/>
    <w:rsid w:val="003759E5"/>
    <w:rsid w:val="00375B80"/>
    <w:rsid w:val="003766DC"/>
    <w:rsid w:val="00376E95"/>
    <w:rsid w:val="00377877"/>
    <w:rsid w:val="00377ADC"/>
    <w:rsid w:val="003804BB"/>
    <w:rsid w:val="003805F8"/>
    <w:rsid w:val="003810BE"/>
    <w:rsid w:val="00381762"/>
    <w:rsid w:val="00383246"/>
    <w:rsid w:val="00383480"/>
    <w:rsid w:val="00385723"/>
    <w:rsid w:val="0038583F"/>
    <w:rsid w:val="00386D3B"/>
    <w:rsid w:val="00386DD6"/>
    <w:rsid w:val="00386F6C"/>
    <w:rsid w:val="00387709"/>
    <w:rsid w:val="00387794"/>
    <w:rsid w:val="00387906"/>
    <w:rsid w:val="00391F45"/>
    <w:rsid w:val="00393796"/>
    <w:rsid w:val="003962D2"/>
    <w:rsid w:val="00396674"/>
    <w:rsid w:val="003969AD"/>
    <w:rsid w:val="00397162"/>
    <w:rsid w:val="003A018D"/>
    <w:rsid w:val="003A0BD0"/>
    <w:rsid w:val="003A1935"/>
    <w:rsid w:val="003A1BFD"/>
    <w:rsid w:val="003A32FA"/>
    <w:rsid w:val="003A335E"/>
    <w:rsid w:val="003A3DD2"/>
    <w:rsid w:val="003A4823"/>
    <w:rsid w:val="003A5644"/>
    <w:rsid w:val="003A5AA2"/>
    <w:rsid w:val="003A7D45"/>
    <w:rsid w:val="003B064D"/>
    <w:rsid w:val="003B0F13"/>
    <w:rsid w:val="003B1F27"/>
    <w:rsid w:val="003B21A9"/>
    <w:rsid w:val="003B2266"/>
    <w:rsid w:val="003B2DAE"/>
    <w:rsid w:val="003B3573"/>
    <w:rsid w:val="003B3ACC"/>
    <w:rsid w:val="003B4487"/>
    <w:rsid w:val="003B4A62"/>
    <w:rsid w:val="003B5813"/>
    <w:rsid w:val="003B6F85"/>
    <w:rsid w:val="003C006B"/>
    <w:rsid w:val="003C03EA"/>
    <w:rsid w:val="003C196B"/>
    <w:rsid w:val="003C1A22"/>
    <w:rsid w:val="003C4B36"/>
    <w:rsid w:val="003C5760"/>
    <w:rsid w:val="003C6E1D"/>
    <w:rsid w:val="003D058C"/>
    <w:rsid w:val="003D0A3F"/>
    <w:rsid w:val="003D1D02"/>
    <w:rsid w:val="003D1F26"/>
    <w:rsid w:val="003D277D"/>
    <w:rsid w:val="003D49B1"/>
    <w:rsid w:val="003D5D75"/>
    <w:rsid w:val="003D6575"/>
    <w:rsid w:val="003D67F0"/>
    <w:rsid w:val="003D72C7"/>
    <w:rsid w:val="003D76B1"/>
    <w:rsid w:val="003E0BF1"/>
    <w:rsid w:val="003E17A6"/>
    <w:rsid w:val="003E2119"/>
    <w:rsid w:val="003E277E"/>
    <w:rsid w:val="003E333D"/>
    <w:rsid w:val="003E4481"/>
    <w:rsid w:val="003E4AA5"/>
    <w:rsid w:val="003E5460"/>
    <w:rsid w:val="003E7006"/>
    <w:rsid w:val="003E7B7A"/>
    <w:rsid w:val="003E7BA7"/>
    <w:rsid w:val="003F135E"/>
    <w:rsid w:val="003F1CEC"/>
    <w:rsid w:val="003F1E05"/>
    <w:rsid w:val="003F43B6"/>
    <w:rsid w:val="003F43BF"/>
    <w:rsid w:val="003F4409"/>
    <w:rsid w:val="003F487B"/>
    <w:rsid w:val="003F5B37"/>
    <w:rsid w:val="003F5FC2"/>
    <w:rsid w:val="003F6BE4"/>
    <w:rsid w:val="00400822"/>
    <w:rsid w:val="0040227E"/>
    <w:rsid w:val="004029ED"/>
    <w:rsid w:val="00403CF8"/>
    <w:rsid w:val="00404F75"/>
    <w:rsid w:val="00405137"/>
    <w:rsid w:val="00405EBB"/>
    <w:rsid w:val="004064D7"/>
    <w:rsid w:val="00407459"/>
    <w:rsid w:val="00407B76"/>
    <w:rsid w:val="00410583"/>
    <w:rsid w:val="00410C2C"/>
    <w:rsid w:val="00414D01"/>
    <w:rsid w:val="004170FE"/>
    <w:rsid w:val="004209E6"/>
    <w:rsid w:val="00420F0C"/>
    <w:rsid w:val="0042324B"/>
    <w:rsid w:val="004234E8"/>
    <w:rsid w:val="00423D68"/>
    <w:rsid w:val="00423F0E"/>
    <w:rsid w:val="00425292"/>
    <w:rsid w:val="004264C5"/>
    <w:rsid w:val="00426805"/>
    <w:rsid w:val="00426968"/>
    <w:rsid w:val="0042742B"/>
    <w:rsid w:val="00430150"/>
    <w:rsid w:val="004302F9"/>
    <w:rsid w:val="004307ED"/>
    <w:rsid w:val="0043229B"/>
    <w:rsid w:val="004338DA"/>
    <w:rsid w:val="00435287"/>
    <w:rsid w:val="00435331"/>
    <w:rsid w:val="004362AC"/>
    <w:rsid w:val="004404D9"/>
    <w:rsid w:val="00440A22"/>
    <w:rsid w:val="00441A7F"/>
    <w:rsid w:val="00442A29"/>
    <w:rsid w:val="004436C1"/>
    <w:rsid w:val="00444344"/>
    <w:rsid w:val="00444464"/>
    <w:rsid w:val="0044466E"/>
    <w:rsid w:val="00445041"/>
    <w:rsid w:val="00445920"/>
    <w:rsid w:val="00446A0D"/>
    <w:rsid w:val="00447A94"/>
    <w:rsid w:val="00447B5E"/>
    <w:rsid w:val="00447C6F"/>
    <w:rsid w:val="00452708"/>
    <w:rsid w:val="00452EEE"/>
    <w:rsid w:val="0045439F"/>
    <w:rsid w:val="0045550E"/>
    <w:rsid w:val="0045572F"/>
    <w:rsid w:val="00456456"/>
    <w:rsid w:val="00460644"/>
    <w:rsid w:val="00462071"/>
    <w:rsid w:val="00462367"/>
    <w:rsid w:val="004628ED"/>
    <w:rsid w:val="00464318"/>
    <w:rsid w:val="0046490C"/>
    <w:rsid w:val="00465711"/>
    <w:rsid w:val="00466605"/>
    <w:rsid w:val="00467E28"/>
    <w:rsid w:val="00470287"/>
    <w:rsid w:val="00470733"/>
    <w:rsid w:val="004716E1"/>
    <w:rsid w:val="00474561"/>
    <w:rsid w:val="00475594"/>
    <w:rsid w:val="004759CF"/>
    <w:rsid w:val="00476A33"/>
    <w:rsid w:val="00477C53"/>
    <w:rsid w:val="00484DD5"/>
    <w:rsid w:val="00484F27"/>
    <w:rsid w:val="00485380"/>
    <w:rsid w:val="004872A3"/>
    <w:rsid w:val="0048740D"/>
    <w:rsid w:val="00487C1E"/>
    <w:rsid w:val="00487DC8"/>
    <w:rsid w:val="00493025"/>
    <w:rsid w:val="00493D87"/>
    <w:rsid w:val="00494AD9"/>
    <w:rsid w:val="004950D4"/>
    <w:rsid w:val="0049525B"/>
    <w:rsid w:val="004964C2"/>
    <w:rsid w:val="0049761F"/>
    <w:rsid w:val="004A0506"/>
    <w:rsid w:val="004A2342"/>
    <w:rsid w:val="004A29B0"/>
    <w:rsid w:val="004A2F62"/>
    <w:rsid w:val="004A3BD8"/>
    <w:rsid w:val="004A3EE3"/>
    <w:rsid w:val="004A4939"/>
    <w:rsid w:val="004A5EC5"/>
    <w:rsid w:val="004B0982"/>
    <w:rsid w:val="004B1641"/>
    <w:rsid w:val="004B1DB8"/>
    <w:rsid w:val="004B2BB7"/>
    <w:rsid w:val="004B2C05"/>
    <w:rsid w:val="004B2F01"/>
    <w:rsid w:val="004B4182"/>
    <w:rsid w:val="004B4538"/>
    <w:rsid w:val="004B52F2"/>
    <w:rsid w:val="004B5E71"/>
    <w:rsid w:val="004B5EA5"/>
    <w:rsid w:val="004B65F0"/>
    <w:rsid w:val="004B6FB6"/>
    <w:rsid w:val="004B7EE6"/>
    <w:rsid w:val="004C062B"/>
    <w:rsid w:val="004C2151"/>
    <w:rsid w:val="004C2A12"/>
    <w:rsid w:val="004C2DE5"/>
    <w:rsid w:val="004C3423"/>
    <w:rsid w:val="004C3BFA"/>
    <w:rsid w:val="004C571D"/>
    <w:rsid w:val="004C607F"/>
    <w:rsid w:val="004C712C"/>
    <w:rsid w:val="004D0436"/>
    <w:rsid w:val="004D22FC"/>
    <w:rsid w:val="004D2612"/>
    <w:rsid w:val="004D3465"/>
    <w:rsid w:val="004D35A2"/>
    <w:rsid w:val="004D3B42"/>
    <w:rsid w:val="004D3F24"/>
    <w:rsid w:val="004D4827"/>
    <w:rsid w:val="004D5FD1"/>
    <w:rsid w:val="004D682E"/>
    <w:rsid w:val="004E0E3A"/>
    <w:rsid w:val="004E1982"/>
    <w:rsid w:val="004E1C2E"/>
    <w:rsid w:val="004E326D"/>
    <w:rsid w:val="004E4A97"/>
    <w:rsid w:val="004E7A29"/>
    <w:rsid w:val="004F09AA"/>
    <w:rsid w:val="004F1499"/>
    <w:rsid w:val="004F3088"/>
    <w:rsid w:val="004F386E"/>
    <w:rsid w:val="004F6231"/>
    <w:rsid w:val="004F6311"/>
    <w:rsid w:val="004F7C93"/>
    <w:rsid w:val="005030BE"/>
    <w:rsid w:val="00503399"/>
    <w:rsid w:val="005036E0"/>
    <w:rsid w:val="00506105"/>
    <w:rsid w:val="005071D2"/>
    <w:rsid w:val="00510327"/>
    <w:rsid w:val="00510A5C"/>
    <w:rsid w:val="00511F33"/>
    <w:rsid w:val="00512FDE"/>
    <w:rsid w:val="00513162"/>
    <w:rsid w:val="00513294"/>
    <w:rsid w:val="005136BB"/>
    <w:rsid w:val="0051390D"/>
    <w:rsid w:val="00513B61"/>
    <w:rsid w:val="005169C0"/>
    <w:rsid w:val="00516CC8"/>
    <w:rsid w:val="00520D14"/>
    <w:rsid w:val="0052139D"/>
    <w:rsid w:val="005226DB"/>
    <w:rsid w:val="00522CB9"/>
    <w:rsid w:val="00524873"/>
    <w:rsid w:val="00525809"/>
    <w:rsid w:val="0052593A"/>
    <w:rsid w:val="00527BEA"/>
    <w:rsid w:val="00530146"/>
    <w:rsid w:val="00530E90"/>
    <w:rsid w:val="00530F50"/>
    <w:rsid w:val="00531B5D"/>
    <w:rsid w:val="00533807"/>
    <w:rsid w:val="00535130"/>
    <w:rsid w:val="00535BC4"/>
    <w:rsid w:val="00537302"/>
    <w:rsid w:val="00537BF8"/>
    <w:rsid w:val="00540988"/>
    <w:rsid w:val="00540E35"/>
    <w:rsid w:val="00544392"/>
    <w:rsid w:val="00545FE5"/>
    <w:rsid w:val="0054724F"/>
    <w:rsid w:val="00547BF6"/>
    <w:rsid w:val="00550133"/>
    <w:rsid w:val="00551900"/>
    <w:rsid w:val="00551A93"/>
    <w:rsid w:val="00552D1A"/>
    <w:rsid w:val="005533C4"/>
    <w:rsid w:val="005539E4"/>
    <w:rsid w:val="00553DDA"/>
    <w:rsid w:val="00555509"/>
    <w:rsid w:val="0055651B"/>
    <w:rsid w:val="005578AB"/>
    <w:rsid w:val="005605A0"/>
    <w:rsid w:val="00561358"/>
    <w:rsid w:val="00561C5B"/>
    <w:rsid w:val="00563914"/>
    <w:rsid w:val="0056408F"/>
    <w:rsid w:val="00564F2D"/>
    <w:rsid w:val="005650B8"/>
    <w:rsid w:val="0056573A"/>
    <w:rsid w:val="005660D2"/>
    <w:rsid w:val="00566CDA"/>
    <w:rsid w:val="0056727E"/>
    <w:rsid w:val="00567459"/>
    <w:rsid w:val="00567BA6"/>
    <w:rsid w:val="00570033"/>
    <w:rsid w:val="00570147"/>
    <w:rsid w:val="00570459"/>
    <w:rsid w:val="0057131F"/>
    <w:rsid w:val="00572525"/>
    <w:rsid w:val="005727DE"/>
    <w:rsid w:val="0057307E"/>
    <w:rsid w:val="00573A4C"/>
    <w:rsid w:val="00573CAA"/>
    <w:rsid w:val="00574B79"/>
    <w:rsid w:val="00574D12"/>
    <w:rsid w:val="005800B4"/>
    <w:rsid w:val="0058012F"/>
    <w:rsid w:val="0058070B"/>
    <w:rsid w:val="00580B91"/>
    <w:rsid w:val="00581BE0"/>
    <w:rsid w:val="005827AE"/>
    <w:rsid w:val="0058296F"/>
    <w:rsid w:val="00582A24"/>
    <w:rsid w:val="00583102"/>
    <w:rsid w:val="00583A40"/>
    <w:rsid w:val="00585A9E"/>
    <w:rsid w:val="0059145A"/>
    <w:rsid w:val="00591A3A"/>
    <w:rsid w:val="005929D2"/>
    <w:rsid w:val="00593B48"/>
    <w:rsid w:val="00594EAE"/>
    <w:rsid w:val="00594ED1"/>
    <w:rsid w:val="00595E80"/>
    <w:rsid w:val="00595FF5"/>
    <w:rsid w:val="0059650E"/>
    <w:rsid w:val="00596953"/>
    <w:rsid w:val="005A163D"/>
    <w:rsid w:val="005A17A1"/>
    <w:rsid w:val="005A25DB"/>
    <w:rsid w:val="005A2ECD"/>
    <w:rsid w:val="005A4122"/>
    <w:rsid w:val="005A6030"/>
    <w:rsid w:val="005A773A"/>
    <w:rsid w:val="005A7BB7"/>
    <w:rsid w:val="005B3CA8"/>
    <w:rsid w:val="005B4E79"/>
    <w:rsid w:val="005B5355"/>
    <w:rsid w:val="005B57AD"/>
    <w:rsid w:val="005B6553"/>
    <w:rsid w:val="005B6810"/>
    <w:rsid w:val="005B722E"/>
    <w:rsid w:val="005B79B6"/>
    <w:rsid w:val="005C0037"/>
    <w:rsid w:val="005C02FE"/>
    <w:rsid w:val="005C056D"/>
    <w:rsid w:val="005C14BD"/>
    <w:rsid w:val="005C1B4F"/>
    <w:rsid w:val="005C2789"/>
    <w:rsid w:val="005C3D3F"/>
    <w:rsid w:val="005C3FA9"/>
    <w:rsid w:val="005C433D"/>
    <w:rsid w:val="005C50AC"/>
    <w:rsid w:val="005C5127"/>
    <w:rsid w:val="005C57F5"/>
    <w:rsid w:val="005C5C5C"/>
    <w:rsid w:val="005C6406"/>
    <w:rsid w:val="005C6B99"/>
    <w:rsid w:val="005D48D7"/>
    <w:rsid w:val="005D69D1"/>
    <w:rsid w:val="005D6A44"/>
    <w:rsid w:val="005D7C02"/>
    <w:rsid w:val="005E1182"/>
    <w:rsid w:val="005E1EAC"/>
    <w:rsid w:val="005E210D"/>
    <w:rsid w:val="005E2181"/>
    <w:rsid w:val="005E3509"/>
    <w:rsid w:val="005E356C"/>
    <w:rsid w:val="005E3D05"/>
    <w:rsid w:val="005E4EE8"/>
    <w:rsid w:val="005E5C2B"/>
    <w:rsid w:val="005E7CE0"/>
    <w:rsid w:val="005F160D"/>
    <w:rsid w:val="005F2425"/>
    <w:rsid w:val="005F54A5"/>
    <w:rsid w:val="005F5633"/>
    <w:rsid w:val="005F5C6C"/>
    <w:rsid w:val="005F5EC7"/>
    <w:rsid w:val="005F5F22"/>
    <w:rsid w:val="005F7207"/>
    <w:rsid w:val="005F78D3"/>
    <w:rsid w:val="005F7FCF"/>
    <w:rsid w:val="00600DEC"/>
    <w:rsid w:val="006021D1"/>
    <w:rsid w:val="00605602"/>
    <w:rsid w:val="00607691"/>
    <w:rsid w:val="00607E81"/>
    <w:rsid w:val="0061062C"/>
    <w:rsid w:val="00610F8C"/>
    <w:rsid w:val="00613183"/>
    <w:rsid w:val="006133F0"/>
    <w:rsid w:val="00616888"/>
    <w:rsid w:val="006176BE"/>
    <w:rsid w:val="006212CB"/>
    <w:rsid w:val="00621FA8"/>
    <w:rsid w:val="00622CAC"/>
    <w:rsid w:val="00622DC0"/>
    <w:rsid w:val="00622F68"/>
    <w:rsid w:val="006235AC"/>
    <w:rsid w:val="0062585B"/>
    <w:rsid w:val="00627998"/>
    <w:rsid w:val="006279F9"/>
    <w:rsid w:val="00630336"/>
    <w:rsid w:val="00631C3F"/>
    <w:rsid w:val="0063384E"/>
    <w:rsid w:val="006369EE"/>
    <w:rsid w:val="00637C23"/>
    <w:rsid w:val="00640DBF"/>
    <w:rsid w:val="00643826"/>
    <w:rsid w:val="00645880"/>
    <w:rsid w:val="0064700E"/>
    <w:rsid w:val="0064719C"/>
    <w:rsid w:val="00647BAD"/>
    <w:rsid w:val="00650183"/>
    <w:rsid w:val="00650677"/>
    <w:rsid w:val="0065104B"/>
    <w:rsid w:val="00651993"/>
    <w:rsid w:val="00651FAE"/>
    <w:rsid w:val="006527FA"/>
    <w:rsid w:val="00660BBE"/>
    <w:rsid w:val="00660DF3"/>
    <w:rsid w:val="00660F25"/>
    <w:rsid w:val="0066168A"/>
    <w:rsid w:val="00661F60"/>
    <w:rsid w:val="0066281B"/>
    <w:rsid w:val="006631AF"/>
    <w:rsid w:val="00663659"/>
    <w:rsid w:val="00663BF2"/>
    <w:rsid w:val="00663C03"/>
    <w:rsid w:val="006645B4"/>
    <w:rsid w:val="006649C0"/>
    <w:rsid w:val="00664A9F"/>
    <w:rsid w:val="00671572"/>
    <w:rsid w:val="0067281D"/>
    <w:rsid w:val="006736A9"/>
    <w:rsid w:val="00673BC7"/>
    <w:rsid w:val="00674975"/>
    <w:rsid w:val="006758FB"/>
    <w:rsid w:val="00675AC0"/>
    <w:rsid w:val="00675D39"/>
    <w:rsid w:val="0067603C"/>
    <w:rsid w:val="006779A7"/>
    <w:rsid w:val="00682276"/>
    <w:rsid w:val="00683ACF"/>
    <w:rsid w:val="00685191"/>
    <w:rsid w:val="0068560B"/>
    <w:rsid w:val="00685D0A"/>
    <w:rsid w:val="006860F7"/>
    <w:rsid w:val="00686A9D"/>
    <w:rsid w:val="00686DCF"/>
    <w:rsid w:val="00690FFE"/>
    <w:rsid w:val="00691F57"/>
    <w:rsid w:val="00693B86"/>
    <w:rsid w:val="00695614"/>
    <w:rsid w:val="006A061F"/>
    <w:rsid w:val="006A0EFC"/>
    <w:rsid w:val="006A1277"/>
    <w:rsid w:val="006A131F"/>
    <w:rsid w:val="006A1B76"/>
    <w:rsid w:val="006A2602"/>
    <w:rsid w:val="006A2BC3"/>
    <w:rsid w:val="006A2D41"/>
    <w:rsid w:val="006A41AE"/>
    <w:rsid w:val="006A5B25"/>
    <w:rsid w:val="006A5D48"/>
    <w:rsid w:val="006A6379"/>
    <w:rsid w:val="006A67E1"/>
    <w:rsid w:val="006A71DA"/>
    <w:rsid w:val="006B06DF"/>
    <w:rsid w:val="006B08CF"/>
    <w:rsid w:val="006B1C3A"/>
    <w:rsid w:val="006B295F"/>
    <w:rsid w:val="006B2CE8"/>
    <w:rsid w:val="006B400A"/>
    <w:rsid w:val="006B42CD"/>
    <w:rsid w:val="006B4F37"/>
    <w:rsid w:val="006B7DD0"/>
    <w:rsid w:val="006C2009"/>
    <w:rsid w:val="006C36FB"/>
    <w:rsid w:val="006C3A28"/>
    <w:rsid w:val="006C3F2B"/>
    <w:rsid w:val="006C4DAA"/>
    <w:rsid w:val="006C7C5A"/>
    <w:rsid w:val="006C7D62"/>
    <w:rsid w:val="006D0B23"/>
    <w:rsid w:val="006D2ED6"/>
    <w:rsid w:val="006D3B0F"/>
    <w:rsid w:val="006D5685"/>
    <w:rsid w:val="006D5DFD"/>
    <w:rsid w:val="006E015E"/>
    <w:rsid w:val="006E0455"/>
    <w:rsid w:val="006E0D51"/>
    <w:rsid w:val="006E1987"/>
    <w:rsid w:val="006E23B2"/>
    <w:rsid w:val="006E3BF4"/>
    <w:rsid w:val="006E41F3"/>
    <w:rsid w:val="006E4420"/>
    <w:rsid w:val="006E4E3B"/>
    <w:rsid w:val="006E5207"/>
    <w:rsid w:val="006E6168"/>
    <w:rsid w:val="006E6B55"/>
    <w:rsid w:val="006E724B"/>
    <w:rsid w:val="006E7F19"/>
    <w:rsid w:val="006F0C64"/>
    <w:rsid w:val="006F5C70"/>
    <w:rsid w:val="006F6A20"/>
    <w:rsid w:val="006F770A"/>
    <w:rsid w:val="00700654"/>
    <w:rsid w:val="00700B46"/>
    <w:rsid w:val="00700BE1"/>
    <w:rsid w:val="0070222F"/>
    <w:rsid w:val="00702FB1"/>
    <w:rsid w:val="00703024"/>
    <w:rsid w:val="007047B2"/>
    <w:rsid w:val="00704DE7"/>
    <w:rsid w:val="00706233"/>
    <w:rsid w:val="00706868"/>
    <w:rsid w:val="007068D6"/>
    <w:rsid w:val="00706FE0"/>
    <w:rsid w:val="007078B8"/>
    <w:rsid w:val="007100C2"/>
    <w:rsid w:val="00710B0B"/>
    <w:rsid w:val="0071288D"/>
    <w:rsid w:val="007138DF"/>
    <w:rsid w:val="00713C93"/>
    <w:rsid w:val="00714D3E"/>
    <w:rsid w:val="00714D8E"/>
    <w:rsid w:val="0071509F"/>
    <w:rsid w:val="00715A29"/>
    <w:rsid w:val="00715E32"/>
    <w:rsid w:val="007162D1"/>
    <w:rsid w:val="00716463"/>
    <w:rsid w:val="0071706E"/>
    <w:rsid w:val="00720430"/>
    <w:rsid w:val="00722009"/>
    <w:rsid w:val="007236EB"/>
    <w:rsid w:val="00723779"/>
    <w:rsid w:val="00723DD8"/>
    <w:rsid w:val="00724C02"/>
    <w:rsid w:val="00726205"/>
    <w:rsid w:val="00727008"/>
    <w:rsid w:val="00727292"/>
    <w:rsid w:val="00730B74"/>
    <w:rsid w:val="00730FD9"/>
    <w:rsid w:val="00732FE2"/>
    <w:rsid w:val="007368F7"/>
    <w:rsid w:val="00736FFE"/>
    <w:rsid w:val="007379AB"/>
    <w:rsid w:val="0074125A"/>
    <w:rsid w:val="00741459"/>
    <w:rsid w:val="007426F4"/>
    <w:rsid w:val="00742F6A"/>
    <w:rsid w:val="007431D9"/>
    <w:rsid w:val="007446E8"/>
    <w:rsid w:val="00746597"/>
    <w:rsid w:val="00746674"/>
    <w:rsid w:val="00751553"/>
    <w:rsid w:val="0075165E"/>
    <w:rsid w:val="00751F01"/>
    <w:rsid w:val="00752552"/>
    <w:rsid w:val="00753BDC"/>
    <w:rsid w:val="00754E10"/>
    <w:rsid w:val="00755692"/>
    <w:rsid w:val="00755ABC"/>
    <w:rsid w:val="00756748"/>
    <w:rsid w:val="007621B7"/>
    <w:rsid w:val="00762A29"/>
    <w:rsid w:val="0076327D"/>
    <w:rsid w:val="00763E07"/>
    <w:rsid w:val="00764E38"/>
    <w:rsid w:val="0076569D"/>
    <w:rsid w:val="0076690C"/>
    <w:rsid w:val="00766D1B"/>
    <w:rsid w:val="00767745"/>
    <w:rsid w:val="007677A7"/>
    <w:rsid w:val="00767BAF"/>
    <w:rsid w:val="007707FC"/>
    <w:rsid w:val="00770BE3"/>
    <w:rsid w:val="007714CA"/>
    <w:rsid w:val="007715D2"/>
    <w:rsid w:val="0077177A"/>
    <w:rsid w:val="007728A8"/>
    <w:rsid w:val="00773BBA"/>
    <w:rsid w:val="0077459C"/>
    <w:rsid w:val="0077647A"/>
    <w:rsid w:val="00776E30"/>
    <w:rsid w:val="00777919"/>
    <w:rsid w:val="007800FA"/>
    <w:rsid w:val="00780C1C"/>
    <w:rsid w:val="00783681"/>
    <w:rsid w:val="00783F33"/>
    <w:rsid w:val="00785027"/>
    <w:rsid w:val="00785A76"/>
    <w:rsid w:val="0078738E"/>
    <w:rsid w:val="00787852"/>
    <w:rsid w:val="0079029F"/>
    <w:rsid w:val="00790333"/>
    <w:rsid w:val="00790DC7"/>
    <w:rsid w:val="007915BC"/>
    <w:rsid w:val="007949B9"/>
    <w:rsid w:val="00794A5E"/>
    <w:rsid w:val="0079679B"/>
    <w:rsid w:val="007967FA"/>
    <w:rsid w:val="007972A0"/>
    <w:rsid w:val="00797E7A"/>
    <w:rsid w:val="007A0126"/>
    <w:rsid w:val="007A0EA6"/>
    <w:rsid w:val="007A2D9E"/>
    <w:rsid w:val="007A313F"/>
    <w:rsid w:val="007A5B24"/>
    <w:rsid w:val="007A6670"/>
    <w:rsid w:val="007A76DF"/>
    <w:rsid w:val="007B021A"/>
    <w:rsid w:val="007B0381"/>
    <w:rsid w:val="007B05A8"/>
    <w:rsid w:val="007B0F3D"/>
    <w:rsid w:val="007B148D"/>
    <w:rsid w:val="007B18C8"/>
    <w:rsid w:val="007B244F"/>
    <w:rsid w:val="007B28DE"/>
    <w:rsid w:val="007B3902"/>
    <w:rsid w:val="007B5C46"/>
    <w:rsid w:val="007B76C0"/>
    <w:rsid w:val="007B7A5F"/>
    <w:rsid w:val="007C0152"/>
    <w:rsid w:val="007C0C8C"/>
    <w:rsid w:val="007C1EFB"/>
    <w:rsid w:val="007C36BE"/>
    <w:rsid w:val="007C4D9F"/>
    <w:rsid w:val="007C5070"/>
    <w:rsid w:val="007C5C9F"/>
    <w:rsid w:val="007C6DD5"/>
    <w:rsid w:val="007D14ED"/>
    <w:rsid w:val="007D1B53"/>
    <w:rsid w:val="007D1DF6"/>
    <w:rsid w:val="007D53ED"/>
    <w:rsid w:val="007D6001"/>
    <w:rsid w:val="007D7294"/>
    <w:rsid w:val="007D7F94"/>
    <w:rsid w:val="007E02F5"/>
    <w:rsid w:val="007E152A"/>
    <w:rsid w:val="007E1556"/>
    <w:rsid w:val="007E1B76"/>
    <w:rsid w:val="007E219A"/>
    <w:rsid w:val="007E303E"/>
    <w:rsid w:val="007E37BF"/>
    <w:rsid w:val="007E558B"/>
    <w:rsid w:val="007E59BD"/>
    <w:rsid w:val="007E6593"/>
    <w:rsid w:val="007F08A5"/>
    <w:rsid w:val="007F1101"/>
    <w:rsid w:val="007F218C"/>
    <w:rsid w:val="007F2CB1"/>
    <w:rsid w:val="007F2F89"/>
    <w:rsid w:val="007F4A07"/>
    <w:rsid w:val="007F6DDA"/>
    <w:rsid w:val="007F7DE5"/>
    <w:rsid w:val="00800C76"/>
    <w:rsid w:val="008020C8"/>
    <w:rsid w:val="0080297B"/>
    <w:rsid w:val="008033B3"/>
    <w:rsid w:val="00803426"/>
    <w:rsid w:val="00803A49"/>
    <w:rsid w:val="00803D20"/>
    <w:rsid w:val="0080422F"/>
    <w:rsid w:val="0080489D"/>
    <w:rsid w:val="00805324"/>
    <w:rsid w:val="0080774D"/>
    <w:rsid w:val="00807F85"/>
    <w:rsid w:val="008112A0"/>
    <w:rsid w:val="00813B67"/>
    <w:rsid w:val="00814AB1"/>
    <w:rsid w:val="00814E92"/>
    <w:rsid w:val="0081511D"/>
    <w:rsid w:val="0081696D"/>
    <w:rsid w:val="00816E01"/>
    <w:rsid w:val="008173D0"/>
    <w:rsid w:val="00822FD5"/>
    <w:rsid w:val="00823235"/>
    <w:rsid w:val="0082359F"/>
    <w:rsid w:val="00824368"/>
    <w:rsid w:val="008249F1"/>
    <w:rsid w:val="00824AF2"/>
    <w:rsid w:val="00826686"/>
    <w:rsid w:val="008313FE"/>
    <w:rsid w:val="00831E3F"/>
    <w:rsid w:val="00832A25"/>
    <w:rsid w:val="00835563"/>
    <w:rsid w:val="00836511"/>
    <w:rsid w:val="00836B02"/>
    <w:rsid w:val="00836EC6"/>
    <w:rsid w:val="0083741E"/>
    <w:rsid w:val="00837985"/>
    <w:rsid w:val="00837F96"/>
    <w:rsid w:val="00840E3D"/>
    <w:rsid w:val="008419CD"/>
    <w:rsid w:val="00841D8C"/>
    <w:rsid w:val="00842220"/>
    <w:rsid w:val="00844111"/>
    <w:rsid w:val="0084414E"/>
    <w:rsid w:val="00844D8F"/>
    <w:rsid w:val="00844F74"/>
    <w:rsid w:val="008454A5"/>
    <w:rsid w:val="00846382"/>
    <w:rsid w:val="008509AB"/>
    <w:rsid w:val="00850B26"/>
    <w:rsid w:val="00850F57"/>
    <w:rsid w:val="00851363"/>
    <w:rsid w:val="0085177C"/>
    <w:rsid w:val="00852359"/>
    <w:rsid w:val="00853535"/>
    <w:rsid w:val="008536C2"/>
    <w:rsid w:val="00853E8B"/>
    <w:rsid w:val="008565CC"/>
    <w:rsid w:val="0085693A"/>
    <w:rsid w:val="008570FD"/>
    <w:rsid w:val="00857E0A"/>
    <w:rsid w:val="008600C7"/>
    <w:rsid w:val="008617D0"/>
    <w:rsid w:val="00861A60"/>
    <w:rsid w:val="00862357"/>
    <w:rsid w:val="00862D02"/>
    <w:rsid w:val="00863021"/>
    <w:rsid w:val="008637B9"/>
    <w:rsid w:val="00863850"/>
    <w:rsid w:val="00864194"/>
    <w:rsid w:val="008656C7"/>
    <w:rsid w:val="00867BA5"/>
    <w:rsid w:val="00867F9B"/>
    <w:rsid w:val="00870004"/>
    <w:rsid w:val="00870399"/>
    <w:rsid w:val="008704F7"/>
    <w:rsid w:val="008711EC"/>
    <w:rsid w:val="008718FE"/>
    <w:rsid w:val="00872946"/>
    <w:rsid w:val="008736BD"/>
    <w:rsid w:val="0087560A"/>
    <w:rsid w:val="008756EF"/>
    <w:rsid w:val="0087665A"/>
    <w:rsid w:val="0087679E"/>
    <w:rsid w:val="0087776D"/>
    <w:rsid w:val="00880530"/>
    <w:rsid w:val="00881163"/>
    <w:rsid w:val="0088262B"/>
    <w:rsid w:val="00882C0F"/>
    <w:rsid w:val="00883024"/>
    <w:rsid w:val="00883928"/>
    <w:rsid w:val="00883B40"/>
    <w:rsid w:val="00883DDE"/>
    <w:rsid w:val="0088433B"/>
    <w:rsid w:val="00887233"/>
    <w:rsid w:val="00887613"/>
    <w:rsid w:val="00887D05"/>
    <w:rsid w:val="00891D73"/>
    <w:rsid w:val="00892A44"/>
    <w:rsid w:val="00896055"/>
    <w:rsid w:val="0089609B"/>
    <w:rsid w:val="008A0851"/>
    <w:rsid w:val="008A2DE8"/>
    <w:rsid w:val="008A312D"/>
    <w:rsid w:val="008A3217"/>
    <w:rsid w:val="008A3E09"/>
    <w:rsid w:val="008A3E57"/>
    <w:rsid w:val="008A4426"/>
    <w:rsid w:val="008A4DD8"/>
    <w:rsid w:val="008A51FB"/>
    <w:rsid w:val="008A528D"/>
    <w:rsid w:val="008A6339"/>
    <w:rsid w:val="008A74F1"/>
    <w:rsid w:val="008A77A7"/>
    <w:rsid w:val="008B149D"/>
    <w:rsid w:val="008B347B"/>
    <w:rsid w:val="008B3F34"/>
    <w:rsid w:val="008B52AE"/>
    <w:rsid w:val="008B5779"/>
    <w:rsid w:val="008B5CCB"/>
    <w:rsid w:val="008B6030"/>
    <w:rsid w:val="008B77FF"/>
    <w:rsid w:val="008C1278"/>
    <w:rsid w:val="008C4080"/>
    <w:rsid w:val="008C56B9"/>
    <w:rsid w:val="008C6D34"/>
    <w:rsid w:val="008D05E0"/>
    <w:rsid w:val="008D2600"/>
    <w:rsid w:val="008D74DA"/>
    <w:rsid w:val="008E0761"/>
    <w:rsid w:val="008E0AC0"/>
    <w:rsid w:val="008E20B6"/>
    <w:rsid w:val="008E216F"/>
    <w:rsid w:val="008E221A"/>
    <w:rsid w:val="008E2EBA"/>
    <w:rsid w:val="008E3F51"/>
    <w:rsid w:val="008E3FFE"/>
    <w:rsid w:val="008E60BE"/>
    <w:rsid w:val="008E6724"/>
    <w:rsid w:val="008E6B74"/>
    <w:rsid w:val="008F0FAF"/>
    <w:rsid w:val="008F11A9"/>
    <w:rsid w:val="008F1B11"/>
    <w:rsid w:val="008F3BA8"/>
    <w:rsid w:val="008F46CD"/>
    <w:rsid w:val="008F4A9E"/>
    <w:rsid w:val="008F6480"/>
    <w:rsid w:val="008F6D91"/>
    <w:rsid w:val="008F7740"/>
    <w:rsid w:val="00900CA2"/>
    <w:rsid w:val="00901DB5"/>
    <w:rsid w:val="00901F53"/>
    <w:rsid w:val="00902190"/>
    <w:rsid w:val="00903653"/>
    <w:rsid w:val="00903796"/>
    <w:rsid w:val="00903CFC"/>
    <w:rsid w:val="00904D1B"/>
    <w:rsid w:val="0090521A"/>
    <w:rsid w:val="00910A52"/>
    <w:rsid w:val="00911479"/>
    <w:rsid w:val="009117CE"/>
    <w:rsid w:val="00912352"/>
    <w:rsid w:val="0091468C"/>
    <w:rsid w:val="0091484D"/>
    <w:rsid w:val="0091662D"/>
    <w:rsid w:val="00916DFA"/>
    <w:rsid w:val="00920B7C"/>
    <w:rsid w:val="00920DE0"/>
    <w:rsid w:val="0092136C"/>
    <w:rsid w:val="0092256D"/>
    <w:rsid w:val="00922D86"/>
    <w:rsid w:val="009231D2"/>
    <w:rsid w:val="0092460E"/>
    <w:rsid w:val="00925E71"/>
    <w:rsid w:val="009273DB"/>
    <w:rsid w:val="00927D27"/>
    <w:rsid w:val="0093329F"/>
    <w:rsid w:val="009354F5"/>
    <w:rsid w:val="00935949"/>
    <w:rsid w:val="00935C14"/>
    <w:rsid w:val="009362C3"/>
    <w:rsid w:val="009365B9"/>
    <w:rsid w:val="00936FF8"/>
    <w:rsid w:val="00937043"/>
    <w:rsid w:val="00941748"/>
    <w:rsid w:val="009433C7"/>
    <w:rsid w:val="009439AD"/>
    <w:rsid w:val="00943AA1"/>
    <w:rsid w:val="00943BCD"/>
    <w:rsid w:val="009445D3"/>
    <w:rsid w:val="00947928"/>
    <w:rsid w:val="00951BD0"/>
    <w:rsid w:val="00953732"/>
    <w:rsid w:val="00953B26"/>
    <w:rsid w:val="00955A8A"/>
    <w:rsid w:val="0095685C"/>
    <w:rsid w:val="00956DA5"/>
    <w:rsid w:val="00960563"/>
    <w:rsid w:val="009619DE"/>
    <w:rsid w:val="0096400D"/>
    <w:rsid w:val="00966600"/>
    <w:rsid w:val="00966604"/>
    <w:rsid w:val="009669CA"/>
    <w:rsid w:val="009671D9"/>
    <w:rsid w:val="009704C7"/>
    <w:rsid w:val="00971352"/>
    <w:rsid w:val="009734E8"/>
    <w:rsid w:val="00975E5B"/>
    <w:rsid w:val="00975F76"/>
    <w:rsid w:val="00976C0A"/>
    <w:rsid w:val="00977C8F"/>
    <w:rsid w:val="00977F94"/>
    <w:rsid w:val="00980109"/>
    <w:rsid w:val="009802FD"/>
    <w:rsid w:val="009821FF"/>
    <w:rsid w:val="0098323C"/>
    <w:rsid w:val="00984724"/>
    <w:rsid w:val="00984C3D"/>
    <w:rsid w:val="00985E81"/>
    <w:rsid w:val="009863E9"/>
    <w:rsid w:val="009869D9"/>
    <w:rsid w:val="00986C8C"/>
    <w:rsid w:val="00986EF3"/>
    <w:rsid w:val="00987524"/>
    <w:rsid w:val="00992E20"/>
    <w:rsid w:val="00992E4D"/>
    <w:rsid w:val="009936FC"/>
    <w:rsid w:val="00993925"/>
    <w:rsid w:val="00993977"/>
    <w:rsid w:val="00995461"/>
    <w:rsid w:val="009959D7"/>
    <w:rsid w:val="00996993"/>
    <w:rsid w:val="00996A8C"/>
    <w:rsid w:val="009975EB"/>
    <w:rsid w:val="009A05D1"/>
    <w:rsid w:val="009A182E"/>
    <w:rsid w:val="009A1EBA"/>
    <w:rsid w:val="009A28AC"/>
    <w:rsid w:val="009A3467"/>
    <w:rsid w:val="009A3A5B"/>
    <w:rsid w:val="009A3F2A"/>
    <w:rsid w:val="009A4413"/>
    <w:rsid w:val="009A443E"/>
    <w:rsid w:val="009A46A9"/>
    <w:rsid w:val="009A637B"/>
    <w:rsid w:val="009A6F2F"/>
    <w:rsid w:val="009A77AA"/>
    <w:rsid w:val="009B2AAC"/>
    <w:rsid w:val="009B3521"/>
    <w:rsid w:val="009B475D"/>
    <w:rsid w:val="009B4D5C"/>
    <w:rsid w:val="009B541C"/>
    <w:rsid w:val="009B6FCB"/>
    <w:rsid w:val="009C1617"/>
    <w:rsid w:val="009C39C3"/>
    <w:rsid w:val="009C3A89"/>
    <w:rsid w:val="009C3EC8"/>
    <w:rsid w:val="009C4460"/>
    <w:rsid w:val="009C5930"/>
    <w:rsid w:val="009C7269"/>
    <w:rsid w:val="009C7803"/>
    <w:rsid w:val="009D08F7"/>
    <w:rsid w:val="009D0917"/>
    <w:rsid w:val="009D2288"/>
    <w:rsid w:val="009D36AB"/>
    <w:rsid w:val="009D44B9"/>
    <w:rsid w:val="009D5B76"/>
    <w:rsid w:val="009D5E16"/>
    <w:rsid w:val="009D7192"/>
    <w:rsid w:val="009E09B0"/>
    <w:rsid w:val="009E0E38"/>
    <w:rsid w:val="009E1A35"/>
    <w:rsid w:val="009E2867"/>
    <w:rsid w:val="009E2B01"/>
    <w:rsid w:val="009E4B5F"/>
    <w:rsid w:val="009E5D59"/>
    <w:rsid w:val="009E63CC"/>
    <w:rsid w:val="009E713A"/>
    <w:rsid w:val="009E7670"/>
    <w:rsid w:val="009E78E7"/>
    <w:rsid w:val="009E7DF0"/>
    <w:rsid w:val="009F0913"/>
    <w:rsid w:val="009F09AA"/>
    <w:rsid w:val="009F0CB8"/>
    <w:rsid w:val="009F1E71"/>
    <w:rsid w:val="009F2C16"/>
    <w:rsid w:val="009F2C1B"/>
    <w:rsid w:val="009F335C"/>
    <w:rsid w:val="009F36E5"/>
    <w:rsid w:val="009F65BE"/>
    <w:rsid w:val="009F7717"/>
    <w:rsid w:val="00A002B5"/>
    <w:rsid w:val="00A0260C"/>
    <w:rsid w:val="00A03361"/>
    <w:rsid w:val="00A041B5"/>
    <w:rsid w:val="00A04F8C"/>
    <w:rsid w:val="00A05158"/>
    <w:rsid w:val="00A06416"/>
    <w:rsid w:val="00A0647E"/>
    <w:rsid w:val="00A11088"/>
    <w:rsid w:val="00A11703"/>
    <w:rsid w:val="00A12E16"/>
    <w:rsid w:val="00A13BF5"/>
    <w:rsid w:val="00A13D1D"/>
    <w:rsid w:val="00A14837"/>
    <w:rsid w:val="00A2028D"/>
    <w:rsid w:val="00A21DCC"/>
    <w:rsid w:val="00A21E93"/>
    <w:rsid w:val="00A2232D"/>
    <w:rsid w:val="00A225E3"/>
    <w:rsid w:val="00A22D4C"/>
    <w:rsid w:val="00A2334F"/>
    <w:rsid w:val="00A23811"/>
    <w:rsid w:val="00A23A26"/>
    <w:rsid w:val="00A23DB1"/>
    <w:rsid w:val="00A247D8"/>
    <w:rsid w:val="00A24A8F"/>
    <w:rsid w:val="00A250E9"/>
    <w:rsid w:val="00A2511B"/>
    <w:rsid w:val="00A25708"/>
    <w:rsid w:val="00A2588D"/>
    <w:rsid w:val="00A25BF0"/>
    <w:rsid w:val="00A279F3"/>
    <w:rsid w:val="00A3026E"/>
    <w:rsid w:val="00A31544"/>
    <w:rsid w:val="00A32A22"/>
    <w:rsid w:val="00A33D00"/>
    <w:rsid w:val="00A33F96"/>
    <w:rsid w:val="00A340A0"/>
    <w:rsid w:val="00A34F51"/>
    <w:rsid w:val="00A37943"/>
    <w:rsid w:val="00A40597"/>
    <w:rsid w:val="00A40733"/>
    <w:rsid w:val="00A41C66"/>
    <w:rsid w:val="00A44F8A"/>
    <w:rsid w:val="00A45507"/>
    <w:rsid w:val="00A4576A"/>
    <w:rsid w:val="00A45AD0"/>
    <w:rsid w:val="00A45EE9"/>
    <w:rsid w:val="00A47B23"/>
    <w:rsid w:val="00A509F0"/>
    <w:rsid w:val="00A50F1D"/>
    <w:rsid w:val="00A52D72"/>
    <w:rsid w:val="00A53C14"/>
    <w:rsid w:val="00A56373"/>
    <w:rsid w:val="00A5724B"/>
    <w:rsid w:val="00A576EE"/>
    <w:rsid w:val="00A60395"/>
    <w:rsid w:val="00A60957"/>
    <w:rsid w:val="00A61410"/>
    <w:rsid w:val="00A6198A"/>
    <w:rsid w:val="00A61F73"/>
    <w:rsid w:val="00A62F1C"/>
    <w:rsid w:val="00A64334"/>
    <w:rsid w:val="00A6467C"/>
    <w:rsid w:val="00A65108"/>
    <w:rsid w:val="00A65192"/>
    <w:rsid w:val="00A65DA1"/>
    <w:rsid w:val="00A66822"/>
    <w:rsid w:val="00A677C5"/>
    <w:rsid w:val="00A6790A"/>
    <w:rsid w:val="00A67994"/>
    <w:rsid w:val="00A7067F"/>
    <w:rsid w:val="00A707A7"/>
    <w:rsid w:val="00A70A27"/>
    <w:rsid w:val="00A70F08"/>
    <w:rsid w:val="00A716DB"/>
    <w:rsid w:val="00A718FD"/>
    <w:rsid w:val="00A72341"/>
    <w:rsid w:val="00A7367D"/>
    <w:rsid w:val="00A737D8"/>
    <w:rsid w:val="00A75935"/>
    <w:rsid w:val="00A776ED"/>
    <w:rsid w:val="00A804CE"/>
    <w:rsid w:val="00A80E50"/>
    <w:rsid w:val="00A8137F"/>
    <w:rsid w:val="00A82D7F"/>
    <w:rsid w:val="00A83663"/>
    <w:rsid w:val="00A83B0F"/>
    <w:rsid w:val="00A84216"/>
    <w:rsid w:val="00A847C1"/>
    <w:rsid w:val="00A85782"/>
    <w:rsid w:val="00A87B28"/>
    <w:rsid w:val="00A90821"/>
    <w:rsid w:val="00A90BFA"/>
    <w:rsid w:val="00A911DE"/>
    <w:rsid w:val="00A9150B"/>
    <w:rsid w:val="00A91C64"/>
    <w:rsid w:val="00A92BF3"/>
    <w:rsid w:val="00A932F9"/>
    <w:rsid w:val="00A934BF"/>
    <w:rsid w:val="00A93650"/>
    <w:rsid w:val="00A943C8"/>
    <w:rsid w:val="00A94AD7"/>
    <w:rsid w:val="00A9502D"/>
    <w:rsid w:val="00A950A4"/>
    <w:rsid w:val="00A9520D"/>
    <w:rsid w:val="00A95E8B"/>
    <w:rsid w:val="00A9747D"/>
    <w:rsid w:val="00AA00A6"/>
    <w:rsid w:val="00AA1426"/>
    <w:rsid w:val="00AA178E"/>
    <w:rsid w:val="00AA19D8"/>
    <w:rsid w:val="00AA1B2D"/>
    <w:rsid w:val="00AA30B2"/>
    <w:rsid w:val="00AA39FA"/>
    <w:rsid w:val="00AA3EA8"/>
    <w:rsid w:val="00AA492C"/>
    <w:rsid w:val="00AA59AE"/>
    <w:rsid w:val="00AA5FF1"/>
    <w:rsid w:val="00AA61F5"/>
    <w:rsid w:val="00AA6BA8"/>
    <w:rsid w:val="00AA7F5A"/>
    <w:rsid w:val="00AB03EE"/>
    <w:rsid w:val="00AB04A3"/>
    <w:rsid w:val="00AB0B29"/>
    <w:rsid w:val="00AB2340"/>
    <w:rsid w:val="00AB34B3"/>
    <w:rsid w:val="00AB3AA6"/>
    <w:rsid w:val="00AB3F6F"/>
    <w:rsid w:val="00AB42DE"/>
    <w:rsid w:val="00AB582F"/>
    <w:rsid w:val="00AB5FE4"/>
    <w:rsid w:val="00AB619B"/>
    <w:rsid w:val="00AB659D"/>
    <w:rsid w:val="00AB7283"/>
    <w:rsid w:val="00AB7F52"/>
    <w:rsid w:val="00AC1E05"/>
    <w:rsid w:val="00AC229F"/>
    <w:rsid w:val="00AC2ADD"/>
    <w:rsid w:val="00AC5A74"/>
    <w:rsid w:val="00AC77DE"/>
    <w:rsid w:val="00AC7BA4"/>
    <w:rsid w:val="00AD7186"/>
    <w:rsid w:val="00AD7671"/>
    <w:rsid w:val="00AD7FAC"/>
    <w:rsid w:val="00AE0EE4"/>
    <w:rsid w:val="00AE19B3"/>
    <w:rsid w:val="00AE3A04"/>
    <w:rsid w:val="00AE53B6"/>
    <w:rsid w:val="00AE53E8"/>
    <w:rsid w:val="00AE5E7A"/>
    <w:rsid w:val="00AE6FE4"/>
    <w:rsid w:val="00AE7658"/>
    <w:rsid w:val="00AF1824"/>
    <w:rsid w:val="00AF2059"/>
    <w:rsid w:val="00AF2843"/>
    <w:rsid w:val="00AF2D5B"/>
    <w:rsid w:val="00AF3D84"/>
    <w:rsid w:val="00AF4161"/>
    <w:rsid w:val="00AF4A78"/>
    <w:rsid w:val="00AF580B"/>
    <w:rsid w:val="00AF6574"/>
    <w:rsid w:val="00AF6A54"/>
    <w:rsid w:val="00B007C8"/>
    <w:rsid w:val="00B00A8E"/>
    <w:rsid w:val="00B00DE2"/>
    <w:rsid w:val="00B0171C"/>
    <w:rsid w:val="00B01BA8"/>
    <w:rsid w:val="00B035A1"/>
    <w:rsid w:val="00B046B3"/>
    <w:rsid w:val="00B05F68"/>
    <w:rsid w:val="00B06957"/>
    <w:rsid w:val="00B11A69"/>
    <w:rsid w:val="00B11F64"/>
    <w:rsid w:val="00B121CD"/>
    <w:rsid w:val="00B14407"/>
    <w:rsid w:val="00B14410"/>
    <w:rsid w:val="00B15E61"/>
    <w:rsid w:val="00B164A3"/>
    <w:rsid w:val="00B17770"/>
    <w:rsid w:val="00B24F35"/>
    <w:rsid w:val="00B260FC"/>
    <w:rsid w:val="00B27641"/>
    <w:rsid w:val="00B27D7B"/>
    <w:rsid w:val="00B27F21"/>
    <w:rsid w:val="00B313BF"/>
    <w:rsid w:val="00B32A2B"/>
    <w:rsid w:val="00B32C88"/>
    <w:rsid w:val="00B34747"/>
    <w:rsid w:val="00B34790"/>
    <w:rsid w:val="00B35AE3"/>
    <w:rsid w:val="00B3604F"/>
    <w:rsid w:val="00B3644F"/>
    <w:rsid w:val="00B409C7"/>
    <w:rsid w:val="00B410E4"/>
    <w:rsid w:val="00B41758"/>
    <w:rsid w:val="00B42C7A"/>
    <w:rsid w:val="00B42E49"/>
    <w:rsid w:val="00B430D6"/>
    <w:rsid w:val="00B46202"/>
    <w:rsid w:val="00B4652D"/>
    <w:rsid w:val="00B470D5"/>
    <w:rsid w:val="00B50903"/>
    <w:rsid w:val="00B530BA"/>
    <w:rsid w:val="00B53849"/>
    <w:rsid w:val="00B56283"/>
    <w:rsid w:val="00B56BB6"/>
    <w:rsid w:val="00B61809"/>
    <w:rsid w:val="00B62924"/>
    <w:rsid w:val="00B62FFE"/>
    <w:rsid w:val="00B64996"/>
    <w:rsid w:val="00B65013"/>
    <w:rsid w:val="00B65FD8"/>
    <w:rsid w:val="00B66D0B"/>
    <w:rsid w:val="00B67BB5"/>
    <w:rsid w:val="00B7123A"/>
    <w:rsid w:val="00B7188C"/>
    <w:rsid w:val="00B71AA3"/>
    <w:rsid w:val="00B7435C"/>
    <w:rsid w:val="00B7531B"/>
    <w:rsid w:val="00B75FE1"/>
    <w:rsid w:val="00B76F38"/>
    <w:rsid w:val="00B7755E"/>
    <w:rsid w:val="00B8085D"/>
    <w:rsid w:val="00B817E2"/>
    <w:rsid w:val="00B8183B"/>
    <w:rsid w:val="00B81EFF"/>
    <w:rsid w:val="00B836BB"/>
    <w:rsid w:val="00B84122"/>
    <w:rsid w:val="00B859DA"/>
    <w:rsid w:val="00B85A78"/>
    <w:rsid w:val="00B862B0"/>
    <w:rsid w:val="00B907B5"/>
    <w:rsid w:val="00B90B5E"/>
    <w:rsid w:val="00B90CEE"/>
    <w:rsid w:val="00B91961"/>
    <w:rsid w:val="00B93CA4"/>
    <w:rsid w:val="00B943E1"/>
    <w:rsid w:val="00B95F0F"/>
    <w:rsid w:val="00B96DFE"/>
    <w:rsid w:val="00B97AD5"/>
    <w:rsid w:val="00B97BCD"/>
    <w:rsid w:val="00BA0E4B"/>
    <w:rsid w:val="00BA1C43"/>
    <w:rsid w:val="00BA226F"/>
    <w:rsid w:val="00BA252B"/>
    <w:rsid w:val="00BA2578"/>
    <w:rsid w:val="00BA2B7C"/>
    <w:rsid w:val="00BB0DF9"/>
    <w:rsid w:val="00BB0FF7"/>
    <w:rsid w:val="00BB142A"/>
    <w:rsid w:val="00BB34B9"/>
    <w:rsid w:val="00BB35C2"/>
    <w:rsid w:val="00BB36CE"/>
    <w:rsid w:val="00BB3842"/>
    <w:rsid w:val="00BB4B34"/>
    <w:rsid w:val="00BB553B"/>
    <w:rsid w:val="00BB62F5"/>
    <w:rsid w:val="00BB6641"/>
    <w:rsid w:val="00BB7120"/>
    <w:rsid w:val="00BB7AB5"/>
    <w:rsid w:val="00BC0323"/>
    <w:rsid w:val="00BC08C4"/>
    <w:rsid w:val="00BC149A"/>
    <w:rsid w:val="00BC1AD9"/>
    <w:rsid w:val="00BC28D7"/>
    <w:rsid w:val="00BC29AC"/>
    <w:rsid w:val="00BC376C"/>
    <w:rsid w:val="00BC6087"/>
    <w:rsid w:val="00BC6321"/>
    <w:rsid w:val="00BC7817"/>
    <w:rsid w:val="00BC7EF0"/>
    <w:rsid w:val="00BD1386"/>
    <w:rsid w:val="00BD2562"/>
    <w:rsid w:val="00BD3819"/>
    <w:rsid w:val="00BD3E37"/>
    <w:rsid w:val="00BD5527"/>
    <w:rsid w:val="00BD642D"/>
    <w:rsid w:val="00BD6988"/>
    <w:rsid w:val="00BD6D28"/>
    <w:rsid w:val="00BE1A77"/>
    <w:rsid w:val="00BE1D2D"/>
    <w:rsid w:val="00BE2B86"/>
    <w:rsid w:val="00BE4742"/>
    <w:rsid w:val="00BE511F"/>
    <w:rsid w:val="00BE51C3"/>
    <w:rsid w:val="00BE57C3"/>
    <w:rsid w:val="00BE5B18"/>
    <w:rsid w:val="00BE7383"/>
    <w:rsid w:val="00BE7400"/>
    <w:rsid w:val="00BE754D"/>
    <w:rsid w:val="00BF02A7"/>
    <w:rsid w:val="00BF09DD"/>
    <w:rsid w:val="00BF128C"/>
    <w:rsid w:val="00BF1C11"/>
    <w:rsid w:val="00BF1D6A"/>
    <w:rsid w:val="00BF1DB9"/>
    <w:rsid w:val="00BF2CC0"/>
    <w:rsid w:val="00BF5097"/>
    <w:rsid w:val="00BF6D10"/>
    <w:rsid w:val="00BF6E79"/>
    <w:rsid w:val="00C00F4D"/>
    <w:rsid w:val="00C03F6C"/>
    <w:rsid w:val="00C11C13"/>
    <w:rsid w:val="00C11E29"/>
    <w:rsid w:val="00C12108"/>
    <w:rsid w:val="00C121D9"/>
    <w:rsid w:val="00C1245B"/>
    <w:rsid w:val="00C124B2"/>
    <w:rsid w:val="00C13453"/>
    <w:rsid w:val="00C1403E"/>
    <w:rsid w:val="00C14E9F"/>
    <w:rsid w:val="00C16094"/>
    <w:rsid w:val="00C17913"/>
    <w:rsid w:val="00C20EE5"/>
    <w:rsid w:val="00C21173"/>
    <w:rsid w:val="00C220F9"/>
    <w:rsid w:val="00C227BC"/>
    <w:rsid w:val="00C2541C"/>
    <w:rsid w:val="00C25745"/>
    <w:rsid w:val="00C26862"/>
    <w:rsid w:val="00C27DBF"/>
    <w:rsid w:val="00C30458"/>
    <w:rsid w:val="00C31DA6"/>
    <w:rsid w:val="00C33260"/>
    <w:rsid w:val="00C33F56"/>
    <w:rsid w:val="00C34E47"/>
    <w:rsid w:val="00C36A03"/>
    <w:rsid w:val="00C40120"/>
    <w:rsid w:val="00C4078E"/>
    <w:rsid w:val="00C40B00"/>
    <w:rsid w:val="00C43DFC"/>
    <w:rsid w:val="00C43E2D"/>
    <w:rsid w:val="00C443C5"/>
    <w:rsid w:val="00C4598F"/>
    <w:rsid w:val="00C47819"/>
    <w:rsid w:val="00C500BF"/>
    <w:rsid w:val="00C50360"/>
    <w:rsid w:val="00C50533"/>
    <w:rsid w:val="00C50CA9"/>
    <w:rsid w:val="00C51F5A"/>
    <w:rsid w:val="00C524E1"/>
    <w:rsid w:val="00C5363A"/>
    <w:rsid w:val="00C53965"/>
    <w:rsid w:val="00C53EBA"/>
    <w:rsid w:val="00C54E12"/>
    <w:rsid w:val="00C54F19"/>
    <w:rsid w:val="00C54F50"/>
    <w:rsid w:val="00C55468"/>
    <w:rsid w:val="00C55853"/>
    <w:rsid w:val="00C5786E"/>
    <w:rsid w:val="00C57E94"/>
    <w:rsid w:val="00C622C3"/>
    <w:rsid w:val="00C634D3"/>
    <w:rsid w:val="00C63BD5"/>
    <w:rsid w:val="00C6696A"/>
    <w:rsid w:val="00C6719D"/>
    <w:rsid w:val="00C67DC9"/>
    <w:rsid w:val="00C70520"/>
    <w:rsid w:val="00C72991"/>
    <w:rsid w:val="00C74906"/>
    <w:rsid w:val="00C762FB"/>
    <w:rsid w:val="00C7742E"/>
    <w:rsid w:val="00C776D0"/>
    <w:rsid w:val="00C81B40"/>
    <w:rsid w:val="00C81FD9"/>
    <w:rsid w:val="00C81FEA"/>
    <w:rsid w:val="00C83969"/>
    <w:rsid w:val="00C84CCD"/>
    <w:rsid w:val="00C84D6B"/>
    <w:rsid w:val="00C85B1F"/>
    <w:rsid w:val="00C86C95"/>
    <w:rsid w:val="00C8758E"/>
    <w:rsid w:val="00C910DA"/>
    <w:rsid w:val="00C91F81"/>
    <w:rsid w:val="00C942DA"/>
    <w:rsid w:val="00C94B95"/>
    <w:rsid w:val="00C95617"/>
    <w:rsid w:val="00C95E42"/>
    <w:rsid w:val="00C97673"/>
    <w:rsid w:val="00C97BD2"/>
    <w:rsid w:val="00CA05EB"/>
    <w:rsid w:val="00CA1388"/>
    <w:rsid w:val="00CA13F0"/>
    <w:rsid w:val="00CA2C5D"/>
    <w:rsid w:val="00CA3515"/>
    <w:rsid w:val="00CA3911"/>
    <w:rsid w:val="00CA3A05"/>
    <w:rsid w:val="00CA4D96"/>
    <w:rsid w:val="00CA52FB"/>
    <w:rsid w:val="00CA786E"/>
    <w:rsid w:val="00CB14E9"/>
    <w:rsid w:val="00CB2B34"/>
    <w:rsid w:val="00CB4470"/>
    <w:rsid w:val="00CB50B1"/>
    <w:rsid w:val="00CB622D"/>
    <w:rsid w:val="00CB6D90"/>
    <w:rsid w:val="00CB72C3"/>
    <w:rsid w:val="00CC33FC"/>
    <w:rsid w:val="00CC45E4"/>
    <w:rsid w:val="00CC5B51"/>
    <w:rsid w:val="00CC5EB1"/>
    <w:rsid w:val="00CC66E9"/>
    <w:rsid w:val="00CC7A5B"/>
    <w:rsid w:val="00CD019F"/>
    <w:rsid w:val="00CD05A4"/>
    <w:rsid w:val="00CD27C5"/>
    <w:rsid w:val="00CD41C1"/>
    <w:rsid w:val="00CD498F"/>
    <w:rsid w:val="00CE2377"/>
    <w:rsid w:val="00CE2F1F"/>
    <w:rsid w:val="00CE3627"/>
    <w:rsid w:val="00CE4169"/>
    <w:rsid w:val="00CE4FDB"/>
    <w:rsid w:val="00CE5279"/>
    <w:rsid w:val="00CE5F60"/>
    <w:rsid w:val="00CE646D"/>
    <w:rsid w:val="00CE69CD"/>
    <w:rsid w:val="00CE7064"/>
    <w:rsid w:val="00CE7894"/>
    <w:rsid w:val="00CF06A1"/>
    <w:rsid w:val="00CF0DE8"/>
    <w:rsid w:val="00CF13D6"/>
    <w:rsid w:val="00CF1467"/>
    <w:rsid w:val="00CF1CBF"/>
    <w:rsid w:val="00CF2367"/>
    <w:rsid w:val="00CF243A"/>
    <w:rsid w:val="00CF358A"/>
    <w:rsid w:val="00CF4071"/>
    <w:rsid w:val="00CF48D6"/>
    <w:rsid w:val="00CF5228"/>
    <w:rsid w:val="00CF57D6"/>
    <w:rsid w:val="00CF6C1B"/>
    <w:rsid w:val="00CF7B64"/>
    <w:rsid w:val="00CF7D3A"/>
    <w:rsid w:val="00D014C6"/>
    <w:rsid w:val="00D019D5"/>
    <w:rsid w:val="00D02B36"/>
    <w:rsid w:val="00D0356B"/>
    <w:rsid w:val="00D040FE"/>
    <w:rsid w:val="00D04557"/>
    <w:rsid w:val="00D04595"/>
    <w:rsid w:val="00D05EE4"/>
    <w:rsid w:val="00D0724E"/>
    <w:rsid w:val="00D0728A"/>
    <w:rsid w:val="00D07550"/>
    <w:rsid w:val="00D10805"/>
    <w:rsid w:val="00D135E0"/>
    <w:rsid w:val="00D156E5"/>
    <w:rsid w:val="00D168FD"/>
    <w:rsid w:val="00D16F64"/>
    <w:rsid w:val="00D17D14"/>
    <w:rsid w:val="00D17D5A"/>
    <w:rsid w:val="00D20470"/>
    <w:rsid w:val="00D225E3"/>
    <w:rsid w:val="00D2272A"/>
    <w:rsid w:val="00D23D79"/>
    <w:rsid w:val="00D23F45"/>
    <w:rsid w:val="00D241E0"/>
    <w:rsid w:val="00D2472C"/>
    <w:rsid w:val="00D25BFE"/>
    <w:rsid w:val="00D279BA"/>
    <w:rsid w:val="00D27D04"/>
    <w:rsid w:val="00D27D57"/>
    <w:rsid w:val="00D302BD"/>
    <w:rsid w:val="00D31474"/>
    <w:rsid w:val="00D325AD"/>
    <w:rsid w:val="00D328D5"/>
    <w:rsid w:val="00D32B67"/>
    <w:rsid w:val="00D3354E"/>
    <w:rsid w:val="00D36AC6"/>
    <w:rsid w:val="00D37994"/>
    <w:rsid w:val="00D404B5"/>
    <w:rsid w:val="00D447CB"/>
    <w:rsid w:val="00D44E9B"/>
    <w:rsid w:val="00D455C5"/>
    <w:rsid w:val="00D45FAA"/>
    <w:rsid w:val="00D47D16"/>
    <w:rsid w:val="00D47F7F"/>
    <w:rsid w:val="00D501F5"/>
    <w:rsid w:val="00D505F4"/>
    <w:rsid w:val="00D50F33"/>
    <w:rsid w:val="00D5157B"/>
    <w:rsid w:val="00D51CE1"/>
    <w:rsid w:val="00D55ED2"/>
    <w:rsid w:val="00D562F2"/>
    <w:rsid w:val="00D60CE6"/>
    <w:rsid w:val="00D6152F"/>
    <w:rsid w:val="00D61B93"/>
    <w:rsid w:val="00D62876"/>
    <w:rsid w:val="00D62F1A"/>
    <w:rsid w:val="00D63084"/>
    <w:rsid w:val="00D636E4"/>
    <w:rsid w:val="00D6456D"/>
    <w:rsid w:val="00D646C1"/>
    <w:rsid w:val="00D6555C"/>
    <w:rsid w:val="00D6709D"/>
    <w:rsid w:val="00D6723C"/>
    <w:rsid w:val="00D67E4A"/>
    <w:rsid w:val="00D70573"/>
    <w:rsid w:val="00D70674"/>
    <w:rsid w:val="00D7069D"/>
    <w:rsid w:val="00D70C1D"/>
    <w:rsid w:val="00D72C04"/>
    <w:rsid w:val="00D73577"/>
    <w:rsid w:val="00D74BE1"/>
    <w:rsid w:val="00D74DCC"/>
    <w:rsid w:val="00D75188"/>
    <w:rsid w:val="00D75375"/>
    <w:rsid w:val="00D763FD"/>
    <w:rsid w:val="00D76DDD"/>
    <w:rsid w:val="00D80760"/>
    <w:rsid w:val="00D80B58"/>
    <w:rsid w:val="00D82F07"/>
    <w:rsid w:val="00D8361C"/>
    <w:rsid w:val="00D83645"/>
    <w:rsid w:val="00D8738B"/>
    <w:rsid w:val="00D87B9A"/>
    <w:rsid w:val="00D902E1"/>
    <w:rsid w:val="00D90AD1"/>
    <w:rsid w:val="00D90E6C"/>
    <w:rsid w:val="00D91307"/>
    <w:rsid w:val="00D941F7"/>
    <w:rsid w:val="00D94497"/>
    <w:rsid w:val="00D96A9C"/>
    <w:rsid w:val="00DA2F2A"/>
    <w:rsid w:val="00DA3792"/>
    <w:rsid w:val="00DA4DDF"/>
    <w:rsid w:val="00DA4E56"/>
    <w:rsid w:val="00DA68E2"/>
    <w:rsid w:val="00DA6F29"/>
    <w:rsid w:val="00DA7D9D"/>
    <w:rsid w:val="00DB0164"/>
    <w:rsid w:val="00DB0804"/>
    <w:rsid w:val="00DB1629"/>
    <w:rsid w:val="00DB26E1"/>
    <w:rsid w:val="00DB2FC4"/>
    <w:rsid w:val="00DB4205"/>
    <w:rsid w:val="00DB473F"/>
    <w:rsid w:val="00DB66DD"/>
    <w:rsid w:val="00DC0176"/>
    <w:rsid w:val="00DC0D44"/>
    <w:rsid w:val="00DC1327"/>
    <w:rsid w:val="00DC17D9"/>
    <w:rsid w:val="00DC33E9"/>
    <w:rsid w:val="00DC382A"/>
    <w:rsid w:val="00DC3902"/>
    <w:rsid w:val="00DC3CE7"/>
    <w:rsid w:val="00DC4506"/>
    <w:rsid w:val="00DC4DD7"/>
    <w:rsid w:val="00DC5D8E"/>
    <w:rsid w:val="00DC7B8C"/>
    <w:rsid w:val="00DC7FE1"/>
    <w:rsid w:val="00DD10EE"/>
    <w:rsid w:val="00DD1C06"/>
    <w:rsid w:val="00DD2BAD"/>
    <w:rsid w:val="00DD2F99"/>
    <w:rsid w:val="00DD4191"/>
    <w:rsid w:val="00DD56C2"/>
    <w:rsid w:val="00DD68DF"/>
    <w:rsid w:val="00DD70E8"/>
    <w:rsid w:val="00DE0937"/>
    <w:rsid w:val="00DE1480"/>
    <w:rsid w:val="00DE1923"/>
    <w:rsid w:val="00DE2669"/>
    <w:rsid w:val="00DE2B33"/>
    <w:rsid w:val="00DE2DD0"/>
    <w:rsid w:val="00DE51A2"/>
    <w:rsid w:val="00DE568B"/>
    <w:rsid w:val="00DE638B"/>
    <w:rsid w:val="00DE668B"/>
    <w:rsid w:val="00DE72EE"/>
    <w:rsid w:val="00DF0173"/>
    <w:rsid w:val="00DF085F"/>
    <w:rsid w:val="00DF2CC5"/>
    <w:rsid w:val="00DF37E5"/>
    <w:rsid w:val="00DF567E"/>
    <w:rsid w:val="00DF5F0A"/>
    <w:rsid w:val="00DF615D"/>
    <w:rsid w:val="00DF7042"/>
    <w:rsid w:val="00E003B3"/>
    <w:rsid w:val="00E007B8"/>
    <w:rsid w:val="00E013B5"/>
    <w:rsid w:val="00E02575"/>
    <w:rsid w:val="00E034FE"/>
    <w:rsid w:val="00E041E5"/>
    <w:rsid w:val="00E04888"/>
    <w:rsid w:val="00E06291"/>
    <w:rsid w:val="00E06805"/>
    <w:rsid w:val="00E069D0"/>
    <w:rsid w:val="00E07324"/>
    <w:rsid w:val="00E0763B"/>
    <w:rsid w:val="00E07AEE"/>
    <w:rsid w:val="00E100AC"/>
    <w:rsid w:val="00E10302"/>
    <w:rsid w:val="00E10FA0"/>
    <w:rsid w:val="00E12497"/>
    <w:rsid w:val="00E13159"/>
    <w:rsid w:val="00E1331F"/>
    <w:rsid w:val="00E150FD"/>
    <w:rsid w:val="00E163A0"/>
    <w:rsid w:val="00E1739F"/>
    <w:rsid w:val="00E17EC5"/>
    <w:rsid w:val="00E20C2C"/>
    <w:rsid w:val="00E20DA4"/>
    <w:rsid w:val="00E214A3"/>
    <w:rsid w:val="00E23EA3"/>
    <w:rsid w:val="00E24E60"/>
    <w:rsid w:val="00E26BFD"/>
    <w:rsid w:val="00E26D1B"/>
    <w:rsid w:val="00E27A26"/>
    <w:rsid w:val="00E27E90"/>
    <w:rsid w:val="00E306E4"/>
    <w:rsid w:val="00E31F2F"/>
    <w:rsid w:val="00E32C0B"/>
    <w:rsid w:val="00E32D28"/>
    <w:rsid w:val="00E33149"/>
    <w:rsid w:val="00E33D02"/>
    <w:rsid w:val="00E34F2C"/>
    <w:rsid w:val="00E35D79"/>
    <w:rsid w:val="00E36C93"/>
    <w:rsid w:val="00E4042F"/>
    <w:rsid w:val="00E42E17"/>
    <w:rsid w:val="00E436EF"/>
    <w:rsid w:val="00E44759"/>
    <w:rsid w:val="00E45137"/>
    <w:rsid w:val="00E4641E"/>
    <w:rsid w:val="00E46FEE"/>
    <w:rsid w:val="00E4769E"/>
    <w:rsid w:val="00E519AE"/>
    <w:rsid w:val="00E52AEC"/>
    <w:rsid w:val="00E56FD3"/>
    <w:rsid w:val="00E57088"/>
    <w:rsid w:val="00E579FB"/>
    <w:rsid w:val="00E57AF7"/>
    <w:rsid w:val="00E57BE7"/>
    <w:rsid w:val="00E61F5D"/>
    <w:rsid w:val="00E62051"/>
    <w:rsid w:val="00E6241B"/>
    <w:rsid w:val="00E62577"/>
    <w:rsid w:val="00E63D14"/>
    <w:rsid w:val="00E643EF"/>
    <w:rsid w:val="00E64C57"/>
    <w:rsid w:val="00E64FCC"/>
    <w:rsid w:val="00E65168"/>
    <w:rsid w:val="00E66657"/>
    <w:rsid w:val="00E66CD1"/>
    <w:rsid w:val="00E703B6"/>
    <w:rsid w:val="00E708C7"/>
    <w:rsid w:val="00E71C5B"/>
    <w:rsid w:val="00E72200"/>
    <w:rsid w:val="00E7275C"/>
    <w:rsid w:val="00E72B1B"/>
    <w:rsid w:val="00E747C6"/>
    <w:rsid w:val="00E75D47"/>
    <w:rsid w:val="00E766F5"/>
    <w:rsid w:val="00E77745"/>
    <w:rsid w:val="00E77F0E"/>
    <w:rsid w:val="00E82948"/>
    <w:rsid w:val="00E83835"/>
    <w:rsid w:val="00E84038"/>
    <w:rsid w:val="00E86B32"/>
    <w:rsid w:val="00E90044"/>
    <w:rsid w:val="00E90218"/>
    <w:rsid w:val="00E91392"/>
    <w:rsid w:val="00E913BB"/>
    <w:rsid w:val="00E930DA"/>
    <w:rsid w:val="00E9369C"/>
    <w:rsid w:val="00E94B60"/>
    <w:rsid w:val="00E94F98"/>
    <w:rsid w:val="00E950D4"/>
    <w:rsid w:val="00E95487"/>
    <w:rsid w:val="00E95F2E"/>
    <w:rsid w:val="00E96323"/>
    <w:rsid w:val="00EA0072"/>
    <w:rsid w:val="00EA0DB6"/>
    <w:rsid w:val="00EA1508"/>
    <w:rsid w:val="00EA1541"/>
    <w:rsid w:val="00EA32E4"/>
    <w:rsid w:val="00EA3F41"/>
    <w:rsid w:val="00EA6B78"/>
    <w:rsid w:val="00EA7E36"/>
    <w:rsid w:val="00EB0898"/>
    <w:rsid w:val="00EB12F7"/>
    <w:rsid w:val="00EB1737"/>
    <w:rsid w:val="00EB50F4"/>
    <w:rsid w:val="00EB6095"/>
    <w:rsid w:val="00EB627B"/>
    <w:rsid w:val="00EB6D94"/>
    <w:rsid w:val="00EC0545"/>
    <w:rsid w:val="00EC0EDB"/>
    <w:rsid w:val="00EC23BF"/>
    <w:rsid w:val="00EC37B0"/>
    <w:rsid w:val="00EC4183"/>
    <w:rsid w:val="00EC52E5"/>
    <w:rsid w:val="00EC5DAF"/>
    <w:rsid w:val="00EC6025"/>
    <w:rsid w:val="00EC6468"/>
    <w:rsid w:val="00EC6708"/>
    <w:rsid w:val="00EC7935"/>
    <w:rsid w:val="00EC7C43"/>
    <w:rsid w:val="00EC7D48"/>
    <w:rsid w:val="00EC7D88"/>
    <w:rsid w:val="00ED005A"/>
    <w:rsid w:val="00ED207C"/>
    <w:rsid w:val="00ED2227"/>
    <w:rsid w:val="00ED325A"/>
    <w:rsid w:val="00ED3464"/>
    <w:rsid w:val="00ED3642"/>
    <w:rsid w:val="00ED3F41"/>
    <w:rsid w:val="00ED4A41"/>
    <w:rsid w:val="00ED4F8D"/>
    <w:rsid w:val="00ED5615"/>
    <w:rsid w:val="00ED5724"/>
    <w:rsid w:val="00ED5BE3"/>
    <w:rsid w:val="00ED692E"/>
    <w:rsid w:val="00ED69AF"/>
    <w:rsid w:val="00ED6B2F"/>
    <w:rsid w:val="00ED79A9"/>
    <w:rsid w:val="00EE1847"/>
    <w:rsid w:val="00EE232F"/>
    <w:rsid w:val="00EE240E"/>
    <w:rsid w:val="00EE4423"/>
    <w:rsid w:val="00EE688E"/>
    <w:rsid w:val="00EE6A6D"/>
    <w:rsid w:val="00EE7536"/>
    <w:rsid w:val="00EF0368"/>
    <w:rsid w:val="00EF03E2"/>
    <w:rsid w:val="00EF3572"/>
    <w:rsid w:val="00EF47A5"/>
    <w:rsid w:val="00EF4BD0"/>
    <w:rsid w:val="00EF6C38"/>
    <w:rsid w:val="00EF6F04"/>
    <w:rsid w:val="00EF77DE"/>
    <w:rsid w:val="00EF7BA3"/>
    <w:rsid w:val="00EF7F8B"/>
    <w:rsid w:val="00F02EA8"/>
    <w:rsid w:val="00F02F5B"/>
    <w:rsid w:val="00F03814"/>
    <w:rsid w:val="00F03C39"/>
    <w:rsid w:val="00F04718"/>
    <w:rsid w:val="00F04EAF"/>
    <w:rsid w:val="00F05318"/>
    <w:rsid w:val="00F06912"/>
    <w:rsid w:val="00F06F42"/>
    <w:rsid w:val="00F07A09"/>
    <w:rsid w:val="00F07BAD"/>
    <w:rsid w:val="00F1120B"/>
    <w:rsid w:val="00F113BC"/>
    <w:rsid w:val="00F11ED5"/>
    <w:rsid w:val="00F1390C"/>
    <w:rsid w:val="00F14D98"/>
    <w:rsid w:val="00F17F06"/>
    <w:rsid w:val="00F20C5E"/>
    <w:rsid w:val="00F227A1"/>
    <w:rsid w:val="00F23613"/>
    <w:rsid w:val="00F2467E"/>
    <w:rsid w:val="00F26DB1"/>
    <w:rsid w:val="00F327FB"/>
    <w:rsid w:val="00F32DBF"/>
    <w:rsid w:val="00F34F14"/>
    <w:rsid w:val="00F36A1D"/>
    <w:rsid w:val="00F37143"/>
    <w:rsid w:val="00F405F8"/>
    <w:rsid w:val="00F40F6F"/>
    <w:rsid w:val="00F421C9"/>
    <w:rsid w:val="00F4319E"/>
    <w:rsid w:val="00F431A8"/>
    <w:rsid w:val="00F43397"/>
    <w:rsid w:val="00F439D6"/>
    <w:rsid w:val="00F44278"/>
    <w:rsid w:val="00F46B50"/>
    <w:rsid w:val="00F47531"/>
    <w:rsid w:val="00F475C7"/>
    <w:rsid w:val="00F4762F"/>
    <w:rsid w:val="00F478F9"/>
    <w:rsid w:val="00F47C6A"/>
    <w:rsid w:val="00F50E66"/>
    <w:rsid w:val="00F51B65"/>
    <w:rsid w:val="00F524D5"/>
    <w:rsid w:val="00F52AAB"/>
    <w:rsid w:val="00F52EB6"/>
    <w:rsid w:val="00F54627"/>
    <w:rsid w:val="00F55260"/>
    <w:rsid w:val="00F57AE5"/>
    <w:rsid w:val="00F601B9"/>
    <w:rsid w:val="00F6032D"/>
    <w:rsid w:val="00F61177"/>
    <w:rsid w:val="00F61F33"/>
    <w:rsid w:val="00F6316B"/>
    <w:rsid w:val="00F63BFE"/>
    <w:rsid w:val="00F63EDF"/>
    <w:rsid w:val="00F650A3"/>
    <w:rsid w:val="00F654FC"/>
    <w:rsid w:val="00F65AE0"/>
    <w:rsid w:val="00F66EBF"/>
    <w:rsid w:val="00F67103"/>
    <w:rsid w:val="00F6771E"/>
    <w:rsid w:val="00F708BB"/>
    <w:rsid w:val="00F70F4B"/>
    <w:rsid w:val="00F71D83"/>
    <w:rsid w:val="00F720EC"/>
    <w:rsid w:val="00F73C95"/>
    <w:rsid w:val="00F74E38"/>
    <w:rsid w:val="00F758D7"/>
    <w:rsid w:val="00F76D6F"/>
    <w:rsid w:val="00F778B0"/>
    <w:rsid w:val="00F77A87"/>
    <w:rsid w:val="00F83BC2"/>
    <w:rsid w:val="00F83C7A"/>
    <w:rsid w:val="00F84240"/>
    <w:rsid w:val="00F84AF1"/>
    <w:rsid w:val="00F84B9B"/>
    <w:rsid w:val="00F901AF"/>
    <w:rsid w:val="00F92EC1"/>
    <w:rsid w:val="00F93209"/>
    <w:rsid w:val="00F93698"/>
    <w:rsid w:val="00F9421E"/>
    <w:rsid w:val="00F94C47"/>
    <w:rsid w:val="00F94D17"/>
    <w:rsid w:val="00F954CC"/>
    <w:rsid w:val="00F96C8A"/>
    <w:rsid w:val="00F97378"/>
    <w:rsid w:val="00F978F6"/>
    <w:rsid w:val="00F97E01"/>
    <w:rsid w:val="00FA0421"/>
    <w:rsid w:val="00FA1D60"/>
    <w:rsid w:val="00FA208E"/>
    <w:rsid w:val="00FA28B3"/>
    <w:rsid w:val="00FA2BAC"/>
    <w:rsid w:val="00FA3389"/>
    <w:rsid w:val="00FA3476"/>
    <w:rsid w:val="00FA4191"/>
    <w:rsid w:val="00FA495F"/>
    <w:rsid w:val="00FA550F"/>
    <w:rsid w:val="00FA663B"/>
    <w:rsid w:val="00FA76C8"/>
    <w:rsid w:val="00FB036E"/>
    <w:rsid w:val="00FB0A30"/>
    <w:rsid w:val="00FB0C10"/>
    <w:rsid w:val="00FB3C36"/>
    <w:rsid w:val="00FB4280"/>
    <w:rsid w:val="00FB4BA6"/>
    <w:rsid w:val="00FB5EF1"/>
    <w:rsid w:val="00FB7CCE"/>
    <w:rsid w:val="00FC01C8"/>
    <w:rsid w:val="00FC079F"/>
    <w:rsid w:val="00FC0D34"/>
    <w:rsid w:val="00FC35B3"/>
    <w:rsid w:val="00FC4679"/>
    <w:rsid w:val="00FC46AB"/>
    <w:rsid w:val="00FC4F51"/>
    <w:rsid w:val="00FC5027"/>
    <w:rsid w:val="00FC5030"/>
    <w:rsid w:val="00FC50C7"/>
    <w:rsid w:val="00FC511D"/>
    <w:rsid w:val="00FC6078"/>
    <w:rsid w:val="00FC6581"/>
    <w:rsid w:val="00FC68BC"/>
    <w:rsid w:val="00FC6D5A"/>
    <w:rsid w:val="00FC715E"/>
    <w:rsid w:val="00FC762B"/>
    <w:rsid w:val="00FC797C"/>
    <w:rsid w:val="00FD0DAA"/>
    <w:rsid w:val="00FD11D4"/>
    <w:rsid w:val="00FD1ACC"/>
    <w:rsid w:val="00FD225D"/>
    <w:rsid w:val="00FD2384"/>
    <w:rsid w:val="00FD264D"/>
    <w:rsid w:val="00FD286B"/>
    <w:rsid w:val="00FD28CF"/>
    <w:rsid w:val="00FD29F3"/>
    <w:rsid w:val="00FD33DB"/>
    <w:rsid w:val="00FD5A58"/>
    <w:rsid w:val="00FD5BF8"/>
    <w:rsid w:val="00FD6087"/>
    <w:rsid w:val="00FD617A"/>
    <w:rsid w:val="00FD7993"/>
    <w:rsid w:val="00FD7B2E"/>
    <w:rsid w:val="00FE2CB8"/>
    <w:rsid w:val="00FE333E"/>
    <w:rsid w:val="00FE452E"/>
    <w:rsid w:val="00FF0107"/>
    <w:rsid w:val="00FF0262"/>
    <w:rsid w:val="00FF27DA"/>
    <w:rsid w:val="00FF29AD"/>
    <w:rsid w:val="00FF338C"/>
    <w:rsid w:val="00FF4275"/>
    <w:rsid w:val="00FF4A4C"/>
    <w:rsid w:val="00FF4C15"/>
    <w:rsid w:val="00FF631B"/>
    <w:rsid w:val="00FF7C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E7658"/>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0C5F0A"/>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0C5F0A"/>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0C5F0A"/>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0C5F0A"/>
    <w:pPr>
      <w:tabs>
        <w:tab w:val="right" w:leader="dot" w:pos="8930"/>
      </w:tabs>
      <w:spacing w:after="0"/>
      <w:ind w:left="378" w:firstLine="0"/>
      <w:jc w:val="left"/>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qFormat/>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0C5F0A"/>
    <w:rPr>
      <w:b/>
      <w:bCs/>
      <w:sz w:val="28"/>
      <w:szCs w:val="28"/>
      <w:lang w:val="es-ES_tradnl" w:eastAsia="en-US"/>
    </w:rPr>
  </w:style>
  <w:style w:type="character" w:customStyle="1" w:styleId="Ttulo7Car">
    <w:name w:val="Título 7 Car"/>
    <w:basedOn w:val="Fuentedeprrafopredeter"/>
    <w:link w:val="Ttulo7"/>
    <w:uiPriority w:val="99"/>
    <w:rsid w:val="000C5F0A"/>
    <w:rPr>
      <w:sz w:val="52"/>
    </w:rPr>
  </w:style>
  <w:style w:type="character" w:customStyle="1" w:styleId="atitulo2Car">
    <w:name w:val="atitulo2 Car"/>
    <w:link w:val="atitulo2"/>
    <w:rsid w:val="000C5F0A"/>
    <w:rPr>
      <w:rFonts w:ascii="Arial" w:hAnsi="Arial"/>
      <w:bCs/>
      <w:iCs/>
      <w:color w:val="000000"/>
      <w:spacing w:val="10"/>
      <w:kern w:val="28"/>
      <w:sz w:val="25"/>
      <w:szCs w:val="26"/>
      <w:lang w:val="es-ES_tradnl" w:eastAsia="en-US"/>
    </w:rPr>
  </w:style>
  <w:style w:type="paragraph" w:customStyle="1" w:styleId="Estndar">
    <w:name w:val="Estándar"/>
    <w:rsid w:val="000C5F0A"/>
    <w:pPr>
      <w:snapToGrid w:val="0"/>
    </w:pPr>
    <w:rPr>
      <w:rFonts w:ascii="CG Omega" w:hAnsi="CG Omega"/>
      <w:color w:val="000000"/>
      <w:sz w:val="22"/>
    </w:rPr>
  </w:style>
  <w:style w:type="paragraph" w:customStyle="1" w:styleId="tabla10">
    <w:name w:val="tabla10"/>
    <w:rsid w:val="000C5F0A"/>
    <w:pPr>
      <w:tabs>
        <w:tab w:val="left" w:pos="567"/>
        <w:tab w:val="left" w:pos="1134"/>
      </w:tabs>
      <w:snapToGrid w:val="0"/>
    </w:pPr>
    <w:rPr>
      <w:rFonts w:ascii="CG Times" w:hAnsi="CG Times"/>
      <w:color w:val="000000"/>
    </w:rPr>
  </w:style>
  <w:style w:type="paragraph" w:styleId="NormalWeb">
    <w:name w:val="Normal (Web)"/>
    <w:basedOn w:val="Normal"/>
    <w:uiPriority w:val="99"/>
    <w:rsid w:val="000C5F0A"/>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rsid w:val="000C5F0A"/>
  </w:style>
  <w:style w:type="character" w:customStyle="1" w:styleId="TextocomentarioCar">
    <w:name w:val="Texto comentario Car"/>
    <w:basedOn w:val="Fuentedeprrafopredeter"/>
    <w:link w:val="Textocomentario"/>
    <w:rsid w:val="000C5F0A"/>
    <w:rPr>
      <w:lang w:val="es-ES_tradnl" w:eastAsia="en-US"/>
    </w:rPr>
  </w:style>
  <w:style w:type="paragraph" w:styleId="Asuntodelcomentario">
    <w:name w:val="annotation subject"/>
    <w:basedOn w:val="Textocomentario"/>
    <w:next w:val="Textocomentario"/>
    <w:link w:val="AsuntodelcomentarioCar"/>
    <w:rsid w:val="000C5F0A"/>
    <w:rPr>
      <w:b/>
      <w:bCs/>
    </w:rPr>
  </w:style>
  <w:style w:type="character" w:customStyle="1" w:styleId="AsuntodelcomentarioCar">
    <w:name w:val="Asunto del comentario Car"/>
    <w:basedOn w:val="TextocomentarioCar"/>
    <w:link w:val="Asuntodelcomentario"/>
    <w:rsid w:val="000C5F0A"/>
    <w:rPr>
      <w:b/>
      <w:bCs/>
      <w:lang w:val="es-ES_tradnl" w:eastAsia="en-US"/>
    </w:rPr>
  </w:style>
  <w:style w:type="paragraph" w:styleId="Mapadeldocumento">
    <w:name w:val="Document Map"/>
    <w:basedOn w:val="Normal"/>
    <w:link w:val="MapadeldocumentoCar"/>
    <w:rsid w:val="000C5F0A"/>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0C5F0A"/>
    <w:rPr>
      <w:rFonts w:ascii="Tahoma" w:hAnsi="Tahoma" w:cs="Tahoma"/>
      <w:shd w:val="clear" w:color="auto" w:fill="000080"/>
      <w:lang w:val="es-ES_tradnl" w:eastAsia="en-US"/>
    </w:rPr>
  </w:style>
  <w:style w:type="paragraph" w:styleId="Textonotapie">
    <w:name w:val="footnote text"/>
    <w:basedOn w:val="Normal"/>
    <w:link w:val="TextonotapieCar"/>
    <w:uiPriority w:val="99"/>
    <w:rsid w:val="000C5F0A"/>
  </w:style>
  <w:style w:type="character" w:customStyle="1" w:styleId="TextonotapieCar">
    <w:name w:val="Texto nota pie Car"/>
    <w:basedOn w:val="Fuentedeprrafopredeter"/>
    <w:link w:val="Textonotapie"/>
    <w:uiPriority w:val="99"/>
    <w:rsid w:val="000C5F0A"/>
    <w:rPr>
      <w:lang w:val="es-ES_tradnl" w:eastAsia="en-US"/>
    </w:rPr>
  </w:style>
  <w:style w:type="character" w:styleId="Refdenotaalpie">
    <w:name w:val="footnote reference"/>
    <w:uiPriority w:val="99"/>
    <w:rsid w:val="000C5F0A"/>
    <w:rPr>
      <w:vertAlign w:val="superscript"/>
    </w:rPr>
  </w:style>
  <w:style w:type="paragraph" w:styleId="Prrafodelista">
    <w:name w:val="List Paragraph"/>
    <w:basedOn w:val="Normal"/>
    <w:uiPriority w:val="34"/>
    <w:qFormat/>
    <w:rsid w:val="000C5F0A"/>
    <w:pPr>
      <w:ind w:left="720"/>
      <w:contextualSpacing/>
    </w:pPr>
  </w:style>
  <w:style w:type="character" w:customStyle="1" w:styleId="PiedepginaCar">
    <w:name w:val="Pie de página Car"/>
    <w:basedOn w:val="Fuentedeprrafopredeter"/>
    <w:link w:val="Piedepgina"/>
    <w:uiPriority w:val="99"/>
    <w:rsid w:val="000C5F0A"/>
    <w:rPr>
      <w:spacing w:val="6"/>
      <w:lang w:val="es-ES_tradnl" w:eastAsia="en-US"/>
    </w:rPr>
  </w:style>
  <w:style w:type="character" w:customStyle="1" w:styleId="atitulo1Car">
    <w:name w:val="atitulo1 Car"/>
    <w:link w:val="atitulo1"/>
    <w:uiPriority w:val="99"/>
    <w:rsid w:val="000C5F0A"/>
    <w:rPr>
      <w:rFonts w:ascii="Arial" w:hAnsi="Arial"/>
      <w:b/>
      <w:color w:val="000000"/>
      <w:kern w:val="28"/>
      <w:sz w:val="25"/>
      <w:szCs w:val="26"/>
      <w:lang w:val="es-ES_tradnl" w:eastAsia="en-US"/>
    </w:rPr>
  </w:style>
  <w:style w:type="paragraph" w:customStyle="1" w:styleId="Default">
    <w:name w:val="Default"/>
    <w:rsid w:val="000C5F0A"/>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0C5F0A"/>
    <w:rPr>
      <w:color w:val="auto"/>
    </w:rPr>
  </w:style>
  <w:style w:type="paragraph" w:styleId="Textoindependiente">
    <w:name w:val="Body Text"/>
    <w:basedOn w:val="Normal"/>
    <w:link w:val="TextoindependienteCar"/>
    <w:rsid w:val="000C5F0A"/>
    <w:pPr>
      <w:spacing w:after="120"/>
      <w:ind w:firstLine="709"/>
    </w:pPr>
    <w:rPr>
      <w:rFonts w:ascii="Arial" w:hAnsi="Arial"/>
      <w:sz w:val="24"/>
      <w:lang w:eastAsia="es-ES"/>
    </w:rPr>
  </w:style>
  <w:style w:type="character" w:customStyle="1" w:styleId="TextoindependienteCar">
    <w:name w:val="Texto independiente Car"/>
    <w:basedOn w:val="Fuentedeprrafopredeter"/>
    <w:link w:val="Textoindependiente"/>
    <w:rsid w:val="000C5F0A"/>
    <w:rPr>
      <w:rFonts w:ascii="Arial" w:hAnsi="Arial"/>
      <w:sz w:val="24"/>
      <w:lang w:val="es-ES_tradnl"/>
    </w:rPr>
  </w:style>
  <w:style w:type="paragraph" w:customStyle="1" w:styleId="Pa7">
    <w:name w:val="Pa7"/>
    <w:basedOn w:val="Default"/>
    <w:next w:val="Default"/>
    <w:uiPriority w:val="99"/>
    <w:rsid w:val="000C5F0A"/>
    <w:pPr>
      <w:spacing w:line="201" w:lineRule="atLeast"/>
    </w:pPr>
    <w:rPr>
      <w:color w:val="auto"/>
    </w:rPr>
  </w:style>
  <w:style w:type="character" w:customStyle="1" w:styleId="corchete-llamada1">
    <w:name w:val="corchete-llamada1"/>
    <w:basedOn w:val="Fuentedeprrafopredeter"/>
    <w:rsid w:val="000C5F0A"/>
    <w:rPr>
      <w:vanish/>
      <w:webHidden w:val="0"/>
      <w:specVanish w:val="0"/>
    </w:rPr>
  </w:style>
  <w:style w:type="paragraph" w:customStyle="1" w:styleId="xl1">
    <w:name w:val="xl1"/>
    <w:basedOn w:val="Normal"/>
    <w:rsid w:val="000C5F0A"/>
    <w:pPr>
      <w:spacing w:after="240"/>
      <w:ind w:left="300" w:right="75" w:hanging="225"/>
    </w:pPr>
    <w:rPr>
      <w:sz w:val="24"/>
      <w:szCs w:val="24"/>
      <w:lang w:val="es-ES" w:eastAsia="es-ES"/>
    </w:rPr>
  </w:style>
  <w:style w:type="paragraph" w:customStyle="1" w:styleId="xl2">
    <w:name w:val="xl2"/>
    <w:basedOn w:val="Normal"/>
    <w:rsid w:val="000C5F0A"/>
    <w:pPr>
      <w:spacing w:after="240"/>
      <w:ind w:left="525" w:right="75" w:hanging="225"/>
    </w:pPr>
    <w:rPr>
      <w:sz w:val="24"/>
      <w:szCs w:val="24"/>
      <w:lang w:val="es-ES" w:eastAsia="es-ES"/>
    </w:rPr>
  </w:style>
  <w:style w:type="numbering" w:customStyle="1" w:styleId="Sinlista1">
    <w:name w:val="Sin lista1"/>
    <w:next w:val="Sinlista"/>
    <w:uiPriority w:val="99"/>
    <w:semiHidden/>
    <w:unhideWhenUsed/>
    <w:rsid w:val="000C5F0A"/>
  </w:style>
  <w:style w:type="table" w:styleId="Sombreadoclaro">
    <w:name w:val="Light Shading"/>
    <w:aliases w:val="tabla informe"/>
    <w:basedOn w:val="Tablanormal"/>
    <w:uiPriority w:val="60"/>
    <w:rsid w:val="000C5F0A"/>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0C5F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semiHidden/>
    <w:rsid w:val="000C5F0A"/>
    <w:rPr>
      <w:rFonts w:ascii="Tahoma" w:hAnsi="Tahoma" w:cs="Tahoma"/>
      <w:sz w:val="16"/>
      <w:szCs w:val="16"/>
      <w:lang w:val="es-ES_tradnl" w:eastAsia="en-US"/>
    </w:rPr>
  </w:style>
  <w:style w:type="character" w:customStyle="1" w:styleId="Ttulo1Car">
    <w:name w:val="Título 1 Car"/>
    <w:basedOn w:val="Fuentedeprrafopredeter"/>
    <w:link w:val="Ttulo1"/>
    <w:uiPriority w:val="99"/>
    <w:rsid w:val="000C5F0A"/>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0C5F0A"/>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0C5F0A"/>
    <w:rPr>
      <w:rFonts w:ascii="Arial" w:hAnsi="Arial" w:cs="Arial"/>
      <w:b/>
      <w:bCs/>
      <w:szCs w:val="26"/>
      <w:lang w:val="es-ES_tradnl" w:eastAsia="en-US"/>
    </w:rPr>
  </w:style>
  <w:style w:type="character" w:customStyle="1" w:styleId="Ttulo5Car">
    <w:name w:val="Título 5 Car"/>
    <w:basedOn w:val="Fuentedeprrafopredeter"/>
    <w:link w:val="Ttulo5"/>
    <w:uiPriority w:val="99"/>
    <w:rsid w:val="000C5F0A"/>
    <w:rPr>
      <w:b/>
      <w:sz w:val="28"/>
      <w:lang w:eastAsia="en-US"/>
    </w:rPr>
  </w:style>
  <w:style w:type="paragraph" w:styleId="Ttulo">
    <w:name w:val="Title"/>
    <w:basedOn w:val="Normal"/>
    <w:next w:val="Normal"/>
    <w:link w:val="TtuloCar"/>
    <w:uiPriority w:val="10"/>
    <w:qFormat/>
    <w:rsid w:val="000C5F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C5F0A"/>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0C5F0A"/>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0C5F0A"/>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22"/>
    <w:qFormat/>
    <w:rsid w:val="000C5F0A"/>
    <w:rPr>
      <w:rFonts w:cs="Times New Roman"/>
      <w:b/>
    </w:rPr>
  </w:style>
  <w:style w:type="character" w:styleId="nfasis">
    <w:name w:val="Emphasis"/>
    <w:basedOn w:val="Fuentedeprrafopredeter"/>
    <w:uiPriority w:val="20"/>
    <w:qFormat/>
    <w:rsid w:val="000C5F0A"/>
    <w:rPr>
      <w:rFonts w:cs="Times New Roman"/>
      <w:i/>
      <w:iCs/>
    </w:rPr>
  </w:style>
  <w:style w:type="paragraph" w:styleId="Cita">
    <w:name w:val="Quote"/>
    <w:basedOn w:val="Normal"/>
    <w:next w:val="Normal"/>
    <w:link w:val="CitaCar"/>
    <w:uiPriority w:val="29"/>
    <w:qFormat/>
    <w:rsid w:val="000C5F0A"/>
    <w:rPr>
      <w:i/>
      <w:iCs/>
      <w:color w:val="000000" w:themeColor="text1"/>
    </w:rPr>
  </w:style>
  <w:style w:type="character" w:customStyle="1" w:styleId="CitaCar">
    <w:name w:val="Cita Car"/>
    <w:basedOn w:val="Fuentedeprrafopredeter"/>
    <w:link w:val="Cita"/>
    <w:uiPriority w:val="29"/>
    <w:rsid w:val="000C5F0A"/>
    <w:rPr>
      <w:i/>
      <w:iCs/>
      <w:color w:val="000000" w:themeColor="text1"/>
      <w:lang w:val="es-ES_tradnl" w:eastAsia="en-US"/>
    </w:rPr>
  </w:style>
  <w:style w:type="character" w:styleId="nfasissutil">
    <w:name w:val="Subtle Emphasis"/>
    <w:basedOn w:val="Fuentedeprrafopredeter"/>
    <w:uiPriority w:val="19"/>
    <w:qFormat/>
    <w:rsid w:val="000C5F0A"/>
    <w:rPr>
      <w:i/>
      <w:iCs/>
      <w:color w:val="808080" w:themeColor="text1" w:themeTint="7F"/>
    </w:rPr>
  </w:style>
  <w:style w:type="character" w:styleId="nfasisintenso">
    <w:name w:val="Intense Emphasis"/>
    <w:basedOn w:val="Fuentedeprrafopredeter"/>
    <w:uiPriority w:val="21"/>
    <w:qFormat/>
    <w:rsid w:val="000C5F0A"/>
    <w:rPr>
      <w:b/>
      <w:bCs/>
      <w:i/>
      <w:iCs/>
      <w:color w:val="4F81BD" w:themeColor="accent1"/>
    </w:rPr>
  </w:style>
  <w:style w:type="character" w:styleId="Referenciasutil">
    <w:name w:val="Subtle Reference"/>
    <w:basedOn w:val="Fuentedeprrafopredeter"/>
    <w:uiPriority w:val="31"/>
    <w:qFormat/>
    <w:rsid w:val="000C5F0A"/>
    <w:rPr>
      <w:smallCaps/>
      <w:color w:val="C0504D" w:themeColor="accent2"/>
      <w:u w:val="single"/>
    </w:rPr>
  </w:style>
  <w:style w:type="character" w:styleId="Referenciaintensa">
    <w:name w:val="Intense Reference"/>
    <w:basedOn w:val="Fuentedeprrafopredeter"/>
    <w:uiPriority w:val="32"/>
    <w:qFormat/>
    <w:rsid w:val="000C5F0A"/>
    <w:rPr>
      <w:b/>
      <w:bCs/>
      <w:smallCaps/>
      <w:color w:val="C0504D" w:themeColor="accent2"/>
      <w:spacing w:val="5"/>
      <w:u w:val="single"/>
    </w:rPr>
  </w:style>
  <w:style w:type="character" w:customStyle="1" w:styleId="EncabezadoCar">
    <w:name w:val="Encabezado Car"/>
    <w:basedOn w:val="Fuentedeprrafopredeter"/>
    <w:link w:val="Encabezado"/>
    <w:uiPriority w:val="99"/>
    <w:rsid w:val="000C5F0A"/>
    <w:rPr>
      <w:bCs/>
      <w:caps/>
      <w:sz w:val="14"/>
      <w:szCs w:val="12"/>
      <w:lang w:val="es-ES_tradnl" w:eastAsia="en-US"/>
    </w:rPr>
  </w:style>
  <w:style w:type="paragraph" w:styleId="Textoindependiente3">
    <w:name w:val="Body Text 3"/>
    <w:basedOn w:val="Normal"/>
    <w:link w:val="Textoindependiente3Car"/>
    <w:rsid w:val="000C5F0A"/>
    <w:pPr>
      <w:spacing w:after="120"/>
    </w:pPr>
    <w:rPr>
      <w:sz w:val="16"/>
      <w:szCs w:val="16"/>
    </w:rPr>
  </w:style>
  <w:style w:type="character" w:customStyle="1" w:styleId="Textoindependiente3Car">
    <w:name w:val="Texto independiente 3 Car"/>
    <w:basedOn w:val="Fuentedeprrafopredeter"/>
    <w:link w:val="Textoindependiente3"/>
    <w:rsid w:val="000C5F0A"/>
    <w:rPr>
      <w:sz w:val="16"/>
      <w:szCs w:val="16"/>
      <w:lang w:val="es-ES_tradnl" w:eastAsia="en-US"/>
    </w:rPr>
  </w:style>
  <w:style w:type="paragraph" w:styleId="Textosinformato">
    <w:name w:val="Plain Text"/>
    <w:basedOn w:val="Normal"/>
    <w:link w:val="TextosinformatoCar"/>
    <w:uiPriority w:val="99"/>
    <w:unhideWhenUsed/>
    <w:rsid w:val="000C5F0A"/>
    <w:pPr>
      <w:spacing w:after="0"/>
      <w:ind w:firstLine="0"/>
      <w:jc w:val="left"/>
    </w:pPr>
    <w:rPr>
      <w:rFonts w:ascii="Calibri" w:eastAsiaTheme="minorHAnsi" w:hAnsi="Calibri" w:cstheme="minorBidi"/>
      <w:sz w:val="22"/>
      <w:szCs w:val="21"/>
      <w:lang w:val="es-ES"/>
    </w:rPr>
  </w:style>
  <w:style w:type="character" w:customStyle="1" w:styleId="TextosinformatoCar">
    <w:name w:val="Texto sin formato Car"/>
    <w:basedOn w:val="Fuentedeprrafopredeter"/>
    <w:link w:val="Textosinformato"/>
    <w:uiPriority w:val="99"/>
    <w:rsid w:val="000C5F0A"/>
    <w:rPr>
      <w:rFonts w:ascii="Calibri" w:eastAsiaTheme="minorHAnsi" w:hAnsi="Calibri" w:cstheme="minorBidi"/>
      <w:sz w:val="22"/>
      <w:szCs w:val="21"/>
      <w:lang w:eastAsia="en-US"/>
    </w:rPr>
  </w:style>
  <w:style w:type="paragraph" w:customStyle="1" w:styleId="cuatitul">
    <w:name w:val="cuatitul"/>
    <w:basedOn w:val="Normal"/>
    <w:rsid w:val="000C5F0A"/>
    <w:pPr>
      <w:spacing w:after="60"/>
      <w:ind w:firstLine="0"/>
      <w:jc w:val="center"/>
    </w:pPr>
    <w:rPr>
      <w:rFonts w:ascii="GillSans" w:hAnsi="GillSans"/>
      <w:sz w:val="22"/>
      <w:lang w:eastAsia="es-ES"/>
    </w:rPr>
  </w:style>
  <w:style w:type="paragraph" w:customStyle="1" w:styleId="Tabla">
    <w:name w:val="Tabla"/>
    <w:basedOn w:val="Normal"/>
    <w:rsid w:val="000C5F0A"/>
    <w:pPr>
      <w:spacing w:after="0"/>
      <w:ind w:firstLine="0"/>
    </w:pPr>
    <w:rPr>
      <w:rFonts w:ascii="Arial" w:hAnsi="Arial"/>
      <w:sz w:val="16"/>
      <w:lang w:eastAsia="es-ES"/>
    </w:rPr>
  </w:style>
  <w:style w:type="character" w:customStyle="1" w:styleId="atitulo3Car">
    <w:name w:val="atitulo3 Car"/>
    <w:link w:val="atitulo3"/>
    <w:rsid w:val="000C5F0A"/>
    <w:rPr>
      <w:rFonts w:ascii="Arial" w:hAnsi="Arial"/>
      <w:i/>
      <w:iCs/>
      <w:color w:val="000000"/>
      <w:spacing w:val="10"/>
      <w:kern w:val="28"/>
      <w:sz w:val="25"/>
      <w:szCs w:val="26"/>
      <w:lang w:val="es-ES_tradnl" w:eastAsia="en-US"/>
    </w:rPr>
  </w:style>
  <w:style w:type="table" w:customStyle="1" w:styleId="Tablaconcuadrcula2">
    <w:name w:val="Tabla con cuadrícula2"/>
    <w:basedOn w:val="Tablanormal"/>
    <w:next w:val="Tablaconcuadrcula"/>
    <w:uiPriority w:val="59"/>
    <w:rsid w:val="000C5F0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a1">
    <w:name w:val="xa1"/>
    <w:basedOn w:val="Normal"/>
    <w:rsid w:val="000C5F0A"/>
    <w:pPr>
      <w:spacing w:after="240"/>
      <w:ind w:left="300" w:right="75" w:firstLine="0"/>
    </w:pPr>
    <w:rPr>
      <w:sz w:val="24"/>
      <w:szCs w:val="24"/>
      <w:lang w:val="es-ES" w:eastAsia="es-ES"/>
    </w:rPr>
  </w:style>
  <w:style w:type="character" w:customStyle="1" w:styleId="st1">
    <w:name w:val="st1"/>
    <w:basedOn w:val="Fuentedeprrafopredeter"/>
    <w:rsid w:val="000C5F0A"/>
  </w:style>
  <w:style w:type="character" w:customStyle="1" w:styleId="apple-converted-space">
    <w:name w:val="apple-converted-space"/>
    <w:basedOn w:val="Fuentedeprrafopredeter"/>
    <w:rsid w:val="000C5F0A"/>
  </w:style>
  <w:style w:type="paragraph" w:customStyle="1" w:styleId="Retorno">
    <w:name w:val="Retorno"/>
    <w:basedOn w:val="Normal"/>
    <w:rsid w:val="000C5F0A"/>
    <w:pPr>
      <w:spacing w:after="0" w:line="360" w:lineRule="auto"/>
      <w:ind w:firstLine="0"/>
      <w:jc w:val="left"/>
    </w:pPr>
    <w:rPr>
      <w:sz w:val="22"/>
      <w:lang w:eastAsia="es-ES"/>
    </w:rPr>
  </w:style>
  <w:style w:type="paragraph" w:customStyle="1" w:styleId="Titulocuadro">
    <w:name w:val="Titulocuadro"/>
    <w:basedOn w:val="texto"/>
    <w:qFormat/>
    <w:rsid w:val="000C5F0A"/>
    <w:pPr>
      <w:tabs>
        <w:tab w:val="num" w:pos="284"/>
        <w:tab w:val="num" w:pos="720"/>
      </w:tabs>
    </w:pPr>
    <w:rPr>
      <w:i/>
      <w:szCs w:val="26"/>
      <w:lang w:val="es-ES" w:eastAsia="es-ES"/>
    </w:rPr>
  </w:style>
  <w:style w:type="paragraph" w:customStyle="1" w:styleId="txt">
    <w:name w:val="txt"/>
    <w:basedOn w:val="Normal"/>
    <w:rsid w:val="000C5F0A"/>
    <w:pPr>
      <w:spacing w:before="100" w:beforeAutospacing="1" w:after="100" w:afterAutospacing="1" w:line="300" w:lineRule="atLeast"/>
      <w:ind w:firstLine="0"/>
    </w:pPr>
    <w:rPr>
      <w:rFonts w:ascii="Arial" w:hAnsi="Arial" w:cs="Arial"/>
      <w:color w:val="122329"/>
      <w:sz w:val="17"/>
      <w:szCs w:val="17"/>
      <w:lang w:val="es-ES" w:eastAsia="es-ES"/>
    </w:rPr>
  </w:style>
  <w:style w:type="character" w:customStyle="1" w:styleId="txt1">
    <w:name w:val="txt1"/>
    <w:basedOn w:val="Fuentedeprrafopredeter"/>
    <w:rsid w:val="000C5F0A"/>
    <w:rPr>
      <w:rFonts w:ascii="Arial" w:hAnsi="Arial" w:cs="Arial" w:hint="default"/>
      <w:color w:val="122329"/>
      <w:sz w:val="17"/>
      <w:szCs w:val="17"/>
    </w:rPr>
  </w:style>
  <w:style w:type="character" w:customStyle="1" w:styleId="cuerpo1">
    <w:name w:val="cuerpo1"/>
    <w:basedOn w:val="Fuentedeprrafopredeter"/>
    <w:rsid w:val="000C5F0A"/>
    <w:rPr>
      <w:rFonts w:ascii="Arial" w:hAnsi="Arial" w:cs="Arial" w:hint="default"/>
      <w:sz w:val="18"/>
      <w:szCs w:val="18"/>
    </w:rPr>
  </w:style>
  <w:style w:type="table" w:customStyle="1" w:styleId="TableNormal">
    <w:name w:val="Table Normal"/>
    <w:uiPriority w:val="2"/>
    <w:semiHidden/>
    <w:unhideWhenUsed/>
    <w:qFormat/>
    <w:rsid w:val="000C5F0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rsid w:val="00572525"/>
    <w:pPr>
      <w:spacing w:after="120"/>
      <w:ind w:left="283"/>
    </w:pPr>
  </w:style>
  <w:style w:type="character" w:customStyle="1" w:styleId="SangradetextonormalCar">
    <w:name w:val="Sangría de texto normal Car"/>
    <w:basedOn w:val="Fuentedeprrafopredeter"/>
    <w:link w:val="Sangradetextonormal"/>
    <w:rsid w:val="00572525"/>
    <w:rPr>
      <w:lang w:val="es-ES_tradnl" w:eastAsia="en-US"/>
    </w:rPr>
  </w:style>
  <w:style w:type="paragraph" w:styleId="Sangra3detindependiente">
    <w:name w:val="Body Text Indent 3"/>
    <w:basedOn w:val="Normal"/>
    <w:link w:val="Sangra3detindependienteCar"/>
    <w:rsid w:val="007A0126"/>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7A0126"/>
    <w:rPr>
      <w:sz w:val="16"/>
      <w:szCs w:val="16"/>
      <w:lang w:val="es-ES_tradnl" w:eastAsia="en-US"/>
    </w:rPr>
  </w:style>
  <w:style w:type="table" w:customStyle="1" w:styleId="Tablaconcuadrcula3">
    <w:name w:val="Tabla con cuadrícula3"/>
    <w:basedOn w:val="Tablanormal"/>
    <w:next w:val="Tablaconcuadrcula"/>
    <w:uiPriority w:val="59"/>
    <w:rsid w:val="002D0F2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E7658"/>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0C5F0A"/>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0C5F0A"/>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0C5F0A"/>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0C5F0A"/>
    <w:pPr>
      <w:tabs>
        <w:tab w:val="right" w:leader="dot" w:pos="8930"/>
      </w:tabs>
      <w:spacing w:after="0"/>
      <w:ind w:left="378" w:firstLine="0"/>
      <w:jc w:val="left"/>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qFormat/>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0C5F0A"/>
    <w:rPr>
      <w:b/>
      <w:bCs/>
      <w:sz w:val="28"/>
      <w:szCs w:val="28"/>
      <w:lang w:val="es-ES_tradnl" w:eastAsia="en-US"/>
    </w:rPr>
  </w:style>
  <w:style w:type="character" w:customStyle="1" w:styleId="Ttulo7Car">
    <w:name w:val="Título 7 Car"/>
    <w:basedOn w:val="Fuentedeprrafopredeter"/>
    <w:link w:val="Ttulo7"/>
    <w:uiPriority w:val="99"/>
    <w:rsid w:val="000C5F0A"/>
    <w:rPr>
      <w:sz w:val="52"/>
    </w:rPr>
  </w:style>
  <w:style w:type="character" w:customStyle="1" w:styleId="atitulo2Car">
    <w:name w:val="atitulo2 Car"/>
    <w:link w:val="atitulo2"/>
    <w:rsid w:val="000C5F0A"/>
    <w:rPr>
      <w:rFonts w:ascii="Arial" w:hAnsi="Arial"/>
      <w:bCs/>
      <w:iCs/>
      <w:color w:val="000000"/>
      <w:spacing w:val="10"/>
      <w:kern w:val="28"/>
      <w:sz w:val="25"/>
      <w:szCs w:val="26"/>
      <w:lang w:val="es-ES_tradnl" w:eastAsia="en-US"/>
    </w:rPr>
  </w:style>
  <w:style w:type="paragraph" w:customStyle="1" w:styleId="Estndar">
    <w:name w:val="Estándar"/>
    <w:rsid w:val="000C5F0A"/>
    <w:pPr>
      <w:snapToGrid w:val="0"/>
    </w:pPr>
    <w:rPr>
      <w:rFonts w:ascii="CG Omega" w:hAnsi="CG Omega"/>
      <w:color w:val="000000"/>
      <w:sz w:val="22"/>
    </w:rPr>
  </w:style>
  <w:style w:type="paragraph" w:customStyle="1" w:styleId="tabla10">
    <w:name w:val="tabla10"/>
    <w:rsid w:val="000C5F0A"/>
    <w:pPr>
      <w:tabs>
        <w:tab w:val="left" w:pos="567"/>
        <w:tab w:val="left" w:pos="1134"/>
      </w:tabs>
      <w:snapToGrid w:val="0"/>
    </w:pPr>
    <w:rPr>
      <w:rFonts w:ascii="CG Times" w:hAnsi="CG Times"/>
      <w:color w:val="000000"/>
    </w:rPr>
  </w:style>
  <w:style w:type="paragraph" w:styleId="NormalWeb">
    <w:name w:val="Normal (Web)"/>
    <w:basedOn w:val="Normal"/>
    <w:uiPriority w:val="99"/>
    <w:rsid w:val="000C5F0A"/>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rsid w:val="000C5F0A"/>
  </w:style>
  <w:style w:type="character" w:customStyle="1" w:styleId="TextocomentarioCar">
    <w:name w:val="Texto comentario Car"/>
    <w:basedOn w:val="Fuentedeprrafopredeter"/>
    <w:link w:val="Textocomentario"/>
    <w:rsid w:val="000C5F0A"/>
    <w:rPr>
      <w:lang w:val="es-ES_tradnl" w:eastAsia="en-US"/>
    </w:rPr>
  </w:style>
  <w:style w:type="paragraph" w:styleId="Asuntodelcomentario">
    <w:name w:val="annotation subject"/>
    <w:basedOn w:val="Textocomentario"/>
    <w:next w:val="Textocomentario"/>
    <w:link w:val="AsuntodelcomentarioCar"/>
    <w:rsid w:val="000C5F0A"/>
    <w:rPr>
      <w:b/>
      <w:bCs/>
    </w:rPr>
  </w:style>
  <w:style w:type="character" w:customStyle="1" w:styleId="AsuntodelcomentarioCar">
    <w:name w:val="Asunto del comentario Car"/>
    <w:basedOn w:val="TextocomentarioCar"/>
    <w:link w:val="Asuntodelcomentario"/>
    <w:rsid w:val="000C5F0A"/>
    <w:rPr>
      <w:b/>
      <w:bCs/>
      <w:lang w:val="es-ES_tradnl" w:eastAsia="en-US"/>
    </w:rPr>
  </w:style>
  <w:style w:type="paragraph" w:styleId="Mapadeldocumento">
    <w:name w:val="Document Map"/>
    <w:basedOn w:val="Normal"/>
    <w:link w:val="MapadeldocumentoCar"/>
    <w:rsid w:val="000C5F0A"/>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0C5F0A"/>
    <w:rPr>
      <w:rFonts w:ascii="Tahoma" w:hAnsi="Tahoma" w:cs="Tahoma"/>
      <w:shd w:val="clear" w:color="auto" w:fill="000080"/>
      <w:lang w:val="es-ES_tradnl" w:eastAsia="en-US"/>
    </w:rPr>
  </w:style>
  <w:style w:type="paragraph" w:styleId="Textonotapie">
    <w:name w:val="footnote text"/>
    <w:basedOn w:val="Normal"/>
    <w:link w:val="TextonotapieCar"/>
    <w:uiPriority w:val="99"/>
    <w:rsid w:val="000C5F0A"/>
  </w:style>
  <w:style w:type="character" w:customStyle="1" w:styleId="TextonotapieCar">
    <w:name w:val="Texto nota pie Car"/>
    <w:basedOn w:val="Fuentedeprrafopredeter"/>
    <w:link w:val="Textonotapie"/>
    <w:uiPriority w:val="99"/>
    <w:rsid w:val="000C5F0A"/>
    <w:rPr>
      <w:lang w:val="es-ES_tradnl" w:eastAsia="en-US"/>
    </w:rPr>
  </w:style>
  <w:style w:type="character" w:styleId="Refdenotaalpie">
    <w:name w:val="footnote reference"/>
    <w:uiPriority w:val="99"/>
    <w:rsid w:val="000C5F0A"/>
    <w:rPr>
      <w:vertAlign w:val="superscript"/>
    </w:rPr>
  </w:style>
  <w:style w:type="paragraph" w:styleId="Prrafodelista">
    <w:name w:val="List Paragraph"/>
    <w:basedOn w:val="Normal"/>
    <w:uiPriority w:val="34"/>
    <w:qFormat/>
    <w:rsid w:val="000C5F0A"/>
    <w:pPr>
      <w:ind w:left="720"/>
      <w:contextualSpacing/>
    </w:pPr>
  </w:style>
  <w:style w:type="character" w:customStyle="1" w:styleId="PiedepginaCar">
    <w:name w:val="Pie de página Car"/>
    <w:basedOn w:val="Fuentedeprrafopredeter"/>
    <w:link w:val="Piedepgina"/>
    <w:uiPriority w:val="99"/>
    <w:rsid w:val="000C5F0A"/>
    <w:rPr>
      <w:spacing w:val="6"/>
      <w:lang w:val="es-ES_tradnl" w:eastAsia="en-US"/>
    </w:rPr>
  </w:style>
  <w:style w:type="character" w:customStyle="1" w:styleId="atitulo1Car">
    <w:name w:val="atitulo1 Car"/>
    <w:link w:val="atitulo1"/>
    <w:uiPriority w:val="99"/>
    <w:rsid w:val="000C5F0A"/>
    <w:rPr>
      <w:rFonts w:ascii="Arial" w:hAnsi="Arial"/>
      <w:b/>
      <w:color w:val="000000"/>
      <w:kern w:val="28"/>
      <w:sz w:val="25"/>
      <w:szCs w:val="26"/>
      <w:lang w:val="es-ES_tradnl" w:eastAsia="en-US"/>
    </w:rPr>
  </w:style>
  <w:style w:type="paragraph" w:customStyle="1" w:styleId="Default">
    <w:name w:val="Default"/>
    <w:rsid w:val="000C5F0A"/>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0C5F0A"/>
    <w:rPr>
      <w:color w:val="auto"/>
    </w:rPr>
  </w:style>
  <w:style w:type="paragraph" w:styleId="Textoindependiente">
    <w:name w:val="Body Text"/>
    <w:basedOn w:val="Normal"/>
    <w:link w:val="TextoindependienteCar"/>
    <w:rsid w:val="000C5F0A"/>
    <w:pPr>
      <w:spacing w:after="120"/>
      <w:ind w:firstLine="709"/>
    </w:pPr>
    <w:rPr>
      <w:rFonts w:ascii="Arial" w:hAnsi="Arial"/>
      <w:sz w:val="24"/>
      <w:lang w:eastAsia="es-ES"/>
    </w:rPr>
  </w:style>
  <w:style w:type="character" w:customStyle="1" w:styleId="TextoindependienteCar">
    <w:name w:val="Texto independiente Car"/>
    <w:basedOn w:val="Fuentedeprrafopredeter"/>
    <w:link w:val="Textoindependiente"/>
    <w:rsid w:val="000C5F0A"/>
    <w:rPr>
      <w:rFonts w:ascii="Arial" w:hAnsi="Arial"/>
      <w:sz w:val="24"/>
      <w:lang w:val="es-ES_tradnl"/>
    </w:rPr>
  </w:style>
  <w:style w:type="paragraph" w:customStyle="1" w:styleId="Pa7">
    <w:name w:val="Pa7"/>
    <w:basedOn w:val="Default"/>
    <w:next w:val="Default"/>
    <w:uiPriority w:val="99"/>
    <w:rsid w:val="000C5F0A"/>
    <w:pPr>
      <w:spacing w:line="201" w:lineRule="atLeast"/>
    </w:pPr>
    <w:rPr>
      <w:color w:val="auto"/>
    </w:rPr>
  </w:style>
  <w:style w:type="character" w:customStyle="1" w:styleId="corchete-llamada1">
    <w:name w:val="corchete-llamada1"/>
    <w:basedOn w:val="Fuentedeprrafopredeter"/>
    <w:rsid w:val="000C5F0A"/>
    <w:rPr>
      <w:vanish/>
      <w:webHidden w:val="0"/>
      <w:specVanish w:val="0"/>
    </w:rPr>
  </w:style>
  <w:style w:type="paragraph" w:customStyle="1" w:styleId="xl1">
    <w:name w:val="xl1"/>
    <w:basedOn w:val="Normal"/>
    <w:rsid w:val="000C5F0A"/>
    <w:pPr>
      <w:spacing w:after="240"/>
      <w:ind w:left="300" w:right="75" w:hanging="225"/>
    </w:pPr>
    <w:rPr>
      <w:sz w:val="24"/>
      <w:szCs w:val="24"/>
      <w:lang w:val="es-ES" w:eastAsia="es-ES"/>
    </w:rPr>
  </w:style>
  <w:style w:type="paragraph" w:customStyle="1" w:styleId="xl2">
    <w:name w:val="xl2"/>
    <w:basedOn w:val="Normal"/>
    <w:rsid w:val="000C5F0A"/>
    <w:pPr>
      <w:spacing w:after="240"/>
      <w:ind w:left="525" w:right="75" w:hanging="225"/>
    </w:pPr>
    <w:rPr>
      <w:sz w:val="24"/>
      <w:szCs w:val="24"/>
      <w:lang w:val="es-ES" w:eastAsia="es-ES"/>
    </w:rPr>
  </w:style>
  <w:style w:type="numbering" w:customStyle="1" w:styleId="Sinlista1">
    <w:name w:val="Sin lista1"/>
    <w:next w:val="Sinlista"/>
    <w:uiPriority w:val="99"/>
    <w:semiHidden/>
    <w:unhideWhenUsed/>
    <w:rsid w:val="000C5F0A"/>
  </w:style>
  <w:style w:type="table" w:styleId="Sombreadoclaro">
    <w:name w:val="Light Shading"/>
    <w:aliases w:val="tabla informe"/>
    <w:basedOn w:val="Tablanormal"/>
    <w:uiPriority w:val="60"/>
    <w:rsid w:val="000C5F0A"/>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0C5F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semiHidden/>
    <w:rsid w:val="000C5F0A"/>
    <w:rPr>
      <w:rFonts w:ascii="Tahoma" w:hAnsi="Tahoma" w:cs="Tahoma"/>
      <w:sz w:val="16"/>
      <w:szCs w:val="16"/>
      <w:lang w:val="es-ES_tradnl" w:eastAsia="en-US"/>
    </w:rPr>
  </w:style>
  <w:style w:type="character" w:customStyle="1" w:styleId="Ttulo1Car">
    <w:name w:val="Título 1 Car"/>
    <w:basedOn w:val="Fuentedeprrafopredeter"/>
    <w:link w:val="Ttulo1"/>
    <w:uiPriority w:val="99"/>
    <w:rsid w:val="000C5F0A"/>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0C5F0A"/>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0C5F0A"/>
    <w:rPr>
      <w:rFonts w:ascii="Arial" w:hAnsi="Arial" w:cs="Arial"/>
      <w:b/>
      <w:bCs/>
      <w:szCs w:val="26"/>
      <w:lang w:val="es-ES_tradnl" w:eastAsia="en-US"/>
    </w:rPr>
  </w:style>
  <w:style w:type="character" w:customStyle="1" w:styleId="Ttulo5Car">
    <w:name w:val="Título 5 Car"/>
    <w:basedOn w:val="Fuentedeprrafopredeter"/>
    <w:link w:val="Ttulo5"/>
    <w:uiPriority w:val="99"/>
    <w:rsid w:val="000C5F0A"/>
    <w:rPr>
      <w:b/>
      <w:sz w:val="28"/>
      <w:lang w:eastAsia="en-US"/>
    </w:rPr>
  </w:style>
  <w:style w:type="paragraph" w:styleId="Ttulo">
    <w:name w:val="Title"/>
    <w:basedOn w:val="Normal"/>
    <w:next w:val="Normal"/>
    <w:link w:val="TtuloCar"/>
    <w:uiPriority w:val="10"/>
    <w:qFormat/>
    <w:rsid w:val="000C5F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C5F0A"/>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0C5F0A"/>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0C5F0A"/>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22"/>
    <w:qFormat/>
    <w:rsid w:val="000C5F0A"/>
    <w:rPr>
      <w:rFonts w:cs="Times New Roman"/>
      <w:b/>
    </w:rPr>
  </w:style>
  <w:style w:type="character" w:styleId="nfasis">
    <w:name w:val="Emphasis"/>
    <w:basedOn w:val="Fuentedeprrafopredeter"/>
    <w:uiPriority w:val="20"/>
    <w:qFormat/>
    <w:rsid w:val="000C5F0A"/>
    <w:rPr>
      <w:rFonts w:cs="Times New Roman"/>
      <w:i/>
      <w:iCs/>
    </w:rPr>
  </w:style>
  <w:style w:type="paragraph" w:styleId="Cita">
    <w:name w:val="Quote"/>
    <w:basedOn w:val="Normal"/>
    <w:next w:val="Normal"/>
    <w:link w:val="CitaCar"/>
    <w:uiPriority w:val="29"/>
    <w:qFormat/>
    <w:rsid w:val="000C5F0A"/>
    <w:rPr>
      <w:i/>
      <w:iCs/>
      <w:color w:val="000000" w:themeColor="text1"/>
    </w:rPr>
  </w:style>
  <w:style w:type="character" w:customStyle="1" w:styleId="CitaCar">
    <w:name w:val="Cita Car"/>
    <w:basedOn w:val="Fuentedeprrafopredeter"/>
    <w:link w:val="Cita"/>
    <w:uiPriority w:val="29"/>
    <w:rsid w:val="000C5F0A"/>
    <w:rPr>
      <w:i/>
      <w:iCs/>
      <w:color w:val="000000" w:themeColor="text1"/>
      <w:lang w:val="es-ES_tradnl" w:eastAsia="en-US"/>
    </w:rPr>
  </w:style>
  <w:style w:type="character" w:styleId="nfasissutil">
    <w:name w:val="Subtle Emphasis"/>
    <w:basedOn w:val="Fuentedeprrafopredeter"/>
    <w:uiPriority w:val="19"/>
    <w:qFormat/>
    <w:rsid w:val="000C5F0A"/>
    <w:rPr>
      <w:i/>
      <w:iCs/>
      <w:color w:val="808080" w:themeColor="text1" w:themeTint="7F"/>
    </w:rPr>
  </w:style>
  <w:style w:type="character" w:styleId="nfasisintenso">
    <w:name w:val="Intense Emphasis"/>
    <w:basedOn w:val="Fuentedeprrafopredeter"/>
    <w:uiPriority w:val="21"/>
    <w:qFormat/>
    <w:rsid w:val="000C5F0A"/>
    <w:rPr>
      <w:b/>
      <w:bCs/>
      <w:i/>
      <w:iCs/>
      <w:color w:val="4F81BD" w:themeColor="accent1"/>
    </w:rPr>
  </w:style>
  <w:style w:type="character" w:styleId="Referenciasutil">
    <w:name w:val="Subtle Reference"/>
    <w:basedOn w:val="Fuentedeprrafopredeter"/>
    <w:uiPriority w:val="31"/>
    <w:qFormat/>
    <w:rsid w:val="000C5F0A"/>
    <w:rPr>
      <w:smallCaps/>
      <w:color w:val="C0504D" w:themeColor="accent2"/>
      <w:u w:val="single"/>
    </w:rPr>
  </w:style>
  <w:style w:type="character" w:styleId="Referenciaintensa">
    <w:name w:val="Intense Reference"/>
    <w:basedOn w:val="Fuentedeprrafopredeter"/>
    <w:uiPriority w:val="32"/>
    <w:qFormat/>
    <w:rsid w:val="000C5F0A"/>
    <w:rPr>
      <w:b/>
      <w:bCs/>
      <w:smallCaps/>
      <w:color w:val="C0504D" w:themeColor="accent2"/>
      <w:spacing w:val="5"/>
      <w:u w:val="single"/>
    </w:rPr>
  </w:style>
  <w:style w:type="character" w:customStyle="1" w:styleId="EncabezadoCar">
    <w:name w:val="Encabezado Car"/>
    <w:basedOn w:val="Fuentedeprrafopredeter"/>
    <w:link w:val="Encabezado"/>
    <w:uiPriority w:val="99"/>
    <w:rsid w:val="000C5F0A"/>
    <w:rPr>
      <w:bCs/>
      <w:caps/>
      <w:sz w:val="14"/>
      <w:szCs w:val="12"/>
      <w:lang w:val="es-ES_tradnl" w:eastAsia="en-US"/>
    </w:rPr>
  </w:style>
  <w:style w:type="paragraph" w:styleId="Textoindependiente3">
    <w:name w:val="Body Text 3"/>
    <w:basedOn w:val="Normal"/>
    <w:link w:val="Textoindependiente3Car"/>
    <w:rsid w:val="000C5F0A"/>
    <w:pPr>
      <w:spacing w:after="120"/>
    </w:pPr>
    <w:rPr>
      <w:sz w:val="16"/>
      <w:szCs w:val="16"/>
    </w:rPr>
  </w:style>
  <w:style w:type="character" w:customStyle="1" w:styleId="Textoindependiente3Car">
    <w:name w:val="Texto independiente 3 Car"/>
    <w:basedOn w:val="Fuentedeprrafopredeter"/>
    <w:link w:val="Textoindependiente3"/>
    <w:rsid w:val="000C5F0A"/>
    <w:rPr>
      <w:sz w:val="16"/>
      <w:szCs w:val="16"/>
      <w:lang w:val="es-ES_tradnl" w:eastAsia="en-US"/>
    </w:rPr>
  </w:style>
  <w:style w:type="paragraph" w:styleId="Textosinformato">
    <w:name w:val="Plain Text"/>
    <w:basedOn w:val="Normal"/>
    <w:link w:val="TextosinformatoCar"/>
    <w:uiPriority w:val="99"/>
    <w:unhideWhenUsed/>
    <w:rsid w:val="000C5F0A"/>
    <w:pPr>
      <w:spacing w:after="0"/>
      <w:ind w:firstLine="0"/>
      <w:jc w:val="left"/>
    </w:pPr>
    <w:rPr>
      <w:rFonts w:ascii="Calibri" w:eastAsiaTheme="minorHAnsi" w:hAnsi="Calibri" w:cstheme="minorBidi"/>
      <w:sz w:val="22"/>
      <w:szCs w:val="21"/>
      <w:lang w:val="es-ES"/>
    </w:rPr>
  </w:style>
  <w:style w:type="character" w:customStyle="1" w:styleId="TextosinformatoCar">
    <w:name w:val="Texto sin formato Car"/>
    <w:basedOn w:val="Fuentedeprrafopredeter"/>
    <w:link w:val="Textosinformato"/>
    <w:uiPriority w:val="99"/>
    <w:rsid w:val="000C5F0A"/>
    <w:rPr>
      <w:rFonts w:ascii="Calibri" w:eastAsiaTheme="minorHAnsi" w:hAnsi="Calibri" w:cstheme="minorBidi"/>
      <w:sz w:val="22"/>
      <w:szCs w:val="21"/>
      <w:lang w:eastAsia="en-US"/>
    </w:rPr>
  </w:style>
  <w:style w:type="paragraph" w:customStyle="1" w:styleId="cuatitul">
    <w:name w:val="cuatitul"/>
    <w:basedOn w:val="Normal"/>
    <w:rsid w:val="000C5F0A"/>
    <w:pPr>
      <w:spacing w:after="60"/>
      <w:ind w:firstLine="0"/>
      <w:jc w:val="center"/>
    </w:pPr>
    <w:rPr>
      <w:rFonts w:ascii="GillSans" w:hAnsi="GillSans"/>
      <w:sz w:val="22"/>
      <w:lang w:eastAsia="es-ES"/>
    </w:rPr>
  </w:style>
  <w:style w:type="paragraph" w:customStyle="1" w:styleId="Tabla">
    <w:name w:val="Tabla"/>
    <w:basedOn w:val="Normal"/>
    <w:rsid w:val="000C5F0A"/>
    <w:pPr>
      <w:spacing w:after="0"/>
      <w:ind w:firstLine="0"/>
    </w:pPr>
    <w:rPr>
      <w:rFonts w:ascii="Arial" w:hAnsi="Arial"/>
      <w:sz w:val="16"/>
      <w:lang w:eastAsia="es-ES"/>
    </w:rPr>
  </w:style>
  <w:style w:type="character" w:customStyle="1" w:styleId="atitulo3Car">
    <w:name w:val="atitulo3 Car"/>
    <w:link w:val="atitulo3"/>
    <w:rsid w:val="000C5F0A"/>
    <w:rPr>
      <w:rFonts w:ascii="Arial" w:hAnsi="Arial"/>
      <w:i/>
      <w:iCs/>
      <w:color w:val="000000"/>
      <w:spacing w:val="10"/>
      <w:kern w:val="28"/>
      <w:sz w:val="25"/>
      <w:szCs w:val="26"/>
      <w:lang w:val="es-ES_tradnl" w:eastAsia="en-US"/>
    </w:rPr>
  </w:style>
  <w:style w:type="table" w:customStyle="1" w:styleId="Tablaconcuadrcula2">
    <w:name w:val="Tabla con cuadrícula2"/>
    <w:basedOn w:val="Tablanormal"/>
    <w:next w:val="Tablaconcuadrcula"/>
    <w:uiPriority w:val="59"/>
    <w:rsid w:val="000C5F0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a1">
    <w:name w:val="xa1"/>
    <w:basedOn w:val="Normal"/>
    <w:rsid w:val="000C5F0A"/>
    <w:pPr>
      <w:spacing w:after="240"/>
      <w:ind w:left="300" w:right="75" w:firstLine="0"/>
    </w:pPr>
    <w:rPr>
      <w:sz w:val="24"/>
      <w:szCs w:val="24"/>
      <w:lang w:val="es-ES" w:eastAsia="es-ES"/>
    </w:rPr>
  </w:style>
  <w:style w:type="character" w:customStyle="1" w:styleId="st1">
    <w:name w:val="st1"/>
    <w:basedOn w:val="Fuentedeprrafopredeter"/>
    <w:rsid w:val="000C5F0A"/>
  </w:style>
  <w:style w:type="character" w:customStyle="1" w:styleId="apple-converted-space">
    <w:name w:val="apple-converted-space"/>
    <w:basedOn w:val="Fuentedeprrafopredeter"/>
    <w:rsid w:val="000C5F0A"/>
  </w:style>
  <w:style w:type="paragraph" w:customStyle="1" w:styleId="Retorno">
    <w:name w:val="Retorno"/>
    <w:basedOn w:val="Normal"/>
    <w:rsid w:val="000C5F0A"/>
    <w:pPr>
      <w:spacing w:after="0" w:line="360" w:lineRule="auto"/>
      <w:ind w:firstLine="0"/>
      <w:jc w:val="left"/>
    </w:pPr>
    <w:rPr>
      <w:sz w:val="22"/>
      <w:lang w:eastAsia="es-ES"/>
    </w:rPr>
  </w:style>
  <w:style w:type="paragraph" w:customStyle="1" w:styleId="Titulocuadro">
    <w:name w:val="Titulocuadro"/>
    <w:basedOn w:val="texto"/>
    <w:qFormat/>
    <w:rsid w:val="000C5F0A"/>
    <w:pPr>
      <w:tabs>
        <w:tab w:val="num" w:pos="284"/>
        <w:tab w:val="num" w:pos="720"/>
      </w:tabs>
    </w:pPr>
    <w:rPr>
      <w:i/>
      <w:szCs w:val="26"/>
      <w:lang w:val="es-ES" w:eastAsia="es-ES"/>
    </w:rPr>
  </w:style>
  <w:style w:type="paragraph" w:customStyle="1" w:styleId="txt">
    <w:name w:val="txt"/>
    <w:basedOn w:val="Normal"/>
    <w:rsid w:val="000C5F0A"/>
    <w:pPr>
      <w:spacing w:before="100" w:beforeAutospacing="1" w:after="100" w:afterAutospacing="1" w:line="300" w:lineRule="atLeast"/>
      <w:ind w:firstLine="0"/>
    </w:pPr>
    <w:rPr>
      <w:rFonts w:ascii="Arial" w:hAnsi="Arial" w:cs="Arial"/>
      <w:color w:val="122329"/>
      <w:sz w:val="17"/>
      <w:szCs w:val="17"/>
      <w:lang w:val="es-ES" w:eastAsia="es-ES"/>
    </w:rPr>
  </w:style>
  <w:style w:type="character" w:customStyle="1" w:styleId="txt1">
    <w:name w:val="txt1"/>
    <w:basedOn w:val="Fuentedeprrafopredeter"/>
    <w:rsid w:val="000C5F0A"/>
    <w:rPr>
      <w:rFonts w:ascii="Arial" w:hAnsi="Arial" w:cs="Arial" w:hint="default"/>
      <w:color w:val="122329"/>
      <w:sz w:val="17"/>
      <w:szCs w:val="17"/>
    </w:rPr>
  </w:style>
  <w:style w:type="character" w:customStyle="1" w:styleId="cuerpo1">
    <w:name w:val="cuerpo1"/>
    <w:basedOn w:val="Fuentedeprrafopredeter"/>
    <w:rsid w:val="000C5F0A"/>
    <w:rPr>
      <w:rFonts w:ascii="Arial" w:hAnsi="Arial" w:cs="Arial" w:hint="default"/>
      <w:sz w:val="18"/>
      <w:szCs w:val="18"/>
    </w:rPr>
  </w:style>
  <w:style w:type="table" w:customStyle="1" w:styleId="TableNormal">
    <w:name w:val="Table Normal"/>
    <w:uiPriority w:val="2"/>
    <w:semiHidden/>
    <w:unhideWhenUsed/>
    <w:qFormat/>
    <w:rsid w:val="000C5F0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rsid w:val="00572525"/>
    <w:pPr>
      <w:spacing w:after="120"/>
      <w:ind w:left="283"/>
    </w:pPr>
  </w:style>
  <w:style w:type="character" w:customStyle="1" w:styleId="SangradetextonormalCar">
    <w:name w:val="Sangría de texto normal Car"/>
    <w:basedOn w:val="Fuentedeprrafopredeter"/>
    <w:link w:val="Sangradetextonormal"/>
    <w:rsid w:val="00572525"/>
    <w:rPr>
      <w:lang w:val="es-ES_tradnl" w:eastAsia="en-US"/>
    </w:rPr>
  </w:style>
  <w:style w:type="paragraph" w:styleId="Sangra3detindependiente">
    <w:name w:val="Body Text Indent 3"/>
    <w:basedOn w:val="Normal"/>
    <w:link w:val="Sangra3detindependienteCar"/>
    <w:rsid w:val="007A0126"/>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7A0126"/>
    <w:rPr>
      <w:sz w:val="16"/>
      <w:szCs w:val="16"/>
      <w:lang w:val="es-ES_tradnl" w:eastAsia="en-US"/>
    </w:rPr>
  </w:style>
  <w:style w:type="table" w:customStyle="1" w:styleId="Tablaconcuadrcula3">
    <w:name w:val="Tabla con cuadrícula3"/>
    <w:basedOn w:val="Tablanormal"/>
    <w:next w:val="Tablaconcuadrcula"/>
    <w:uiPriority w:val="59"/>
    <w:rsid w:val="002D0F2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552">
      <w:bodyDiv w:val="1"/>
      <w:marLeft w:val="0"/>
      <w:marRight w:val="0"/>
      <w:marTop w:val="0"/>
      <w:marBottom w:val="0"/>
      <w:divBdr>
        <w:top w:val="none" w:sz="0" w:space="0" w:color="auto"/>
        <w:left w:val="none" w:sz="0" w:space="0" w:color="auto"/>
        <w:bottom w:val="none" w:sz="0" w:space="0" w:color="auto"/>
        <w:right w:val="none" w:sz="0" w:space="0" w:color="auto"/>
      </w:divBdr>
    </w:div>
    <w:div w:id="76950164">
      <w:bodyDiv w:val="1"/>
      <w:marLeft w:val="0"/>
      <w:marRight w:val="0"/>
      <w:marTop w:val="0"/>
      <w:marBottom w:val="0"/>
      <w:divBdr>
        <w:top w:val="none" w:sz="0" w:space="0" w:color="auto"/>
        <w:left w:val="none" w:sz="0" w:space="0" w:color="auto"/>
        <w:bottom w:val="none" w:sz="0" w:space="0" w:color="auto"/>
        <w:right w:val="none" w:sz="0" w:space="0" w:color="auto"/>
      </w:divBdr>
    </w:div>
    <w:div w:id="126777341">
      <w:bodyDiv w:val="1"/>
      <w:marLeft w:val="0"/>
      <w:marRight w:val="0"/>
      <w:marTop w:val="0"/>
      <w:marBottom w:val="0"/>
      <w:divBdr>
        <w:top w:val="none" w:sz="0" w:space="0" w:color="auto"/>
        <w:left w:val="none" w:sz="0" w:space="0" w:color="auto"/>
        <w:bottom w:val="none" w:sz="0" w:space="0" w:color="auto"/>
        <w:right w:val="none" w:sz="0" w:space="0" w:color="auto"/>
      </w:divBdr>
    </w:div>
    <w:div w:id="128321795">
      <w:bodyDiv w:val="1"/>
      <w:marLeft w:val="0"/>
      <w:marRight w:val="0"/>
      <w:marTop w:val="0"/>
      <w:marBottom w:val="0"/>
      <w:divBdr>
        <w:top w:val="none" w:sz="0" w:space="0" w:color="auto"/>
        <w:left w:val="none" w:sz="0" w:space="0" w:color="auto"/>
        <w:bottom w:val="none" w:sz="0" w:space="0" w:color="auto"/>
        <w:right w:val="none" w:sz="0" w:space="0" w:color="auto"/>
      </w:divBdr>
    </w:div>
    <w:div w:id="146556142">
      <w:bodyDiv w:val="1"/>
      <w:marLeft w:val="0"/>
      <w:marRight w:val="0"/>
      <w:marTop w:val="0"/>
      <w:marBottom w:val="0"/>
      <w:divBdr>
        <w:top w:val="none" w:sz="0" w:space="0" w:color="auto"/>
        <w:left w:val="none" w:sz="0" w:space="0" w:color="auto"/>
        <w:bottom w:val="none" w:sz="0" w:space="0" w:color="auto"/>
        <w:right w:val="none" w:sz="0" w:space="0" w:color="auto"/>
      </w:divBdr>
    </w:div>
    <w:div w:id="201946471">
      <w:bodyDiv w:val="1"/>
      <w:marLeft w:val="0"/>
      <w:marRight w:val="0"/>
      <w:marTop w:val="0"/>
      <w:marBottom w:val="0"/>
      <w:divBdr>
        <w:top w:val="none" w:sz="0" w:space="0" w:color="auto"/>
        <w:left w:val="none" w:sz="0" w:space="0" w:color="auto"/>
        <w:bottom w:val="none" w:sz="0" w:space="0" w:color="auto"/>
        <w:right w:val="none" w:sz="0" w:space="0" w:color="auto"/>
      </w:divBdr>
    </w:div>
    <w:div w:id="300501829">
      <w:bodyDiv w:val="1"/>
      <w:marLeft w:val="0"/>
      <w:marRight w:val="0"/>
      <w:marTop w:val="0"/>
      <w:marBottom w:val="0"/>
      <w:divBdr>
        <w:top w:val="none" w:sz="0" w:space="0" w:color="auto"/>
        <w:left w:val="none" w:sz="0" w:space="0" w:color="auto"/>
        <w:bottom w:val="none" w:sz="0" w:space="0" w:color="auto"/>
        <w:right w:val="none" w:sz="0" w:space="0" w:color="auto"/>
      </w:divBdr>
    </w:div>
    <w:div w:id="434445845">
      <w:bodyDiv w:val="1"/>
      <w:marLeft w:val="0"/>
      <w:marRight w:val="0"/>
      <w:marTop w:val="0"/>
      <w:marBottom w:val="0"/>
      <w:divBdr>
        <w:top w:val="none" w:sz="0" w:space="0" w:color="auto"/>
        <w:left w:val="none" w:sz="0" w:space="0" w:color="auto"/>
        <w:bottom w:val="none" w:sz="0" w:space="0" w:color="auto"/>
        <w:right w:val="none" w:sz="0" w:space="0" w:color="auto"/>
      </w:divBdr>
    </w:div>
    <w:div w:id="479031660">
      <w:bodyDiv w:val="1"/>
      <w:marLeft w:val="0"/>
      <w:marRight w:val="0"/>
      <w:marTop w:val="0"/>
      <w:marBottom w:val="0"/>
      <w:divBdr>
        <w:top w:val="none" w:sz="0" w:space="0" w:color="auto"/>
        <w:left w:val="none" w:sz="0" w:space="0" w:color="auto"/>
        <w:bottom w:val="none" w:sz="0" w:space="0" w:color="auto"/>
        <w:right w:val="none" w:sz="0" w:space="0" w:color="auto"/>
      </w:divBdr>
    </w:div>
    <w:div w:id="484592522">
      <w:bodyDiv w:val="1"/>
      <w:marLeft w:val="0"/>
      <w:marRight w:val="0"/>
      <w:marTop w:val="0"/>
      <w:marBottom w:val="0"/>
      <w:divBdr>
        <w:top w:val="none" w:sz="0" w:space="0" w:color="auto"/>
        <w:left w:val="none" w:sz="0" w:space="0" w:color="auto"/>
        <w:bottom w:val="none" w:sz="0" w:space="0" w:color="auto"/>
        <w:right w:val="none" w:sz="0" w:space="0" w:color="auto"/>
      </w:divBdr>
    </w:div>
    <w:div w:id="501168747">
      <w:bodyDiv w:val="1"/>
      <w:marLeft w:val="0"/>
      <w:marRight w:val="0"/>
      <w:marTop w:val="0"/>
      <w:marBottom w:val="0"/>
      <w:divBdr>
        <w:top w:val="none" w:sz="0" w:space="0" w:color="auto"/>
        <w:left w:val="none" w:sz="0" w:space="0" w:color="auto"/>
        <w:bottom w:val="none" w:sz="0" w:space="0" w:color="auto"/>
        <w:right w:val="none" w:sz="0" w:space="0" w:color="auto"/>
      </w:divBdr>
    </w:div>
    <w:div w:id="624431685">
      <w:bodyDiv w:val="1"/>
      <w:marLeft w:val="0"/>
      <w:marRight w:val="0"/>
      <w:marTop w:val="0"/>
      <w:marBottom w:val="0"/>
      <w:divBdr>
        <w:top w:val="none" w:sz="0" w:space="0" w:color="auto"/>
        <w:left w:val="none" w:sz="0" w:space="0" w:color="auto"/>
        <w:bottom w:val="none" w:sz="0" w:space="0" w:color="auto"/>
        <w:right w:val="none" w:sz="0" w:space="0" w:color="auto"/>
      </w:divBdr>
    </w:div>
    <w:div w:id="651061279">
      <w:bodyDiv w:val="1"/>
      <w:marLeft w:val="0"/>
      <w:marRight w:val="0"/>
      <w:marTop w:val="0"/>
      <w:marBottom w:val="0"/>
      <w:divBdr>
        <w:top w:val="none" w:sz="0" w:space="0" w:color="auto"/>
        <w:left w:val="none" w:sz="0" w:space="0" w:color="auto"/>
        <w:bottom w:val="none" w:sz="0" w:space="0" w:color="auto"/>
        <w:right w:val="none" w:sz="0" w:space="0" w:color="auto"/>
      </w:divBdr>
    </w:div>
    <w:div w:id="748700581">
      <w:bodyDiv w:val="1"/>
      <w:marLeft w:val="0"/>
      <w:marRight w:val="0"/>
      <w:marTop w:val="0"/>
      <w:marBottom w:val="0"/>
      <w:divBdr>
        <w:top w:val="none" w:sz="0" w:space="0" w:color="auto"/>
        <w:left w:val="none" w:sz="0" w:space="0" w:color="auto"/>
        <w:bottom w:val="none" w:sz="0" w:space="0" w:color="auto"/>
        <w:right w:val="none" w:sz="0" w:space="0" w:color="auto"/>
      </w:divBdr>
    </w:div>
    <w:div w:id="926958052">
      <w:bodyDiv w:val="1"/>
      <w:marLeft w:val="0"/>
      <w:marRight w:val="0"/>
      <w:marTop w:val="0"/>
      <w:marBottom w:val="0"/>
      <w:divBdr>
        <w:top w:val="none" w:sz="0" w:space="0" w:color="auto"/>
        <w:left w:val="none" w:sz="0" w:space="0" w:color="auto"/>
        <w:bottom w:val="none" w:sz="0" w:space="0" w:color="auto"/>
        <w:right w:val="none" w:sz="0" w:space="0" w:color="auto"/>
      </w:divBdr>
    </w:div>
    <w:div w:id="927425704">
      <w:bodyDiv w:val="1"/>
      <w:marLeft w:val="0"/>
      <w:marRight w:val="0"/>
      <w:marTop w:val="0"/>
      <w:marBottom w:val="0"/>
      <w:divBdr>
        <w:top w:val="none" w:sz="0" w:space="0" w:color="auto"/>
        <w:left w:val="none" w:sz="0" w:space="0" w:color="auto"/>
        <w:bottom w:val="none" w:sz="0" w:space="0" w:color="auto"/>
        <w:right w:val="none" w:sz="0" w:space="0" w:color="auto"/>
      </w:divBdr>
    </w:div>
    <w:div w:id="1042677842">
      <w:bodyDiv w:val="1"/>
      <w:marLeft w:val="0"/>
      <w:marRight w:val="0"/>
      <w:marTop w:val="0"/>
      <w:marBottom w:val="0"/>
      <w:divBdr>
        <w:top w:val="none" w:sz="0" w:space="0" w:color="auto"/>
        <w:left w:val="none" w:sz="0" w:space="0" w:color="auto"/>
        <w:bottom w:val="none" w:sz="0" w:space="0" w:color="auto"/>
        <w:right w:val="none" w:sz="0" w:space="0" w:color="auto"/>
      </w:divBdr>
    </w:div>
    <w:div w:id="1073891939">
      <w:bodyDiv w:val="1"/>
      <w:marLeft w:val="0"/>
      <w:marRight w:val="0"/>
      <w:marTop w:val="0"/>
      <w:marBottom w:val="0"/>
      <w:divBdr>
        <w:top w:val="none" w:sz="0" w:space="0" w:color="auto"/>
        <w:left w:val="none" w:sz="0" w:space="0" w:color="auto"/>
        <w:bottom w:val="none" w:sz="0" w:space="0" w:color="auto"/>
        <w:right w:val="none" w:sz="0" w:space="0" w:color="auto"/>
      </w:divBdr>
    </w:div>
    <w:div w:id="1137258432">
      <w:bodyDiv w:val="1"/>
      <w:marLeft w:val="0"/>
      <w:marRight w:val="0"/>
      <w:marTop w:val="0"/>
      <w:marBottom w:val="0"/>
      <w:divBdr>
        <w:top w:val="none" w:sz="0" w:space="0" w:color="auto"/>
        <w:left w:val="none" w:sz="0" w:space="0" w:color="auto"/>
        <w:bottom w:val="none" w:sz="0" w:space="0" w:color="auto"/>
        <w:right w:val="none" w:sz="0" w:space="0" w:color="auto"/>
      </w:divBdr>
    </w:div>
    <w:div w:id="1209683841">
      <w:bodyDiv w:val="1"/>
      <w:marLeft w:val="0"/>
      <w:marRight w:val="0"/>
      <w:marTop w:val="0"/>
      <w:marBottom w:val="0"/>
      <w:divBdr>
        <w:top w:val="none" w:sz="0" w:space="0" w:color="auto"/>
        <w:left w:val="none" w:sz="0" w:space="0" w:color="auto"/>
        <w:bottom w:val="none" w:sz="0" w:space="0" w:color="auto"/>
        <w:right w:val="none" w:sz="0" w:space="0" w:color="auto"/>
      </w:divBdr>
    </w:div>
    <w:div w:id="1217349491">
      <w:bodyDiv w:val="1"/>
      <w:marLeft w:val="0"/>
      <w:marRight w:val="0"/>
      <w:marTop w:val="0"/>
      <w:marBottom w:val="0"/>
      <w:divBdr>
        <w:top w:val="none" w:sz="0" w:space="0" w:color="auto"/>
        <w:left w:val="none" w:sz="0" w:space="0" w:color="auto"/>
        <w:bottom w:val="none" w:sz="0" w:space="0" w:color="auto"/>
        <w:right w:val="none" w:sz="0" w:space="0" w:color="auto"/>
      </w:divBdr>
    </w:div>
    <w:div w:id="1276333040">
      <w:bodyDiv w:val="1"/>
      <w:marLeft w:val="0"/>
      <w:marRight w:val="0"/>
      <w:marTop w:val="0"/>
      <w:marBottom w:val="0"/>
      <w:divBdr>
        <w:top w:val="none" w:sz="0" w:space="0" w:color="auto"/>
        <w:left w:val="none" w:sz="0" w:space="0" w:color="auto"/>
        <w:bottom w:val="none" w:sz="0" w:space="0" w:color="auto"/>
        <w:right w:val="none" w:sz="0" w:space="0" w:color="auto"/>
      </w:divBdr>
    </w:div>
    <w:div w:id="1283729738">
      <w:bodyDiv w:val="1"/>
      <w:marLeft w:val="0"/>
      <w:marRight w:val="0"/>
      <w:marTop w:val="0"/>
      <w:marBottom w:val="0"/>
      <w:divBdr>
        <w:top w:val="none" w:sz="0" w:space="0" w:color="auto"/>
        <w:left w:val="none" w:sz="0" w:space="0" w:color="auto"/>
        <w:bottom w:val="none" w:sz="0" w:space="0" w:color="auto"/>
        <w:right w:val="none" w:sz="0" w:space="0" w:color="auto"/>
      </w:divBdr>
    </w:div>
    <w:div w:id="1289244448">
      <w:bodyDiv w:val="1"/>
      <w:marLeft w:val="0"/>
      <w:marRight w:val="0"/>
      <w:marTop w:val="0"/>
      <w:marBottom w:val="0"/>
      <w:divBdr>
        <w:top w:val="none" w:sz="0" w:space="0" w:color="auto"/>
        <w:left w:val="none" w:sz="0" w:space="0" w:color="auto"/>
        <w:bottom w:val="none" w:sz="0" w:space="0" w:color="auto"/>
        <w:right w:val="none" w:sz="0" w:space="0" w:color="auto"/>
      </w:divBdr>
    </w:div>
    <w:div w:id="1437748258">
      <w:bodyDiv w:val="1"/>
      <w:marLeft w:val="0"/>
      <w:marRight w:val="0"/>
      <w:marTop w:val="0"/>
      <w:marBottom w:val="0"/>
      <w:divBdr>
        <w:top w:val="none" w:sz="0" w:space="0" w:color="auto"/>
        <w:left w:val="none" w:sz="0" w:space="0" w:color="auto"/>
        <w:bottom w:val="none" w:sz="0" w:space="0" w:color="auto"/>
        <w:right w:val="none" w:sz="0" w:space="0" w:color="auto"/>
      </w:divBdr>
    </w:div>
    <w:div w:id="1480998840">
      <w:bodyDiv w:val="1"/>
      <w:marLeft w:val="0"/>
      <w:marRight w:val="0"/>
      <w:marTop w:val="0"/>
      <w:marBottom w:val="0"/>
      <w:divBdr>
        <w:top w:val="none" w:sz="0" w:space="0" w:color="auto"/>
        <w:left w:val="none" w:sz="0" w:space="0" w:color="auto"/>
        <w:bottom w:val="none" w:sz="0" w:space="0" w:color="auto"/>
        <w:right w:val="none" w:sz="0" w:space="0" w:color="auto"/>
      </w:divBdr>
    </w:div>
    <w:div w:id="1513448614">
      <w:bodyDiv w:val="1"/>
      <w:marLeft w:val="0"/>
      <w:marRight w:val="0"/>
      <w:marTop w:val="0"/>
      <w:marBottom w:val="0"/>
      <w:divBdr>
        <w:top w:val="none" w:sz="0" w:space="0" w:color="auto"/>
        <w:left w:val="none" w:sz="0" w:space="0" w:color="auto"/>
        <w:bottom w:val="none" w:sz="0" w:space="0" w:color="auto"/>
        <w:right w:val="none" w:sz="0" w:space="0" w:color="auto"/>
      </w:divBdr>
    </w:div>
    <w:div w:id="1631085531">
      <w:bodyDiv w:val="1"/>
      <w:marLeft w:val="0"/>
      <w:marRight w:val="0"/>
      <w:marTop w:val="0"/>
      <w:marBottom w:val="0"/>
      <w:divBdr>
        <w:top w:val="none" w:sz="0" w:space="0" w:color="auto"/>
        <w:left w:val="none" w:sz="0" w:space="0" w:color="auto"/>
        <w:bottom w:val="none" w:sz="0" w:space="0" w:color="auto"/>
        <w:right w:val="none" w:sz="0" w:space="0" w:color="auto"/>
      </w:divBdr>
    </w:div>
    <w:div w:id="1677221937">
      <w:bodyDiv w:val="1"/>
      <w:marLeft w:val="0"/>
      <w:marRight w:val="0"/>
      <w:marTop w:val="0"/>
      <w:marBottom w:val="0"/>
      <w:divBdr>
        <w:top w:val="none" w:sz="0" w:space="0" w:color="auto"/>
        <w:left w:val="none" w:sz="0" w:space="0" w:color="auto"/>
        <w:bottom w:val="none" w:sz="0" w:space="0" w:color="auto"/>
        <w:right w:val="none" w:sz="0" w:space="0" w:color="auto"/>
      </w:divBdr>
    </w:div>
    <w:div w:id="1742018902">
      <w:bodyDiv w:val="1"/>
      <w:marLeft w:val="0"/>
      <w:marRight w:val="0"/>
      <w:marTop w:val="0"/>
      <w:marBottom w:val="0"/>
      <w:divBdr>
        <w:top w:val="none" w:sz="0" w:space="0" w:color="auto"/>
        <w:left w:val="none" w:sz="0" w:space="0" w:color="auto"/>
        <w:bottom w:val="none" w:sz="0" w:space="0" w:color="auto"/>
        <w:right w:val="none" w:sz="0" w:space="0" w:color="auto"/>
      </w:divBdr>
    </w:div>
    <w:div w:id="1764253457">
      <w:bodyDiv w:val="1"/>
      <w:marLeft w:val="0"/>
      <w:marRight w:val="0"/>
      <w:marTop w:val="0"/>
      <w:marBottom w:val="0"/>
      <w:divBdr>
        <w:top w:val="none" w:sz="0" w:space="0" w:color="auto"/>
        <w:left w:val="none" w:sz="0" w:space="0" w:color="auto"/>
        <w:bottom w:val="none" w:sz="0" w:space="0" w:color="auto"/>
        <w:right w:val="none" w:sz="0" w:space="0" w:color="auto"/>
      </w:divBdr>
    </w:div>
    <w:div w:id="1770000345">
      <w:bodyDiv w:val="1"/>
      <w:marLeft w:val="0"/>
      <w:marRight w:val="0"/>
      <w:marTop w:val="0"/>
      <w:marBottom w:val="0"/>
      <w:divBdr>
        <w:top w:val="none" w:sz="0" w:space="0" w:color="auto"/>
        <w:left w:val="none" w:sz="0" w:space="0" w:color="auto"/>
        <w:bottom w:val="none" w:sz="0" w:space="0" w:color="auto"/>
        <w:right w:val="none" w:sz="0" w:space="0" w:color="auto"/>
      </w:divBdr>
    </w:div>
    <w:div w:id="1812819464">
      <w:bodyDiv w:val="1"/>
      <w:marLeft w:val="0"/>
      <w:marRight w:val="0"/>
      <w:marTop w:val="0"/>
      <w:marBottom w:val="0"/>
      <w:divBdr>
        <w:top w:val="none" w:sz="0" w:space="0" w:color="auto"/>
        <w:left w:val="none" w:sz="0" w:space="0" w:color="auto"/>
        <w:bottom w:val="none" w:sz="0" w:space="0" w:color="auto"/>
        <w:right w:val="none" w:sz="0" w:space="0" w:color="auto"/>
      </w:divBdr>
    </w:div>
    <w:div w:id="1907565668">
      <w:bodyDiv w:val="1"/>
      <w:marLeft w:val="0"/>
      <w:marRight w:val="0"/>
      <w:marTop w:val="0"/>
      <w:marBottom w:val="0"/>
      <w:divBdr>
        <w:top w:val="none" w:sz="0" w:space="0" w:color="auto"/>
        <w:left w:val="none" w:sz="0" w:space="0" w:color="auto"/>
        <w:bottom w:val="none" w:sz="0" w:space="0" w:color="auto"/>
        <w:right w:val="none" w:sz="0" w:space="0" w:color="auto"/>
      </w:divBdr>
    </w:div>
    <w:div w:id="1914273651">
      <w:bodyDiv w:val="1"/>
      <w:marLeft w:val="0"/>
      <w:marRight w:val="0"/>
      <w:marTop w:val="0"/>
      <w:marBottom w:val="0"/>
      <w:divBdr>
        <w:top w:val="none" w:sz="0" w:space="0" w:color="auto"/>
        <w:left w:val="none" w:sz="0" w:space="0" w:color="auto"/>
        <w:bottom w:val="none" w:sz="0" w:space="0" w:color="auto"/>
        <w:right w:val="none" w:sz="0" w:space="0" w:color="auto"/>
      </w:divBdr>
    </w:div>
    <w:div w:id="2002661542">
      <w:bodyDiv w:val="1"/>
      <w:marLeft w:val="0"/>
      <w:marRight w:val="0"/>
      <w:marTop w:val="0"/>
      <w:marBottom w:val="0"/>
      <w:divBdr>
        <w:top w:val="none" w:sz="0" w:space="0" w:color="auto"/>
        <w:left w:val="none" w:sz="0" w:space="0" w:color="auto"/>
        <w:bottom w:val="none" w:sz="0" w:space="0" w:color="auto"/>
        <w:right w:val="none" w:sz="0" w:space="0" w:color="auto"/>
      </w:divBdr>
    </w:div>
    <w:div w:id="200535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Nacho%202018\Ciudad%20del%20Transporte\Informe%20CTP\Gr&#225;ficos%20Inform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Nacho%202018\Ciudad%20del%20Transporte\Informe%20CTP\Gr&#225;ficos%20Inform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cat>
            <c:strRef>
              <c:f>Hoja1!$A$16:$A$19</c:f>
              <c:strCache>
                <c:ptCount val="4"/>
                <c:pt idx="0">
                  <c:v>Expropiaciones</c:v>
                </c:pt>
                <c:pt idx="1">
                  <c:v>Infraestructuras externas</c:v>
                </c:pt>
                <c:pt idx="2">
                  <c:v>Aquisición inmuebles</c:v>
                </c:pt>
                <c:pt idx="3">
                  <c:v>Sistemas generales y otros.</c:v>
                </c:pt>
              </c:strCache>
            </c:strRef>
          </c:cat>
          <c:val>
            <c:numRef>
              <c:f>Hoja1!$B$16:$B$19</c:f>
              <c:numCache>
                <c:formatCode>0</c:formatCode>
                <c:ptCount val="4"/>
                <c:pt idx="0">
                  <c:v>81.108905257124619</c:v>
                </c:pt>
                <c:pt idx="1">
                  <c:v>9.8113045927897282</c:v>
                </c:pt>
                <c:pt idx="2">
                  <c:v>6.191880473389098</c:v>
                </c:pt>
                <c:pt idx="3">
                  <c:v>2.8879096766965575</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cat>
            <c:strRef>
              <c:f>Hoja1!$A$48:$A$50</c:f>
              <c:strCache>
                <c:ptCount val="3"/>
                <c:pt idx="0">
                  <c:v>Ingresos de la gestión</c:v>
                </c:pt>
                <c:pt idx="1">
                  <c:v>Subvenciones GN</c:v>
                </c:pt>
                <c:pt idx="2">
                  <c:v>Ampliaciones y aport SPF</c:v>
                </c:pt>
              </c:strCache>
            </c:strRef>
          </c:cat>
          <c:val>
            <c:numRef>
              <c:f>Hoja1!$B$48:$B$50</c:f>
              <c:numCache>
                <c:formatCode>0</c:formatCode>
                <c:ptCount val="3"/>
                <c:pt idx="0">
                  <c:v>29.130380833829854</c:v>
                </c:pt>
                <c:pt idx="1">
                  <c:v>53.982728873243289</c:v>
                </c:pt>
                <c:pt idx="2">
                  <c:v>16.886890292926861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076AA-0358-476C-8247-DF7CA483F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19133</Words>
  <Characters>105233</Characters>
  <Application>Microsoft Office Word</Application>
  <DocSecurity>0</DocSecurity>
  <Lines>876</Lines>
  <Paragraphs>248</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124118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Elizalde Del Rincón, Teresa (Cámara de Comptos)</dc:creator>
  <cp:lastModifiedBy>De Santiago, Iñaki</cp:lastModifiedBy>
  <cp:revision>2</cp:revision>
  <cp:lastPrinted>2018-05-31T10:12:00Z</cp:lastPrinted>
  <dcterms:created xsi:type="dcterms:W3CDTF">2018-07-17T07:51:00Z</dcterms:created>
  <dcterms:modified xsi:type="dcterms:W3CDTF">2018-07-17T07:51:00Z</dcterms:modified>
</cp:coreProperties>
</file>