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importes y recursos con los que ha colaborado el Gobierno de Navarra o cualquiera de sus empresas públicas con la Fundación Arquitectura y Sociedad,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En el transcurso del V Congreso Internacional de Arquitectura y Sociedad, el Sr. Mangado tuvo palabras de agradecimiento para el Gobierno de Navarra, “más concretamente para Nasuvinsa” que a partir del 1 de junio pasó a formar parte del patronato de la Fundación. En palabras de Mangado “su apoyo representa el reconocimiento tácito y expreso del valor social de la Fundación Arquitectura y Sociedad”.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Primero.- Los importes y recursos con los que, año a año, ha colaborado el Gobierno de Navarra o cualquiera de sus empresas públicas con la Fundación Arquitectura y Sociedad. </w:t>
      </w:r>
    </w:p>
    <w:p>
      <w:pPr>
        <w:pStyle w:val="0"/>
        <w:suppressAutoHyphens w:val="false"/>
        <w:rPr>
          <w:rStyle w:val="1"/>
        </w:rPr>
      </w:pPr>
      <w:r>
        <w:rPr>
          <w:rStyle w:val="1"/>
        </w:rPr>
        <w:t xml:space="preserve">Segundo.- Una relación de todos los eventos en los que el Gobierno de Navarra ha participado, colaborado o financiado con indicación de los objetivos de interés público conseguidos en cada uno de ellos. </w:t>
      </w:r>
    </w:p>
    <w:p>
      <w:pPr>
        <w:pStyle w:val="0"/>
        <w:suppressAutoHyphens w:val="false"/>
        <w:rPr>
          <w:rStyle w:val="1"/>
        </w:rPr>
      </w:pPr>
      <w:r>
        <w:rPr>
          <w:rStyle w:val="1"/>
        </w:rPr>
        <w:t xml:space="preserve">Tercero.- Una especificación de las obligaciones para el Gobierno de Navarra o cualquiera de sus empresas públicas dimanantes de la ostentación de la condición de Patrono. </w:t>
      </w:r>
    </w:p>
    <w:p>
      <w:pPr>
        <w:pStyle w:val="0"/>
        <w:suppressAutoHyphens w:val="false"/>
        <w:rPr>
          <w:rStyle w:val="1"/>
        </w:rPr>
      </w:pPr>
      <w:r>
        <w:rPr>
          <w:rStyle w:val="1"/>
        </w:rPr>
        <w:t xml:space="preserve">Cuarto.- La remisión del acta de la sesión de Nasuvinsa en la que se acuerda nombrar a un Patrono en dicha fundación. </w:t>
      </w:r>
    </w:p>
    <w:p>
      <w:pPr>
        <w:pStyle w:val="0"/>
        <w:suppressAutoHyphens w:val="false"/>
        <w:rPr>
          <w:rStyle w:val="1"/>
        </w:rPr>
      </w:pPr>
      <w:r>
        <w:rPr>
          <w:rStyle w:val="1"/>
        </w:rPr>
        <w:t xml:space="preserve">En Iruña, a 28 de junio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