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22 de octubre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consecuencias del Auto del Tribunal Supremo 5956/2017, de 4 de abril de 2018, por el que se inadmite el Recurso de Casación interpuesto por el Gobierno de Navarra contra la sentencia número 337/2017, de 5 de julio, de la Sala de lo Contencioso Administrativo del Tribunal Superior de Justicia de Navarra,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Educación.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día 22 de octubre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del Grupo parlamentario de Unión del Pueblo Navarro (UPN), de conformidad con lo establecido en el reglamento de la Cámara, solicita respuesta a la siguiente pregunta para su contestación oral en Comisión: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¿Cuáles son las consecuencias del Auto del Tribunal Supremo 5956/2017, de 4 de abril de 2018, por el que se inadmite el Recurso de Casación interpuesto por el Gobierno de Navarra contra la sentencia número 337/2017, de 5 de julio, de la Sala de lo Contencioso Administrativo del Tribunal Superior de Justicia de Navarra, que anulaba la supresión de la lista preferente en las contrataciones de interinos en el Departamento de Educación?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Corella, a 15 de octubre de 2018 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El Parlamentario Foral: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