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32" w:rsidRPr="00204979" w:rsidRDefault="00FA495F" w:rsidP="005034A6">
      <w:pPr>
        <w:pStyle w:val="EstiloPortada"/>
        <w:spacing w:after="180"/>
        <w:ind w:left="3752" w:right="-57"/>
      </w:pPr>
      <w:r>
        <w:rPr>
          <w:rFonts w:ascii="Arial" w:hAnsi="Arial"/>
          <w:noProof/>
          <w:color w:val="808080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65297" wp14:editId="701B31BC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A1A" w:rsidRPr="003A7956" w:rsidRDefault="00BF1A1A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CAMARA DE</w:t>
                            </w:r>
                          </w:p>
                          <w:p w:rsidR="00BF1A1A" w:rsidRPr="003A7956" w:rsidRDefault="00BF1A1A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COMPTOS</w:t>
                            </w:r>
                          </w:p>
                          <w:p w:rsidR="00BF1A1A" w:rsidRPr="003A7956" w:rsidRDefault="00BF1A1A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 NAVARRA</w:t>
                            </w:r>
                          </w:p>
                          <w:p w:rsidR="00BF1A1A" w:rsidRPr="003A7956" w:rsidRDefault="00BF1A1A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NAFARROAKO</w:t>
                            </w:r>
                          </w:p>
                          <w:p w:rsidR="00BF1A1A" w:rsidRPr="003A7956" w:rsidRDefault="00BF1A1A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KONTUEN</w:t>
                            </w:r>
                          </w:p>
                          <w:p w:rsidR="00BF1A1A" w:rsidRPr="003A7956" w:rsidRDefault="00BF1A1A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GANBERA</w:t>
                            </w:r>
                          </w:p>
                          <w:p w:rsidR="00BF1A1A" w:rsidRPr="002C7026" w:rsidRDefault="00BF1A1A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BF1A1A" w:rsidRPr="003A7956" w:rsidRDefault="00BF1A1A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CAMARA DE</w:t>
                      </w:r>
                    </w:p>
                    <w:p w:rsidR="00BF1A1A" w:rsidRPr="003A7956" w:rsidRDefault="00BF1A1A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COMPTOS</w:t>
                      </w:r>
                    </w:p>
                    <w:p w:rsidR="00BF1A1A" w:rsidRPr="003A7956" w:rsidRDefault="00BF1A1A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 NAVARRA</w:t>
                      </w:r>
                    </w:p>
                    <w:p w:rsidR="00BF1A1A" w:rsidRPr="003A7956" w:rsidRDefault="00BF1A1A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NAFARROAKO</w:t>
                      </w:r>
                    </w:p>
                    <w:p w:rsidR="00BF1A1A" w:rsidRPr="003A7956" w:rsidRDefault="00BF1A1A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KONTUEN</w:t>
                      </w:r>
                    </w:p>
                    <w:p w:rsidR="00BF1A1A" w:rsidRPr="003A7956" w:rsidRDefault="00BF1A1A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GANBERA</w:t>
                      </w:r>
                    </w:p>
                    <w:p w:rsidR="00BF1A1A" w:rsidRPr="002C7026" w:rsidRDefault="00BF1A1A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A32" w:rsidRPr="003A7131" w:rsidRDefault="00AB4A69" w:rsidP="005034A6">
      <w:pPr>
        <w:pStyle w:val="EstiloPortada"/>
        <w:spacing w:after="160"/>
        <w:ind w:left="3710" w:right="-1049"/>
        <w:rPr>
          <w:sz w:val="48"/>
          <w:szCs w:val="48"/>
        </w:rPr>
      </w:pPr>
      <w:r>
        <w:rPr>
          <w:sz w:val="48"/>
          <w:szCs w:val="48"/>
        </w:rPr>
        <w:t>Nafarroako toki sektore p</w:t>
      </w:r>
      <w:r>
        <w:rPr>
          <w:sz w:val="48"/>
          <w:szCs w:val="48"/>
        </w:rPr>
        <w:t>u</w:t>
      </w:r>
      <w:r>
        <w:rPr>
          <w:sz w:val="48"/>
          <w:szCs w:val="48"/>
        </w:rPr>
        <w:t>blikoaren berregituratzea</w:t>
      </w:r>
    </w:p>
    <w:p w:rsidR="00737513" w:rsidRPr="003A7131" w:rsidRDefault="002531B9" w:rsidP="005034A6">
      <w:pPr>
        <w:pStyle w:val="EstiloPortada"/>
        <w:ind w:left="3710"/>
        <w:rPr>
          <w:sz w:val="36"/>
          <w:szCs w:val="36"/>
        </w:rPr>
      </w:pPr>
      <w:r>
        <w:rPr>
          <w:sz w:val="36"/>
          <w:szCs w:val="36"/>
        </w:rPr>
        <w:t>2010-2016 ekitaldiak</w:t>
      </w: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105D38" w:rsidRDefault="00105D38" w:rsidP="009936FC">
      <w:pPr>
        <w:pStyle w:val="Fechaportada"/>
      </w:pPr>
    </w:p>
    <w:p w:rsidR="00C778F1" w:rsidRDefault="00C778F1" w:rsidP="009936FC">
      <w:pPr>
        <w:pStyle w:val="Fechaportada"/>
      </w:pPr>
    </w:p>
    <w:p w:rsidR="00C778F1" w:rsidRDefault="00C778F1" w:rsidP="009936FC">
      <w:pPr>
        <w:pStyle w:val="Fechaportada"/>
      </w:pPr>
    </w:p>
    <w:p w:rsidR="009444FA" w:rsidRDefault="009444FA" w:rsidP="009936FC">
      <w:pPr>
        <w:pStyle w:val="Fechaportada"/>
      </w:pPr>
    </w:p>
    <w:p w:rsidR="00716463" w:rsidRPr="009444FA" w:rsidRDefault="00585F71" w:rsidP="009936FC">
      <w:pPr>
        <w:pStyle w:val="Fechaportada"/>
      </w:pPr>
      <w:r>
        <w:t>2018ko urria</w:t>
      </w:r>
    </w:p>
    <w:p w:rsidR="008E3FFE" w:rsidRPr="00164537" w:rsidRDefault="008E3FFE" w:rsidP="00891D73">
      <w:pPr>
        <w:pStyle w:val="ndice"/>
        <w:rPr>
          <w:rFonts w:ascii="Times New Roman" w:hAnsi="Times New Roman"/>
          <w:color w:val="auto"/>
        </w:rPr>
        <w:sectPr w:rsidR="008E3FFE" w:rsidRPr="00164537" w:rsidSect="001966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1C3A32" w:rsidRDefault="00891D73" w:rsidP="00891D73">
      <w:pPr>
        <w:pStyle w:val="ndice"/>
      </w:pPr>
      <w:r>
        <w:lastRenderedPageBreak/>
        <w:t>Aurkibidea</w:t>
      </w:r>
    </w:p>
    <w:p w:rsidR="00105D38" w:rsidRPr="009D1111" w:rsidRDefault="00105D38" w:rsidP="00105D38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right="-436" w:firstLine="284"/>
        <w:jc w:val="right"/>
        <w:rPr>
          <w:i/>
          <w:spacing w:val="6"/>
          <w:sz w:val="16"/>
          <w:szCs w:val="16"/>
        </w:rPr>
      </w:pPr>
      <w:r>
        <w:rPr>
          <w:i/>
          <w:sz w:val="16"/>
          <w:szCs w:val="16"/>
        </w:rPr>
        <w:t>ORRIALDEA</w:t>
      </w:r>
    </w:p>
    <w:p w:rsidR="00CA37B3" w:rsidRDefault="00105D38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 w:rsidRPr="009D1111">
        <w:rPr>
          <w:sz w:val="24"/>
          <w:szCs w:val="24"/>
        </w:rPr>
        <w:fldChar w:fldCharType="begin"/>
      </w:r>
      <w:r w:rsidRPr="009D1111">
        <w:rPr>
          <w:sz w:val="24"/>
          <w:szCs w:val="24"/>
        </w:rPr>
        <w:instrText xml:space="preserve"> TOC \h \z \t "atitulo1;1;atitulo2;2" </w:instrText>
      </w:r>
      <w:r w:rsidRPr="009D1111">
        <w:rPr>
          <w:sz w:val="24"/>
          <w:szCs w:val="24"/>
        </w:rPr>
        <w:fldChar w:fldCharType="separate"/>
      </w:r>
      <w:hyperlink w:anchor="_Toc528306518" w:history="1">
        <w:r w:rsidR="00CA37B3" w:rsidRPr="006465B6">
          <w:rPr>
            <w:rStyle w:val="Hipervnculo"/>
            <w:noProof/>
          </w:rPr>
          <w:t>I. Sarrera</w:t>
        </w:r>
        <w:r w:rsidR="00CA37B3">
          <w:rPr>
            <w:noProof/>
            <w:webHidden/>
          </w:rPr>
          <w:tab/>
        </w:r>
        <w:r w:rsidR="00CA37B3">
          <w:rPr>
            <w:noProof/>
            <w:webHidden/>
          </w:rPr>
          <w:fldChar w:fldCharType="begin"/>
        </w:r>
        <w:r w:rsidR="00CA37B3">
          <w:rPr>
            <w:noProof/>
            <w:webHidden/>
          </w:rPr>
          <w:instrText xml:space="preserve"> PAGEREF _Toc528306518 \h </w:instrText>
        </w:r>
        <w:r w:rsidR="00CA37B3">
          <w:rPr>
            <w:noProof/>
            <w:webHidden/>
          </w:rPr>
        </w:r>
        <w:r w:rsidR="00CA37B3">
          <w:rPr>
            <w:noProof/>
            <w:webHidden/>
          </w:rPr>
          <w:fldChar w:fldCharType="separate"/>
        </w:r>
        <w:r w:rsidR="00CA37B3">
          <w:rPr>
            <w:noProof/>
            <w:webHidden/>
          </w:rPr>
          <w:t>3</w:t>
        </w:r>
        <w:r w:rsidR="00CA37B3">
          <w:rPr>
            <w:noProof/>
            <w:webHidden/>
          </w:rPr>
          <w:fldChar w:fldCharType="end"/>
        </w:r>
      </w:hyperlink>
    </w:p>
    <w:p w:rsidR="00CA37B3" w:rsidRDefault="00CA37B3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28306519" w:history="1">
        <w:r w:rsidRPr="006465B6">
          <w:rPr>
            <w:rStyle w:val="Hipervnculo"/>
            <w:noProof/>
          </w:rPr>
          <w:t>II. Nafarroako foru sektore publikoa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20" w:history="1">
        <w:r w:rsidRPr="006465B6">
          <w:rPr>
            <w:rStyle w:val="Hipervnculo"/>
            <w:noProof/>
          </w:rPr>
          <w:t>II.1. Gogoeta orokorrak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21" w:history="1">
        <w:r w:rsidRPr="006465B6">
          <w:rPr>
            <w:rStyle w:val="Hipervnculo"/>
            <w:noProof/>
          </w:rPr>
          <w:t>II.2. Sektore publikoa berrantolatzeko planak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28306522" w:history="1">
        <w:r w:rsidRPr="006465B6">
          <w:rPr>
            <w:rStyle w:val="Hipervnculo"/>
            <w:noProof/>
          </w:rPr>
          <w:t>III. Helburuak, norainokoa eta mugak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28306523" w:history="1">
        <w:r w:rsidRPr="006465B6">
          <w:rPr>
            <w:rStyle w:val="Hipervnculo"/>
            <w:noProof/>
          </w:rPr>
          <w:t>IV. Konklusioak eta gomendioak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28306524" w:history="1">
        <w:r w:rsidRPr="006465B6">
          <w:rPr>
            <w:rStyle w:val="Hipervnculo"/>
            <w:noProof/>
          </w:rPr>
          <w:t>V. Nafarroako foru sektore publikoa berrantolatzeko prozesuaren analisia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25" w:history="1">
        <w:r w:rsidRPr="006465B6">
          <w:rPr>
            <w:rStyle w:val="Hipervnculo"/>
            <w:noProof/>
          </w:rPr>
          <w:t>V.1. Entitateen kopuruaren bilakaera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26" w:history="1">
        <w:r w:rsidRPr="006465B6">
          <w:rPr>
            <w:rStyle w:val="Hipervnculo"/>
            <w:noProof/>
          </w:rPr>
          <w:t>V.2. Berregituratzearen eragin ekonomikoak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27" w:history="1">
        <w:r w:rsidRPr="006465B6">
          <w:rPr>
            <w:rStyle w:val="Hipervnculo"/>
            <w:noProof/>
          </w:rPr>
          <w:t>V.3. Berregituratzeak ukitutako eginkizunak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28" w:history="1">
        <w:r w:rsidRPr="006465B6">
          <w:rPr>
            <w:rStyle w:val="Hipervnculo"/>
            <w:noProof/>
          </w:rPr>
          <w:t>V.4. Berrantolaketa-planen betetzea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28306529" w:history="1">
        <w:r w:rsidRPr="006465B6">
          <w:rPr>
            <w:rStyle w:val="Hipervnculo"/>
            <w:noProof/>
          </w:rPr>
          <w:t>Eranskinak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30" w:history="1">
        <w:r w:rsidRPr="006465B6">
          <w:rPr>
            <w:rStyle w:val="Hipervnculo"/>
            <w:noProof/>
          </w:rPr>
          <w:t>1. eranskina. Esparru juridikoa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31" w:history="1">
        <w:r w:rsidRPr="006465B6">
          <w:rPr>
            <w:rStyle w:val="Hipervnculo"/>
            <w:noProof/>
          </w:rPr>
          <w:t>2. eranskina. Ente eta erakunde publikoen zerrenda eta haien bilakaera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32" w:history="1">
        <w:r w:rsidRPr="006465B6">
          <w:rPr>
            <w:rStyle w:val="Hipervnculo"/>
            <w:noProof/>
          </w:rPr>
          <w:t>3. eranskina. Sozietate xurgatuen eta xurgatzaileen zerrenda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33" w:history="1">
        <w:r w:rsidRPr="006465B6">
          <w:rPr>
            <w:rStyle w:val="Hipervnculo"/>
            <w:noProof/>
          </w:rPr>
          <w:t>4. eranskina. Sozietate publikoen zerrenda eta haien bilakaera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A37B3" w:rsidRDefault="00CA37B3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28306534" w:history="1">
        <w:r w:rsidRPr="006465B6">
          <w:rPr>
            <w:rStyle w:val="Hipervnculo"/>
            <w:noProof/>
          </w:rPr>
          <w:t>5. eranskina. Fundazio publikoen zerrenda eta haien bilakaera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_Toc528306534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91D73" w:rsidRDefault="00105D38" w:rsidP="00105D38">
      <w:pPr>
        <w:pStyle w:val="texto"/>
      </w:pPr>
      <w:r w:rsidRPr="009D1111">
        <w:rPr>
          <w:sz w:val="24"/>
        </w:rPr>
        <w:fldChar w:fldCharType="end"/>
      </w:r>
    </w:p>
    <w:p w:rsidR="00891D73" w:rsidRPr="00E703B6" w:rsidRDefault="00891D73" w:rsidP="00E703B6"/>
    <w:p w:rsidR="008E3FFE" w:rsidRDefault="008E3FFE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  <w:bookmarkStart w:id="0" w:name="_GoBack"/>
      <w:bookmarkEnd w:id="0"/>
    </w:p>
    <w:p w:rsidR="0017115B" w:rsidRPr="003C6BE1" w:rsidRDefault="0017115B" w:rsidP="0017115B">
      <w:pPr>
        <w:pStyle w:val="atitulo1"/>
      </w:pPr>
      <w:bookmarkStart w:id="1" w:name="_Toc521909253"/>
      <w:bookmarkStart w:id="2" w:name="_Toc528306518"/>
      <w:r>
        <w:lastRenderedPageBreak/>
        <w:t>I. Sarrera</w:t>
      </w:r>
      <w:bookmarkEnd w:id="1"/>
      <w:bookmarkEnd w:id="2"/>
    </w:p>
    <w:p w:rsidR="0017115B" w:rsidRDefault="0017115B" w:rsidP="001711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line="240" w:lineRule="atLeast"/>
        <w:rPr>
          <w:szCs w:val="26"/>
        </w:rPr>
      </w:pPr>
      <w:r>
        <w:t xml:space="preserve"> Kontuen Ganberak 2018ko lan-programan sartu zuen fiskalizazio txosten bat egitea foru sektore publikoaren 2010-2016 aldiko berregituratzeari buruz. </w:t>
      </w:r>
    </w:p>
    <w:p w:rsidR="0017115B" w:rsidRDefault="0017115B" w:rsidP="001711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line="240" w:lineRule="atLeast"/>
        <w:rPr>
          <w:szCs w:val="26"/>
        </w:rPr>
      </w:pPr>
      <w:r>
        <w:t>Lan hau egin da Kontuen Auzitegiarekin eta Kanpo Kontroleko Organo A</w:t>
      </w:r>
      <w:r>
        <w:t>u</w:t>
      </w:r>
      <w:r>
        <w:t>tonomikoekin (OCEX) koordinatuta, eta xede du aipatutako aldi horretan se</w:t>
      </w:r>
      <w:r>
        <w:t>k</w:t>
      </w:r>
      <w:r>
        <w:t xml:space="preserve">tore publiko autonomikoa berrantolatzeko prozesuak egiaztatzea.  </w:t>
      </w:r>
    </w:p>
    <w:p w:rsidR="00A17B6C" w:rsidRDefault="00A17B6C" w:rsidP="001711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line="240" w:lineRule="atLeast"/>
        <w:rPr>
          <w:szCs w:val="26"/>
        </w:rPr>
      </w:pPr>
      <w:r>
        <w:t>Sektore publikoaren berrantolatzea hasi zen 2010ean Estatuak bultzatutako esparru-akordio baten ekimenez; izan ere, akordio horren arabera autonomia erkidegoek eta autonomia-estatutua zuten hiriek konpromisoa hatzen zuten b</w:t>
      </w:r>
      <w:r>
        <w:t>e</w:t>
      </w:r>
      <w:r>
        <w:t xml:space="preserve">ren berrantolaketa-planak egiteko eta finantza publiko jasangarriak edukitzeko. </w:t>
      </w:r>
    </w:p>
    <w:p w:rsidR="0017115B" w:rsidRDefault="0017115B" w:rsidP="001711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line="240" w:lineRule="atLeast"/>
        <w:rPr>
          <w:szCs w:val="26"/>
        </w:rPr>
      </w:pPr>
      <w:r>
        <w:t xml:space="preserve">Lana auditoriako teknikari batek eta auditore batek osatutako lantaldeak egin du, 2018ko maiatzetik abuztura, Ganberako zerbitzu juridiko, informatiko eta administratiboen laguntzarekin. </w:t>
      </w:r>
    </w:p>
    <w:p w:rsidR="0017115B" w:rsidRPr="007275C0" w:rsidRDefault="0017115B" w:rsidP="007275C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line="240" w:lineRule="atLeast"/>
      </w:pPr>
      <w:r>
        <w:t>Txostenak bost epigrafe dauzka, sarrera hau barne. Bigarren epigrafean N</w:t>
      </w:r>
      <w:r>
        <w:t>a</w:t>
      </w:r>
      <w:r>
        <w:t>farroako foru sektore publikoa eta hainbat eremutan aurrera eraman diren b</w:t>
      </w:r>
      <w:r>
        <w:t>e</w:t>
      </w:r>
      <w:r>
        <w:t>rrantolaketa-planak definitzen dira. Hirugarren epigrafean, fiskalizazioaren helburuak, norainokoa eta mugak erakusten ditugu. Laugarren epigrafean, konklusioak eta gomendioak azaltzen ditugu. Azkenik, bosgarrenean, proz</w:t>
      </w:r>
      <w:r>
        <w:t>e</w:t>
      </w:r>
      <w:r>
        <w:t>suei eta haien eraginei buruz egin den analisia deskribatzen dugu, bai eta haien betetze-maila ere.</w:t>
      </w:r>
    </w:p>
    <w:p w:rsidR="007275C0" w:rsidRDefault="007275C0" w:rsidP="007275C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line="240" w:lineRule="atLeast"/>
        <w:rPr>
          <w:color w:val="FF0000"/>
        </w:rPr>
      </w:pPr>
      <w:r>
        <w:t>Gainera, bost eranskin ditu, txostenean azaldutako datuetako batzuei b</w:t>
      </w:r>
      <w:r>
        <w:t>u</w:t>
      </w:r>
      <w:r>
        <w:t>ruzko informazio zehatzagoa dakartenak.</w:t>
      </w:r>
    </w:p>
    <w:p w:rsidR="0070412C" w:rsidRPr="000E63B3" w:rsidRDefault="0070412C" w:rsidP="0070412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 w:line="240" w:lineRule="atLeast"/>
        <w:rPr>
          <w:szCs w:val="26"/>
        </w:rPr>
      </w:pPr>
      <w:r>
        <w:t xml:space="preserve">Jarduketa honen emaitzak Nafarroako Gobernuko Ogasuneko eta Finantza Politikako Departamentuko kontseilariari eta </w:t>
      </w:r>
      <w:proofErr w:type="spellStart"/>
      <w:r>
        <w:t>NEKPeko</w:t>
      </w:r>
      <w:proofErr w:type="spellEnd"/>
      <w:r>
        <w:t xml:space="preserve"> zuzendari finantzar</w:t>
      </w:r>
      <w:r>
        <w:t>i</w:t>
      </w:r>
      <w:r>
        <w:t>oari eta kontrolekoari azaldu zitzaizkion, kasua bazen, egokitzat jotzen zitu</w:t>
      </w:r>
      <w:r>
        <w:t>z</w:t>
      </w:r>
      <w:r>
        <w:t>ten alegazioak aurkezteko, Nafarroako Kontuen Ganbera arautzen duen 19/1984 Foru Legearen 11.2 artikuluan ezarritakoari jarraituz. Epea iraganda, ez dute alegaziorik aurkeztu.</w:t>
      </w:r>
    </w:p>
    <w:p w:rsidR="0017115B" w:rsidRPr="00C809C1" w:rsidRDefault="0017115B" w:rsidP="001711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line="240" w:lineRule="atLeast"/>
        <w:rPr>
          <w:szCs w:val="26"/>
        </w:rPr>
      </w:pPr>
      <w:r>
        <w:t>Eskerrak ematen dizkiegu Ogasuneko eta Finantza Politikako Departame</w:t>
      </w:r>
      <w:r>
        <w:t>n</w:t>
      </w:r>
      <w:r>
        <w:t>tuko Aurrekontuaren Zuzendaritza Nagusiari; Lehendakaritzako, Funtzio P</w:t>
      </w:r>
      <w:r>
        <w:t>u</w:t>
      </w:r>
      <w:r>
        <w:t xml:space="preserve">blikoko, Barneko eta Justiziako Departamentuko Gobernuko Idazkaritzaren eta Araugintzaren Zerbitzuari, eta Nafarroako Enpresa Korporazio Publikoari, lan hau egiteko eman diguten laguntzarengatik. </w:t>
      </w:r>
    </w:p>
    <w:p w:rsidR="0017115B" w:rsidRDefault="0017115B" w:rsidP="0017115B">
      <w:pPr>
        <w:rPr>
          <w:sz w:val="26"/>
          <w:szCs w:val="26"/>
        </w:rPr>
      </w:pPr>
    </w:p>
    <w:p w:rsidR="0017115B" w:rsidRDefault="0017115B" w:rsidP="001711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line="240" w:lineRule="atLeast"/>
        <w:rPr>
          <w:szCs w:val="26"/>
        </w:rPr>
      </w:pPr>
    </w:p>
    <w:p w:rsidR="0017115B" w:rsidRDefault="0017115B" w:rsidP="0017115B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bookmarkStart w:id="3" w:name="_Toc188167192"/>
      <w:bookmarkStart w:id="4" w:name="_Toc462142139"/>
      <w:bookmarkStart w:id="5" w:name="_Toc500414324"/>
      <w:r>
        <w:br w:type="page"/>
      </w:r>
    </w:p>
    <w:p w:rsidR="00AB4A69" w:rsidRDefault="00AB4A69" w:rsidP="00AB4A69">
      <w:pPr>
        <w:pStyle w:val="atitulo1"/>
      </w:pPr>
      <w:bookmarkStart w:id="6" w:name="_Toc521909254"/>
      <w:bookmarkStart w:id="7" w:name="_Toc528306519"/>
      <w:r>
        <w:lastRenderedPageBreak/>
        <w:t>II. Nafarroako foru sektore publikoa</w:t>
      </w:r>
      <w:bookmarkEnd w:id="7"/>
    </w:p>
    <w:p w:rsidR="00AB4A69" w:rsidRDefault="00AB4A69" w:rsidP="00AB4A69">
      <w:pPr>
        <w:pStyle w:val="atitulo2"/>
        <w:spacing w:before="240" w:after="200"/>
      </w:pPr>
      <w:bookmarkStart w:id="8" w:name="_Toc528306520"/>
      <w:r>
        <w:t>II.1. Gogoeta orokorrak</w:t>
      </w:r>
      <w:bookmarkEnd w:id="8"/>
    </w:p>
    <w:p w:rsidR="00AB4A69" w:rsidRPr="002D15D3" w:rsidRDefault="00A379C8" w:rsidP="00AB4A69">
      <w:pPr>
        <w:pStyle w:val="texto"/>
        <w:spacing w:after="120"/>
        <w:rPr>
          <w:szCs w:val="26"/>
        </w:rPr>
      </w:pPr>
      <w:r>
        <w:t>Nafarroako Ogasun Publikoari buruzko apirilaren 4ko 13/2007 Foru Legean ezarritakoaren arabera, honako hauek osatzen dute Nafarroako foru sektore publikoa:</w:t>
      </w:r>
    </w:p>
    <w:p w:rsidR="00AB4A69" w:rsidRPr="00CA01EC" w:rsidRDefault="00AB4A69" w:rsidP="00AB4A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20"/>
        <w:ind w:left="0" w:firstLine="289"/>
        <w:rPr>
          <w:rFonts w:cs="Arial"/>
        </w:rPr>
      </w:pPr>
      <w:r>
        <w:t>Nafarroako Foru Komunitateko Administrazioa.</w:t>
      </w:r>
    </w:p>
    <w:p w:rsidR="00AB4A69" w:rsidRPr="00CA01EC" w:rsidRDefault="00AB4A69" w:rsidP="00AB4A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20"/>
        <w:ind w:left="0" w:firstLine="289"/>
        <w:rPr>
          <w:rFonts w:cs="Arial"/>
        </w:rPr>
      </w:pPr>
      <w:r>
        <w:t xml:space="preserve">Nafarroako Parlamentua eta haren menpeko organoak </w:t>
      </w:r>
      <w:proofErr w:type="spellStart"/>
      <w:r>
        <w:t>—Kontuen</w:t>
      </w:r>
      <w:proofErr w:type="spellEnd"/>
      <w:r>
        <w:t xml:space="preserve"> Ganbera eta </w:t>
      </w:r>
      <w:proofErr w:type="spellStart"/>
      <w:r>
        <w:t>Arartekoa—</w:t>
      </w:r>
      <w:proofErr w:type="spellEnd"/>
      <w:r>
        <w:t xml:space="preserve">. </w:t>
      </w:r>
    </w:p>
    <w:p w:rsidR="00AB4A69" w:rsidRPr="00CA01EC" w:rsidRDefault="00AB4A69" w:rsidP="00AB4A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20"/>
        <w:ind w:left="0" w:firstLine="289"/>
        <w:rPr>
          <w:rFonts w:cs="Arial"/>
        </w:rPr>
      </w:pPr>
      <w:r>
        <w:t>Nafarroako Kontseilua eta Nafarroako Ikus-entzunezkoen Kontseilua.</w:t>
      </w:r>
    </w:p>
    <w:p w:rsidR="00AB4A69" w:rsidRPr="00CA01EC" w:rsidRDefault="00AB4A69" w:rsidP="00AB4A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20"/>
        <w:ind w:left="0" w:firstLine="289"/>
        <w:rPr>
          <w:rFonts w:cs="Arial"/>
        </w:rPr>
      </w:pPr>
      <w:r>
        <w:t>Nafarroak Foru Komunitateko Administrazioari atxikitako erakunde aut</w:t>
      </w:r>
      <w:r>
        <w:t>o</w:t>
      </w:r>
      <w:r>
        <w:t>nomoak.</w:t>
      </w:r>
    </w:p>
    <w:p w:rsidR="00AB4A69" w:rsidRPr="00CA01EC" w:rsidRDefault="00AB4A69" w:rsidP="00AB4A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20"/>
        <w:ind w:left="0" w:firstLine="289"/>
        <w:rPr>
          <w:rFonts w:cs="Arial"/>
        </w:rPr>
      </w:pPr>
      <w:r>
        <w:t>Nafarroako Foru Komunitateko Administrazioaren enpresa-entitate publ</w:t>
      </w:r>
      <w:r>
        <w:t>i</w:t>
      </w:r>
      <w:r>
        <w:t>koak.</w:t>
      </w:r>
    </w:p>
    <w:p w:rsidR="00AB4A69" w:rsidRPr="00CA01EC" w:rsidRDefault="00AB4A69" w:rsidP="00AB4A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20"/>
        <w:ind w:left="0" w:firstLine="289"/>
        <w:rPr>
          <w:rFonts w:cs="Arial"/>
        </w:rPr>
      </w:pPr>
      <w:r>
        <w:t>Nafarroako Foru Komunitateko sozietate publikoak, Nafarroako Ondareari buruzko apirilaren 4ko 14/2007 Foru Legean ezarritakoari jarraituz</w:t>
      </w:r>
      <w:r w:rsidRPr="00CA01EC">
        <w:rPr>
          <w:rFonts w:cs="Arial"/>
          <w:vertAlign w:val="superscript"/>
        </w:rPr>
        <w:footnoteReference w:id="1"/>
      </w:r>
      <w:r>
        <w:t>.</w:t>
      </w:r>
    </w:p>
    <w:p w:rsidR="00AB4A69" w:rsidRPr="00CA01EC" w:rsidRDefault="00AB4A69" w:rsidP="00AB4A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20"/>
        <w:ind w:left="0" w:firstLine="289"/>
        <w:rPr>
          <w:rFonts w:cs="Arial"/>
        </w:rPr>
      </w:pPr>
      <w:r>
        <w:t>Nafarroako Foru Komunitateko Administrazioko eta haren erakunde p</w:t>
      </w:r>
      <w:r>
        <w:t>u</w:t>
      </w:r>
      <w:r>
        <w:t>blikoetako fundazio publikoak</w:t>
      </w:r>
      <w:r w:rsidRPr="00CA01EC">
        <w:rPr>
          <w:rFonts w:cs="Arial"/>
          <w:vertAlign w:val="superscript"/>
        </w:rPr>
        <w:footnoteReference w:id="2"/>
      </w:r>
      <w:r>
        <w:t xml:space="preserve">. </w:t>
      </w:r>
    </w:p>
    <w:p w:rsidR="00AB4A69" w:rsidRPr="00CA01EC" w:rsidRDefault="00AB4A69" w:rsidP="00AB4A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20"/>
        <w:ind w:left="0" w:firstLine="289"/>
        <w:rPr>
          <w:rFonts w:cs="Arial"/>
        </w:rPr>
      </w:pPr>
      <w:r>
        <w:t>Sortu berriak diren beste entitate publiko batzuk, haiek sortzeko dituen xedapenak espresuki hala xedatzen badu.</w:t>
      </w:r>
    </w:p>
    <w:p w:rsidR="00814827" w:rsidRDefault="007A3620" w:rsidP="00AB4A69">
      <w:pPr>
        <w:pStyle w:val="texto"/>
      </w:pPr>
      <w:r>
        <w:t>Hau da, Foru Komunitateko Administrazioarekin berarekin eta Parlamentu</w:t>
      </w:r>
      <w:r>
        <w:t>a</w:t>
      </w:r>
      <w:r>
        <w:t>rekin batera (beren menpeko organoak barne direla), foru sektore publikoan zuzenbide publiko eta pribatuko entitateen multzo bat sartzen da: nortasun j</w:t>
      </w:r>
      <w:r>
        <w:t>u</w:t>
      </w:r>
      <w:r>
        <w:t>ridiko propioa eta tresna-izaera dute; beren kudeaketan autonomoak dira; N</w:t>
      </w:r>
      <w:r>
        <w:t>a</w:t>
      </w:r>
      <w:r>
        <w:t>farroako Foru Komunitateko Administrazioak sortu eta finantzatu ditu esleitu zaizkien xede publikoak bete ditzaten, eta administrazioaren, enpresen eta fu</w:t>
      </w:r>
      <w:r>
        <w:t>n</w:t>
      </w:r>
      <w:r>
        <w:t>dazioen sektore publikoan sailkatuta daude.</w:t>
      </w:r>
    </w:p>
    <w:p w:rsidR="00317FEF" w:rsidRDefault="00317FEF" w:rsidP="00AB4A69">
      <w:pPr>
        <w:pStyle w:val="texto"/>
        <w:spacing w:after="240"/>
        <w:rPr>
          <w:color w:val="FF0000"/>
        </w:rPr>
      </w:pPr>
    </w:p>
    <w:p w:rsidR="00E035E2" w:rsidRDefault="00E035E2" w:rsidP="00AB4A69">
      <w:pPr>
        <w:pStyle w:val="texto"/>
        <w:spacing w:after="240"/>
        <w:rPr>
          <w:color w:val="FF0000"/>
        </w:rPr>
      </w:pPr>
    </w:p>
    <w:p w:rsidR="00317FEF" w:rsidRDefault="00AB4A69" w:rsidP="00862DAE">
      <w:pPr>
        <w:pStyle w:val="texto"/>
        <w:spacing w:after="260"/>
      </w:pPr>
      <w:r>
        <w:lastRenderedPageBreak/>
        <w:t>Honako hau da enpresen eta fundazioen sektore publikoaren magnitudea</w:t>
      </w:r>
      <w:r w:rsidRPr="00BD37EA">
        <w:rPr>
          <w:rStyle w:val="Refdenotaalpie"/>
        </w:rPr>
        <w:footnoteReference w:id="3"/>
      </w:r>
      <w:r>
        <w:t>, Foru Komunitateko Administrazioko langileei dagokienez eta Nafarroako A</w:t>
      </w:r>
      <w:r>
        <w:t>u</w:t>
      </w:r>
      <w:r>
        <w:t>rrekontu Orokorretan 2010-2016 aldian</w:t>
      </w:r>
      <w:bookmarkStart w:id="9" w:name="_Toc521909260"/>
      <w:r>
        <w:t xml:space="preserve"> haien jarduketetarako aurreikusitako finantzaketari dagokionez:</w:t>
      </w:r>
    </w:p>
    <w:tbl>
      <w:tblPr>
        <w:tblW w:w="86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2"/>
        <w:gridCol w:w="2276"/>
      </w:tblGrid>
      <w:tr w:rsidR="00D718E7" w:rsidRPr="00317FEF" w:rsidTr="008C265C">
        <w:trPr>
          <w:trHeight w:val="300"/>
          <w:jc w:val="center"/>
        </w:trPr>
        <w:tc>
          <w:tcPr>
            <w:tcW w:w="64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718E7" w:rsidRPr="00317FEF" w:rsidRDefault="00D718E7" w:rsidP="00D718E7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Langileak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718E7" w:rsidRPr="00317FEF" w:rsidRDefault="00D718E7" w:rsidP="00D718E7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2010-2016 aldiko batez be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>teko zenbatekoa</w:t>
            </w:r>
          </w:p>
        </w:tc>
      </w:tr>
      <w:tr w:rsidR="00D718E7" w:rsidRPr="00317FEF" w:rsidTr="008C265C">
        <w:trPr>
          <w:trHeight w:val="255"/>
          <w:jc w:val="center"/>
        </w:trPr>
        <w:tc>
          <w:tcPr>
            <w:tcW w:w="640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718E7" w:rsidRPr="00317FEF" w:rsidRDefault="00D718E7" w:rsidP="00D718E7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Foru Komunitateko Administrazioko eta haren erakunde autonomoetako langileak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718E7" w:rsidRPr="00317FEF" w:rsidRDefault="00D718E7" w:rsidP="00D718E7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23.034</w:t>
            </w:r>
          </w:p>
        </w:tc>
      </w:tr>
      <w:tr w:rsidR="00D718E7" w:rsidRPr="00317FEF" w:rsidTr="008C265C">
        <w:trPr>
          <w:trHeight w:val="255"/>
          <w:jc w:val="center"/>
        </w:trPr>
        <w:tc>
          <w:tcPr>
            <w:tcW w:w="640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E7" w:rsidRPr="00317FEF" w:rsidRDefault="00D718E7" w:rsidP="00D718E7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Sozietate publikoetako langileak</w:t>
            </w:r>
          </w:p>
        </w:tc>
        <w:tc>
          <w:tcPr>
            <w:tcW w:w="2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18E7" w:rsidRPr="00317FEF" w:rsidRDefault="00D718E7" w:rsidP="00D718E7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1.115</w:t>
            </w:r>
          </w:p>
        </w:tc>
      </w:tr>
      <w:tr w:rsidR="00D718E7" w:rsidRPr="00BD37EA" w:rsidTr="008C265C">
        <w:trPr>
          <w:trHeight w:val="300"/>
          <w:jc w:val="center"/>
        </w:trPr>
        <w:tc>
          <w:tcPr>
            <w:tcW w:w="6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18E7" w:rsidRPr="00BD37EA" w:rsidRDefault="00D718E7" w:rsidP="00D718E7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Ehunekoa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18E7" w:rsidRPr="00BD37EA" w:rsidRDefault="00A847F9" w:rsidP="00D718E7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4,76</w:t>
            </w:r>
          </w:p>
        </w:tc>
      </w:tr>
      <w:tr w:rsidR="00D718E7" w:rsidRPr="00317FEF" w:rsidTr="008C265C">
        <w:trPr>
          <w:trHeight w:val="255"/>
          <w:jc w:val="center"/>
        </w:trPr>
        <w:tc>
          <w:tcPr>
            <w:tcW w:w="6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E7" w:rsidRPr="00317FEF" w:rsidRDefault="00D718E7" w:rsidP="00D718E7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Fundazio publikoetako langileak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18E7" w:rsidRPr="00317FEF" w:rsidRDefault="00D718E7" w:rsidP="00D718E7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</w:p>
        </w:tc>
      </w:tr>
      <w:tr w:rsidR="00D718E7" w:rsidRPr="00BD37EA" w:rsidTr="008C265C">
        <w:trPr>
          <w:trHeight w:val="300"/>
          <w:jc w:val="center"/>
        </w:trPr>
        <w:tc>
          <w:tcPr>
            <w:tcW w:w="6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18E7" w:rsidRPr="00BD37EA" w:rsidRDefault="00D718E7" w:rsidP="00D718E7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Ehunekoa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18E7" w:rsidRPr="00BD37EA" w:rsidRDefault="00D718E7" w:rsidP="00A847F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0,16</w:t>
            </w:r>
          </w:p>
        </w:tc>
      </w:tr>
    </w:tbl>
    <w:p w:rsidR="00D718E7" w:rsidRPr="00862DAE" w:rsidRDefault="00D718E7" w:rsidP="00862DAE">
      <w:pPr>
        <w:pStyle w:val="texto"/>
        <w:spacing w:after="80"/>
        <w:rPr>
          <w:sz w:val="18"/>
          <w:szCs w:val="18"/>
        </w:rPr>
      </w:pPr>
    </w:p>
    <w:p w:rsidR="0035621C" w:rsidRPr="00862DAE" w:rsidRDefault="00862DAE" w:rsidP="00356313">
      <w:pPr>
        <w:pStyle w:val="texto"/>
        <w:spacing w:after="10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(euroak, milakotan)</w:t>
      </w:r>
    </w:p>
    <w:tbl>
      <w:tblPr>
        <w:tblW w:w="8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8"/>
        <w:gridCol w:w="2276"/>
      </w:tblGrid>
      <w:tr w:rsidR="0035621C" w:rsidRPr="00317FEF" w:rsidTr="008C265C">
        <w:trPr>
          <w:trHeight w:val="300"/>
          <w:jc w:val="center"/>
        </w:trPr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621C" w:rsidRPr="00317FEF" w:rsidRDefault="00D718E7" w:rsidP="0035621C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Jarduketen finantziazioa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621C" w:rsidRPr="00317FEF" w:rsidRDefault="0035621C" w:rsidP="0035621C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2010-2016 aldiko batez be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>teko zenbatekoa</w:t>
            </w:r>
          </w:p>
        </w:tc>
      </w:tr>
      <w:tr w:rsidR="0035621C" w:rsidTr="008C265C">
        <w:trPr>
          <w:trHeight w:val="255"/>
          <w:jc w:val="center"/>
        </w:trPr>
        <w:tc>
          <w:tcPr>
            <w:tcW w:w="63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5621C" w:rsidRDefault="007A3620" w:rsidP="00410CA6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Nafarroako Aurrekontu Orokorretako 2., 4., 6. eta 7. kapituluetako partidak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5621C" w:rsidRDefault="00BD37EA" w:rsidP="0035621C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2.580.411</w:t>
            </w:r>
          </w:p>
        </w:tc>
      </w:tr>
      <w:tr w:rsidR="0035621C" w:rsidTr="008C265C">
        <w:trPr>
          <w:trHeight w:val="255"/>
          <w:jc w:val="center"/>
        </w:trPr>
        <w:tc>
          <w:tcPr>
            <w:tcW w:w="638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21C" w:rsidRDefault="007A3620" w:rsidP="007A3620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Ustiapeneko diru-sarrerak eta diru-laguntzak sozietate publikoetan</w:t>
            </w:r>
          </w:p>
        </w:tc>
        <w:tc>
          <w:tcPr>
            <w:tcW w:w="2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21C" w:rsidRDefault="00BD37EA" w:rsidP="0035621C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58.350</w:t>
            </w:r>
          </w:p>
        </w:tc>
      </w:tr>
      <w:tr w:rsidR="0035621C" w:rsidRPr="00BD37EA" w:rsidTr="008C265C">
        <w:trPr>
          <w:trHeight w:val="300"/>
          <w:jc w:val="center"/>
        </w:trPr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21C" w:rsidRPr="00BD37EA" w:rsidRDefault="00BD37EA" w:rsidP="0035621C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Ehunekoa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21C" w:rsidRPr="00BD37EA" w:rsidRDefault="00A847F9" w:rsidP="00A847F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2,26</w:t>
            </w:r>
          </w:p>
        </w:tc>
      </w:tr>
      <w:tr w:rsidR="0035621C" w:rsidTr="008C265C">
        <w:trPr>
          <w:trHeight w:val="255"/>
          <w:jc w:val="center"/>
        </w:trPr>
        <w:tc>
          <w:tcPr>
            <w:tcW w:w="63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5621C" w:rsidRDefault="007A3620" w:rsidP="0035621C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Nafarroako Aurrekontu Orokorretako aktibo finantzarioetako partidak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5621C" w:rsidRDefault="00BD37EA" w:rsidP="00BD37EA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75.230</w:t>
            </w:r>
          </w:p>
        </w:tc>
      </w:tr>
      <w:tr w:rsidR="00BD37EA" w:rsidTr="008C265C">
        <w:trPr>
          <w:trHeight w:val="255"/>
          <w:jc w:val="center"/>
        </w:trPr>
        <w:tc>
          <w:tcPr>
            <w:tcW w:w="638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37EA" w:rsidRDefault="007A3620" w:rsidP="0035621C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Sozietate publikoentzako kapital-ekarpenak</w:t>
            </w:r>
          </w:p>
        </w:tc>
        <w:tc>
          <w:tcPr>
            <w:tcW w:w="2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37EA" w:rsidRDefault="009F380B" w:rsidP="00BD37EA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14.588</w:t>
            </w:r>
          </w:p>
        </w:tc>
      </w:tr>
      <w:tr w:rsidR="00BD37EA" w:rsidRPr="00BD37EA" w:rsidTr="008C265C">
        <w:trPr>
          <w:trHeight w:val="300"/>
          <w:jc w:val="center"/>
        </w:trPr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37EA" w:rsidRPr="00BD37EA" w:rsidRDefault="00BD37EA" w:rsidP="0035621C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Ehunekoa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37EA" w:rsidRPr="00BD37EA" w:rsidRDefault="00A847F9" w:rsidP="00A847F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19,39</w:t>
            </w:r>
          </w:p>
        </w:tc>
      </w:tr>
      <w:tr w:rsidR="00BD37EA" w:rsidTr="008C265C">
        <w:trPr>
          <w:trHeight w:val="255"/>
          <w:jc w:val="center"/>
        </w:trPr>
        <w:tc>
          <w:tcPr>
            <w:tcW w:w="63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D37EA" w:rsidRDefault="007A3620" w:rsidP="00410CA6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Nafarroako Aurrekontu Orokorretako 4. eta 7. kapituluetako partidak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D37EA" w:rsidRDefault="00BD37EA" w:rsidP="007C6F8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1.487.824</w:t>
            </w:r>
          </w:p>
        </w:tc>
      </w:tr>
      <w:tr w:rsidR="00BD37EA" w:rsidTr="008C265C">
        <w:trPr>
          <w:trHeight w:val="255"/>
          <w:jc w:val="center"/>
        </w:trPr>
        <w:tc>
          <w:tcPr>
            <w:tcW w:w="638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37EA" w:rsidRDefault="007A3620" w:rsidP="007A3620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Ustiapeneko diru-sarrerak eta diru-laguntzak fundazio publikoetan</w:t>
            </w:r>
          </w:p>
        </w:tc>
        <w:tc>
          <w:tcPr>
            <w:tcW w:w="2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37EA" w:rsidRDefault="00BD37EA" w:rsidP="007C6F8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6.748</w:t>
            </w:r>
          </w:p>
        </w:tc>
      </w:tr>
      <w:tr w:rsidR="00BD37EA" w:rsidRPr="00BD37EA" w:rsidTr="008C265C">
        <w:trPr>
          <w:trHeight w:val="300"/>
          <w:jc w:val="center"/>
        </w:trPr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37EA" w:rsidRPr="00BD37EA" w:rsidRDefault="00BD37EA" w:rsidP="007C6F82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Ehunekoa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37EA" w:rsidRPr="00BD37EA" w:rsidRDefault="00BD37EA" w:rsidP="007C6F8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0,45</w:t>
            </w:r>
          </w:p>
        </w:tc>
      </w:tr>
    </w:tbl>
    <w:p w:rsidR="00B71398" w:rsidRDefault="00B117B9" w:rsidP="00862DAE">
      <w:pPr>
        <w:pStyle w:val="texto"/>
        <w:spacing w:before="260"/>
      </w:pPr>
      <w:r>
        <w:t>Sozietate eta fundazio publikoetako langileen egiturak eta egitura finantz</w:t>
      </w:r>
      <w:r>
        <w:t>a</w:t>
      </w:r>
      <w:r>
        <w:t>rioak, emandako datuen arabera, eragin eskasa dute, Nafarroako Foru Komun</w:t>
      </w:r>
      <w:r>
        <w:t>i</w:t>
      </w:r>
      <w:r>
        <w:t>tateko Administrazioaren eta haren erakunde autonomoen langile- eta aurr</w:t>
      </w:r>
      <w:r>
        <w:t>e</w:t>
      </w:r>
      <w:r>
        <w:t xml:space="preserve">kontu-magnitudeen osotasunarekin alderatuta. </w:t>
      </w:r>
    </w:p>
    <w:p w:rsidR="00AB4A69" w:rsidRPr="00727CA3" w:rsidRDefault="00AB4A69" w:rsidP="00AB4A69">
      <w:pPr>
        <w:pStyle w:val="atitulo2"/>
        <w:spacing w:before="240"/>
      </w:pPr>
      <w:bookmarkStart w:id="10" w:name="_Toc528306521"/>
      <w:r>
        <w:t>II.2. Sektore publikoa berrantolatzeko planak</w:t>
      </w:r>
      <w:bookmarkEnd w:id="10"/>
      <w:r>
        <w:t xml:space="preserve"> </w:t>
      </w:r>
      <w:bookmarkEnd w:id="9"/>
    </w:p>
    <w:p w:rsidR="00AB4A69" w:rsidRPr="00AD7F66" w:rsidRDefault="00AB4A69" w:rsidP="00AB4A69">
      <w:pPr>
        <w:pStyle w:val="atitulo3"/>
        <w:spacing w:before="240"/>
        <w:rPr>
          <w:rFonts w:cs="Arial"/>
        </w:rPr>
      </w:pPr>
      <w:bookmarkStart w:id="11" w:name="_Toc521909261"/>
      <w:r>
        <w:t>II.2.1. Sektore publikoa berrantolatzeko esparru-akordioak</w:t>
      </w:r>
      <w:bookmarkEnd w:id="11"/>
      <w:r>
        <w:t xml:space="preserve"> </w:t>
      </w:r>
    </w:p>
    <w:p w:rsidR="00AB4A69" w:rsidRDefault="00AB4A69" w:rsidP="00AB4A69">
      <w:pPr>
        <w:pStyle w:val="texto"/>
      </w:pPr>
      <w:r>
        <w:t xml:space="preserve">Krisi ekonomiko larriaren ondorioz azken urteetan izan diren inguruabar ekonomikoek beraiekin ekarri zuten ondoz ondoko erreformak egiten hastea sektore publikoaren eremuan, finantza publikoei eusteko helburu nagusiarekin; erreforma horiek, besteak </w:t>
      </w:r>
      <w:proofErr w:type="spellStart"/>
      <w:r>
        <w:t>beste</w:t>
      </w:r>
      <w:proofErr w:type="spellEnd"/>
      <w:r>
        <w:t>, eragina izan zuten administrazio publikoetako egituren dimentsioak finkatzerakoan.</w:t>
      </w:r>
    </w:p>
    <w:p w:rsidR="00AB4A69" w:rsidRPr="00E74521" w:rsidRDefault="00AB4A69" w:rsidP="00AB4A69">
      <w:pPr>
        <w:pStyle w:val="texto"/>
      </w:pPr>
      <w:r>
        <w:t xml:space="preserve">Horretarako, Politika Fiskal eta Finantzarioaren Kontseiluak, besteak </w:t>
      </w:r>
      <w:proofErr w:type="spellStart"/>
      <w:r>
        <w:t>beste</w:t>
      </w:r>
      <w:proofErr w:type="spellEnd"/>
      <w:r>
        <w:t>, honako ezaugarriak dituzten bi esparru-akordio onetsi zituen:</w:t>
      </w:r>
    </w:p>
    <w:p w:rsidR="00AB4A69" w:rsidRPr="00CE48F6" w:rsidRDefault="00AB4A69" w:rsidP="00AB4A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Autonomia-erkidegoekiko eta autonomia-estatutua duten hiriekiko ma</w:t>
      </w:r>
      <w:r>
        <w:t>r</w:t>
      </w:r>
      <w:r>
        <w:t xml:space="preserve">txoaren 22ko 1/2010 esparru-hitzarmena, 2010-2013 aldiko finantza publikoen </w:t>
      </w:r>
      <w:r>
        <w:lastRenderedPageBreak/>
        <w:t>jasangarritasunari buruzkoa. Akordio horrek, beste konpromiso batzuen artean, ezartzen du arrazionalizatze-plan autonomikoak onetsiko direla erkidego b</w:t>
      </w:r>
      <w:r>
        <w:t>a</w:t>
      </w:r>
      <w:r>
        <w:t xml:space="preserve">koitzaren sektore publikoen egituren gainean, gastu publikoaren efizientzia hobetzeko eta gastu hori gutxitzeko. Halakoen hasierarako erreferentziako data gisa 2010eko uztailaren 1a ezarri zen. </w:t>
      </w:r>
    </w:p>
    <w:p w:rsidR="00AB4A69" w:rsidRDefault="00AB4A69" w:rsidP="00AB4A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80"/>
        <w:ind w:left="0" w:firstLine="289"/>
        <w:rPr>
          <w:rFonts w:cs="Arial"/>
        </w:rPr>
      </w:pPr>
      <w:r>
        <w:t>Urtarrilaren 17ko 5/2012 esparru-akordioa, zeinaren bidez berregitur</w:t>
      </w:r>
      <w:r>
        <w:t>a</w:t>
      </w:r>
      <w:r>
        <w:t>tzeen 2011ko ekainaren 1eko balantzea egiten baita eta beste konpromiso b</w:t>
      </w:r>
      <w:r>
        <w:t>a</w:t>
      </w:r>
      <w:r>
        <w:t>tzuk ezartzen baitira sektore publiko autonomikoak berrantolatzeko. Halaber, esparru-akordio horretan erabaki zen Ogasuneko eta Funtzio Publikoko Mini</w:t>
      </w:r>
      <w:r>
        <w:t>s</w:t>
      </w:r>
      <w:r>
        <w:t xml:space="preserve">terioan autonomia-erkidegoen menpeko </w:t>
      </w:r>
      <w:proofErr w:type="spellStart"/>
      <w:r>
        <w:t>enteen</w:t>
      </w:r>
      <w:proofErr w:type="spellEnd"/>
      <w:r>
        <w:t xml:space="preserve"> inbentario bat sortzea, ema</w:t>
      </w:r>
      <w:r>
        <w:t>n</w:t>
      </w:r>
      <w:r>
        <w:t>dako informazio autonomikoa oinarritzat harturik; informazio hori, izan ere, berrantolaketa-neurrien plan batekin eta prozesu hori dela-eta espero diren o</w:t>
      </w:r>
      <w:r>
        <w:t>n</w:t>
      </w:r>
      <w:r>
        <w:t>doreekin batera bidali beharko da.</w:t>
      </w:r>
    </w:p>
    <w:p w:rsidR="00AB4A69" w:rsidRDefault="00AB4A69" w:rsidP="00AB4A69">
      <w:pPr>
        <w:pStyle w:val="texto"/>
        <w:spacing w:after="120"/>
      </w:pPr>
      <w:r>
        <w:t>Foru Komunitateko Administrazioak Ogasuneko eta Funtzio Publikoko M</w:t>
      </w:r>
      <w:r>
        <w:t>i</w:t>
      </w:r>
      <w:r>
        <w:t>nisterioari aipatutako akordioetan aurreikusitako informazioa igorri dio, hart</w:t>
      </w:r>
      <w:r>
        <w:t>u</w:t>
      </w:r>
      <w:r>
        <w:t xml:space="preserve">tako konpromisoak betez.  </w:t>
      </w:r>
    </w:p>
    <w:p w:rsidR="00AB4A69" w:rsidRDefault="00410CA6" w:rsidP="00AB4A69">
      <w:pPr>
        <w:pStyle w:val="texto"/>
        <w:spacing w:after="120"/>
      </w:pPr>
      <w:r>
        <w:t>Dauden entitateei eta haien bilakaerari buruzko informazioa, aipatutako i</w:t>
      </w:r>
      <w:r>
        <w:t>n</w:t>
      </w:r>
      <w:r>
        <w:t>bentarioan ageri diren berrantolaketa-planen ondoriozkoa, HAP/2105/2012 Aginduan ezarritako irizpideekin egiten da</w:t>
      </w:r>
      <w:r w:rsidR="00AB4A69">
        <w:rPr>
          <w:rStyle w:val="Refdenotaalpie"/>
          <w:lang w:val="es-ES"/>
        </w:rPr>
        <w:footnoteReference w:id="4"/>
      </w:r>
      <w:r>
        <w:t>; irizpide horiek, ordea, ez datoz bat gure fiskalizazioaren norainoko subjektiboarekin, eta gure txostenean jas</w:t>
      </w:r>
      <w:r>
        <w:t>o</w:t>
      </w:r>
      <w:r>
        <w:t xml:space="preserve">takoez beste </w:t>
      </w:r>
      <w:proofErr w:type="spellStart"/>
      <w:r>
        <w:t>ente-zerrenda</w:t>
      </w:r>
      <w:proofErr w:type="spellEnd"/>
      <w:r>
        <w:t xml:space="preserve"> bat dakar. </w:t>
      </w:r>
    </w:p>
    <w:p w:rsidR="00AB4A69" w:rsidRPr="00AD7F66" w:rsidRDefault="00AB4A69" w:rsidP="00AB4A69">
      <w:pPr>
        <w:pStyle w:val="atitulo3"/>
        <w:spacing w:before="240"/>
        <w:rPr>
          <w:rFonts w:cs="Arial"/>
        </w:rPr>
      </w:pPr>
      <w:bookmarkStart w:id="12" w:name="_Toc521909262"/>
      <w:r>
        <w:t>II.2.2. Nafarroako foru sektore publikoa berrantolatzeko planen analisia</w:t>
      </w:r>
      <w:bookmarkEnd w:id="12"/>
    </w:p>
    <w:p w:rsidR="00AB4A69" w:rsidRPr="000E1E9C" w:rsidRDefault="00AB4A69" w:rsidP="00AB4A69">
      <w:pPr>
        <w:pStyle w:val="texto"/>
        <w:spacing w:after="300"/>
        <w:rPr>
          <w:spacing w:val="2"/>
        </w:rPr>
      </w:pPr>
      <w:r>
        <w:t xml:space="preserve">Ogasuneko eta Funtzio Publikoko Ministerioak emandako informazioaren zati izan eta ezarri diren neurrien multzoa, ondoren garatzen duguna da: </w:t>
      </w:r>
    </w:p>
    <w:p w:rsidR="00AB4A69" w:rsidRPr="00F751D9" w:rsidRDefault="00AB4A69" w:rsidP="00AB4A69">
      <w:pPr>
        <w:pStyle w:val="atitulo3"/>
        <w:spacing w:before="300" w:after="20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Administrazioaren sektore publikoa </w:t>
      </w:r>
    </w:p>
    <w:p w:rsidR="00814827" w:rsidRDefault="00814827" w:rsidP="009C627D">
      <w:pPr>
        <w:pStyle w:val="texto"/>
        <w:spacing w:after="240"/>
      </w:pPr>
      <w:r>
        <w:t xml:space="preserve">Bilakaera honako taula honetan ageri da: </w:t>
      </w:r>
    </w:p>
    <w:tbl>
      <w:tblPr>
        <w:tblW w:w="863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737"/>
        <w:gridCol w:w="737"/>
        <w:gridCol w:w="737"/>
        <w:gridCol w:w="737"/>
        <w:gridCol w:w="737"/>
        <w:gridCol w:w="737"/>
        <w:gridCol w:w="737"/>
      </w:tblGrid>
      <w:tr w:rsidR="00B63E7F" w:rsidRPr="00F751D9" w:rsidTr="008D1C82">
        <w:trPr>
          <w:trHeight w:val="300"/>
          <w:jc w:val="center"/>
        </w:trPr>
        <w:tc>
          <w:tcPr>
            <w:tcW w:w="3476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563DBA" w:rsidP="00563DBA">
            <w:pPr>
              <w:pStyle w:val="cuadroCabe"/>
              <w:jc w:val="left"/>
              <w:rPr>
                <w:rFonts w:cs="Arial"/>
                <w:szCs w:val="18"/>
              </w:rPr>
            </w:pPr>
            <w:proofErr w:type="spellStart"/>
            <w:r>
              <w:t>Ente</w:t>
            </w:r>
            <w:proofErr w:type="spellEnd"/>
            <w:r>
              <w:t xml:space="preserve"> publikoak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 2010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2011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2012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2013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2014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2015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2016</w:t>
            </w:r>
          </w:p>
        </w:tc>
      </w:tr>
      <w:tr w:rsidR="00B63E7F" w:rsidRPr="00F751D9" w:rsidTr="008D1C82">
        <w:trPr>
          <w:trHeight w:val="255"/>
          <w:jc w:val="center"/>
        </w:trPr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left"/>
              <w:rPr>
                <w:szCs w:val="20"/>
              </w:rPr>
            </w:pPr>
            <w:r>
              <w:t xml:space="preserve">Guztira 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1</w:t>
            </w:r>
          </w:p>
        </w:tc>
      </w:tr>
      <w:tr w:rsidR="00B63E7F" w:rsidRPr="00651C65" w:rsidTr="008D1C82">
        <w:trPr>
          <w:trHeight w:hRule="exact" w:val="170"/>
          <w:jc w:val="center"/>
        </w:trPr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B63E7F" w:rsidRPr="00651C65" w:rsidRDefault="00B63E7F" w:rsidP="00B63E7F">
            <w:pPr>
              <w:spacing w:after="0"/>
              <w:ind w:firstLine="0"/>
              <w:rPr>
                <w:rFonts w:asciiTheme="minorHAnsi" w:hAnsiTheme="minorHAnsi"/>
                <w:color w:val="000000"/>
                <w:lang w:val="es-ES" w:eastAsia="es-ES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651C65" w:rsidRDefault="00B63E7F" w:rsidP="00B63E7F">
            <w:pPr>
              <w:spacing w:after="0"/>
              <w:ind w:firstLine="0"/>
              <w:jc w:val="right"/>
              <w:rPr>
                <w:rFonts w:asciiTheme="minorHAnsi" w:hAnsiTheme="minorHAnsi"/>
                <w:color w:val="000000"/>
                <w:lang w:val="es-ES" w:eastAsia="es-ES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651C65" w:rsidRDefault="00B63E7F" w:rsidP="00B63E7F">
            <w:pPr>
              <w:spacing w:after="0"/>
              <w:ind w:firstLine="0"/>
              <w:jc w:val="right"/>
              <w:rPr>
                <w:rFonts w:asciiTheme="minorHAnsi" w:hAnsiTheme="minorHAnsi"/>
                <w:color w:val="000000"/>
                <w:lang w:val="es-ES" w:eastAsia="es-ES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651C65" w:rsidRDefault="00B63E7F" w:rsidP="00B63E7F">
            <w:pPr>
              <w:spacing w:after="0"/>
              <w:ind w:firstLine="0"/>
              <w:jc w:val="right"/>
              <w:rPr>
                <w:rFonts w:asciiTheme="minorHAnsi" w:hAnsiTheme="minorHAnsi"/>
                <w:color w:val="000000"/>
                <w:lang w:val="es-ES" w:eastAsia="es-ES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651C65" w:rsidRDefault="00B63E7F" w:rsidP="00B63E7F">
            <w:pPr>
              <w:spacing w:after="0"/>
              <w:ind w:firstLine="0"/>
              <w:jc w:val="right"/>
              <w:rPr>
                <w:rFonts w:asciiTheme="minorHAnsi" w:hAnsiTheme="minorHAnsi"/>
                <w:color w:val="000000"/>
                <w:lang w:val="es-ES" w:eastAsia="es-ES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651C65" w:rsidRDefault="00B63E7F" w:rsidP="00B63E7F">
            <w:pPr>
              <w:spacing w:after="0"/>
              <w:ind w:firstLine="0"/>
              <w:jc w:val="right"/>
              <w:rPr>
                <w:rFonts w:asciiTheme="minorHAnsi" w:hAnsiTheme="minorHAnsi"/>
                <w:color w:val="000000"/>
                <w:lang w:val="es-ES" w:eastAsia="es-ES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651C65" w:rsidRDefault="00B63E7F" w:rsidP="00B63E7F">
            <w:pPr>
              <w:spacing w:after="0"/>
              <w:ind w:firstLine="0"/>
              <w:jc w:val="right"/>
              <w:rPr>
                <w:rFonts w:asciiTheme="minorHAnsi" w:hAnsiTheme="minorHAnsi"/>
                <w:color w:val="000000"/>
                <w:lang w:val="es-ES" w:eastAsia="es-ES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651C65" w:rsidRDefault="00B63E7F" w:rsidP="00B63E7F">
            <w:pPr>
              <w:spacing w:after="0"/>
              <w:ind w:firstLine="0"/>
              <w:jc w:val="right"/>
              <w:rPr>
                <w:rFonts w:asciiTheme="minorHAnsi" w:hAnsiTheme="minorHAnsi"/>
                <w:color w:val="000000"/>
                <w:lang w:val="es-ES" w:eastAsia="es-ES"/>
              </w:rPr>
            </w:pPr>
          </w:p>
        </w:tc>
      </w:tr>
      <w:tr w:rsidR="00B63E7F" w:rsidRPr="00F751D9" w:rsidTr="008D1C82">
        <w:trPr>
          <w:trHeight w:val="312"/>
          <w:jc w:val="center"/>
        </w:trPr>
        <w:tc>
          <w:tcPr>
            <w:tcW w:w="3476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left"/>
              <w:rPr>
                <w:rFonts w:cs="Arial"/>
                <w:szCs w:val="18"/>
              </w:rPr>
            </w:pPr>
            <w:r>
              <w:t>Erakunde autonomoak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2010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2011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2012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2013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2014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2015</w:t>
            </w:r>
          </w:p>
        </w:tc>
        <w:tc>
          <w:tcPr>
            <w:tcW w:w="737" w:type="dxa"/>
            <w:shd w:val="clear" w:color="auto" w:fill="8DB3E2" w:themeFill="text2" w:themeFillTint="66"/>
            <w:noWrap/>
            <w:vAlign w:val="center"/>
            <w:hideMark/>
          </w:tcPr>
          <w:p w:rsidR="00B63E7F" w:rsidRPr="00F751D9" w:rsidRDefault="00B63E7F" w:rsidP="00B63E7F">
            <w:pPr>
              <w:pStyle w:val="cuadroCabe"/>
              <w:jc w:val="right"/>
              <w:rPr>
                <w:rFonts w:cs="Arial"/>
                <w:szCs w:val="18"/>
              </w:rPr>
            </w:pPr>
            <w:r>
              <w:t>2016</w:t>
            </w:r>
          </w:p>
        </w:tc>
      </w:tr>
      <w:tr w:rsidR="00B63E7F" w:rsidRPr="00F751D9" w:rsidTr="008D1C82">
        <w:trPr>
          <w:trHeight w:val="255"/>
          <w:jc w:val="center"/>
        </w:trPr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left"/>
              <w:rPr>
                <w:szCs w:val="20"/>
              </w:rPr>
            </w:pPr>
            <w:r>
              <w:t>Guztira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63E7F" w:rsidRPr="00F751D9" w:rsidRDefault="00B63E7F" w:rsidP="00B63E7F">
            <w:pPr>
              <w:pStyle w:val="cuatexto"/>
              <w:jc w:val="right"/>
              <w:rPr>
                <w:szCs w:val="20"/>
              </w:rPr>
            </w:pPr>
            <w:r>
              <w:t>8</w:t>
            </w:r>
          </w:p>
        </w:tc>
      </w:tr>
    </w:tbl>
    <w:p w:rsidR="009C4213" w:rsidRDefault="009C4213" w:rsidP="00D91B88">
      <w:pPr>
        <w:pStyle w:val="texto"/>
        <w:spacing w:before="240"/>
        <w:rPr>
          <w:spacing w:val="4"/>
        </w:rPr>
      </w:pPr>
      <w:r>
        <w:t xml:space="preserve">2. eranskinean, </w:t>
      </w:r>
      <w:proofErr w:type="spellStart"/>
      <w:r>
        <w:t>ente</w:t>
      </w:r>
      <w:proofErr w:type="spellEnd"/>
      <w:r>
        <w:t xml:space="preserve"> eta erakunde autonomoen xehetasunak ageri dira.</w:t>
      </w:r>
    </w:p>
    <w:p w:rsidR="00A52177" w:rsidRDefault="00A52177" w:rsidP="00D91B88">
      <w:pPr>
        <w:pStyle w:val="texto"/>
        <w:spacing w:after="260"/>
      </w:pPr>
    </w:p>
    <w:p w:rsidR="00B63E7F" w:rsidRDefault="00B63E7F" w:rsidP="00D91B88">
      <w:pPr>
        <w:pStyle w:val="texto"/>
        <w:spacing w:after="260"/>
      </w:pPr>
      <w:r>
        <w:lastRenderedPageBreak/>
        <w:t>Berrantolatzea honako informazio honen arabera egin da:</w:t>
      </w:r>
    </w:p>
    <w:tbl>
      <w:tblPr>
        <w:tblW w:w="86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1207"/>
        <w:gridCol w:w="851"/>
        <w:gridCol w:w="1381"/>
        <w:gridCol w:w="2757"/>
      </w:tblGrid>
      <w:tr w:rsidR="00B63E7F" w:rsidRPr="00D17755" w:rsidTr="00B63E7F">
        <w:trPr>
          <w:trHeight w:val="340"/>
          <w:jc w:val="center"/>
        </w:trPr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B63E7F" w:rsidRPr="00D17755" w:rsidRDefault="00B63E7F" w:rsidP="00B63E7F">
            <w:pPr>
              <w:pStyle w:val="cuadroCabe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Ezeztatutako entitatea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B63E7F" w:rsidRPr="00D17755" w:rsidRDefault="00B63E7F" w:rsidP="00B63E7F">
            <w:pPr>
              <w:pStyle w:val="cuadroCab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Berrantol</w:t>
            </w:r>
            <w:r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tzeko modua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B63E7F" w:rsidRPr="00D17755" w:rsidRDefault="00B63E7F" w:rsidP="00B63E7F">
            <w:pPr>
              <w:pStyle w:val="cuadroCab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Ekitaldia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B63E7F" w:rsidRPr="00D17755" w:rsidRDefault="00B63E7F" w:rsidP="00B63E7F">
            <w:pPr>
              <w:pStyle w:val="cuadroCab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Arau xedapena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B63E7F" w:rsidRPr="00D17755" w:rsidRDefault="00B63E7F" w:rsidP="00B63E7F">
            <w:pPr>
              <w:pStyle w:val="cuadroCab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Eginkizunen jarraipena bere gain hartzen duen entitatea</w:t>
            </w:r>
          </w:p>
        </w:tc>
      </w:tr>
      <w:tr w:rsidR="00B63E7F" w:rsidRPr="00D17755" w:rsidTr="00983A8B">
        <w:trPr>
          <w:trHeight w:val="284"/>
          <w:jc w:val="center"/>
        </w:trPr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E7F" w:rsidRPr="00D17755" w:rsidRDefault="00B63E7F" w:rsidP="00563DBA">
            <w:pPr>
              <w:spacing w:after="0"/>
              <w:ind w:firstLine="0"/>
              <w:jc w:val="left"/>
              <w:rPr>
                <w:rFonts w:ascii="Arial" w:hAnsi="Arial"/>
                <w:b/>
                <w:spacing w:val="6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b/>
                <w:sz w:val="15"/>
                <w:szCs w:val="15"/>
              </w:rPr>
              <w:t>Ente</w:t>
            </w:r>
            <w:proofErr w:type="spellEnd"/>
            <w:r>
              <w:rPr>
                <w:rFonts w:ascii="Arial" w:hAnsi="Arial"/>
                <w:b/>
                <w:sz w:val="15"/>
                <w:szCs w:val="15"/>
              </w:rPr>
              <w:t xml:space="preserve"> publikoak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E7F" w:rsidRPr="00D17755" w:rsidRDefault="00B63E7F" w:rsidP="00B63E7F">
            <w:pPr>
              <w:spacing w:after="0"/>
              <w:ind w:firstLine="0"/>
              <w:jc w:val="center"/>
              <w:rPr>
                <w:rFonts w:ascii="Arial" w:hAnsi="Arial"/>
                <w:b/>
                <w:spacing w:val="6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E7F" w:rsidRPr="00D17755" w:rsidRDefault="00B63E7F" w:rsidP="00B63E7F">
            <w:pPr>
              <w:spacing w:after="0"/>
              <w:ind w:firstLine="0"/>
              <w:jc w:val="center"/>
              <w:rPr>
                <w:rFonts w:ascii="Arial" w:hAnsi="Arial"/>
                <w:b/>
                <w:spacing w:val="6"/>
                <w:sz w:val="15"/>
                <w:szCs w:val="15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E7F" w:rsidRPr="00D17755" w:rsidRDefault="00B63E7F" w:rsidP="00B63E7F">
            <w:pPr>
              <w:spacing w:after="0"/>
              <w:ind w:firstLine="0"/>
              <w:jc w:val="center"/>
              <w:rPr>
                <w:rFonts w:ascii="Arial" w:hAnsi="Arial"/>
                <w:b/>
                <w:spacing w:val="6"/>
                <w:sz w:val="15"/>
                <w:szCs w:val="15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E7F" w:rsidRPr="00D17755" w:rsidRDefault="00B63E7F" w:rsidP="00B63E7F">
            <w:pPr>
              <w:spacing w:after="0"/>
              <w:ind w:firstLine="0"/>
              <w:jc w:val="left"/>
              <w:rPr>
                <w:rFonts w:ascii="Arial" w:hAnsi="Arial"/>
                <w:b/>
                <w:spacing w:val="6"/>
                <w:sz w:val="15"/>
                <w:szCs w:val="15"/>
              </w:rPr>
            </w:pPr>
          </w:p>
        </w:tc>
      </w:tr>
      <w:tr w:rsidR="00B63E7F" w:rsidRPr="00D17755" w:rsidTr="00983A8B">
        <w:trPr>
          <w:trHeight w:val="284"/>
          <w:jc w:val="center"/>
        </w:trPr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E7F" w:rsidRPr="00D17755" w:rsidRDefault="00B63E7F" w:rsidP="00B63E7F">
            <w:pPr>
              <w:spacing w:after="0"/>
              <w:ind w:firstLine="0"/>
              <w:jc w:val="left"/>
              <w:rPr>
                <w:rFonts w:ascii="Arial" w:hAnsi="Arial"/>
                <w:b/>
                <w:spacing w:val="6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Ikus-entzunezkoen Kontse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i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lua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E7F" w:rsidRPr="00D17755" w:rsidRDefault="00B63E7F" w:rsidP="00B63E7F">
            <w:pPr>
              <w:spacing w:after="0"/>
              <w:ind w:firstLine="0"/>
              <w:jc w:val="center"/>
              <w:rPr>
                <w:rFonts w:ascii="Arial" w:hAnsi="Arial"/>
                <w:b/>
                <w:spacing w:val="6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Azkentzea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E7F" w:rsidRPr="00D17755" w:rsidRDefault="00B63E7F" w:rsidP="00B63E7F">
            <w:pPr>
              <w:spacing w:after="0"/>
              <w:ind w:firstLine="0"/>
              <w:jc w:val="center"/>
              <w:rPr>
                <w:rFonts w:ascii="Arial" w:hAnsi="Arial"/>
                <w:b/>
                <w:spacing w:val="6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E7F" w:rsidRPr="00D17755" w:rsidRDefault="00B63E7F" w:rsidP="00B63E7F">
            <w:pPr>
              <w:spacing w:after="0"/>
              <w:ind w:firstLine="0"/>
              <w:jc w:val="center"/>
              <w:rPr>
                <w:rFonts w:ascii="Arial" w:hAnsi="Arial"/>
                <w:b/>
                <w:spacing w:val="6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15/2011 Foru Legea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Kulturako, Turismoko eta Erakunde Harr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manetako Departamentua</w:t>
            </w:r>
            <w:r>
              <w:rPr>
                <w:rStyle w:val="Refdenotaalpie"/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footnoteReference w:id="5"/>
            </w:r>
          </w:p>
        </w:tc>
      </w:tr>
      <w:tr w:rsidR="00B63E7F" w:rsidRPr="00D17755" w:rsidTr="00983A8B">
        <w:trPr>
          <w:trHeight w:val="284"/>
          <w:jc w:val="center"/>
        </w:trPr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D17755" w:rsidRDefault="00B63E7F" w:rsidP="00B63E7F">
            <w:pPr>
              <w:spacing w:after="0"/>
              <w:ind w:firstLine="0"/>
              <w:jc w:val="left"/>
              <w:rPr>
                <w:rFonts w:ascii="Arial" w:hAnsi="Arial"/>
                <w:b/>
                <w:spacing w:val="6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Erakunde autonomoak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D17755" w:rsidRDefault="00B63E7F" w:rsidP="00B63E7F">
            <w:pPr>
              <w:spacing w:after="0"/>
              <w:ind w:firstLine="0"/>
              <w:jc w:val="center"/>
              <w:rPr>
                <w:rFonts w:ascii="Arial" w:hAnsi="Arial"/>
                <w:b/>
                <w:spacing w:val="6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E7F" w:rsidRPr="00D17755" w:rsidRDefault="00B63E7F" w:rsidP="00B63E7F">
            <w:pPr>
              <w:spacing w:after="0"/>
              <w:ind w:firstLine="0"/>
              <w:jc w:val="center"/>
              <w:rPr>
                <w:rFonts w:ascii="Arial" w:hAnsi="Arial"/>
                <w:b/>
                <w:spacing w:val="6"/>
                <w:sz w:val="15"/>
                <w:szCs w:val="15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D17755" w:rsidRDefault="00B63E7F" w:rsidP="00B63E7F">
            <w:pPr>
              <w:spacing w:after="0"/>
              <w:ind w:firstLine="0"/>
              <w:jc w:val="center"/>
              <w:rPr>
                <w:rFonts w:ascii="Arial" w:hAnsi="Arial"/>
                <w:b/>
                <w:spacing w:val="6"/>
                <w:sz w:val="15"/>
                <w:szCs w:val="15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D17755" w:rsidRDefault="00B63E7F" w:rsidP="00B63E7F">
            <w:pPr>
              <w:spacing w:after="0"/>
              <w:ind w:firstLine="0"/>
              <w:jc w:val="left"/>
              <w:rPr>
                <w:rFonts w:ascii="Arial" w:hAnsi="Arial"/>
                <w:b/>
                <w:spacing w:val="6"/>
                <w:sz w:val="15"/>
                <w:szCs w:val="15"/>
              </w:rPr>
            </w:pPr>
          </w:p>
        </w:tc>
      </w:tr>
      <w:tr w:rsidR="00B63E7F" w:rsidRPr="00786731" w:rsidTr="00983A8B">
        <w:trPr>
          <w:trHeight w:val="284"/>
          <w:jc w:val="center"/>
        </w:trPr>
        <w:tc>
          <w:tcPr>
            <w:tcW w:w="247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Nafarroako Mahastizaintza eta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Enologia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Zentroa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Azkentzea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142/2011 Foru Dekretua.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Landa Garapen, Industria, Enplegu eta Ingurumen Departamentua</w:t>
            </w:r>
            <w:r>
              <w:rPr>
                <w:rStyle w:val="Refdenotaalpie"/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footnoteReference w:id="6"/>
            </w:r>
          </w:p>
        </w:tc>
      </w:tr>
      <w:tr w:rsidR="00B63E7F" w:rsidRPr="00786731" w:rsidTr="00B63E7F">
        <w:trPr>
          <w:trHeight w:val="284"/>
          <w:jc w:val="center"/>
        </w:trPr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Administrazio Publikoaren Institutua</w:t>
            </w:r>
          </w:p>
        </w:tc>
        <w:tc>
          <w:tcPr>
            <w:tcW w:w="1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Azkentzea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3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68/2012 Foru Dekr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tua.</w:t>
            </w:r>
          </w:p>
        </w:tc>
        <w:tc>
          <w:tcPr>
            <w:tcW w:w="27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Lehendakaritzako, Funtzio Publikoko, Ba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neko eta Justiziako Departamentua</w:t>
            </w:r>
          </w:p>
        </w:tc>
      </w:tr>
      <w:tr w:rsidR="00B63E7F" w:rsidRPr="00786731" w:rsidTr="00B63E7F">
        <w:trPr>
          <w:trHeight w:val="284"/>
          <w:jc w:val="center"/>
        </w:trPr>
        <w:tc>
          <w:tcPr>
            <w:tcW w:w="2473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Nafarroako Kirol Institutua </w:t>
            </w:r>
          </w:p>
        </w:tc>
        <w:tc>
          <w:tcPr>
            <w:tcW w:w="1207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Baterakuntza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381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35/2012 eta 73/2012 foru dekretuak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Gizarte Politiketako Departamentuko Naf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rroako Kirol eta Gazteriaren Institutua</w:t>
            </w:r>
            <w:r>
              <w:rPr>
                <w:rStyle w:val="Refdenotaalpie"/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footnoteReference w:id="7"/>
            </w:r>
          </w:p>
        </w:tc>
      </w:tr>
      <w:tr w:rsidR="00B63E7F" w:rsidRPr="00786731" w:rsidTr="000E1A3E">
        <w:trPr>
          <w:trHeight w:val="284"/>
          <w:jc w:val="center"/>
        </w:trPr>
        <w:tc>
          <w:tcPr>
            <w:tcW w:w="247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Gazteriaren Institutua</w:t>
            </w:r>
          </w:p>
        </w:tc>
        <w:tc>
          <w:tcPr>
            <w:tcW w:w="1207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757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B63E7F" w:rsidRPr="00786731" w:rsidTr="000E1A3E">
        <w:trPr>
          <w:trHeight w:val="284"/>
          <w:jc w:val="center"/>
        </w:trPr>
        <w:tc>
          <w:tcPr>
            <w:tcW w:w="247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Nafarroako Larrialdietako Agentzia </w:t>
            </w:r>
          </w:p>
        </w:tc>
        <w:tc>
          <w:tcPr>
            <w:tcW w:w="120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Azkentzea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38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197/2015 Foru Dekretua.</w:t>
            </w:r>
          </w:p>
        </w:tc>
        <w:tc>
          <w:tcPr>
            <w:tcW w:w="275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786731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Lehendakaritzako, Funtzio Publikoko, Ba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neko eta Justiziako Departamentua</w:t>
            </w:r>
          </w:p>
        </w:tc>
      </w:tr>
    </w:tbl>
    <w:p w:rsidR="00B63E7F" w:rsidRDefault="00B63E7F" w:rsidP="00D91B88">
      <w:pPr>
        <w:pStyle w:val="texto"/>
        <w:spacing w:before="260"/>
        <w:rPr>
          <w:spacing w:val="4"/>
        </w:rPr>
      </w:pPr>
      <w:r>
        <w:t>Entitate horiek ezabatzea erabaki da organo eskudunak onetsitako arau-xedapenen bitartez, Foru Komunitatearen esparru juridikoaren terminoetan. Ez dago jasota administrazioaren sektore publikoa berrantolatzeko plan bat onetsi denik, prozesu horren plangintzarako tresna gisa.</w:t>
      </w:r>
    </w:p>
    <w:p w:rsidR="00AB4A69" w:rsidRPr="00F751D9" w:rsidRDefault="00AB4A69" w:rsidP="00D91B88">
      <w:pPr>
        <w:pStyle w:val="atitulo3"/>
        <w:spacing w:before="300" w:after="20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Enpresen sektore publikoa</w:t>
      </w:r>
    </w:p>
    <w:p w:rsidR="003D103F" w:rsidRDefault="003D103F" w:rsidP="00D91B88">
      <w:pPr>
        <w:pStyle w:val="texto"/>
        <w:spacing w:after="240"/>
      </w:pPr>
      <w:r>
        <w:t xml:space="preserve">Bilakaera honako taula honetan ageri da: </w:t>
      </w: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541"/>
        <w:gridCol w:w="541"/>
        <w:gridCol w:w="541"/>
        <w:gridCol w:w="541"/>
        <w:gridCol w:w="541"/>
        <w:gridCol w:w="541"/>
        <w:gridCol w:w="541"/>
      </w:tblGrid>
      <w:tr w:rsidR="003D103F" w:rsidRPr="00004620" w:rsidTr="003D103F">
        <w:trPr>
          <w:trHeight w:val="312"/>
          <w:jc w:val="center"/>
        </w:trPr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Sozietate publikoak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2012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2013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2014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2015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DB4E2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2016</w:t>
            </w:r>
          </w:p>
        </w:tc>
      </w:tr>
      <w:tr w:rsidR="003D103F" w:rsidRPr="00004620" w:rsidTr="003D103F">
        <w:trPr>
          <w:trHeight w:val="255"/>
          <w:jc w:val="center"/>
        </w:trPr>
        <w:tc>
          <w:tcPr>
            <w:tcW w:w="49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lef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NEPKren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sozietate nagusia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3D103F" w:rsidRPr="00004620" w:rsidTr="003D103F">
        <w:trPr>
          <w:trHeight w:val="255"/>
          <w:jc w:val="center"/>
        </w:trPr>
        <w:tc>
          <w:tcPr>
            <w:tcW w:w="4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lef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Menpeko sozietate publikoak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D103F" w:rsidRPr="00004620" w:rsidTr="003D103F">
        <w:trPr>
          <w:trHeight w:val="255"/>
          <w:jc w:val="center"/>
        </w:trPr>
        <w:tc>
          <w:tcPr>
            <w:tcW w:w="4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103F" w:rsidRPr="00B42E01" w:rsidRDefault="003D103F" w:rsidP="003D103F">
            <w:pPr>
              <w:spacing w:after="0"/>
              <w:ind w:firstLine="0"/>
              <w:jc w:val="left"/>
              <w:rPr>
                <w:rFonts w:ascii="Arial Narrow" w:hAnsi="Arial Narrow" w:cs="Tahoma"/>
                <w:color w:val="000000"/>
                <w:sz w:val="12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&gt; % 50eko zuzeneko partaidetzako sozietate publikoak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3D103F" w:rsidRPr="00004620" w:rsidTr="003D103F">
        <w:trPr>
          <w:trHeight w:val="255"/>
          <w:jc w:val="center"/>
        </w:trPr>
        <w:tc>
          <w:tcPr>
            <w:tcW w:w="4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103F" w:rsidRDefault="003D103F" w:rsidP="003D103F">
            <w:pPr>
              <w:spacing w:after="0"/>
              <w:ind w:firstLine="0"/>
              <w:jc w:val="lef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&gt; % 50eko zeharkako partaidetzako sozietate publikoak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103F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D103F" w:rsidRDefault="003D103F" w:rsidP="003D103F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3D103F" w:rsidRPr="00004620" w:rsidTr="003D103F">
        <w:trPr>
          <w:trHeight w:val="255"/>
          <w:jc w:val="center"/>
        </w:trPr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Guztira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103F" w:rsidRPr="00004620" w:rsidRDefault="003D103F" w:rsidP="003D10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17</w:t>
            </w:r>
          </w:p>
        </w:tc>
      </w:tr>
    </w:tbl>
    <w:p w:rsidR="00AB4A69" w:rsidRPr="00415E68" w:rsidRDefault="00AB4A69" w:rsidP="00D91B88">
      <w:pPr>
        <w:pStyle w:val="texto"/>
        <w:spacing w:before="240"/>
        <w:rPr>
          <w:spacing w:val="0"/>
        </w:rPr>
      </w:pPr>
      <w:r>
        <w:t>Enpresen sektore publikoa berrantolatzeko prozesua Enpresa Korporazio Publikoa SMP (aurrerantzean, NEPK) sortzeari buruzko ekainaren 18ko 8/2009 Foru Legearekin hasi zen. Arau hori Nafarroako Ondareari buruzko apirilaren 4ko 14/2007 Foru Legeak ezarri zuen gaikuntzari dagokio, zeren eta jo baitzuen enpresen ondare publikoaren berregituratzea Foru Komunitateko Administrazioaren enpresen ondare publikoaren barneko berrantolaketa-modu bat zela.</w:t>
      </w:r>
    </w:p>
    <w:p w:rsidR="003D103F" w:rsidRPr="003D103F" w:rsidRDefault="00AB4A69" w:rsidP="00D91B88">
      <w:pPr>
        <w:pStyle w:val="texto"/>
        <w:tabs>
          <w:tab w:val="num" w:pos="2062"/>
        </w:tabs>
      </w:pPr>
      <w:r>
        <w:t xml:space="preserve">NEKP 2009ko azaroaren 4an eratu zen, pertsona bakarreko sozietate mugatu gisa, eta Foru Komunitateko Administrazioak hartu zuen haren partaidetza osoa. Enpresen sektore publikoa, horrenbestez, 2010ean, korporazioak berak eta </w:t>
      </w:r>
      <w:proofErr w:type="spellStart"/>
      <w:r>
        <w:t>NEKPren</w:t>
      </w:r>
      <w:proofErr w:type="spellEnd"/>
      <w:r>
        <w:t xml:space="preserve"> menpekoak ziren 38 sozietate publikok osatzen zuten.</w:t>
      </w:r>
    </w:p>
    <w:p w:rsidR="00AB4A69" w:rsidRPr="0097738D" w:rsidRDefault="00AB4A69" w:rsidP="00AB4A69">
      <w:pPr>
        <w:pStyle w:val="texto"/>
        <w:spacing w:after="100"/>
        <w:rPr>
          <w:spacing w:val="0"/>
        </w:rPr>
      </w:pPr>
      <w:r>
        <w:lastRenderedPageBreak/>
        <w:t xml:space="preserve">Honako hauek dira NEKP sortu ondoren onetsi diren berrantolaketa-planak: </w:t>
      </w:r>
    </w:p>
    <w:p w:rsidR="00AB4A69" w:rsidRDefault="00AB4A69" w:rsidP="00D771D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60"/>
        <w:ind w:left="0" w:firstLine="289"/>
        <w:rPr>
          <w:rFonts w:cs="Arial"/>
        </w:rPr>
      </w:pPr>
      <w:r>
        <w:t>Enpresen sektore publikoaren berrantolatzerako eta berregituratzerako I. Plana, Nafarroako Gobernuaren 2010eko abenduaren 20ko erabakiaz onetsia</w:t>
      </w:r>
      <w:r>
        <w:rPr>
          <w:rStyle w:val="Refdenotaalpie"/>
          <w:rFonts w:cs="Arial"/>
        </w:rPr>
        <w:footnoteReference w:id="8"/>
      </w:r>
      <w:r>
        <w:t>.</w:t>
      </w:r>
    </w:p>
    <w:p w:rsidR="00AB4A69" w:rsidRPr="00E30299" w:rsidRDefault="00AB4A69" w:rsidP="00D771D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spacing w:after="160"/>
        <w:ind w:left="0" w:firstLine="289"/>
        <w:rPr>
          <w:rFonts w:cs="Arial"/>
        </w:rPr>
      </w:pPr>
      <w:r>
        <w:t xml:space="preserve">Enpresen sektore publikoa antolatzeko II. Plana, </w:t>
      </w:r>
      <w:proofErr w:type="spellStart"/>
      <w:r>
        <w:t>NEKPren</w:t>
      </w:r>
      <w:proofErr w:type="spellEnd"/>
      <w:r>
        <w:t xml:space="preserve"> Administrazio Kontseiluak 2013ko maiatzaren 13an onetsia. </w:t>
      </w:r>
    </w:p>
    <w:p w:rsidR="00AB4A69" w:rsidRDefault="00AB4A69" w:rsidP="00D771D2">
      <w:pPr>
        <w:pStyle w:val="texto"/>
        <w:spacing w:after="160"/>
      </w:pPr>
      <w:r>
        <w:t>Bi prozesu horiei buruz honako hau aipatu behar dugu:</w:t>
      </w:r>
    </w:p>
    <w:p w:rsidR="00AB4A69" w:rsidRPr="00D957CC" w:rsidRDefault="00AB4A69" w:rsidP="00D771D2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60"/>
        <w:ind w:left="0" w:firstLine="289"/>
        <w:rPr>
          <w:rFonts w:cs="Arial"/>
          <w:spacing w:val="4"/>
        </w:rPr>
      </w:pPr>
      <w:r>
        <w:t>Berregituratzea bi fasetan aplikatu da eta lehendik zeuden sozietateen xu</w:t>
      </w:r>
      <w:r>
        <w:t>r</w:t>
      </w:r>
      <w:r>
        <w:t>gatze bidezko fusioko merkataritza-operazioen bitartez egin da. Sozietate hor</w:t>
      </w:r>
      <w:r>
        <w:t>i</w:t>
      </w:r>
      <w:r>
        <w:t>etan deitura-aldaketak edo eraldaketak gertatu direnez, sozietate anonimo iz</w:t>
      </w:r>
      <w:r>
        <w:t>a</w:t>
      </w:r>
      <w:r>
        <w:t xml:space="preserve">tetik sozietate anonimo bihurtzekoak, ez dira sozietate sortu berritzat hartzen. </w:t>
      </w:r>
    </w:p>
    <w:p w:rsidR="00AB4A69" w:rsidRPr="000E1E9C" w:rsidRDefault="00AB4A69" w:rsidP="00D771D2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60"/>
        <w:ind w:left="0" w:firstLine="289"/>
        <w:rPr>
          <w:rFonts w:cs="Arial"/>
          <w:spacing w:val="2"/>
        </w:rPr>
      </w:pPr>
      <w:proofErr w:type="spellStart"/>
      <w:r>
        <w:t>NEKPren</w:t>
      </w:r>
      <w:proofErr w:type="spellEnd"/>
      <w:r>
        <w:t xml:space="preserve"> Administrazio Kontseiluak onetsitako bigarren antolamendu-planari buruzko informazioa Parlamentuko batzordean eman zen, Ekonomia, Ogasun, Industria eta Enpleguko kontseilariak </w:t>
      </w:r>
      <w:proofErr w:type="spellStart"/>
      <w:r>
        <w:t>NEKPko</w:t>
      </w:r>
      <w:proofErr w:type="spellEnd"/>
      <w:r>
        <w:t xml:space="preserve"> zuzendari nagusiar</w:t>
      </w:r>
      <w:r>
        <w:t>e</w:t>
      </w:r>
      <w:r>
        <w:t>kin batera 2013ko ekainean egin zuten agerraldian. 8/2009 Foru Legea pa</w:t>
      </w:r>
      <w:r>
        <w:t>r</w:t>
      </w:r>
      <w:r>
        <w:t xml:space="preserve">tzialki aldatzen duen abuztuaren 7ko 28/2013 Foru Legeak, bigarren xedapen iragankorrean, honako hau ezarri zuen: </w:t>
      </w:r>
      <w:r>
        <w:rPr>
          <w:i/>
          <w:iCs/>
        </w:rPr>
        <w:t>“Betiere, Nafarroako Enpresa Korp</w:t>
      </w:r>
      <w:r>
        <w:rPr>
          <w:i/>
          <w:iCs/>
        </w:rPr>
        <w:t>o</w:t>
      </w:r>
      <w:r>
        <w:rPr>
          <w:i/>
          <w:iCs/>
        </w:rPr>
        <w:t>razio Publikoaren Administrazio Kontseiluak Sektore Publikoa Berregitur</w:t>
      </w:r>
      <w:r>
        <w:rPr>
          <w:i/>
          <w:iCs/>
        </w:rPr>
        <w:t>a</w:t>
      </w:r>
      <w:r>
        <w:rPr>
          <w:i/>
          <w:iCs/>
        </w:rPr>
        <w:t>tzeko II. Plana igorri beharko dio Nafarroako Parlamentuari, eztabaidatu eta onets dezan”.</w:t>
      </w:r>
      <w:r>
        <w:t xml:space="preserve"> </w:t>
      </w:r>
    </w:p>
    <w:p w:rsidR="00AB4A69" w:rsidRPr="005C32DE" w:rsidRDefault="0088303D" w:rsidP="00D771D2">
      <w:pPr>
        <w:pStyle w:val="texto"/>
        <w:spacing w:after="160"/>
      </w:pPr>
      <w:r>
        <w:t xml:space="preserve">Aipatutako bi antolamendu-planen ondoriozko berregituratzeaz gainera, beste eragiketa batzuk egin dira, sozietate publikoen kopuruaren bilakaeran eragina izan dutenak; honako hauek dira: </w:t>
      </w:r>
    </w:p>
    <w:p w:rsidR="00AB4A69" w:rsidRPr="005C32DE" w:rsidRDefault="00AB4A69" w:rsidP="00D771D2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60"/>
        <w:ind w:left="0" w:firstLine="289"/>
        <w:rPr>
          <w:rFonts w:cs="Arial"/>
        </w:rPr>
      </w:pPr>
      <w:r>
        <w:t xml:space="preserve">2012an </w:t>
      </w:r>
      <w:proofErr w:type="spellStart"/>
      <w:r>
        <w:t>Tuckland</w:t>
      </w:r>
      <w:proofErr w:type="spellEnd"/>
      <w:r>
        <w:t xml:space="preserve"> </w:t>
      </w:r>
      <w:proofErr w:type="spellStart"/>
      <w:r>
        <w:t>Footwear</w:t>
      </w:r>
      <w:proofErr w:type="spellEnd"/>
      <w:r>
        <w:t xml:space="preserve"> SL sozietatea azkendu zen.</w:t>
      </w:r>
    </w:p>
    <w:p w:rsidR="00AB4A69" w:rsidRPr="005C32DE" w:rsidRDefault="00AB4A69" w:rsidP="00D771D2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60"/>
        <w:ind w:left="0" w:firstLine="289"/>
        <w:rPr>
          <w:rFonts w:cs="Arial"/>
        </w:rPr>
      </w:pPr>
      <w:r>
        <w:t xml:space="preserve">2013an </w:t>
      </w:r>
      <w:proofErr w:type="spellStart"/>
      <w:r>
        <w:t>Burnizko</w:t>
      </w:r>
      <w:proofErr w:type="spellEnd"/>
      <w:r>
        <w:t xml:space="preserve"> SA azpitaldea saldu zen.</w:t>
      </w:r>
    </w:p>
    <w:p w:rsidR="00AB4A69" w:rsidRPr="005C32DE" w:rsidRDefault="00AB4A69" w:rsidP="00D771D2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60"/>
        <w:ind w:left="0" w:firstLine="289"/>
        <w:rPr>
          <w:rFonts w:cs="Arial"/>
        </w:rPr>
      </w:pPr>
      <w:r>
        <w:t xml:space="preserve">2016an, </w:t>
      </w:r>
      <w:proofErr w:type="spellStart"/>
      <w:r>
        <w:t>Sociedad</w:t>
      </w:r>
      <w:proofErr w:type="spellEnd"/>
      <w:r>
        <w:t xml:space="preserve"> TRACASA Instrumental SL sortu zen. Sozietate hori sortu zen jarraitutasuna eman ahal izateko Nafarroako Foru Komunitateak </w:t>
      </w:r>
      <w:proofErr w:type="spellStart"/>
      <w:r>
        <w:t>TRACASAri</w:t>
      </w:r>
      <w:proofErr w:type="spellEnd"/>
      <w:r>
        <w:t xml:space="preserve"> egiten zizkien enkarguei; izan ere, </w:t>
      </w:r>
      <w:proofErr w:type="spellStart"/>
      <w:r>
        <w:t>TRACASAk</w:t>
      </w:r>
      <w:proofErr w:type="spellEnd"/>
      <w:r>
        <w:t>, Europako Pa</w:t>
      </w:r>
      <w:r>
        <w:t>r</w:t>
      </w:r>
      <w:r>
        <w:t>lamentuaren eta Kontseiluaren Kontratazio Publikoari buruzko 2014ko otsail</w:t>
      </w:r>
      <w:r>
        <w:t>a</w:t>
      </w:r>
      <w:r>
        <w:t>ren 26ko 2014/24/EE Zuzentarauaren ondorioz, Foru Komunitateko Admini</w:t>
      </w:r>
      <w:r>
        <w:t>s</w:t>
      </w:r>
      <w:r>
        <w:t>trazioaren bitarteko propioaren izaera galdu behar zuen</w:t>
      </w:r>
      <w:r w:rsidRPr="000340C9">
        <w:rPr>
          <w:rFonts w:cs="Arial"/>
          <w:vertAlign w:val="superscript"/>
        </w:rPr>
        <w:footnoteReference w:id="9"/>
      </w:r>
      <w:r>
        <w:t>. Sozietate horren s</w:t>
      </w:r>
      <w:r>
        <w:t>o</w:t>
      </w:r>
      <w:r>
        <w:t xml:space="preserve">rrerak berekin ekarri zuen </w:t>
      </w:r>
      <w:proofErr w:type="spellStart"/>
      <w:r>
        <w:t>TRACASAko</w:t>
      </w:r>
      <w:proofErr w:type="spellEnd"/>
      <w:r>
        <w:t xml:space="preserve"> 285 langile </w:t>
      </w:r>
      <w:proofErr w:type="spellStart"/>
      <w:r>
        <w:t>subrogatzea</w:t>
      </w:r>
      <w:proofErr w:type="spellEnd"/>
      <w:r>
        <w:t>.</w:t>
      </w:r>
    </w:p>
    <w:p w:rsidR="003A0021" w:rsidRDefault="003A0021" w:rsidP="00D771D2">
      <w:pPr>
        <w:pStyle w:val="texto"/>
        <w:tabs>
          <w:tab w:val="num" w:pos="2062"/>
        </w:tabs>
        <w:spacing w:after="160"/>
      </w:pPr>
      <w:r>
        <w:t>3. eranskinean, egindako bi fusio-prozesuak zehazten dira, eta 4. eransk</w:t>
      </w:r>
      <w:r>
        <w:t>i</w:t>
      </w:r>
      <w:r>
        <w:t>nean, berriz, sozietateen bilakaeraren banakako xehakatzea ageri da.</w:t>
      </w:r>
    </w:p>
    <w:p w:rsidR="00AB4A69" w:rsidRDefault="00AB4A69" w:rsidP="00107B6D">
      <w:pPr>
        <w:pStyle w:val="texto"/>
        <w:spacing w:after="260"/>
      </w:pPr>
      <w:proofErr w:type="spellStart"/>
      <w:r>
        <w:lastRenderedPageBreak/>
        <w:t>NEKPren</w:t>
      </w:r>
      <w:proofErr w:type="spellEnd"/>
      <w:r>
        <w:t xml:space="preserve"> partaidetzetatik datorren mapa, honako hau da 2016ko itxieran: </w:t>
      </w:r>
    </w:p>
    <w:tbl>
      <w:tblPr>
        <w:tblW w:w="87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566"/>
        <w:gridCol w:w="3143"/>
      </w:tblGrid>
      <w:tr w:rsidR="00AB4A69" w:rsidRPr="00E4168B" w:rsidTr="00AB4A69">
        <w:trPr>
          <w:trHeight w:val="340"/>
          <w:jc w:val="center"/>
        </w:trPr>
        <w:tc>
          <w:tcPr>
            <w:tcW w:w="8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ZUZENEAN PARTE HARTUTAKO SOZIETATEAK, KAPITAL SOZIALAREN EHUNEKO 50ETIK GORAKO PORTZENTAJE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A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REKIN</w:t>
            </w:r>
          </w:p>
        </w:tc>
      </w:tr>
      <w:tr w:rsidR="00AB4A69" w:rsidRPr="00E4168B" w:rsidTr="00AB4A69">
        <w:trPr>
          <w:trHeight w:hRule="exact" w:val="227"/>
          <w:jc w:val="center"/>
        </w:trPr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69" w:rsidRPr="00CA37B3" w:rsidRDefault="00AB4A69" w:rsidP="00AB4A69">
            <w:pPr>
              <w:spacing w:after="0"/>
              <w:ind w:firstLine="0"/>
              <w:jc w:val="center"/>
              <w:rPr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69" w:rsidRPr="00CA37B3" w:rsidRDefault="00AB4A69" w:rsidP="00AB4A69">
            <w:pPr>
              <w:spacing w:after="0"/>
              <w:ind w:firstLine="0"/>
              <w:jc w:val="center"/>
              <w:rPr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69" w:rsidRPr="00CA37B3" w:rsidRDefault="00AB4A69" w:rsidP="00AB4A69">
            <w:pPr>
              <w:spacing w:after="0"/>
              <w:ind w:firstLine="0"/>
              <w:jc w:val="center"/>
              <w:rPr>
                <w:color w:val="000000"/>
                <w:sz w:val="15"/>
                <w:szCs w:val="15"/>
                <w:lang w:eastAsia="es-ES"/>
              </w:rPr>
            </w:pPr>
          </w:p>
        </w:tc>
      </w:tr>
      <w:tr w:rsidR="00AB4A69" w:rsidRPr="00E4168B" w:rsidTr="00AB4A69">
        <w:trPr>
          <w:trHeight w:val="315"/>
          <w:jc w:val="center"/>
        </w:trPr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Ondoriozko enpresa publikoa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AB4A69" w:rsidRDefault="00AB4A69" w:rsidP="00AB4A6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Partaidetzaren eh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u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nekoa </w:t>
            </w:r>
          </w:p>
          <w:p w:rsidR="00AB4A69" w:rsidRPr="00E4168B" w:rsidRDefault="00AB4A69" w:rsidP="00AB4A6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AB4A69" w:rsidRPr="00E4168B" w:rsidRDefault="00AB4A69" w:rsidP="00CF1B1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Jarduera ekonomikoa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1.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Suelo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Vivienda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(NASUVINSA)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Lurzorua eta etxebizitza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2. Ciudad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Agroalimentaria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Tudela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 (CAT)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Nekazaritza-elikagaiak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Instituto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Navarro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Tecnologías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Infraestructuras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Agroalime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tarias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(INTIA)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Nekazaritza-elikagaiak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4.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Ambiental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(GAN)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Ingurumena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5.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Infraestructuras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Locales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(NILSA)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Tokiko azpiegiturak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6. Navarra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Infraestructuras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Cultura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Ocio SL  (NICDO)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Azpiegitura tematikoak, kulturakoak, aisiakoak eta kirolekoak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7.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Centro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Navarro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Aprendizaje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Idiomas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(CNAI)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Hezkuntza eta talentua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8.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Servicios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Tecnologías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(NASERTIC)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Administrazio publikoentzako zerbitzuak eta tekn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logia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9.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Centro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Europeo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Innovación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 (CEIN)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Berrikuntza eta ekintzaileak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10.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Trabajos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Catastrales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(TRACASA)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410CA6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Katastroa, kartografia eta lurralde-informazioko sistemak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11.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Trabajos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Catastrales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Instrumental SL (TRACAS  INS)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4A69" w:rsidRPr="000608A1" w:rsidRDefault="00CF1B1B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Katastroa, kartografia eta lurralde-informazioko sistemak</w:t>
            </w:r>
          </w:p>
        </w:tc>
      </w:tr>
      <w:tr w:rsidR="00AB4A69" w:rsidRPr="000608A1" w:rsidTr="00AB4A69">
        <w:trPr>
          <w:trHeight w:val="255"/>
          <w:jc w:val="center"/>
        </w:trPr>
        <w:tc>
          <w:tcPr>
            <w:tcW w:w="403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12.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Sociedad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Desarrollo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SL (SODENA)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0608A1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Ekonomiaren sustapena eta finantzaketa</w:t>
            </w:r>
          </w:p>
        </w:tc>
      </w:tr>
    </w:tbl>
    <w:p w:rsidR="00AB4A69" w:rsidRDefault="00AB4A69" w:rsidP="00AB4A69">
      <w:pPr>
        <w:pStyle w:val="texto"/>
        <w:spacing w:after="0"/>
        <w:rPr>
          <w:sz w:val="36"/>
          <w:szCs w:val="36"/>
          <w:lang w:val="es-ES"/>
        </w:rPr>
      </w:pPr>
    </w:p>
    <w:tbl>
      <w:tblPr>
        <w:tblW w:w="87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1778"/>
        <w:gridCol w:w="3177"/>
      </w:tblGrid>
      <w:tr w:rsidR="00AB4A69" w:rsidRPr="00E110D2" w:rsidTr="00AB4A69">
        <w:trPr>
          <w:trHeight w:val="454"/>
          <w:jc w:val="center"/>
        </w:trPr>
        <w:tc>
          <w:tcPr>
            <w:tcW w:w="8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AB4A69" w:rsidRPr="00E110D2" w:rsidRDefault="00AB4A69" w:rsidP="00AB4A6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ZEHARKA PARTE HARTUTAKO SOZIETATEAK, KAPITAL SOZIALAREN EHUNEKO 50ETIK GORAKO PORTZENT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JEAREKIN</w:t>
            </w:r>
          </w:p>
        </w:tc>
      </w:tr>
      <w:tr w:rsidR="00AB4A69" w:rsidRPr="00C25B24" w:rsidTr="00AB4A69">
        <w:trPr>
          <w:trHeight w:hRule="exact" w:val="227"/>
          <w:jc w:val="center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69" w:rsidRPr="00C25B24" w:rsidRDefault="00AB4A69" w:rsidP="00AB4A69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lang w:val="es-ES" w:eastAsia="es-E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69" w:rsidRPr="00C25B24" w:rsidRDefault="00AB4A69" w:rsidP="00AB4A69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lang w:val="es-ES" w:eastAsia="es-E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69" w:rsidRPr="00C25B24" w:rsidRDefault="00AB4A69" w:rsidP="00AB4A69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lang w:val="es-ES" w:eastAsia="es-ES"/>
              </w:rPr>
            </w:pPr>
          </w:p>
        </w:tc>
      </w:tr>
      <w:tr w:rsidR="00AB4A69" w:rsidRPr="008C5BF9" w:rsidTr="00AB4A69">
        <w:trPr>
          <w:trHeight w:val="300"/>
          <w:jc w:val="center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AB4A69" w:rsidRPr="008C5BF9" w:rsidRDefault="00AB4A69" w:rsidP="00AB4A6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Enpresak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AB4A69" w:rsidRPr="008C5BF9" w:rsidRDefault="00AB4A69" w:rsidP="00AB4A6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Partaidetzaren ehun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e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koa </w:t>
            </w:r>
          </w:p>
          <w:p w:rsidR="00AB4A69" w:rsidRPr="008C5BF9" w:rsidRDefault="00AB4A69" w:rsidP="00AB4A6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AB4A69" w:rsidRPr="008C5BF9" w:rsidRDefault="00AB4A69" w:rsidP="00CF1B1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Jarduera ekonomikoa</w:t>
            </w:r>
          </w:p>
        </w:tc>
      </w:tr>
      <w:tr w:rsidR="00AB4A69" w:rsidRPr="00E4168B" w:rsidTr="00AB4A69">
        <w:trPr>
          <w:trHeight w:val="255"/>
          <w:jc w:val="center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13.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Start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Up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Capital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SA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1D585C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Enpresak sustatu eta bultzatzea</w:t>
            </w:r>
          </w:p>
        </w:tc>
      </w:tr>
      <w:tr w:rsidR="00AB4A69" w:rsidRPr="00E4168B" w:rsidTr="00AB4A69">
        <w:trPr>
          <w:trHeight w:val="255"/>
          <w:jc w:val="center"/>
        </w:trPr>
        <w:tc>
          <w:tcPr>
            <w:tcW w:w="3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14. Salinas de Navarra SA</w:t>
            </w:r>
          </w:p>
        </w:tc>
        <w:tc>
          <w:tcPr>
            <w:tcW w:w="17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1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Gatza eta haren deribatuak sortu, prestatu eta merkaturatzea</w:t>
            </w:r>
          </w:p>
        </w:tc>
      </w:tr>
      <w:tr w:rsidR="00AB4A69" w:rsidRPr="00E4168B" w:rsidTr="00AB4A69">
        <w:trPr>
          <w:trHeight w:val="255"/>
          <w:jc w:val="center"/>
        </w:trPr>
        <w:tc>
          <w:tcPr>
            <w:tcW w:w="3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15.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Potasas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Subiza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17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Abonu mineralak eta potasio- eta sodio-gatzetatik deribatutako produktuak</w:t>
            </w:r>
          </w:p>
        </w:tc>
      </w:tr>
      <w:tr w:rsidR="00AB4A69" w:rsidRPr="00E4168B" w:rsidTr="00AB4A69">
        <w:trPr>
          <w:trHeight w:val="255"/>
          <w:jc w:val="center"/>
        </w:trPr>
        <w:tc>
          <w:tcPr>
            <w:tcW w:w="379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16. Natural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Climate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Systems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17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1D585C" w:rsidP="001D585C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E4168B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Higiezinen sustapena, efizientzia energetikoko irizpideekin</w:t>
            </w:r>
          </w:p>
        </w:tc>
      </w:tr>
    </w:tbl>
    <w:p w:rsidR="00AB4A69" w:rsidRPr="00023AB9" w:rsidRDefault="00AB4A69" w:rsidP="00ED0ABE">
      <w:pPr>
        <w:pStyle w:val="atitulo3"/>
        <w:spacing w:before="400" w:after="20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Fundazioen sektore publikoa</w:t>
      </w:r>
    </w:p>
    <w:p w:rsidR="0088303D" w:rsidRDefault="0088303D" w:rsidP="00ED0ABE">
      <w:pPr>
        <w:pStyle w:val="texto"/>
        <w:spacing w:before="200" w:after="240"/>
      </w:pPr>
      <w:r>
        <w:t xml:space="preserve">Fundazioen bilakaera ondoko taulan ageri da:  </w:t>
      </w:r>
    </w:p>
    <w:tbl>
      <w:tblPr>
        <w:tblW w:w="87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3194"/>
        <w:gridCol w:w="567"/>
        <w:gridCol w:w="532"/>
        <w:gridCol w:w="496"/>
        <w:gridCol w:w="567"/>
        <w:gridCol w:w="567"/>
        <w:gridCol w:w="508"/>
      </w:tblGrid>
      <w:tr w:rsidR="0088303D" w:rsidRPr="008D494B" w:rsidTr="0088303D">
        <w:trPr>
          <w:trHeight w:val="300"/>
          <w:jc w:val="center"/>
        </w:trPr>
        <w:tc>
          <w:tcPr>
            <w:tcW w:w="2357" w:type="dxa"/>
            <w:shd w:val="clear" w:color="000000" w:fill="8DB4E2"/>
            <w:noWrap/>
            <w:vAlign w:val="center"/>
            <w:hideMark/>
          </w:tcPr>
          <w:p w:rsidR="0088303D" w:rsidRPr="008D494B" w:rsidRDefault="0088303D" w:rsidP="0088303D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194" w:type="dxa"/>
            <w:shd w:val="clear" w:color="000000" w:fill="8DB4E2"/>
            <w:noWrap/>
            <w:vAlign w:val="center"/>
            <w:hideMark/>
          </w:tcPr>
          <w:p w:rsidR="0088303D" w:rsidRPr="008D494B" w:rsidRDefault="0088303D" w:rsidP="0088303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shd w:val="clear" w:color="000000" w:fill="8DB4E2"/>
            <w:noWrap/>
            <w:vAlign w:val="center"/>
            <w:hideMark/>
          </w:tcPr>
          <w:p w:rsidR="0088303D" w:rsidRPr="008D494B" w:rsidRDefault="0088303D" w:rsidP="0088303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32" w:type="dxa"/>
            <w:shd w:val="clear" w:color="000000" w:fill="8DB4E2"/>
            <w:noWrap/>
            <w:vAlign w:val="center"/>
            <w:hideMark/>
          </w:tcPr>
          <w:p w:rsidR="0088303D" w:rsidRPr="008D494B" w:rsidRDefault="0088303D" w:rsidP="0088303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96" w:type="dxa"/>
            <w:shd w:val="clear" w:color="000000" w:fill="8DB4E2"/>
            <w:noWrap/>
            <w:vAlign w:val="center"/>
            <w:hideMark/>
          </w:tcPr>
          <w:p w:rsidR="0088303D" w:rsidRPr="008D494B" w:rsidRDefault="0088303D" w:rsidP="0088303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67" w:type="dxa"/>
            <w:shd w:val="clear" w:color="000000" w:fill="8DB4E2"/>
            <w:noWrap/>
            <w:vAlign w:val="center"/>
            <w:hideMark/>
          </w:tcPr>
          <w:p w:rsidR="0088303D" w:rsidRPr="008D494B" w:rsidRDefault="0088303D" w:rsidP="0088303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67" w:type="dxa"/>
            <w:shd w:val="clear" w:color="000000" w:fill="8DB4E2"/>
            <w:noWrap/>
            <w:vAlign w:val="center"/>
            <w:hideMark/>
          </w:tcPr>
          <w:p w:rsidR="0088303D" w:rsidRPr="008D494B" w:rsidRDefault="0088303D" w:rsidP="0088303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08" w:type="dxa"/>
            <w:shd w:val="clear" w:color="000000" w:fill="8DB4E2"/>
            <w:noWrap/>
            <w:vAlign w:val="center"/>
            <w:hideMark/>
          </w:tcPr>
          <w:p w:rsidR="0088303D" w:rsidRPr="008D494B" w:rsidRDefault="0088303D" w:rsidP="0088303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</w:t>
            </w:r>
          </w:p>
        </w:tc>
      </w:tr>
      <w:tr w:rsidR="0088303D" w:rsidRPr="006027D2" w:rsidTr="0088303D">
        <w:trPr>
          <w:trHeight w:val="255"/>
          <w:jc w:val="center"/>
        </w:trPr>
        <w:tc>
          <w:tcPr>
            <w:tcW w:w="2357" w:type="dxa"/>
            <w:shd w:val="clear" w:color="auto" w:fill="auto"/>
            <w:noWrap/>
            <w:vAlign w:val="center"/>
            <w:hideMark/>
          </w:tcPr>
          <w:p w:rsidR="0088303D" w:rsidRPr="006027D2" w:rsidRDefault="00547823" w:rsidP="0088303D">
            <w:pPr>
              <w:spacing w:after="0"/>
              <w:ind w:firstLine="0"/>
              <w:jc w:val="left"/>
              <w:rPr>
                <w:rFonts w:ascii="Arial Narrow" w:hAnsi="Arial Narrow" w:cs="Arial"/>
                <w:bCs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Fundazio publikoak</w:t>
            </w:r>
          </w:p>
        </w:tc>
        <w:tc>
          <w:tcPr>
            <w:tcW w:w="3194" w:type="dxa"/>
            <w:shd w:val="clear" w:color="auto" w:fill="auto"/>
            <w:noWrap/>
            <w:vAlign w:val="center"/>
            <w:hideMark/>
          </w:tcPr>
          <w:p w:rsidR="0088303D" w:rsidRPr="006027D2" w:rsidRDefault="0088303D" w:rsidP="0088303D">
            <w:pPr>
              <w:spacing w:after="0"/>
              <w:ind w:firstLine="0"/>
              <w:jc w:val="right"/>
              <w:rPr>
                <w:rFonts w:ascii="Arial Narrow" w:hAnsi="Arial Narrow" w:cs="Arial"/>
                <w:bCs/>
                <w:sz w:val="17"/>
                <w:szCs w:val="17"/>
              </w:rPr>
            </w:pPr>
            <w:r>
              <w:rPr>
                <w:rFonts w:ascii="Arial Narrow" w:hAnsi="Arial Narrow"/>
                <w:bCs/>
                <w:sz w:val="17"/>
                <w:szCs w:val="17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03D" w:rsidRPr="006027D2" w:rsidRDefault="0088303D" w:rsidP="0088303D">
            <w:pPr>
              <w:spacing w:after="0"/>
              <w:ind w:firstLine="0"/>
              <w:jc w:val="right"/>
              <w:rPr>
                <w:rFonts w:ascii="Arial Narrow" w:hAnsi="Arial Narrow" w:cs="Arial"/>
                <w:bCs/>
                <w:sz w:val="17"/>
                <w:szCs w:val="17"/>
              </w:rPr>
            </w:pPr>
            <w:r>
              <w:rPr>
                <w:rFonts w:ascii="Arial Narrow" w:hAnsi="Arial Narrow"/>
                <w:bCs/>
                <w:sz w:val="17"/>
                <w:szCs w:val="17"/>
              </w:rPr>
              <w:t>7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8303D" w:rsidRPr="006027D2" w:rsidRDefault="0088303D" w:rsidP="0088303D">
            <w:pPr>
              <w:spacing w:after="0"/>
              <w:ind w:firstLine="0"/>
              <w:jc w:val="right"/>
              <w:rPr>
                <w:rFonts w:ascii="Arial Narrow" w:hAnsi="Arial Narrow" w:cs="Arial"/>
                <w:bCs/>
                <w:sz w:val="17"/>
                <w:szCs w:val="17"/>
              </w:rPr>
            </w:pPr>
            <w:r>
              <w:rPr>
                <w:rFonts w:ascii="Arial Narrow" w:hAnsi="Arial Narrow"/>
                <w:bCs/>
                <w:sz w:val="17"/>
                <w:szCs w:val="17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88303D" w:rsidRPr="006027D2" w:rsidRDefault="0088303D" w:rsidP="0088303D">
            <w:pPr>
              <w:spacing w:after="0"/>
              <w:ind w:firstLine="0"/>
              <w:jc w:val="right"/>
              <w:rPr>
                <w:rFonts w:ascii="Arial Narrow" w:hAnsi="Arial Narrow" w:cs="Arial"/>
                <w:bCs/>
                <w:sz w:val="17"/>
                <w:szCs w:val="17"/>
              </w:rPr>
            </w:pPr>
            <w:r>
              <w:rPr>
                <w:rFonts w:ascii="Arial Narrow" w:hAnsi="Arial Narrow"/>
                <w:bCs/>
                <w:sz w:val="17"/>
                <w:szCs w:val="17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03D" w:rsidRPr="006027D2" w:rsidRDefault="0088303D" w:rsidP="0088303D">
            <w:pPr>
              <w:spacing w:after="0"/>
              <w:ind w:firstLine="0"/>
              <w:jc w:val="right"/>
              <w:rPr>
                <w:rFonts w:ascii="Arial Narrow" w:hAnsi="Arial Narrow" w:cs="Arial"/>
                <w:bCs/>
                <w:sz w:val="17"/>
                <w:szCs w:val="17"/>
              </w:rPr>
            </w:pPr>
            <w:r>
              <w:rPr>
                <w:rFonts w:ascii="Arial Narrow" w:hAnsi="Arial Narrow"/>
                <w:bCs/>
                <w:sz w:val="17"/>
                <w:szCs w:val="17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03D" w:rsidRPr="006027D2" w:rsidRDefault="0088303D" w:rsidP="0088303D">
            <w:pPr>
              <w:spacing w:after="0"/>
              <w:ind w:firstLine="0"/>
              <w:jc w:val="right"/>
              <w:rPr>
                <w:rFonts w:ascii="Arial Narrow" w:hAnsi="Arial Narrow" w:cs="Arial"/>
                <w:bCs/>
                <w:sz w:val="17"/>
                <w:szCs w:val="17"/>
              </w:rPr>
            </w:pPr>
            <w:r>
              <w:rPr>
                <w:rFonts w:ascii="Arial Narrow" w:hAnsi="Arial Narrow"/>
                <w:bCs/>
                <w:sz w:val="17"/>
                <w:szCs w:val="17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88303D" w:rsidRPr="006027D2" w:rsidRDefault="0088303D" w:rsidP="0088303D">
            <w:pPr>
              <w:spacing w:after="0"/>
              <w:ind w:firstLine="0"/>
              <w:jc w:val="right"/>
              <w:rPr>
                <w:rFonts w:ascii="Arial Narrow" w:hAnsi="Arial Narrow" w:cs="Arial"/>
                <w:bCs/>
                <w:sz w:val="17"/>
                <w:szCs w:val="17"/>
              </w:rPr>
            </w:pPr>
            <w:r>
              <w:rPr>
                <w:rFonts w:ascii="Arial Narrow" w:hAnsi="Arial Narrow"/>
                <w:bCs/>
                <w:sz w:val="17"/>
                <w:szCs w:val="17"/>
              </w:rPr>
              <w:t>4</w:t>
            </w:r>
          </w:p>
        </w:tc>
      </w:tr>
    </w:tbl>
    <w:p w:rsidR="0088303D" w:rsidRDefault="0088303D" w:rsidP="00ED0ABE">
      <w:pPr>
        <w:pStyle w:val="texto"/>
        <w:spacing w:before="240" w:after="160"/>
      </w:pPr>
      <w:r>
        <w:t>5. eranskinean, fundazioen zerrenda eta haien bilakaera ageri dira.</w:t>
      </w:r>
    </w:p>
    <w:p w:rsidR="00AB4A69" w:rsidRPr="00D84216" w:rsidRDefault="00AB4A69" w:rsidP="00AB4A69">
      <w:pPr>
        <w:pStyle w:val="texto"/>
        <w:spacing w:after="120"/>
      </w:pPr>
      <w:r>
        <w:t>Nafarroako Gobernuak, 2013ko maiatzean, 2013</w:t>
      </w:r>
      <w:r>
        <w:noBreakHyphen/>
        <w:t>2015 Ekintza Plana onetsi zuen; hartan, Administrazioa erreformatzeko hainbat neurri erabaki ziren, eg</w:t>
      </w:r>
      <w:r>
        <w:t>i</w:t>
      </w:r>
      <w:r>
        <w:t>tura gutxitzeko eta efizientzia handitzeko; horien artean, fundazio publikoen berrantolatzea edo desagertzea daude.</w:t>
      </w:r>
    </w:p>
    <w:p w:rsidR="00AB4A69" w:rsidRPr="00D84216" w:rsidRDefault="00AB4A69" w:rsidP="00AB4A69">
      <w:pPr>
        <w:pStyle w:val="texto"/>
        <w:spacing w:after="120"/>
      </w:pPr>
      <w:r>
        <w:lastRenderedPageBreak/>
        <w:t>Plan hori aplikatuz, Nafarroako Gobernuaren 2014ko martxoaren 20ko Er</w:t>
      </w:r>
      <w:r>
        <w:t>a</w:t>
      </w:r>
      <w:r>
        <w:t>bakiaz</w:t>
      </w:r>
      <w:r>
        <w:rPr>
          <w:rStyle w:val="Refdenotaalpie"/>
          <w:lang w:val="es-ES"/>
        </w:rPr>
        <w:footnoteReference w:id="10"/>
      </w:r>
      <w:r>
        <w:t>, Nafarroako Foru Komunitateko Administrazioaren fundazio jakin b</w:t>
      </w:r>
      <w:r>
        <w:t>a</w:t>
      </w:r>
      <w:r>
        <w:t xml:space="preserve">tzuen estatutuak azkentzeko edo aldatzeko prozeduren hasiera onetsi zen. </w:t>
      </w:r>
    </w:p>
    <w:p w:rsidR="00AB4A69" w:rsidRPr="00334690" w:rsidRDefault="00AB4A69" w:rsidP="00787723">
      <w:pPr>
        <w:pStyle w:val="texto"/>
        <w:spacing w:after="240"/>
        <w:rPr>
          <w:spacing w:val="0"/>
        </w:rPr>
      </w:pPr>
      <w:r>
        <w:t xml:space="preserve">Honako hauek dira geroztik hartu diren erabakiak eta haien emaitza: </w:t>
      </w:r>
    </w:p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1413"/>
        <w:gridCol w:w="851"/>
        <w:gridCol w:w="2232"/>
        <w:gridCol w:w="2468"/>
      </w:tblGrid>
      <w:tr w:rsidR="00AB4A69" w:rsidRPr="00C25736" w:rsidTr="00AB4A69">
        <w:trPr>
          <w:trHeight w:val="369"/>
          <w:jc w:val="center"/>
        </w:trPr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Ezeztatutako entitatea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B4A69" w:rsidRDefault="00AB4A69" w:rsidP="00AB4A6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Berrantolatze-mota</w:t>
            </w:r>
          </w:p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Ekitaldia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Xedapena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Eginkizunen jarraipena bere gain hartzen duen entitatea</w:t>
            </w:r>
          </w:p>
        </w:tc>
      </w:tr>
      <w:tr w:rsidR="00AB4A69" w:rsidRPr="00C25736" w:rsidTr="00AB4A69">
        <w:trPr>
          <w:trHeight w:val="255"/>
          <w:jc w:val="center"/>
        </w:trPr>
        <w:tc>
          <w:tcPr>
            <w:tcW w:w="203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color w:val="000000"/>
                <w:sz w:val="15"/>
                <w:szCs w:val="15"/>
              </w:rPr>
              <w:t>Fundazio publikoak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B4A69" w:rsidRPr="00C25736" w:rsidTr="00AB4A69">
        <w:trPr>
          <w:trHeight w:val="525"/>
          <w:jc w:val="center"/>
        </w:trPr>
        <w:tc>
          <w:tcPr>
            <w:tcW w:w="2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Ikus-entzunezko Arteen eta Zinematografiaren Nafarroako Institutua</w:t>
            </w:r>
          </w:p>
        </w:tc>
        <w:tc>
          <w:tcPr>
            <w:tcW w:w="14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Azkentzea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Gobernuaren Erabakia, 2014ko maiatzaren 28koa</w:t>
            </w:r>
          </w:p>
        </w:tc>
        <w:tc>
          <w:tcPr>
            <w:tcW w:w="24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Kultura, Kirol eta Gazteria Departame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tuko Vianako Printzea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Erakundea-Kultura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Zuzendaritza Nagusia</w:t>
            </w:r>
          </w:p>
        </w:tc>
      </w:tr>
      <w:tr w:rsidR="00AB4A69" w:rsidRPr="00C25736" w:rsidTr="00AB4A69">
        <w:trPr>
          <w:trHeight w:val="315"/>
          <w:jc w:val="center"/>
        </w:trPr>
        <w:tc>
          <w:tcPr>
            <w:tcW w:w="2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Energia Berriztagarrien arloko prestakuntza</w:t>
            </w:r>
          </w:p>
        </w:tc>
        <w:tc>
          <w:tcPr>
            <w:tcW w:w="14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Azkentzea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Patronatuaren 2015eko maiatzaren 18ko erabakia eta Ekonomia eta Ogasuneko kontseilariaren 156/2015 Foru Aginduaren bidezko onespena.</w:t>
            </w:r>
          </w:p>
        </w:tc>
        <w:tc>
          <w:tcPr>
            <w:tcW w:w="24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CENIFER (</w:t>
            </w:r>
            <w:r w:rsidRPr="00C25736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footnoteReference w:customMarkFollows="1" w:id="11"/>
              <w:t xml:space="preserve">Centro Privado con </w:t>
            </w:r>
            <w:proofErr w:type="spellStart"/>
            <w:r w:rsidRPr="00C25736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recon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rreferentzia nazionaleko zentroa)</w:t>
            </w:r>
          </w:p>
        </w:tc>
      </w:tr>
      <w:tr w:rsidR="00AB4A69" w:rsidRPr="00C25736" w:rsidTr="00AB4A69">
        <w:trPr>
          <w:trHeight w:val="315"/>
          <w:jc w:val="center"/>
        </w:trPr>
        <w:tc>
          <w:tcPr>
            <w:tcW w:w="203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para la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Excelencia</w:t>
            </w:r>
            <w:proofErr w:type="spellEnd"/>
          </w:p>
        </w:tc>
        <w:tc>
          <w:tcPr>
            <w:tcW w:w="141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Estatuen aldaketa, fundazio pribatu bilakatzeko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23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Gobernuaren 2014ko abenduaren 29ko erabakia.</w:t>
            </w:r>
          </w:p>
        </w:tc>
        <w:tc>
          <w:tcPr>
            <w:tcW w:w="246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69" w:rsidRPr="00C25736" w:rsidRDefault="00AB4A69" w:rsidP="00AB4A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Fundazio pribatua</w:t>
            </w:r>
          </w:p>
        </w:tc>
      </w:tr>
    </w:tbl>
    <w:p w:rsidR="00AB4A69" w:rsidRPr="00A379C8" w:rsidRDefault="00AB4A69" w:rsidP="002D15D3">
      <w:pPr>
        <w:pStyle w:val="atitulo1"/>
        <w:rPr>
          <w:rFonts w:ascii="Times New Roman" w:hAnsi="Times New Roman"/>
          <w:b w:val="0"/>
          <w:color w:val="auto"/>
          <w:spacing w:val="6"/>
          <w:kern w:val="0"/>
          <w:sz w:val="26"/>
          <w:szCs w:val="24"/>
          <w:lang w:val="es-ES"/>
        </w:rPr>
      </w:pPr>
    </w:p>
    <w:p w:rsidR="00DF6A0F" w:rsidRDefault="00DF6A0F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2D15D3" w:rsidRPr="003C6BE1" w:rsidRDefault="002D15D3" w:rsidP="002D15D3">
      <w:pPr>
        <w:pStyle w:val="atitulo1"/>
      </w:pPr>
      <w:bookmarkStart w:id="13" w:name="_Toc528306522"/>
      <w:r>
        <w:lastRenderedPageBreak/>
        <w:t>III. Helburuak, norainokoa eta mugak</w:t>
      </w:r>
      <w:bookmarkEnd w:id="13"/>
      <w:r>
        <w:t xml:space="preserve"> </w:t>
      </w:r>
    </w:p>
    <w:p w:rsidR="002D15D3" w:rsidRPr="0013528B" w:rsidRDefault="002D15D3" w:rsidP="00E06076">
      <w:pPr>
        <w:pStyle w:val="texto"/>
        <w:spacing w:after="120"/>
      </w:pPr>
      <w:r>
        <w:t xml:space="preserve">Honako hauek dira lan honen helburuak: </w:t>
      </w:r>
    </w:p>
    <w:p w:rsidR="002D15D3" w:rsidRPr="0013528B" w:rsidRDefault="002D15D3" w:rsidP="00E0607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spacing w:after="120"/>
        <w:ind w:left="0" w:firstLine="289"/>
        <w:rPr>
          <w:rFonts w:cs="Arial"/>
        </w:rPr>
      </w:pPr>
      <w:r>
        <w:t xml:space="preserve">Egiaztatzea </w:t>
      </w:r>
      <w:proofErr w:type="spellStart"/>
      <w:r>
        <w:t>enteak</w:t>
      </w:r>
      <w:proofErr w:type="spellEnd"/>
      <w:r>
        <w:t xml:space="preserve"> azkentzeko jarraitutako prozesua esparru juridikoaren eta ezarritako plangintzaren araberakoa den.</w:t>
      </w:r>
    </w:p>
    <w:p w:rsidR="002D15D3" w:rsidRPr="0013528B" w:rsidRDefault="002D15D3" w:rsidP="00E0607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>
        <w:t xml:space="preserve">Jatorrizko beharrizana aztertzea eta, kasua bada azkendutako </w:t>
      </w:r>
      <w:proofErr w:type="spellStart"/>
      <w:r>
        <w:t>entearen</w:t>
      </w:r>
      <w:proofErr w:type="spellEnd"/>
      <w:r>
        <w:t xml:space="preserve"> s</w:t>
      </w:r>
      <w:r>
        <w:t>o</w:t>
      </w:r>
      <w:r>
        <w:t>rreran xede zen jarduerari edo eginkizunari eustea beste organo edo entitate autonomiko baten bitartez.</w:t>
      </w:r>
    </w:p>
    <w:p w:rsidR="002D15D3" w:rsidRPr="0013528B" w:rsidRDefault="002D15D3" w:rsidP="00E0607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>
        <w:t>Nafarroako foru sektore publikoaren berregituratze-neurri horien eragin ekonomikoa aztertzea.</w:t>
      </w:r>
    </w:p>
    <w:p w:rsidR="002D15D3" w:rsidRPr="0013528B" w:rsidRDefault="002D15D3" w:rsidP="00E0607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>
        <w:t xml:space="preserve">Azkendutako </w:t>
      </w:r>
      <w:proofErr w:type="spellStart"/>
      <w:r>
        <w:t>enteetako</w:t>
      </w:r>
      <w:proofErr w:type="spellEnd"/>
      <w:r>
        <w:t xml:space="preserve"> aktiboen eta pasiboen zertarakoa egiaztatzea. </w:t>
      </w:r>
    </w:p>
    <w:p w:rsidR="000D39C8" w:rsidRDefault="002D15D3" w:rsidP="00E06076">
      <w:pPr>
        <w:pStyle w:val="texto"/>
        <w:spacing w:after="120"/>
      </w:pPr>
      <w:r>
        <w:t>Fiskalizazioaren eremu subjektiboak Nafarroako foru sektore publikoa os</w:t>
      </w:r>
      <w:r>
        <w:t>a</w:t>
      </w:r>
      <w:r>
        <w:t xml:space="preserve">tzen duten eta azkenduta dauden </w:t>
      </w:r>
      <w:proofErr w:type="spellStart"/>
      <w:r>
        <w:t>enteak</w:t>
      </w:r>
      <w:proofErr w:type="spellEnd"/>
      <w:r>
        <w:t xml:space="preserve"> hartzen ditu; zehazki, aholku-kontseiluak, erakunde autonomiak, sozietateak eta fundazio publikoak. </w:t>
      </w:r>
    </w:p>
    <w:p w:rsidR="000D39C8" w:rsidRDefault="00BD37EA" w:rsidP="00E06076">
      <w:pPr>
        <w:pStyle w:val="texto"/>
        <w:spacing w:after="120"/>
      </w:pPr>
      <w:r>
        <w:t xml:space="preserve">Eremu objektiboa bat dator </w:t>
      </w:r>
      <w:proofErr w:type="spellStart"/>
      <w:r>
        <w:t>enteen</w:t>
      </w:r>
      <w:proofErr w:type="spellEnd"/>
      <w:r>
        <w:t xml:space="preserve"> azkentze-prozesuen analisiarekin eta haien eragin ekonomikoekin.</w:t>
      </w:r>
    </w:p>
    <w:p w:rsidR="002F5514" w:rsidRPr="00E06076" w:rsidRDefault="002F5514" w:rsidP="002F5514">
      <w:pPr>
        <w:pStyle w:val="texto"/>
        <w:spacing w:after="120"/>
        <w:rPr>
          <w:spacing w:val="4"/>
        </w:rPr>
      </w:pPr>
      <w:r>
        <w:t>Fiskalizazioak 2010-2016 aldia hartu du, zeren eta sektore publikoa berra</w:t>
      </w:r>
      <w:r>
        <w:t>n</w:t>
      </w:r>
      <w:r>
        <w:t xml:space="preserve">tolatzeko prozesua 2010eko ekitaldian hasi baitzen, 1/2010 esparru-akordioa onestearekin, eta 2017ko urtarrilaren 1ean amaitu baitzen, orduan jo baitzuen Politika Fiskalaren eta Finantzarioaren Kontseiluak beteta zeudela aipatutako akordioan eta geroko 5/2012 esparru-akordioan arlo horretarako ezarritako aginduak. </w:t>
      </w:r>
    </w:p>
    <w:p w:rsidR="002D15D3" w:rsidRPr="00CF1B1B" w:rsidRDefault="002D15D3" w:rsidP="00E06076">
      <w:pPr>
        <w:pStyle w:val="texto"/>
        <w:spacing w:after="120"/>
        <w:rPr>
          <w:color w:val="00B050"/>
          <w:spacing w:val="2"/>
        </w:rPr>
      </w:pPr>
      <w:r>
        <w:t>Gure lanak muga batzuk izan ditu, hain zuzen ere administrazioaren sektore publikorako arrazionalizazio-plan berariazkorik ez egotearekin lotutakoak.</w:t>
      </w:r>
    </w:p>
    <w:p w:rsidR="002634CD" w:rsidRDefault="002D15D3" w:rsidP="0088303D">
      <w:pPr>
        <w:pStyle w:val="texto"/>
        <w:spacing w:after="120"/>
        <w:rPr>
          <w:rFonts w:ascii="Arial" w:hAnsi="Arial"/>
          <w:b/>
          <w:color w:val="000000"/>
          <w:kern w:val="28"/>
          <w:sz w:val="25"/>
          <w:szCs w:val="26"/>
        </w:rPr>
      </w:pPr>
      <w:r>
        <w:t>Gure lana egin da sektore publikoaren fiskalizaziorako oinarrizko printzip</w:t>
      </w:r>
      <w:r>
        <w:t>i</w:t>
      </w:r>
      <w:r>
        <w:t xml:space="preserve">oei </w:t>
      </w:r>
      <w:proofErr w:type="spellStart"/>
      <w:r>
        <w:t>—hain</w:t>
      </w:r>
      <w:proofErr w:type="spellEnd"/>
      <w:r>
        <w:t xml:space="preserve"> zuzen ere kanpoko kontroleko erakundeek </w:t>
      </w:r>
      <w:proofErr w:type="spellStart"/>
      <w:r>
        <w:t>hartutakoei—</w:t>
      </w:r>
      <w:proofErr w:type="spellEnd"/>
      <w:r>
        <w:t xml:space="preserve"> jarraituz, eta, zehazki, fiskalizazio operatiboaren oinarrizko printzipioei buruz </w:t>
      </w:r>
      <w:proofErr w:type="spellStart"/>
      <w:r>
        <w:t>ISSAI-ES</w:t>
      </w:r>
      <w:proofErr w:type="spellEnd"/>
      <w:r>
        <w:t xml:space="preserve"> 300 arauan</w:t>
      </w:r>
      <w:bookmarkStart w:id="14" w:name="_Toc430935359"/>
      <w:bookmarkStart w:id="15" w:name="_Toc498596065"/>
      <w:bookmarkStart w:id="16" w:name="_Toc521909255"/>
      <w:bookmarkStart w:id="17" w:name="_Toc451933625"/>
      <w:bookmarkStart w:id="18" w:name="_Toc500414334"/>
      <w:bookmarkEnd w:id="3"/>
      <w:bookmarkEnd w:id="4"/>
      <w:bookmarkEnd w:id="5"/>
      <w:bookmarkEnd w:id="6"/>
      <w:r>
        <w:t xml:space="preserve"> ezarritakoei jarraituz. </w:t>
      </w:r>
      <w:r>
        <w:br w:type="page"/>
      </w:r>
    </w:p>
    <w:p w:rsidR="0017115B" w:rsidRPr="006A46A2" w:rsidRDefault="0017115B" w:rsidP="0017115B">
      <w:pPr>
        <w:pStyle w:val="atitulo1"/>
      </w:pPr>
      <w:bookmarkStart w:id="19" w:name="_Toc528306523"/>
      <w:r>
        <w:lastRenderedPageBreak/>
        <w:t xml:space="preserve">IV. </w:t>
      </w:r>
      <w:bookmarkEnd w:id="14"/>
      <w:bookmarkEnd w:id="15"/>
      <w:bookmarkEnd w:id="16"/>
      <w:r>
        <w:t>Konklusioak eta gomendioak</w:t>
      </w:r>
      <w:bookmarkEnd w:id="19"/>
    </w:p>
    <w:p w:rsidR="005C32DE" w:rsidRDefault="00470674" w:rsidP="0017115B">
      <w:pPr>
        <w:pStyle w:val="texto"/>
      </w:pPr>
      <w:bookmarkStart w:id="20" w:name="_Toc430262564"/>
      <w:bookmarkStart w:id="21" w:name="_Toc430262611"/>
      <w:bookmarkStart w:id="22" w:name="_Toc430436893"/>
      <w:bookmarkStart w:id="23" w:name="_Toc430436921"/>
      <w:bookmarkStart w:id="24" w:name="_Toc430498291"/>
      <w:bookmarkStart w:id="25" w:name="_Toc430607595"/>
      <w:bookmarkStart w:id="26" w:name="_Toc430693488"/>
      <w:bookmarkStart w:id="27" w:name="_Toc430693525"/>
      <w:bookmarkStart w:id="28" w:name="_Toc430935361"/>
      <w:r>
        <w:t>Ondoren, egindako lanaren ondorio nagusiak aurkezten ditugu, bai eta eg</w:t>
      </w:r>
      <w:r>
        <w:t>o</w:t>
      </w:r>
      <w:r>
        <w:t>kitzat jotzen ditugun gomendioak ere:</w:t>
      </w:r>
    </w:p>
    <w:p w:rsidR="005C32DE" w:rsidRPr="00470674" w:rsidRDefault="0088303D" w:rsidP="00470674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Antolamendu-prozesuak, oro har, aurreikusitako arau-xedapenen arabera izapidetu dira. Enpresen sektore publikoa antolatzeko II. Planari dagokionez, ez dago jasota Nafarroako Parlamentuak onetsi izana, geroztik onetsitako lege batek eskatzen zuen bezala, Nafarroako Enpresa Korporazio Publikoko orde</w:t>
      </w:r>
      <w:r>
        <w:t>z</w:t>
      </w:r>
      <w:r>
        <w:t>kariek Parlamentuko egoitzan hura azaldu ondoren.</w:t>
      </w:r>
    </w:p>
    <w:p w:rsidR="00470674" w:rsidRPr="00302248" w:rsidRDefault="00470674" w:rsidP="00302248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Enpresen sektore publikoaren berrantolaketa helburu zehatzetan oinarrit</w:t>
      </w:r>
      <w:r>
        <w:t>u</w:t>
      </w:r>
      <w:r>
        <w:t>tako bi antolaketa-planetan oinarritu da; helburu horiek, oro har, kuantifikag</w:t>
      </w:r>
      <w:r>
        <w:t>a</w:t>
      </w:r>
      <w:r>
        <w:t>rriak dira, horretarako ezarri diren eta haien egiaztatzea bideratu duten adiera</w:t>
      </w:r>
      <w:r>
        <w:t>z</w:t>
      </w:r>
      <w:r>
        <w:t>leen bitartez; alderdi horiek, ordea, ez dira jaso aztertutako gainerako sektore publikoetan, dela antolaketa-planik ez dagoelako, administrazioaren sektore publikoaren kasuan, dela helburu kuantifikagarririk eta ebaluagarririk ez dag</w:t>
      </w:r>
      <w:r>
        <w:t>o</w:t>
      </w:r>
      <w:r>
        <w:t>elako, fundazioen sektorearen kasuan.</w:t>
      </w:r>
    </w:p>
    <w:p w:rsidR="00470674" w:rsidRDefault="00470674" w:rsidP="00302248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Administrazioaren sektore publikoan zeuden bi kontseiluetatik bat eze</w:t>
      </w:r>
      <w:r>
        <w:t>z</w:t>
      </w:r>
      <w:r>
        <w:t xml:space="preserve">tatu da </w:t>
      </w:r>
      <w:proofErr w:type="spellStart"/>
      <w:r>
        <w:t>—ehuneko</w:t>
      </w:r>
      <w:proofErr w:type="spellEnd"/>
      <w:r>
        <w:t xml:space="preserve"> 50eko gutxitzea da </w:t>
      </w:r>
      <w:proofErr w:type="spellStart"/>
      <w:r>
        <w:t>hori—</w:t>
      </w:r>
      <w:proofErr w:type="spellEnd"/>
      <w:r>
        <w:t>, bai eta 12 erakunde autonomo</w:t>
      </w:r>
      <w:r>
        <w:t>e</w:t>
      </w:r>
      <w:r>
        <w:t xml:space="preserve">tatik lau ere </w:t>
      </w:r>
      <w:proofErr w:type="spellStart"/>
      <w:r>
        <w:t>—ehuneko</w:t>
      </w:r>
      <w:proofErr w:type="spellEnd"/>
      <w:r>
        <w:t xml:space="preserve"> 33ko </w:t>
      </w:r>
      <w:proofErr w:type="spellStart"/>
      <w:r>
        <w:t>gutxitzea—</w:t>
      </w:r>
      <w:proofErr w:type="spellEnd"/>
      <w:r>
        <w:t xml:space="preserve"> Azkendutako </w:t>
      </w:r>
      <w:proofErr w:type="spellStart"/>
      <w:r>
        <w:t>enteetako</w:t>
      </w:r>
      <w:proofErr w:type="spellEnd"/>
      <w:r>
        <w:t xml:space="preserve"> langileak eta haiek aurrera eramaten zituzten eginkizunak Foru Komunitateko Administr</w:t>
      </w:r>
      <w:r>
        <w:t>a</w:t>
      </w:r>
      <w:r>
        <w:t xml:space="preserve">zioko hainbat departamentuk eta erakunde autonomo batek hartu dituzte beren gain. </w:t>
      </w:r>
    </w:p>
    <w:p w:rsidR="00470674" w:rsidRPr="00B42E01" w:rsidRDefault="00470674" w:rsidP="00302248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Enpresen sektore publikoan, berrantolaketaren aurretik zeuden 39 soziet</w:t>
      </w:r>
      <w:r>
        <w:t>a</w:t>
      </w:r>
      <w:r>
        <w:t>teetatik 22 azkendu dira: ehuneko 56ko gutxitzea da hori. Berrantolaketa h</w:t>
      </w:r>
      <w:r>
        <w:t>o</w:t>
      </w:r>
      <w:r>
        <w:t>rrek berekin ekarri du 224 langile gutxiago egotea, eta hori ehuneko 17ko g</w:t>
      </w:r>
      <w:r>
        <w:t>u</w:t>
      </w:r>
      <w:r>
        <w:t>txitzea da. Azkendutako sozietate publikoek esleituta zeuzkaten jarduerak g</w:t>
      </w:r>
      <w:r>
        <w:t>e</w:t>
      </w:r>
      <w:r>
        <w:t>roztik sozietate xurgatzaileek bete izan dituzte. Sozietate xurgatzaile horiek arloz arloko zenbait politikaren inguruan bildu dira, antolamenduko eta lang</w:t>
      </w:r>
      <w:r>
        <w:t>i</w:t>
      </w:r>
      <w:r>
        <w:t>leriako egitura txikiagoarekin.</w:t>
      </w:r>
    </w:p>
    <w:p w:rsidR="00B42E01" w:rsidRPr="00B42E01" w:rsidRDefault="00B42E01" w:rsidP="00B42E01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 xml:space="preserve">Fundazioen sektore publikoan, 7 fundazioetatik hiru ezeztatu dira; horrek ehuneko 43ko gutxitzea ekarri du. Azkendutako hiru fundazioetatik, baten eginkizunak baizik ez ditu hartu Foru Komunitateko Administrazioak berak. Gainerako bien jarduerak eremu pribatura eraman dira. </w:t>
      </w:r>
    </w:p>
    <w:p w:rsidR="00CF1B1B" w:rsidRDefault="00542449" w:rsidP="0009672A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 xml:space="preserve">Enpresen sektore publikoan ez bezala, administrazioaren eta fundazioen sektoreetan ez dago jasota zein eragin ekonomiko gertatu diren eginkizunak kendu eta beste eremu batzuetan berrantolatzearen ondorioz. </w:t>
      </w:r>
    </w:p>
    <w:p w:rsidR="0009672A" w:rsidRPr="00CF1B1B" w:rsidRDefault="0009672A" w:rsidP="00CF1B1B">
      <w:pPr>
        <w:pStyle w:val="texto"/>
        <w:spacing w:after="120"/>
        <w:rPr>
          <w:spacing w:val="4"/>
        </w:rPr>
      </w:pPr>
      <w:r>
        <w:t xml:space="preserve">Nafarroako foru sektore publikoaren aurrezkiak direla-eta kalkulatu den zenbatekoa, enpresen sektore publikoak eman duena eta antolaketa-prozesuetatik heldu dena, behin Ganbera honen iritziz egin beharrekoak ziren doikuntza batzuk egin ondoren, 32,57 milioi eurokoa da. </w:t>
      </w:r>
    </w:p>
    <w:p w:rsidR="00B42E01" w:rsidRPr="007043B7" w:rsidRDefault="00B42E01" w:rsidP="00B42E01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</w:pPr>
      <w:r>
        <w:lastRenderedPageBreak/>
        <w:t xml:space="preserve">Erakunde autonomoen aktiboei eta pasiboei dagokienez eta ezeztatutako fundazio publikoari dagokionez, azkendutako </w:t>
      </w:r>
      <w:proofErr w:type="spellStart"/>
      <w:r>
        <w:t>enteen</w:t>
      </w:r>
      <w:proofErr w:type="spellEnd"/>
      <w:r>
        <w:t xml:space="preserve"> eginkizunak beren gain hartu dituzten Foru Komunitateko Administrazioko departamentuei eta er</w:t>
      </w:r>
      <w:r>
        <w:t>a</w:t>
      </w:r>
      <w:r>
        <w:t xml:space="preserve">kunde autonomoari atxiki zaizkie.  </w:t>
      </w:r>
    </w:p>
    <w:p w:rsidR="00B424B7" w:rsidRPr="001D25C6" w:rsidRDefault="00B424B7" w:rsidP="00B424B7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</w:pPr>
      <w:r>
        <w:t>Xurgatutako sozietate publikoen aktiboak eta pasiboak, 2011ko, 2013ko eta 2014ko ekitaldietako auditoria-txostenetan jasota ageri den moduan, bl</w:t>
      </w:r>
      <w:r>
        <w:t>o</w:t>
      </w:r>
      <w:r>
        <w:t>kean transmititu zaizkie sozietate xurgatzaileei, zeren eta eskubide eta eginb</w:t>
      </w:r>
      <w:r>
        <w:t>e</w:t>
      </w:r>
      <w:r>
        <w:t>har guztietan oinordetza unibertsala gertatu baita.</w:t>
      </w:r>
    </w:p>
    <w:p w:rsidR="00CC23BC" w:rsidRDefault="0017115B" w:rsidP="000A6322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</w:pPr>
      <w:r>
        <w:t>Nafarroako Enpresa Korporazio Publikoak egindako bi berrantolaketa-planetan nahiko bete dira programatutako epean aurreikusita zeuden helb</w:t>
      </w:r>
      <w:r>
        <w:t>u</w:t>
      </w:r>
      <w:r>
        <w:t xml:space="preserve">ruak.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0359BC" w:rsidRDefault="00A8534B" w:rsidP="00A8534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ind w:left="289" w:firstLine="0"/>
      </w:pPr>
      <w:r>
        <w:t>Gure gomendioak:</w:t>
      </w:r>
    </w:p>
    <w:p w:rsidR="005C2BFF" w:rsidRPr="005C2BFF" w:rsidRDefault="00B4654D" w:rsidP="005C2BFF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i/>
        </w:rPr>
      </w:pPr>
      <w:r>
        <w:rPr>
          <w:i/>
        </w:rPr>
        <w:t>Etorkizuneko berrantolaketa-prozesuetan plangintza modu integratu eta bateratuan egitea, eta plangintza hori gero arloz arloko banakako planen b</w:t>
      </w:r>
      <w:r>
        <w:rPr>
          <w:i/>
        </w:rPr>
        <w:t>i</w:t>
      </w:r>
      <w:r>
        <w:rPr>
          <w:i/>
        </w:rPr>
        <w:t>tartez garatzea.</w:t>
      </w:r>
    </w:p>
    <w:p w:rsidR="005C2BFF" w:rsidRPr="00CC23BC" w:rsidRDefault="00AE115C" w:rsidP="005C2BFF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i/>
        </w:rPr>
      </w:pPr>
      <w:r>
        <w:rPr>
          <w:i/>
        </w:rPr>
        <w:t>Administrazioaren eta fundazioen eremuetako berrantolaketa-planek he</w:t>
      </w:r>
      <w:r>
        <w:rPr>
          <w:i/>
        </w:rPr>
        <w:t>l</w:t>
      </w:r>
      <w:r>
        <w:rPr>
          <w:i/>
        </w:rPr>
        <w:t>buru zehatz, kuantifikagarri eta ekonomikoki ebaluagarriak ere jaso beharko dituzte.</w:t>
      </w:r>
    </w:p>
    <w:p w:rsidR="00542449" w:rsidRPr="00563DBA" w:rsidRDefault="00542449" w:rsidP="00542449">
      <w:pPr>
        <w:pStyle w:val="texto"/>
        <w:numPr>
          <w:ilvl w:val="0"/>
          <w:numId w:val="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i/>
        </w:rPr>
      </w:pPr>
      <w:bookmarkStart w:id="29" w:name="_Toc521909258"/>
      <w:r>
        <w:rPr>
          <w:i/>
        </w:rPr>
        <w:t xml:space="preserve">Organo eskudunak berrantolaketa-planak onestea, horretarako onesten diren arauek hori eskatzen dutenean. </w:t>
      </w:r>
    </w:p>
    <w:p w:rsidR="00542449" w:rsidRPr="00542449" w:rsidRDefault="00542449" w:rsidP="00542449">
      <w:pPr>
        <w:spacing w:after="0"/>
        <w:ind w:firstLine="0"/>
        <w:jc w:val="left"/>
        <w:rPr>
          <w:i/>
          <w:spacing w:val="6"/>
          <w:sz w:val="26"/>
          <w:szCs w:val="24"/>
        </w:rPr>
      </w:pPr>
      <w:r>
        <w:br w:type="page"/>
      </w:r>
    </w:p>
    <w:p w:rsidR="0017115B" w:rsidRDefault="0017115B" w:rsidP="0017115B">
      <w:pPr>
        <w:pStyle w:val="atitulo1"/>
      </w:pPr>
      <w:bookmarkStart w:id="30" w:name="_Toc528306524"/>
      <w:r>
        <w:lastRenderedPageBreak/>
        <w:t>V. Nafarroako foru sektore publikoa berrantolatzeko prozesuaren analisia</w:t>
      </w:r>
      <w:bookmarkEnd w:id="29"/>
      <w:bookmarkEnd w:id="30"/>
      <w:r>
        <w:t xml:space="preserve"> </w:t>
      </w:r>
      <w:bookmarkStart w:id="31" w:name="_Toc451930249"/>
      <w:bookmarkStart w:id="32" w:name="_Toc451933567"/>
      <w:bookmarkStart w:id="33" w:name="_Toc451933626"/>
      <w:bookmarkEnd w:id="17"/>
      <w:bookmarkEnd w:id="18"/>
    </w:p>
    <w:p w:rsidR="0017115B" w:rsidRPr="00E1182C" w:rsidRDefault="00982D05" w:rsidP="00244F3D">
      <w:pPr>
        <w:pStyle w:val="atitulo2"/>
        <w:spacing w:before="300"/>
      </w:pPr>
      <w:bookmarkStart w:id="34" w:name="_Toc521909263"/>
      <w:bookmarkStart w:id="35" w:name="_Toc528306525"/>
      <w:bookmarkEnd w:id="31"/>
      <w:bookmarkEnd w:id="32"/>
      <w:bookmarkEnd w:id="33"/>
      <w:r>
        <w:t>V.1. Entitateen kopuruaren bilakaera</w:t>
      </w:r>
      <w:bookmarkEnd w:id="35"/>
      <w:r>
        <w:t xml:space="preserve"> </w:t>
      </w:r>
      <w:bookmarkEnd w:id="34"/>
    </w:p>
    <w:p w:rsidR="0017115B" w:rsidRPr="008F214C" w:rsidRDefault="0017115B" w:rsidP="00DD21F4">
      <w:pPr>
        <w:pStyle w:val="texto"/>
      </w:pPr>
      <w:r>
        <w:t>Foru sektore publikoko entitateen multzoak 2010-2016 aldian izan duen b</w:t>
      </w:r>
      <w:r>
        <w:t>i</w:t>
      </w:r>
      <w:r>
        <w:t xml:space="preserve">lakaera honako hau izan da, txosteneko II.2 atalean deskribatutako prozesuen arabera:  </w:t>
      </w:r>
    </w:p>
    <w:p w:rsidR="0017115B" w:rsidRDefault="00F80941" w:rsidP="00E25F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spacing w:before="320" w:after="240"/>
        <w:ind w:left="0" w:firstLine="289"/>
        <w:rPr>
          <w:rFonts w:cs="Arial"/>
        </w:rPr>
      </w:pPr>
      <w:r>
        <w:t>Entitateen tipologia</w:t>
      </w:r>
    </w:p>
    <w:tbl>
      <w:tblPr>
        <w:tblW w:w="86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567"/>
        <w:gridCol w:w="567"/>
        <w:gridCol w:w="541"/>
        <w:gridCol w:w="541"/>
        <w:gridCol w:w="572"/>
        <w:gridCol w:w="541"/>
        <w:gridCol w:w="541"/>
        <w:gridCol w:w="951"/>
        <w:gridCol w:w="1134"/>
      </w:tblGrid>
      <w:tr w:rsidR="00D57A37" w:rsidRPr="00E25F69" w:rsidTr="00E95BCC">
        <w:trPr>
          <w:trHeight w:val="340"/>
          <w:jc w:val="center"/>
        </w:trPr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D57A37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Entitateak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6E26D6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2016/10 aldea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Aldea (%)</w:t>
            </w:r>
          </w:p>
        </w:tc>
      </w:tr>
      <w:tr w:rsidR="002A6AA1" w:rsidRPr="00E25F69" w:rsidTr="00E95BCC">
        <w:trPr>
          <w:trHeight w:val="255"/>
          <w:jc w:val="center"/>
        </w:trPr>
        <w:tc>
          <w:tcPr>
            <w:tcW w:w="2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6AA1" w:rsidRPr="00E25F69" w:rsidRDefault="00A41D6D" w:rsidP="00A41D6D">
            <w:pPr>
              <w:spacing w:after="0"/>
              <w:ind w:firstLine="0"/>
              <w:jc w:val="lef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Ente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publikoak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6AA1" w:rsidRPr="00E25F69" w:rsidRDefault="002A6AA1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6AA1" w:rsidRPr="00E25F69" w:rsidRDefault="002A6AA1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6AA1" w:rsidRPr="00E25F69" w:rsidRDefault="002A6AA1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6AA1" w:rsidRPr="00E25F69" w:rsidRDefault="002A6AA1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6AA1" w:rsidRPr="00E25F69" w:rsidRDefault="002A6AA1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6AA1" w:rsidRPr="00E25F69" w:rsidRDefault="002A6AA1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6AA1" w:rsidRPr="00E25F69" w:rsidRDefault="002A6AA1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6AA1" w:rsidRPr="00E25F69" w:rsidRDefault="002A6AA1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6AA1" w:rsidRPr="00E25F69" w:rsidRDefault="002A6AA1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-50</w:t>
            </w:r>
          </w:p>
        </w:tc>
      </w:tr>
      <w:tr w:rsidR="00D57A37" w:rsidRPr="00E25F69" w:rsidTr="00E95BCC">
        <w:trPr>
          <w:trHeight w:val="255"/>
          <w:jc w:val="center"/>
        </w:trPr>
        <w:tc>
          <w:tcPr>
            <w:tcW w:w="2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D57A37">
            <w:pPr>
              <w:spacing w:after="0"/>
              <w:ind w:firstLine="0"/>
              <w:jc w:val="lef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Erakunde autonomoak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-33</w:t>
            </w:r>
          </w:p>
        </w:tc>
      </w:tr>
      <w:tr w:rsidR="00D57A37" w:rsidRPr="00E25F69" w:rsidTr="00E95BCC">
        <w:trPr>
          <w:trHeight w:val="255"/>
          <w:jc w:val="center"/>
        </w:trPr>
        <w:tc>
          <w:tcPr>
            <w:tcW w:w="2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D57A37">
            <w:pPr>
              <w:spacing w:after="0"/>
              <w:ind w:firstLine="0"/>
              <w:jc w:val="lef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Sozietate publikoak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6E26D6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5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-22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-56</w:t>
            </w:r>
          </w:p>
        </w:tc>
      </w:tr>
      <w:tr w:rsidR="00D57A37" w:rsidRPr="00E25F69" w:rsidTr="00E95BCC">
        <w:trPr>
          <w:trHeight w:val="255"/>
          <w:jc w:val="center"/>
        </w:trPr>
        <w:tc>
          <w:tcPr>
            <w:tcW w:w="2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D57A37">
            <w:pPr>
              <w:spacing w:after="0"/>
              <w:ind w:firstLine="0"/>
              <w:jc w:val="lef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Fundazio publikoak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-3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-43</w:t>
            </w:r>
          </w:p>
        </w:tc>
      </w:tr>
      <w:tr w:rsidR="00F30E92" w:rsidRPr="00E25F69" w:rsidTr="00E95BCC">
        <w:trPr>
          <w:trHeight w:val="270"/>
          <w:jc w:val="center"/>
        </w:trPr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D57A37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Guztira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D57A37" w:rsidRPr="00E25F69" w:rsidRDefault="002A6AA1" w:rsidP="00787723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D57A37" w:rsidRPr="00E25F69" w:rsidRDefault="002A6AA1" w:rsidP="00787723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39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D57A37" w:rsidRPr="00E25F69" w:rsidRDefault="002A6AA1" w:rsidP="00787723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D57A37" w:rsidRPr="00E25F69" w:rsidRDefault="002A6AA1" w:rsidP="00787723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D57A37" w:rsidRPr="00E25F69" w:rsidRDefault="002A6AA1" w:rsidP="00787723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32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D57A37" w:rsidRPr="00E25F69" w:rsidRDefault="002A6AA1" w:rsidP="00787723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D57A37" w:rsidRPr="00E25F69" w:rsidRDefault="002A6AA1" w:rsidP="00787723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2A6AA1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D57A37" w:rsidRPr="00E25F69" w:rsidRDefault="00D57A37" w:rsidP="0078772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-50</w:t>
            </w:r>
          </w:p>
        </w:tc>
      </w:tr>
    </w:tbl>
    <w:p w:rsidR="00051E18" w:rsidRDefault="00051E18" w:rsidP="0073372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spacing w:before="360" w:after="260"/>
        <w:ind w:left="0" w:firstLine="289"/>
        <w:rPr>
          <w:rFonts w:cs="Arial"/>
        </w:rPr>
      </w:pPr>
      <w:r>
        <w:t>Aldeei buruzko xehetasunak, entitate motaren arabera</w:t>
      </w:r>
    </w:p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891"/>
        <w:gridCol w:w="752"/>
        <w:gridCol w:w="809"/>
        <w:gridCol w:w="778"/>
        <w:gridCol w:w="748"/>
        <w:gridCol w:w="772"/>
        <w:gridCol w:w="768"/>
      </w:tblGrid>
      <w:tr w:rsidR="00FE4D90" w:rsidRPr="00F07B2D" w:rsidTr="00E95BCC">
        <w:trPr>
          <w:trHeight w:val="340"/>
          <w:jc w:val="center"/>
        </w:trPr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Entitateen aldea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2016</w:t>
            </w:r>
          </w:p>
        </w:tc>
      </w:tr>
      <w:tr w:rsidR="00FE4D90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A41D6D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Ente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publikoak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E4D90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Altak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FE4D90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Bajak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D90" w:rsidRPr="00F07B2D" w:rsidRDefault="00FE4D90" w:rsidP="00FE4D90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25202A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25202A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Erakunde autonomoak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25202A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2520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Altak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5202A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2520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Bajak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202A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25202A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Sozietate publikoak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6E26D6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25202A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2520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Altak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6E26D6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25202A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2520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Bajak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6E26D6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25202A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25202A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Fundazio publikoak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4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5202A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2520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Altak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5202A" w:rsidRPr="00F07B2D" w:rsidTr="00E95BCC">
        <w:trPr>
          <w:trHeight w:val="227"/>
          <w:jc w:val="center"/>
        </w:trPr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2520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Bajak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02A" w:rsidRPr="00F07B2D" w:rsidRDefault="0025202A" w:rsidP="006A2DC9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202A" w:rsidRPr="00F07B2D" w:rsidTr="00E95BCC">
        <w:trPr>
          <w:trHeight w:val="284"/>
          <w:jc w:val="center"/>
        </w:trPr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25202A" w:rsidRPr="00F07B2D" w:rsidRDefault="00F07B2D" w:rsidP="0025202A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25202A" w:rsidRPr="00F07B2D" w:rsidRDefault="00FE4D90" w:rsidP="00FE4D90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25202A" w:rsidRPr="00F07B2D" w:rsidRDefault="00FE4D90" w:rsidP="006A2DC9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25202A" w:rsidRPr="00F07B2D" w:rsidRDefault="00FE4D90" w:rsidP="006A2DC9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25202A" w:rsidRPr="00F07B2D" w:rsidRDefault="00FE4D90" w:rsidP="006A2DC9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25202A" w:rsidRPr="00F07B2D" w:rsidRDefault="00FE4D90" w:rsidP="006A2DC9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25202A" w:rsidRPr="00F07B2D" w:rsidRDefault="00FE4D90" w:rsidP="006A2DC9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25202A" w:rsidRPr="00F07B2D" w:rsidRDefault="00FE4D90" w:rsidP="006A2DC9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30</w:t>
            </w:r>
          </w:p>
        </w:tc>
      </w:tr>
    </w:tbl>
    <w:p w:rsidR="00FE4D90" w:rsidRDefault="00FE4D90" w:rsidP="0038244F">
      <w:pPr>
        <w:pStyle w:val="texto"/>
        <w:spacing w:before="300"/>
      </w:pPr>
      <w:bookmarkStart w:id="36" w:name="_Toc521909264"/>
      <w:r>
        <w:rPr>
          <w:b/>
        </w:rPr>
        <w:t>Azken batean</w:t>
      </w:r>
      <w:r>
        <w:t>, berrantolaketa-prozesuek ehuneko 50eko egiturazko murri</w:t>
      </w:r>
      <w:r>
        <w:t>z</w:t>
      </w:r>
      <w:r>
        <w:t xml:space="preserve">tea ekarri dute sektore publiko instrumentalean, oro har, zeren eta 2010ean zeuden 60 entitateetatik 30 ezeztatu baitira. </w:t>
      </w:r>
    </w:p>
    <w:p w:rsidR="00733729" w:rsidRDefault="00733729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17115B" w:rsidRDefault="00980F55" w:rsidP="0038244F">
      <w:pPr>
        <w:pStyle w:val="atitulo2"/>
        <w:spacing w:before="300"/>
      </w:pPr>
      <w:bookmarkStart w:id="37" w:name="_Toc528306526"/>
      <w:r>
        <w:lastRenderedPageBreak/>
        <w:t>V.2. Berregituratzearen eragin ekonomikoak</w:t>
      </w:r>
      <w:bookmarkEnd w:id="36"/>
      <w:bookmarkEnd w:id="37"/>
    </w:p>
    <w:p w:rsidR="00DB01E1" w:rsidRPr="0013528B" w:rsidRDefault="00980F55" w:rsidP="0038244F">
      <w:pPr>
        <w:pStyle w:val="atitulo3"/>
        <w:spacing w:before="240" w:after="200"/>
        <w:rPr>
          <w:rFonts w:cs="Arial"/>
        </w:rPr>
      </w:pPr>
      <w:r>
        <w:t>V.2.1. Administrazioaren sektore publikoa</w:t>
      </w:r>
    </w:p>
    <w:p w:rsidR="006E26D6" w:rsidRDefault="006E26D6" w:rsidP="003D0DE5">
      <w:pPr>
        <w:pStyle w:val="texto"/>
        <w:spacing w:after="160"/>
      </w:pPr>
      <w:r>
        <w:t>Azkentze-erabakien oinarri izan diren arau-xedapenek, 15/2004 foru Lege</w:t>
      </w:r>
      <w:r>
        <w:t>a</w:t>
      </w:r>
      <w:r>
        <w:t>ren arabera, honako hauek ezartzen dituzte: langileen destinoa eta ondasun, eskubide eta eginbeharren multzoa, azkentzearen ondorioa dena, txosteneko II.2 atalean aipatu diren departamentuei eta erakunde autonomoari atxikitzeko araubidea.</w:t>
      </w:r>
    </w:p>
    <w:p w:rsidR="00982D05" w:rsidRDefault="006E26D6" w:rsidP="003D0DE5">
      <w:pPr>
        <w:pStyle w:val="texto"/>
        <w:spacing w:after="160"/>
      </w:pPr>
      <w:r>
        <w:t xml:space="preserve"> Gure berrikuspena egin ondoren, honako hau adierazi behar dugu:</w:t>
      </w:r>
    </w:p>
    <w:p w:rsidR="002E2236" w:rsidRPr="001D25C6" w:rsidRDefault="001D25C6" w:rsidP="003D0DE5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spacing w:after="160"/>
        <w:ind w:left="0" w:firstLine="289"/>
        <w:rPr>
          <w:rFonts w:cs="Arial"/>
        </w:rPr>
      </w:pPr>
      <w:r>
        <w:t>Ondare Zerbitzuan ez dago jasota atxikipen-aldaketen erregistroa.</w:t>
      </w:r>
    </w:p>
    <w:p w:rsidR="00982D05" w:rsidRPr="00BA771A" w:rsidRDefault="00982D05" w:rsidP="003D0DE5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spacing w:after="160"/>
        <w:ind w:left="0" w:firstLine="289"/>
        <w:rPr>
          <w:rFonts w:cs="Arial"/>
        </w:rPr>
      </w:pPr>
      <w:r>
        <w:t xml:space="preserve">Ez dago jasota ezeztatutako organismoetatik heldutako balizko eragin ekonomikoen zenbatespenik. </w:t>
      </w:r>
    </w:p>
    <w:p w:rsidR="00DB01E1" w:rsidRPr="0013528B" w:rsidRDefault="00DB01E1" w:rsidP="003D0DE5">
      <w:pPr>
        <w:pStyle w:val="atitulo3"/>
        <w:spacing w:before="360"/>
        <w:rPr>
          <w:rFonts w:cs="Arial"/>
        </w:rPr>
      </w:pPr>
      <w:r>
        <w:t>V.2.2. Enpresen sektore publikoa</w:t>
      </w:r>
    </w:p>
    <w:p w:rsidR="0017115B" w:rsidRPr="00AD7F66" w:rsidRDefault="0017115B" w:rsidP="00DD21F4">
      <w:pPr>
        <w:pStyle w:val="atitulo3"/>
        <w:spacing w:before="240"/>
        <w:rPr>
          <w:rFonts w:cs="Arial"/>
        </w:rPr>
      </w:pPr>
      <w:bookmarkStart w:id="38" w:name="_Toc521909265"/>
      <w:r>
        <w:t>V.2.2.1. Alderdi orokorrak eta metodologia</w:t>
      </w:r>
      <w:bookmarkEnd w:id="38"/>
    </w:p>
    <w:p w:rsidR="0005098E" w:rsidRDefault="00B17FD3" w:rsidP="003E2507">
      <w:pPr>
        <w:pStyle w:val="texto"/>
        <w:spacing w:after="120"/>
        <w:rPr>
          <w:rFonts w:eastAsiaTheme="minorHAnsi"/>
          <w:szCs w:val="26"/>
        </w:rPr>
      </w:pPr>
      <w:r>
        <w:t>Guztira zenbatetsi den aurrezkia eta haren denborazko bilakaera honako hauek izan dira, Ogasuneko eta Funtzio Publikoko Ministerioari igorritako i</w:t>
      </w:r>
      <w:r>
        <w:t>n</w:t>
      </w:r>
      <w:r>
        <w:t>formazioaren arabera:</w:t>
      </w:r>
    </w:p>
    <w:p w:rsidR="00D44C2B" w:rsidRDefault="00D44C2B" w:rsidP="00D44C2B">
      <w:pPr>
        <w:pStyle w:val="texto"/>
        <w:spacing w:after="100"/>
        <w:jc w:val="right"/>
        <w:rPr>
          <w:rFonts w:eastAsiaTheme="minorHAnsi"/>
          <w:szCs w:val="26"/>
        </w:rPr>
      </w:pPr>
      <w:r>
        <w:rPr>
          <w:rFonts w:ascii="Arial Narrow" w:hAnsi="Arial Narrow"/>
          <w:sz w:val="16"/>
          <w:szCs w:val="16"/>
        </w:rPr>
        <w:t>(euroak, milakotan)</w:t>
      </w:r>
    </w:p>
    <w:tbl>
      <w:tblPr>
        <w:tblW w:w="872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680"/>
        <w:gridCol w:w="822"/>
        <w:gridCol w:w="794"/>
        <w:gridCol w:w="755"/>
        <w:gridCol w:w="709"/>
        <w:gridCol w:w="709"/>
        <w:gridCol w:w="864"/>
      </w:tblGrid>
      <w:tr w:rsidR="0005098E" w:rsidRPr="001F5F90" w:rsidTr="0005098E">
        <w:trPr>
          <w:trHeight w:val="315"/>
          <w:jc w:val="center"/>
        </w:trPr>
        <w:tc>
          <w:tcPr>
            <w:tcW w:w="3388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Guztira</w:t>
            </w:r>
          </w:p>
        </w:tc>
      </w:tr>
      <w:tr w:rsidR="0005098E" w:rsidRPr="001F5F90" w:rsidTr="0005098E">
        <w:trPr>
          <w:trHeight w:val="255"/>
          <w:jc w:val="center"/>
        </w:trPr>
        <w:tc>
          <w:tcPr>
            <w:tcW w:w="338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1F5F90" w:rsidRDefault="00AE115C" w:rsidP="0005098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Aurrezkiak</w:t>
            </w:r>
          </w:p>
        </w:tc>
        <w:tc>
          <w:tcPr>
            <w:tcW w:w="6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5.714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10.723</w:t>
            </w:r>
          </w:p>
        </w:tc>
        <w:tc>
          <w:tcPr>
            <w:tcW w:w="79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38.541</w:t>
            </w:r>
          </w:p>
        </w:tc>
        <w:tc>
          <w:tcPr>
            <w:tcW w:w="75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5.909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3.353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</w:t>
            </w:r>
          </w:p>
        </w:tc>
        <w:tc>
          <w:tcPr>
            <w:tcW w:w="86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1F5F90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64.240</w:t>
            </w:r>
          </w:p>
        </w:tc>
      </w:tr>
    </w:tbl>
    <w:p w:rsidR="0005098E" w:rsidRDefault="0005098E" w:rsidP="003E2507">
      <w:pPr>
        <w:pStyle w:val="texto"/>
        <w:spacing w:before="240" w:after="120"/>
        <w:rPr>
          <w:rFonts w:eastAsiaTheme="minorHAnsi"/>
          <w:szCs w:val="26"/>
        </w:rPr>
      </w:pPr>
      <w:proofErr w:type="spellStart"/>
      <w:r>
        <w:t>NEPKren</w:t>
      </w:r>
      <w:proofErr w:type="spellEnd"/>
      <w:r>
        <w:t xml:space="preserve"> arabera, honako hauek dira berariaz berrantolatze-planetatik etorri diren aurrezkiak:</w:t>
      </w:r>
    </w:p>
    <w:p w:rsidR="008243E9" w:rsidRDefault="00733729" w:rsidP="00733729">
      <w:pPr>
        <w:pStyle w:val="texto"/>
        <w:spacing w:after="100"/>
        <w:jc w:val="right"/>
        <w:rPr>
          <w:rFonts w:eastAsiaTheme="minorHAnsi"/>
          <w:szCs w:val="26"/>
        </w:rPr>
      </w:pPr>
      <w:r>
        <w:rPr>
          <w:rFonts w:ascii="Arial Narrow" w:hAnsi="Arial Narrow"/>
          <w:sz w:val="16"/>
          <w:szCs w:val="16"/>
        </w:rPr>
        <w:t>(euroak, milakotan)</w:t>
      </w:r>
    </w:p>
    <w:tbl>
      <w:tblPr>
        <w:tblW w:w="8750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719"/>
        <w:gridCol w:w="840"/>
        <w:gridCol w:w="797"/>
        <w:gridCol w:w="713"/>
        <w:gridCol w:w="709"/>
        <w:gridCol w:w="709"/>
        <w:gridCol w:w="921"/>
      </w:tblGrid>
      <w:tr w:rsidR="0005098E" w:rsidRPr="0005098E" w:rsidTr="009D0508">
        <w:trPr>
          <w:trHeight w:val="321"/>
        </w:trPr>
        <w:tc>
          <w:tcPr>
            <w:tcW w:w="3342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</w:tr>
      <w:tr w:rsidR="0005098E" w:rsidRPr="0005098E" w:rsidTr="009D0508">
        <w:trPr>
          <w:trHeight w:val="255"/>
        </w:trPr>
        <w:tc>
          <w:tcPr>
            <w:tcW w:w="334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AE115C" w:rsidP="00AE115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Aurrezkiak, Ministerioari igorritako informazioaren arabera</w:t>
            </w:r>
          </w:p>
        </w:tc>
        <w:tc>
          <w:tcPr>
            <w:tcW w:w="71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5.714</w:t>
            </w:r>
          </w:p>
        </w:tc>
        <w:tc>
          <w:tcPr>
            <w:tcW w:w="84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10.723</w:t>
            </w:r>
          </w:p>
        </w:tc>
        <w:tc>
          <w:tcPr>
            <w:tcW w:w="79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38.541</w:t>
            </w: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5.909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3.353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64.240</w:t>
            </w:r>
          </w:p>
        </w:tc>
      </w:tr>
      <w:tr w:rsidR="0005098E" w:rsidRPr="0005098E" w:rsidTr="009D0508">
        <w:trPr>
          <w:trHeight w:val="273"/>
        </w:trPr>
        <w:tc>
          <w:tcPr>
            <w:tcW w:w="33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Burnizko</w:t>
            </w:r>
            <w:proofErr w:type="spellEnd"/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 Azpitaldearen eragin ekonomikoa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-29.575</w:t>
            </w: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098E" w:rsidRPr="0005098E" w:rsidRDefault="00A41D6D" w:rsidP="00A41D6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  -29.575</w:t>
            </w:r>
          </w:p>
        </w:tc>
      </w:tr>
      <w:tr w:rsidR="00A41D6D" w:rsidRPr="0005098E" w:rsidTr="009D0508">
        <w:trPr>
          <w:trHeight w:val="273"/>
        </w:trPr>
        <w:tc>
          <w:tcPr>
            <w:tcW w:w="334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41D6D" w:rsidRPr="0005098E" w:rsidRDefault="00A41D6D" w:rsidP="0005098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2012ko aparteko ordainsariaren itzulketaren ond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>o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riozko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desaurrezkia</w:t>
            </w:r>
            <w:proofErr w:type="spellEnd"/>
          </w:p>
        </w:tc>
        <w:tc>
          <w:tcPr>
            <w:tcW w:w="71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41D6D" w:rsidRPr="0005098E" w:rsidRDefault="00A41D6D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41D6D" w:rsidRPr="0005098E" w:rsidRDefault="00A41D6D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79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41D6D" w:rsidRPr="0005098E" w:rsidRDefault="00A41D6D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71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41D6D" w:rsidRPr="0005098E" w:rsidRDefault="00A41D6D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41D6D" w:rsidRPr="0005098E" w:rsidRDefault="00A41D6D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41D6D" w:rsidRDefault="00A41D6D" w:rsidP="0005098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-1.215 </w:t>
            </w: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41D6D" w:rsidRDefault="00A41D6D" w:rsidP="00A41D6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-1.215</w:t>
            </w:r>
          </w:p>
        </w:tc>
      </w:tr>
      <w:tr w:rsidR="0005098E" w:rsidRPr="0005098E" w:rsidTr="009D0508">
        <w:trPr>
          <w:trHeight w:val="249"/>
        </w:trPr>
        <w:tc>
          <w:tcPr>
            <w:tcW w:w="3342" w:type="dxa"/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Berrantolatze-planetako berariazko aurre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kiak</w:t>
            </w:r>
          </w:p>
        </w:tc>
        <w:tc>
          <w:tcPr>
            <w:tcW w:w="719" w:type="dxa"/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5.714</w:t>
            </w:r>
          </w:p>
        </w:tc>
        <w:tc>
          <w:tcPr>
            <w:tcW w:w="840" w:type="dxa"/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10.723</w:t>
            </w:r>
          </w:p>
        </w:tc>
        <w:tc>
          <w:tcPr>
            <w:tcW w:w="797" w:type="dxa"/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8.966</w:t>
            </w:r>
          </w:p>
        </w:tc>
        <w:tc>
          <w:tcPr>
            <w:tcW w:w="713" w:type="dxa"/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5.909</w:t>
            </w:r>
          </w:p>
        </w:tc>
        <w:tc>
          <w:tcPr>
            <w:tcW w:w="709" w:type="dxa"/>
            <w:shd w:val="clear" w:color="000000" w:fill="8DB3E2"/>
            <w:noWrap/>
            <w:vAlign w:val="center"/>
            <w:hideMark/>
          </w:tcPr>
          <w:p w:rsidR="0005098E" w:rsidRPr="0005098E" w:rsidRDefault="0005098E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3.353</w:t>
            </w:r>
          </w:p>
        </w:tc>
        <w:tc>
          <w:tcPr>
            <w:tcW w:w="709" w:type="dxa"/>
            <w:shd w:val="clear" w:color="000000" w:fill="8DB3E2"/>
            <w:noWrap/>
            <w:vAlign w:val="center"/>
            <w:hideMark/>
          </w:tcPr>
          <w:p w:rsidR="0005098E" w:rsidRPr="0005098E" w:rsidRDefault="00A41D6D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-1.215</w:t>
            </w:r>
          </w:p>
        </w:tc>
        <w:tc>
          <w:tcPr>
            <w:tcW w:w="921" w:type="dxa"/>
            <w:shd w:val="clear" w:color="000000" w:fill="8DB3E2"/>
            <w:noWrap/>
            <w:vAlign w:val="center"/>
            <w:hideMark/>
          </w:tcPr>
          <w:p w:rsidR="0005098E" w:rsidRPr="0005098E" w:rsidRDefault="00A41D6D" w:rsidP="0005098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33.450</w:t>
            </w:r>
          </w:p>
        </w:tc>
      </w:tr>
    </w:tbl>
    <w:p w:rsidR="0017115B" w:rsidRDefault="0005098E" w:rsidP="003D0DE5">
      <w:pPr>
        <w:pStyle w:val="texto"/>
        <w:spacing w:before="240" w:after="160"/>
        <w:rPr>
          <w:rFonts w:eastAsiaTheme="minorHAnsi"/>
          <w:szCs w:val="26"/>
        </w:rPr>
      </w:pPr>
      <w:r>
        <w:t xml:space="preserve">Zenbait alderdi aipatu behar ditugu: </w:t>
      </w:r>
    </w:p>
    <w:p w:rsidR="000B5037" w:rsidRDefault="006E26D6" w:rsidP="003D0DE5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spacing w:after="160"/>
        <w:ind w:left="0" w:firstLine="289"/>
        <w:rPr>
          <w:rFonts w:cs="Arial"/>
        </w:rPr>
      </w:pPr>
      <w:r>
        <w:t>Aurrezkiaren kontzeptuari eta bera kalkulatzeko prozedurari buruzko iri</w:t>
      </w:r>
      <w:r>
        <w:t>z</w:t>
      </w:r>
      <w:r>
        <w:t xml:space="preserve">pide homogeneorik ez dagoenez, </w:t>
      </w:r>
      <w:proofErr w:type="spellStart"/>
      <w:r>
        <w:t>NEKPk</w:t>
      </w:r>
      <w:proofErr w:type="spellEnd"/>
      <w:r>
        <w:t xml:space="preserve"> metodologia bat formulatu zuen, ze</w:t>
      </w:r>
      <w:r>
        <w:t>i</w:t>
      </w:r>
      <w:r>
        <w:t xml:space="preserve">nak, dokumentatuta dagoenez eta euskarria baduenez, aukera eman baitigu egindako zenbatespenak egiaztatu eta konprobatzeko. </w:t>
      </w:r>
    </w:p>
    <w:p w:rsidR="006E26D6" w:rsidRDefault="0017115B" w:rsidP="003D0DE5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spacing w:after="180"/>
        <w:ind w:left="0" w:firstLine="289"/>
        <w:rPr>
          <w:rFonts w:cs="Arial"/>
        </w:rPr>
      </w:pPr>
      <w:proofErr w:type="spellStart"/>
      <w:r>
        <w:lastRenderedPageBreak/>
        <w:t>SODENAk</w:t>
      </w:r>
      <w:proofErr w:type="spellEnd"/>
      <w:r>
        <w:t xml:space="preserve"> </w:t>
      </w:r>
      <w:proofErr w:type="spellStart"/>
      <w:r>
        <w:t>Burnizko</w:t>
      </w:r>
      <w:proofErr w:type="spellEnd"/>
      <w:r>
        <w:t xml:space="preserve"> SA azpitaldean egin duen </w:t>
      </w:r>
      <w:proofErr w:type="spellStart"/>
      <w:r>
        <w:t>desinbertsioa</w:t>
      </w:r>
      <w:proofErr w:type="spellEnd"/>
      <w:r>
        <w:t>, 29,57 milioi euroko aurrezki bat ekarri duena, ez dator bat antolaketa-planen inongo ber</w:t>
      </w:r>
      <w:r>
        <w:t>a</w:t>
      </w:r>
      <w:r>
        <w:t xml:space="preserve">riazko neurrirekin; hori dela eta, </w:t>
      </w:r>
      <w:proofErr w:type="spellStart"/>
      <w:r>
        <w:t>eta</w:t>
      </w:r>
      <w:proofErr w:type="spellEnd"/>
      <w:r>
        <w:t xml:space="preserve"> ministerioari igorritako informazioaren zati bat izatea eragotzi gabe, gure txostenean ez da jaso berrantolaketatik he</w:t>
      </w:r>
      <w:r>
        <w:t>l</w:t>
      </w:r>
      <w:r>
        <w:t>dutako aurrezki gisa.</w:t>
      </w:r>
    </w:p>
    <w:p w:rsidR="006E26D6" w:rsidRPr="00226CAD" w:rsidRDefault="006E26D6" w:rsidP="003D0DE5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80"/>
        <w:ind w:left="0" w:firstLine="289"/>
        <w:rPr>
          <w:rFonts w:cs="Arial"/>
          <w:spacing w:val="8"/>
        </w:rPr>
      </w:pPr>
      <w:r>
        <w:t>2012an kendu zen aparteko ordainsariaren itzulketa heldu da Nafarroako Gobernuak Foru Komunitateko Administrazioko langileentzat 2015eko abe</w:t>
      </w:r>
      <w:r>
        <w:t>n</w:t>
      </w:r>
      <w:r>
        <w:t>duan onetsitako neurri bat aplikatzetik; neurri hori sozietate publikoetako la</w:t>
      </w:r>
      <w:r>
        <w:t>n</w:t>
      </w:r>
      <w:r>
        <w:t>gileei ere zabaldu zitzaien. 2016eko ekitaldiaren amaieran ehuneko 51 itzulita zegoen. Fiskalizatu ez diren 2017ko eta 2018ko ekitaldietan gainerako eh</w:t>
      </w:r>
      <w:r>
        <w:t>u</w:t>
      </w:r>
      <w:r>
        <w:t>neko 49a itzuli zen.</w:t>
      </w:r>
    </w:p>
    <w:p w:rsidR="0017115B" w:rsidRPr="00177E5A" w:rsidRDefault="002C61E2" w:rsidP="003D0DE5">
      <w:pPr>
        <w:pStyle w:val="texto"/>
        <w:spacing w:after="180"/>
        <w:rPr>
          <w:rFonts w:eastAsiaTheme="minorHAnsi"/>
          <w:szCs w:val="26"/>
        </w:rPr>
      </w:pPr>
      <w:r>
        <w:t>Aurreko gaien xehetasunak emanda, aurrezkien kalkulua bi plan desberdin</w:t>
      </w:r>
      <w:r>
        <w:t>e</w:t>
      </w:r>
      <w:r>
        <w:t>tan</w:t>
      </w:r>
      <w:bookmarkStart w:id="39" w:name="TMB498694979"/>
      <w:bookmarkEnd w:id="39"/>
      <w:r>
        <w:t xml:space="preserve"> eta bi fasetan egin da: </w:t>
      </w:r>
    </w:p>
    <w:p w:rsidR="0017115B" w:rsidRPr="00EF20F3" w:rsidRDefault="0017115B" w:rsidP="003D0DE5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80"/>
        <w:ind w:left="0" w:firstLine="289"/>
        <w:rPr>
          <w:rFonts w:cs="Arial"/>
        </w:rPr>
      </w:pPr>
      <w:r>
        <w:t>I. fasea (2010-2012). Lehenengo fase horretan, I. berrantolaketa-plana b</w:t>
      </w:r>
      <w:r>
        <w:t>e</w:t>
      </w:r>
      <w:r>
        <w:t>tearaziz, bi neurri mota bereizten dira:</w:t>
      </w:r>
    </w:p>
    <w:p w:rsidR="0017115B" w:rsidRPr="00177E5A" w:rsidRDefault="00EF20F3" w:rsidP="003D0DE5">
      <w:pPr>
        <w:pStyle w:val="texto"/>
        <w:spacing w:after="180"/>
        <w:rPr>
          <w:rFonts w:eastAsiaTheme="minorHAnsi"/>
          <w:szCs w:val="26"/>
        </w:rPr>
      </w:pPr>
      <w:r>
        <w:t>a) Langileriaren arloko aurrezkiak. Langileen kopurua murrizteko neurriet</w:t>
      </w:r>
      <w:r>
        <w:t>a</w:t>
      </w:r>
      <w:r>
        <w:t xml:space="preserve">tik heldu den aurrezkia </w:t>
      </w:r>
      <w:proofErr w:type="spellStart"/>
      <w:r>
        <w:t>plantillan</w:t>
      </w:r>
      <w:proofErr w:type="spellEnd"/>
      <w:r>
        <w:t xml:space="preserve"> ekitaldien artean gertatutako aldeari batez besteko kostua aplikatuz kalkulatu da</w:t>
      </w:r>
      <w:r w:rsidR="00697849">
        <w:rPr>
          <w:rStyle w:val="Refdenotaalpie"/>
          <w:rFonts w:eastAsiaTheme="minorHAnsi"/>
          <w:szCs w:val="26"/>
        </w:rPr>
        <w:footnoteReference w:id="12"/>
      </w:r>
      <w:r>
        <w:t xml:space="preserve">. </w:t>
      </w:r>
    </w:p>
    <w:p w:rsidR="00DD21F4" w:rsidRPr="00565938" w:rsidRDefault="00EF20F3" w:rsidP="003D0DE5">
      <w:pPr>
        <w:pStyle w:val="texto"/>
        <w:spacing w:after="180"/>
        <w:rPr>
          <w:rFonts w:eastAsiaTheme="minorHAnsi"/>
          <w:szCs w:val="26"/>
        </w:rPr>
      </w:pPr>
      <w:r>
        <w:t>b) Kostu operatiboetan izandako aurrezkiak. Oro har, kanpoko zerbitzuetako kontabilitate-kontuan gertatutako gastu-aldeengatik lortu zen. Zenbait soziet</w:t>
      </w:r>
      <w:r>
        <w:t>a</w:t>
      </w:r>
      <w:r>
        <w:t xml:space="preserve">tetan diru-sarrerak eta gastu jakin batzuk lotzen dituen adierazle bat erabili da, aldien artean gertatuko jarduera-aldaketa kontuan hartuta. </w:t>
      </w:r>
    </w:p>
    <w:p w:rsidR="0017115B" w:rsidRPr="00EF20F3" w:rsidRDefault="0017115B" w:rsidP="003D0DE5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80"/>
        <w:ind w:left="0" w:firstLine="289"/>
        <w:rPr>
          <w:rFonts w:cs="Arial"/>
        </w:rPr>
      </w:pPr>
      <w:r>
        <w:t>II. fasea (2013-2015). Bigarren fasean, II. antolaketa-plana betearazter</w:t>
      </w:r>
      <w:r>
        <w:t>a</w:t>
      </w:r>
      <w:r>
        <w:t>koan, hiru neurri-mota bereizten dira:</w:t>
      </w:r>
    </w:p>
    <w:p w:rsidR="004B58D4" w:rsidRDefault="00703C86" w:rsidP="003D0DE5">
      <w:pPr>
        <w:pStyle w:val="texto"/>
        <w:spacing w:after="180"/>
        <w:rPr>
          <w:rFonts w:eastAsiaTheme="minorHAnsi"/>
          <w:szCs w:val="26"/>
        </w:rPr>
      </w:pPr>
      <w:r>
        <w:t xml:space="preserve">a) Langileriaren arloko aurrezkiak. Aurreko fasean </w:t>
      </w:r>
      <w:proofErr w:type="spellStart"/>
      <w:r>
        <w:t>plantillan</w:t>
      </w:r>
      <w:proofErr w:type="spellEnd"/>
      <w:r>
        <w:t xml:space="preserve"> gertatutako a</w:t>
      </w:r>
      <w:r>
        <w:t>l</w:t>
      </w:r>
      <w:r>
        <w:t>deen ondoriozko batez besteko kostuaren kalkulua egin zen; fase honetan, o</w:t>
      </w:r>
      <w:r>
        <w:t>r</w:t>
      </w:r>
      <w:r>
        <w:t xml:space="preserve">dea, aurrezkiak ezarri dira </w:t>
      </w:r>
      <w:proofErr w:type="spellStart"/>
      <w:r>
        <w:t>plantilla</w:t>
      </w:r>
      <w:proofErr w:type="spellEnd"/>
      <w:r>
        <w:t xml:space="preserve"> murrizteko hartutako neurrietako bakoitz</w:t>
      </w:r>
      <w:r>
        <w:t>a</w:t>
      </w:r>
      <w:r>
        <w:t xml:space="preserve">ren kostu zehatza hartuta. </w:t>
      </w:r>
    </w:p>
    <w:p w:rsidR="0017115B" w:rsidRPr="00DD21F4" w:rsidRDefault="00703C86" w:rsidP="003D0DE5">
      <w:pPr>
        <w:pStyle w:val="texto"/>
        <w:spacing w:after="180"/>
        <w:rPr>
          <w:rFonts w:eastAsiaTheme="minorHAnsi"/>
          <w:szCs w:val="26"/>
        </w:rPr>
      </w:pPr>
      <w:r>
        <w:t>b) Kostu operatiboetan izandako aurrezkiak. Diru-sarrerak eta gastuak l</w:t>
      </w:r>
      <w:r>
        <w:t>o</w:t>
      </w:r>
      <w:r>
        <w:t xml:space="preserve">tzen dituen adierazlea zehaztu da, sozietate batzuen errealitateari egokituz. </w:t>
      </w:r>
    </w:p>
    <w:p w:rsidR="00DF6A0F" w:rsidRDefault="00703C86" w:rsidP="003D0DE5">
      <w:pPr>
        <w:pStyle w:val="texto"/>
        <w:spacing w:after="180"/>
        <w:rPr>
          <w:rFonts w:eastAsiaTheme="minorHAnsi"/>
          <w:szCs w:val="26"/>
        </w:rPr>
      </w:pPr>
      <w:r>
        <w:t xml:space="preserve">c) Beste neurri batzuk; honako hauek, besteak </w:t>
      </w:r>
      <w:proofErr w:type="spellStart"/>
      <w:r>
        <w:t>beste</w:t>
      </w:r>
      <w:proofErr w:type="spellEnd"/>
      <w:r>
        <w:t xml:space="preserve">: zorra birfinantzatzea,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Arcosko</w:t>
      </w:r>
      <w:proofErr w:type="spellEnd"/>
      <w:r>
        <w:t xml:space="preserve"> Zirkuituaren kudeaketa kanpoan kontratatzea eta zuzendaritza-kargudunen ordainsariak aldatzea.</w:t>
      </w:r>
    </w:p>
    <w:p w:rsidR="008243E9" w:rsidRDefault="008243E9" w:rsidP="00A41D6D">
      <w:pPr>
        <w:pStyle w:val="texto"/>
        <w:spacing w:after="180"/>
        <w:rPr>
          <w:rFonts w:eastAsiaTheme="minorHAnsi"/>
          <w:szCs w:val="26"/>
        </w:rPr>
      </w:pPr>
    </w:p>
    <w:p w:rsidR="005D0D45" w:rsidRDefault="005D0D45" w:rsidP="00A41D6D">
      <w:pPr>
        <w:pStyle w:val="texto"/>
        <w:spacing w:after="180"/>
        <w:rPr>
          <w:rFonts w:eastAsiaTheme="minorHAnsi"/>
          <w:szCs w:val="26"/>
        </w:rPr>
      </w:pPr>
    </w:p>
    <w:p w:rsidR="008243E9" w:rsidRDefault="0017115B" w:rsidP="00B360BE">
      <w:pPr>
        <w:pStyle w:val="texto"/>
        <w:spacing w:after="120"/>
        <w:rPr>
          <w:rFonts w:eastAsiaTheme="minorHAnsi"/>
          <w:spacing w:val="4"/>
          <w:szCs w:val="26"/>
        </w:rPr>
      </w:pPr>
      <w:r>
        <w:t>Hurrengo taulan, 33,45 milioi euroko kalkuluaren laburpen bat xehakatzen dugu, neurri-motaren arabera multzokaturik:</w:t>
      </w:r>
    </w:p>
    <w:p w:rsidR="009E41BD" w:rsidRPr="002E30FE" w:rsidRDefault="00B360BE" w:rsidP="00B360BE">
      <w:pPr>
        <w:pStyle w:val="texto"/>
        <w:spacing w:after="100"/>
        <w:ind w:left="3164" w:firstLine="0"/>
        <w:rPr>
          <w:color w:val="FF000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(euroak, milakotan)</w:t>
      </w:r>
    </w:p>
    <w:tbl>
      <w:tblPr>
        <w:tblW w:w="87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3119"/>
        <w:gridCol w:w="2192"/>
      </w:tblGrid>
      <w:tr w:rsidR="0017115B" w:rsidRPr="008243E9" w:rsidTr="00561278">
        <w:trPr>
          <w:trHeight w:val="300"/>
          <w:jc w:val="center"/>
        </w:trPr>
        <w:tc>
          <w:tcPr>
            <w:tcW w:w="339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7115B" w:rsidRPr="00CA37B3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7115B" w:rsidRPr="00CA37B3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7115B" w:rsidRPr="008437A2" w:rsidRDefault="001A0244" w:rsidP="009E41BD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Guztira </w:t>
            </w:r>
          </w:p>
        </w:tc>
      </w:tr>
      <w:tr w:rsidR="0017115B" w:rsidRPr="008437A2" w:rsidTr="008243E9">
        <w:trPr>
          <w:trHeight w:val="300"/>
          <w:jc w:val="center"/>
        </w:trPr>
        <w:tc>
          <w:tcPr>
            <w:tcW w:w="6518" w:type="dxa"/>
            <w:gridSpan w:val="2"/>
            <w:shd w:val="clear" w:color="000000" w:fill="8DB4E2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 Langileriaren arloko aurrezkiak</w:t>
            </w:r>
          </w:p>
        </w:tc>
        <w:tc>
          <w:tcPr>
            <w:tcW w:w="2192" w:type="dxa"/>
            <w:shd w:val="clear" w:color="000000" w:fill="8DB4E2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9.045</w:t>
            </w:r>
          </w:p>
        </w:tc>
      </w:tr>
      <w:tr w:rsidR="0017115B" w:rsidRPr="008437A2" w:rsidTr="008243E9">
        <w:trPr>
          <w:trHeight w:val="300"/>
          <w:jc w:val="center"/>
        </w:trPr>
        <w:tc>
          <w:tcPr>
            <w:tcW w:w="6518" w:type="dxa"/>
            <w:gridSpan w:val="2"/>
            <w:shd w:val="clear" w:color="000000" w:fill="8DB4E2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 Kostu operatiboetako aurrezkiak</w:t>
            </w:r>
          </w:p>
        </w:tc>
        <w:tc>
          <w:tcPr>
            <w:tcW w:w="2192" w:type="dxa"/>
            <w:shd w:val="clear" w:color="000000" w:fill="8DB4E2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20.402</w:t>
            </w:r>
          </w:p>
        </w:tc>
      </w:tr>
      <w:tr w:rsidR="0017115B" w:rsidRPr="008437A2" w:rsidTr="00561278">
        <w:trPr>
          <w:trHeight w:val="300"/>
          <w:jc w:val="center"/>
        </w:trPr>
        <w:tc>
          <w:tcPr>
            <w:tcW w:w="3399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3. Aurrezkietako beste neurri zehatz batzuk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5.218</w:t>
            </w:r>
          </w:p>
        </w:tc>
      </w:tr>
      <w:tr w:rsidR="0017115B" w:rsidRPr="008437A2" w:rsidTr="00561278">
        <w:trPr>
          <w:trHeight w:val="255"/>
          <w:jc w:val="center"/>
        </w:trPr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SODENA- Zorraren birfinantzatzea</w:t>
            </w:r>
          </w:p>
        </w:tc>
        <w:tc>
          <w:tcPr>
            <w:tcW w:w="21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3.039</w:t>
            </w:r>
          </w:p>
        </w:tc>
      </w:tr>
      <w:tr w:rsidR="0017115B" w:rsidRPr="008437A2" w:rsidTr="00561278">
        <w:trPr>
          <w:trHeight w:val="255"/>
          <w:jc w:val="center"/>
        </w:trPr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CAT- Zorraren birfinantzatzea</w:t>
            </w:r>
          </w:p>
        </w:tc>
        <w:tc>
          <w:tcPr>
            <w:tcW w:w="21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642</w:t>
            </w:r>
          </w:p>
        </w:tc>
      </w:tr>
      <w:tr w:rsidR="00673EB0" w:rsidRPr="008437A2" w:rsidTr="00561278">
        <w:trPr>
          <w:trHeight w:val="255"/>
          <w:jc w:val="center"/>
        </w:trPr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73EB0" w:rsidRPr="008437A2" w:rsidRDefault="00673EB0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73EB0" w:rsidRPr="008437A2" w:rsidRDefault="00673EB0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NDO-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Los</w:t>
            </w:r>
            <w:proofErr w:type="spellEnd"/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Arcosko</w:t>
            </w:r>
            <w:proofErr w:type="spellEnd"/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 Zirkuitukoak kanpoan ko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>n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>tratatzea</w:t>
            </w:r>
          </w:p>
        </w:tc>
        <w:tc>
          <w:tcPr>
            <w:tcW w:w="21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73EB0" w:rsidRPr="008437A2" w:rsidRDefault="00673EB0" w:rsidP="008437A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1.200</w:t>
            </w:r>
          </w:p>
        </w:tc>
      </w:tr>
      <w:tr w:rsidR="0017115B" w:rsidRPr="008437A2" w:rsidTr="00561278">
        <w:trPr>
          <w:trHeight w:val="255"/>
          <w:jc w:val="center"/>
        </w:trPr>
        <w:tc>
          <w:tcPr>
            <w:tcW w:w="339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Kontseilarien ordainsarien aldaketa</w:t>
            </w:r>
          </w:p>
        </w:tc>
        <w:tc>
          <w:tcPr>
            <w:tcW w:w="219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337</w:t>
            </w:r>
          </w:p>
        </w:tc>
      </w:tr>
      <w:tr w:rsidR="0017115B" w:rsidRPr="008437A2" w:rsidTr="00561278">
        <w:trPr>
          <w:trHeight w:val="300"/>
          <w:jc w:val="center"/>
        </w:trPr>
        <w:tc>
          <w:tcPr>
            <w:tcW w:w="3399" w:type="dxa"/>
            <w:shd w:val="clear" w:color="000000" w:fill="8DB4E2"/>
            <w:noWrap/>
            <w:vAlign w:val="center"/>
            <w:hideMark/>
          </w:tcPr>
          <w:p w:rsidR="0017115B" w:rsidRPr="008437A2" w:rsidRDefault="002940A8" w:rsidP="00A639C4">
            <w:pPr>
              <w:pStyle w:val="Prrafodelista"/>
              <w:numPr>
                <w:ilvl w:val="0"/>
                <w:numId w:val="3"/>
              </w:num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Aurrezkiak, guztira</w:t>
            </w:r>
          </w:p>
        </w:tc>
        <w:tc>
          <w:tcPr>
            <w:tcW w:w="3119" w:type="dxa"/>
            <w:shd w:val="clear" w:color="000000" w:fill="8DB4E2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2" w:type="dxa"/>
            <w:shd w:val="clear" w:color="000000" w:fill="8DB4E2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34.665</w:t>
            </w:r>
          </w:p>
        </w:tc>
      </w:tr>
      <w:tr w:rsidR="0017115B" w:rsidRPr="008437A2" w:rsidTr="00561278">
        <w:trPr>
          <w:trHeight w:val="255"/>
          <w:jc w:val="center"/>
        </w:trPr>
        <w:tc>
          <w:tcPr>
            <w:tcW w:w="3399" w:type="dxa"/>
            <w:shd w:val="clear" w:color="auto" w:fill="auto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7115B" w:rsidRPr="008437A2" w:rsidTr="00561278">
        <w:trPr>
          <w:trHeight w:val="300"/>
          <w:jc w:val="center"/>
        </w:trPr>
        <w:tc>
          <w:tcPr>
            <w:tcW w:w="3399" w:type="dxa"/>
            <w:shd w:val="clear" w:color="000000" w:fill="8DB4E2"/>
            <w:noWrap/>
            <w:vAlign w:val="center"/>
            <w:hideMark/>
          </w:tcPr>
          <w:p w:rsidR="0017115B" w:rsidRPr="008437A2" w:rsidRDefault="002940A8" w:rsidP="00A639C4">
            <w:pPr>
              <w:pStyle w:val="Prrafodelista"/>
              <w:numPr>
                <w:ilvl w:val="0"/>
                <w:numId w:val="3"/>
              </w:num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Desaurrezkiak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>, guztira</w:t>
            </w:r>
          </w:p>
        </w:tc>
        <w:tc>
          <w:tcPr>
            <w:tcW w:w="3119" w:type="dxa"/>
            <w:shd w:val="clear" w:color="000000" w:fill="8DB4E2"/>
            <w:noWrap/>
            <w:vAlign w:val="bottom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2" w:type="dxa"/>
            <w:shd w:val="clear" w:color="000000" w:fill="8DB4E2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-1.215</w:t>
            </w:r>
          </w:p>
        </w:tc>
      </w:tr>
      <w:tr w:rsidR="0017115B" w:rsidRPr="008437A2" w:rsidTr="00561278">
        <w:trPr>
          <w:trHeight w:val="255"/>
          <w:jc w:val="center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Aparteko soldataren ondoriozko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desaurrezkia</w:t>
            </w:r>
            <w:proofErr w:type="spellEnd"/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 (% 51)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-1.215</w:t>
            </w:r>
          </w:p>
        </w:tc>
      </w:tr>
      <w:tr w:rsidR="0017115B" w:rsidRPr="008437A2" w:rsidTr="00561278">
        <w:trPr>
          <w:trHeight w:val="300"/>
          <w:jc w:val="center"/>
        </w:trPr>
        <w:tc>
          <w:tcPr>
            <w:tcW w:w="3399" w:type="dxa"/>
            <w:shd w:val="clear" w:color="000000" w:fill="8DB4E2"/>
            <w:noWrap/>
            <w:vAlign w:val="center"/>
            <w:hideMark/>
          </w:tcPr>
          <w:p w:rsidR="0017115B" w:rsidRPr="008437A2" w:rsidRDefault="002940A8" w:rsidP="00A639C4">
            <w:pPr>
              <w:pStyle w:val="Prrafodelista"/>
              <w:numPr>
                <w:ilvl w:val="0"/>
                <w:numId w:val="3"/>
              </w:num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Aurrezkiak, guztira (A+B)</w:t>
            </w:r>
          </w:p>
        </w:tc>
        <w:tc>
          <w:tcPr>
            <w:tcW w:w="3119" w:type="dxa"/>
            <w:shd w:val="clear" w:color="000000" w:fill="8DB4E2"/>
            <w:noWrap/>
            <w:vAlign w:val="center"/>
            <w:hideMark/>
          </w:tcPr>
          <w:p w:rsidR="0017115B" w:rsidRPr="008437A2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2" w:type="dxa"/>
            <w:shd w:val="clear" w:color="000000" w:fill="8DB4E2"/>
            <w:noWrap/>
            <w:vAlign w:val="center"/>
            <w:hideMark/>
          </w:tcPr>
          <w:p w:rsidR="0017115B" w:rsidRPr="008437A2" w:rsidRDefault="0017115B" w:rsidP="008437A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33.450</w:t>
            </w:r>
          </w:p>
        </w:tc>
      </w:tr>
    </w:tbl>
    <w:p w:rsidR="0017115B" w:rsidRPr="00AD7F66" w:rsidRDefault="00980F55" w:rsidP="004B7E4C">
      <w:pPr>
        <w:pStyle w:val="atitulo3"/>
        <w:spacing w:before="440"/>
        <w:rPr>
          <w:rFonts w:cs="Arial"/>
        </w:rPr>
      </w:pPr>
      <w:bookmarkStart w:id="40" w:name="_Toc521909266"/>
      <w:r>
        <w:t>V.2.2.2. Langileriaren arloko aurrezkiak</w:t>
      </w:r>
      <w:bookmarkEnd w:id="40"/>
      <w:r>
        <w:t xml:space="preserve"> </w:t>
      </w:r>
    </w:p>
    <w:p w:rsidR="00002542" w:rsidRDefault="00BD6756" w:rsidP="00D114D7">
      <w:pPr>
        <w:pStyle w:val="texto"/>
        <w:rPr>
          <w:rFonts w:eastAsiaTheme="minorHAnsi"/>
          <w:szCs w:val="26"/>
        </w:rPr>
      </w:pPr>
      <w:r>
        <w:t>Honako hau da informazioa:</w:t>
      </w:r>
    </w:p>
    <w:p w:rsidR="00B36E55" w:rsidRPr="00002542" w:rsidRDefault="00002542" w:rsidP="00D114D7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spacing w:before="240" w:after="240"/>
        <w:ind w:left="0" w:firstLine="289"/>
        <w:rPr>
          <w:rFonts w:cs="Arial"/>
        </w:rPr>
      </w:pPr>
      <w:r>
        <w:t>Langileriaren bilakaera</w:t>
      </w:r>
      <w:r w:rsidR="008243E9">
        <w:rPr>
          <w:rStyle w:val="Refdenotaalpie"/>
          <w:rFonts w:cs="Arial"/>
        </w:rPr>
        <w:footnoteReference w:id="13"/>
      </w:r>
      <w:r>
        <w:t xml:space="preserve"> </w:t>
      </w:r>
    </w:p>
    <w:tbl>
      <w:tblPr>
        <w:tblW w:w="8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24"/>
        <w:gridCol w:w="624"/>
        <w:gridCol w:w="624"/>
        <w:gridCol w:w="624"/>
        <w:gridCol w:w="624"/>
        <w:gridCol w:w="624"/>
        <w:gridCol w:w="624"/>
        <w:gridCol w:w="1196"/>
        <w:gridCol w:w="1176"/>
      </w:tblGrid>
      <w:tr w:rsidR="00B36E55" w:rsidRPr="00502796" w:rsidTr="00B36E55">
        <w:trPr>
          <w:trHeight w:val="312"/>
          <w:jc w:val="center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6E55" w:rsidRPr="00502796" w:rsidRDefault="00B36E55" w:rsidP="00FA0EF3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2016/10 aldea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Aldea (%)</w:t>
            </w:r>
          </w:p>
        </w:tc>
      </w:tr>
      <w:tr w:rsidR="00B36E55" w:rsidRPr="00502796" w:rsidTr="00B36E55">
        <w:trPr>
          <w:trHeight w:val="284"/>
          <w:jc w:val="center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55" w:rsidRPr="00443457" w:rsidRDefault="00B36E55" w:rsidP="00B36E55">
            <w:pPr>
              <w:spacing w:after="0"/>
              <w:ind w:firstLine="0"/>
              <w:jc w:val="left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Langileen batez besteko kopurua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1.283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1.208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1.140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1.046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1.018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1.054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1.059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-224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55" w:rsidRPr="00502796" w:rsidRDefault="00B36E55" w:rsidP="00B36E55">
            <w:pPr>
              <w:spacing w:after="0"/>
              <w:ind w:firstLine="0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-17%</w:t>
            </w:r>
          </w:p>
        </w:tc>
      </w:tr>
    </w:tbl>
    <w:p w:rsidR="00002542" w:rsidRDefault="00002542" w:rsidP="00A478E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spacing w:before="300" w:after="120"/>
        <w:ind w:left="0" w:firstLine="289"/>
        <w:rPr>
          <w:rFonts w:cs="Arial"/>
        </w:rPr>
      </w:pPr>
      <w:r>
        <w:t>Ekitaldien araberako aurrezkiak</w:t>
      </w:r>
    </w:p>
    <w:p w:rsidR="008243E9" w:rsidRDefault="00567C9C" w:rsidP="00567C9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</w:tabs>
        <w:spacing w:after="100"/>
        <w:ind w:left="289" w:firstLine="0"/>
        <w:jc w:val="right"/>
        <w:rPr>
          <w:rFonts w:cs="Arial"/>
        </w:rPr>
      </w:pPr>
      <w:r>
        <w:rPr>
          <w:rFonts w:ascii="Arial Narrow" w:hAnsi="Arial Narrow"/>
          <w:sz w:val="16"/>
          <w:szCs w:val="16"/>
        </w:rPr>
        <w:t>(euroak, milakotan)</w:t>
      </w:r>
    </w:p>
    <w:tbl>
      <w:tblPr>
        <w:tblW w:w="8739" w:type="dxa"/>
        <w:jc w:val="center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372"/>
        <w:gridCol w:w="611"/>
        <w:gridCol w:w="586"/>
        <w:gridCol w:w="563"/>
        <w:gridCol w:w="561"/>
        <w:gridCol w:w="563"/>
        <w:gridCol w:w="843"/>
      </w:tblGrid>
      <w:tr w:rsidR="00BD6756" w:rsidRPr="002C61E2" w:rsidTr="001C5D1C">
        <w:trPr>
          <w:trHeight w:val="269"/>
          <w:jc w:val="center"/>
        </w:trPr>
        <w:tc>
          <w:tcPr>
            <w:tcW w:w="1640" w:type="dxa"/>
            <w:shd w:val="clear" w:color="000000" w:fill="8DB3E2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2" w:type="dxa"/>
            <w:shd w:val="clear" w:color="000000" w:fill="8DB3E2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611" w:type="dxa"/>
            <w:shd w:val="clear" w:color="000000" w:fill="8DB3E2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86" w:type="dxa"/>
            <w:shd w:val="clear" w:color="000000" w:fill="8DB3E2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63" w:type="dxa"/>
            <w:shd w:val="clear" w:color="000000" w:fill="8DB3E2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61" w:type="dxa"/>
            <w:shd w:val="clear" w:color="000000" w:fill="8DB3E2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3" w:type="dxa"/>
            <w:shd w:val="clear" w:color="000000" w:fill="8DB3E2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3" w:type="dxa"/>
            <w:shd w:val="clear" w:color="000000" w:fill="8DB3E2"/>
            <w:noWrap/>
            <w:vAlign w:val="center"/>
            <w:hideMark/>
          </w:tcPr>
          <w:p w:rsidR="00BD6756" w:rsidRPr="002C61E2" w:rsidRDefault="00102DA7" w:rsidP="00BD675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</w:tr>
      <w:tr w:rsidR="00BD6756" w:rsidRPr="002C61E2" w:rsidTr="001C5D1C">
        <w:trPr>
          <w:trHeight w:val="315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Langileriaren arloko aurrezkiak</w:t>
            </w:r>
          </w:p>
        </w:tc>
        <w:tc>
          <w:tcPr>
            <w:tcW w:w="3372" w:type="dxa"/>
            <w:shd w:val="clear" w:color="auto" w:fill="auto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1.704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3.980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1.343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1.096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922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D6756" w:rsidRPr="002C61E2" w:rsidRDefault="00BD6756" w:rsidP="00BD675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9.045</w:t>
            </w:r>
          </w:p>
        </w:tc>
      </w:tr>
    </w:tbl>
    <w:p w:rsidR="007C2D33" w:rsidRDefault="00002542" w:rsidP="00A478E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spacing w:before="300" w:after="120"/>
        <w:ind w:left="289" w:firstLine="0"/>
        <w:jc w:val="left"/>
        <w:rPr>
          <w:rFonts w:cs="Arial"/>
        </w:rPr>
      </w:pPr>
      <w:r>
        <w:t>Aurrezkiak, faseka multzokaturik</w:t>
      </w:r>
    </w:p>
    <w:p w:rsidR="009E41BD" w:rsidRPr="002E30FE" w:rsidRDefault="00567C9C" w:rsidP="00567C9C">
      <w:pPr>
        <w:pStyle w:val="texto"/>
        <w:spacing w:after="120"/>
        <w:ind w:left="1588" w:firstLine="0"/>
        <w:rPr>
          <w:color w:val="FF000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(euroak, milakotan)</w:t>
      </w:r>
    </w:p>
    <w:tbl>
      <w:tblPr>
        <w:tblW w:w="8687" w:type="dxa"/>
        <w:jc w:val="center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1888"/>
        <w:gridCol w:w="1885"/>
        <w:gridCol w:w="1022"/>
      </w:tblGrid>
      <w:tr w:rsidR="00CE355B" w:rsidRPr="00CE355B" w:rsidTr="001C5D1C">
        <w:trPr>
          <w:trHeight w:val="315"/>
          <w:jc w:val="center"/>
        </w:trPr>
        <w:tc>
          <w:tcPr>
            <w:tcW w:w="3892" w:type="dxa"/>
            <w:shd w:val="clear" w:color="000000" w:fill="8DB3E2"/>
            <w:noWrap/>
            <w:vAlign w:val="center"/>
            <w:hideMark/>
          </w:tcPr>
          <w:p w:rsidR="00CE355B" w:rsidRPr="00CE355B" w:rsidRDefault="00CE355B" w:rsidP="00CE355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888" w:type="dxa"/>
            <w:shd w:val="clear" w:color="000000" w:fill="8DB3E2"/>
            <w:noWrap/>
            <w:vAlign w:val="center"/>
            <w:hideMark/>
          </w:tcPr>
          <w:p w:rsidR="00CE355B" w:rsidRPr="00CE355B" w:rsidRDefault="00CE355B" w:rsidP="00A20E1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I. fasea (2010-2012)</w:t>
            </w:r>
          </w:p>
        </w:tc>
        <w:tc>
          <w:tcPr>
            <w:tcW w:w="1885" w:type="dxa"/>
            <w:shd w:val="clear" w:color="000000" w:fill="8DB3E2"/>
            <w:noWrap/>
            <w:vAlign w:val="center"/>
            <w:hideMark/>
          </w:tcPr>
          <w:p w:rsidR="00CE355B" w:rsidRPr="00CE355B" w:rsidRDefault="00CE355B" w:rsidP="00A20E1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II. fasea (2013-2015)</w:t>
            </w:r>
          </w:p>
        </w:tc>
        <w:tc>
          <w:tcPr>
            <w:tcW w:w="1022" w:type="dxa"/>
            <w:shd w:val="clear" w:color="000000" w:fill="8DB3E2"/>
            <w:noWrap/>
            <w:vAlign w:val="center"/>
            <w:hideMark/>
          </w:tcPr>
          <w:p w:rsidR="00CE355B" w:rsidRPr="00CE355B" w:rsidRDefault="00CE355B" w:rsidP="00A20E1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</w:tr>
      <w:tr w:rsidR="00CE355B" w:rsidRPr="00CE355B" w:rsidTr="001C5D1C">
        <w:trPr>
          <w:trHeight w:val="315"/>
          <w:jc w:val="center"/>
        </w:trPr>
        <w:tc>
          <w:tcPr>
            <w:tcW w:w="3892" w:type="dxa"/>
            <w:shd w:val="clear" w:color="auto" w:fill="auto"/>
            <w:noWrap/>
            <w:vAlign w:val="center"/>
            <w:hideMark/>
          </w:tcPr>
          <w:p w:rsidR="00CE355B" w:rsidRPr="00CE355B" w:rsidRDefault="00881B3A" w:rsidP="009E41B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Langileriaren arloko aurrezkiak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CE355B" w:rsidRPr="00CE355B" w:rsidRDefault="00CE355B" w:rsidP="00A20E1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5.684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CE355B" w:rsidRPr="00CE355B" w:rsidRDefault="00CE355B" w:rsidP="00A20E1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3.361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CE355B" w:rsidRPr="00CE355B" w:rsidRDefault="00CE355B" w:rsidP="00A20E1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9.045</w:t>
            </w:r>
          </w:p>
        </w:tc>
      </w:tr>
    </w:tbl>
    <w:p w:rsidR="0017115B" w:rsidRDefault="00FA0EF3" w:rsidP="005C39F9">
      <w:pPr>
        <w:pStyle w:val="texto"/>
        <w:spacing w:before="260"/>
        <w:rPr>
          <w:rFonts w:eastAsiaTheme="minorHAnsi"/>
          <w:szCs w:val="26"/>
        </w:rPr>
      </w:pPr>
      <w:proofErr w:type="spellStart"/>
      <w:r>
        <w:lastRenderedPageBreak/>
        <w:t>NEKPren</w:t>
      </w:r>
      <w:proofErr w:type="spellEnd"/>
      <w:r>
        <w:t xml:space="preserve"> arabera, langileriaren arloko aurrezkiak </w:t>
      </w:r>
      <w:proofErr w:type="spellStart"/>
      <w:r>
        <w:t>plantillen</w:t>
      </w:r>
      <w:proofErr w:type="spellEnd"/>
      <w:r>
        <w:t xml:space="preserve"> birdimentsion</w:t>
      </w:r>
      <w:r>
        <w:t>a</w:t>
      </w:r>
      <w:r>
        <w:t>tze baten gisara ulertu behar dira. 2010eko ekitaldira arte, sozietate publiko</w:t>
      </w:r>
      <w:r>
        <w:t>e</w:t>
      </w:r>
      <w:r>
        <w:t>tan aldi baterako kontratatutako langileen portzentajea oso txikia zen; hori dela eta, ezin zitzaizkien egokitu aurreikusita zeuden fakturazio-gutxitze garrantz</w:t>
      </w:r>
      <w:r>
        <w:t>i</w:t>
      </w:r>
      <w:r>
        <w:t xml:space="preserve">tsuei. Behin birdimentsionatzea eginda, langileen edozein kontratazio </w:t>
      </w:r>
      <w:proofErr w:type="spellStart"/>
      <w:r>
        <w:t>NEKPko</w:t>
      </w:r>
      <w:proofErr w:type="spellEnd"/>
      <w:r>
        <w:t xml:space="preserve"> Giza Baliabideen arloak aztertzen ditu, eta justifikazioa izaten da Nafarroako Foru Komunitateko Administrazioko departamentuek egindako enkargu b</w:t>
      </w:r>
      <w:r>
        <w:t>e</w:t>
      </w:r>
      <w:r>
        <w:t xml:space="preserve">rriak edo beste entitate batzuek finantzatutako proiektu berriak; hori dela eta, </w:t>
      </w:r>
      <w:proofErr w:type="spellStart"/>
      <w:r>
        <w:t>plantilla-handitze</w:t>
      </w:r>
      <w:proofErr w:type="spellEnd"/>
      <w:r>
        <w:t xml:space="preserve"> horiek ez dira </w:t>
      </w:r>
      <w:proofErr w:type="spellStart"/>
      <w:r>
        <w:t>desaurrezki</w:t>
      </w:r>
      <w:proofErr w:type="spellEnd"/>
      <w:r>
        <w:t xml:space="preserve"> moduan hartu.</w:t>
      </w:r>
    </w:p>
    <w:p w:rsidR="00CE355B" w:rsidRPr="005411CA" w:rsidRDefault="00CE355B" w:rsidP="00852478">
      <w:pPr>
        <w:pStyle w:val="texto"/>
        <w:spacing w:after="180"/>
        <w:rPr>
          <w:rFonts w:eastAsiaTheme="minorHAnsi"/>
          <w:spacing w:val="4"/>
          <w:szCs w:val="26"/>
        </w:rPr>
      </w:pPr>
      <w:r>
        <w:t xml:space="preserve">Sozietate desberdinetan hartu diren laginak aztertuta </w:t>
      </w:r>
      <w:proofErr w:type="spellStart"/>
      <w:r>
        <w:t>—I</w:t>
      </w:r>
      <w:proofErr w:type="spellEnd"/>
      <w:r>
        <w:t>. fasean kalkulat</w:t>
      </w:r>
      <w:r>
        <w:t>u</w:t>
      </w:r>
      <w:r>
        <w:t>tako aurrezkien ehuneko 81 egiaztatu dira eta II. fasean kalkulatutakoen eh</w:t>
      </w:r>
      <w:r>
        <w:t>u</w:t>
      </w:r>
      <w:r>
        <w:t>neko 78—, egiaztapenen emaitzak arrazoizkoak dira, eta ez da alde aipagarr</w:t>
      </w:r>
      <w:r>
        <w:t>i</w:t>
      </w:r>
      <w:r>
        <w:t>rik aurkitzen, honako doikuntza hauek izan ezik:</w:t>
      </w:r>
    </w:p>
    <w:p w:rsidR="003B26B9" w:rsidRPr="005411CA" w:rsidRDefault="00EB6705" w:rsidP="00EB6705">
      <w:pPr>
        <w:pStyle w:val="texto"/>
        <w:spacing w:after="120"/>
        <w:rPr>
          <w:rFonts w:eastAsiaTheme="minorHAnsi"/>
          <w:spacing w:val="2"/>
          <w:szCs w:val="26"/>
        </w:rPr>
      </w:pPr>
      <w:r>
        <w:t>a) Foru Komunitateko Administrazioko langile funtzionarioak, sozietate p</w:t>
      </w:r>
      <w:r>
        <w:t>u</w:t>
      </w:r>
      <w:r>
        <w:t>blikoetako langileen artean sartuta</w:t>
      </w:r>
      <w:r w:rsidRPr="005411CA">
        <w:rPr>
          <w:rStyle w:val="Refdenotaalpie"/>
          <w:rFonts w:eastAsiaTheme="minorHAnsi"/>
          <w:spacing w:val="2"/>
          <w:szCs w:val="26"/>
        </w:rPr>
        <w:footnoteReference w:id="14"/>
      </w:r>
      <w:r>
        <w:t xml:space="preserve"> zeudenak eta antolatze-prozesuan beren jatorrizko lanpostuetara itzuli direnak. Horrek enpresen sektore publikoari a</w:t>
      </w:r>
      <w:r>
        <w:t>u</w:t>
      </w:r>
      <w:r>
        <w:t>rrezkia ekarri badio ere, gure ustez, foru sektore publikoaren osotasuna ha</w:t>
      </w:r>
      <w:r>
        <w:t>r</w:t>
      </w:r>
      <w:r>
        <w:t>tuta, Foru Komunitateko Administrazioan ordeztutako langileen gastuan a</w:t>
      </w:r>
      <w:r>
        <w:t>u</w:t>
      </w:r>
      <w:r>
        <w:t>rrezki bat besterik ez du ekarri; horrenbestez, kalkulatutako zenbatekoan do</w:t>
      </w:r>
      <w:r>
        <w:t>i</w:t>
      </w:r>
      <w:r>
        <w:t>kuntza negatibo bat egiten dugu, 0,59 milioi eurokoa.</w:t>
      </w:r>
    </w:p>
    <w:p w:rsidR="006B0335" w:rsidRPr="005411CA" w:rsidRDefault="007719A0" w:rsidP="007C3887">
      <w:pPr>
        <w:pStyle w:val="texto"/>
        <w:spacing w:after="120"/>
        <w:rPr>
          <w:rFonts w:eastAsiaTheme="minorHAnsi"/>
          <w:spacing w:val="2"/>
          <w:szCs w:val="26"/>
        </w:rPr>
      </w:pPr>
      <w:r>
        <w:t xml:space="preserve">b) </w:t>
      </w:r>
      <w:proofErr w:type="spellStart"/>
      <w:r>
        <w:t>GANeko</w:t>
      </w:r>
      <w:proofErr w:type="spellEnd"/>
      <w:r>
        <w:t xml:space="preserve"> 17 langileren kolektibo bat kaleratzeak 0,60 milioi euroko a</w:t>
      </w:r>
      <w:r>
        <w:t>u</w:t>
      </w:r>
      <w:r>
        <w:t xml:space="preserve">rrezkia ekarri du guztira. </w:t>
      </w:r>
      <w:proofErr w:type="spellStart"/>
      <w:r>
        <w:t>NEKPren</w:t>
      </w:r>
      <w:proofErr w:type="spellEnd"/>
      <w:r>
        <w:t xml:space="preserve"> ustez, aurrezkia soilik 0,31 milioi eurokoa izan da, eta kopuru hori 2015eko ekitaldiari dagokio. Aldeari dagokion aurre</w:t>
      </w:r>
      <w:r>
        <w:t>z</w:t>
      </w:r>
      <w:r>
        <w:t>kia gehitu beharra dago, ordea; hori dela eta, 0,29 milioi euroko doikuntza p</w:t>
      </w:r>
      <w:r>
        <w:t>o</w:t>
      </w:r>
      <w:r>
        <w:t>sitiboa egiten dugu.</w:t>
      </w:r>
    </w:p>
    <w:p w:rsidR="0017115B" w:rsidRPr="00AD7F66" w:rsidRDefault="00980F55" w:rsidP="007719A0">
      <w:pPr>
        <w:pStyle w:val="atitulo3"/>
        <w:spacing w:before="300"/>
        <w:rPr>
          <w:rFonts w:cs="Arial"/>
        </w:rPr>
      </w:pPr>
      <w:bookmarkStart w:id="41" w:name="_Toc521909267"/>
      <w:r>
        <w:t>V.2.2.3. Kostu operatiboetako aurrezkiak</w:t>
      </w:r>
      <w:bookmarkEnd w:id="41"/>
    </w:p>
    <w:p w:rsidR="0017115B" w:rsidRDefault="0017115B" w:rsidP="007C3887">
      <w:pPr>
        <w:pStyle w:val="texto"/>
        <w:spacing w:after="120"/>
        <w:rPr>
          <w:rFonts w:eastAsiaTheme="minorHAnsi"/>
          <w:szCs w:val="26"/>
        </w:rPr>
      </w:pPr>
      <w:r>
        <w:t>Atal honetan hartutako neurriek, Ogasuneko eta Funtzio Publikoko Minist</w:t>
      </w:r>
      <w:r>
        <w:t>e</w:t>
      </w:r>
      <w:r>
        <w:t>rioari igorritako informazioan jasota ageri den bezala, 20,4 milioi euroko a</w:t>
      </w:r>
      <w:r>
        <w:t>u</w:t>
      </w:r>
      <w:r>
        <w:t>rrezkia ekarri dute. Fusio-prozesuetatik heldu diren kostuen berrantolatzean oinarrituta daude, bai eta erosketa-prozeduren ezarpenean ere, nagusiki horn</w:t>
      </w:r>
      <w:r>
        <w:t>i</w:t>
      </w:r>
      <w:r>
        <w:t>durei buruzko esparru-akordioen bitartez eta erosketak baimentzeko, gainbeg</w:t>
      </w:r>
      <w:r>
        <w:t>i</w:t>
      </w:r>
      <w:r>
        <w:t xml:space="preserve">ratzeko eta kontrolatzeko prozesuen bitartez. Neurri horiek bat datoz </w:t>
      </w:r>
      <w:proofErr w:type="spellStart"/>
      <w:r>
        <w:t>NEKPk</w:t>
      </w:r>
      <w:proofErr w:type="spellEnd"/>
      <w:r>
        <w:t xml:space="preserve"> onetsitako bi berrantolaketa-planetan aurreikusitako kostu-gutxitzearen helb</w:t>
      </w:r>
      <w:r>
        <w:t>u</w:t>
      </w:r>
      <w:r>
        <w:t>ruekin.</w:t>
      </w:r>
    </w:p>
    <w:p w:rsidR="007F34E2" w:rsidRDefault="0017115B" w:rsidP="007C3887">
      <w:pPr>
        <w:pStyle w:val="texto"/>
        <w:spacing w:after="120"/>
        <w:rPr>
          <w:rFonts w:eastAsiaTheme="minorHAnsi"/>
          <w:szCs w:val="26"/>
        </w:rPr>
      </w:pPr>
      <w:r>
        <w:lastRenderedPageBreak/>
        <w:t xml:space="preserve">17 milioi euroko zenbatekoa egiten duen lagin bat hartuta </w:t>
      </w:r>
      <w:proofErr w:type="spellStart"/>
      <w:r>
        <w:t>—kalkulatutako</w:t>
      </w:r>
      <w:proofErr w:type="spellEnd"/>
      <w:r>
        <w:t xml:space="preserve"> aurrezkiaren ehuneko 84 egiten </w:t>
      </w:r>
      <w:proofErr w:type="spellStart"/>
      <w:r>
        <w:t>du—</w:t>
      </w:r>
      <w:proofErr w:type="spellEnd"/>
      <w:r>
        <w:t>, egindako egiaztatzeen emaitza arrazoi</w:t>
      </w:r>
      <w:r>
        <w:t>z</w:t>
      </w:r>
      <w:r>
        <w:t>koa da, eta ez da alde aipagarririk aurkitu.</w:t>
      </w:r>
    </w:p>
    <w:p w:rsidR="0017115B" w:rsidRPr="00AD7F66" w:rsidRDefault="00980F55" w:rsidP="00565F40">
      <w:pPr>
        <w:pStyle w:val="atitulo3"/>
        <w:spacing w:before="240" w:after="200"/>
        <w:rPr>
          <w:rFonts w:cs="Arial"/>
        </w:rPr>
      </w:pPr>
      <w:r>
        <w:t xml:space="preserve">V.2.2.4. </w:t>
      </w:r>
      <w:bookmarkStart w:id="42" w:name="_Toc521909268"/>
      <w:r>
        <w:t>Bestelako neurria</w:t>
      </w:r>
      <w:bookmarkEnd w:id="42"/>
      <w:r>
        <w:t>k</w:t>
      </w:r>
    </w:p>
    <w:p w:rsidR="0017115B" w:rsidRDefault="0017115B" w:rsidP="00612D36">
      <w:pPr>
        <w:pStyle w:val="texto"/>
        <w:spacing w:after="120"/>
        <w:rPr>
          <w:rFonts w:eastAsiaTheme="minorHAnsi"/>
          <w:szCs w:val="26"/>
        </w:rPr>
      </w:pPr>
      <w:r>
        <w:t>Hona xehetasunak:</w:t>
      </w:r>
    </w:p>
    <w:p w:rsidR="009558BF" w:rsidRDefault="00612D36" w:rsidP="00612D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</w:tabs>
        <w:spacing w:after="100"/>
        <w:ind w:left="289" w:firstLine="0"/>
        <w:jc w:val="right"/>
        <w:rPr>
          <w:rFonts w:cs="Arial"/>
        </w:rPr>
      </w:pPr>
      <w:r>
        <w:rPr>
          <w:rFonts w:ascii="Arial Narrow" w:hAnsi="Arial Narrow"/>
          <w:sz w:val="16"/>
          <w:szCs w:val="16"/>
        </w:rPr>
        <w:t>(euroak, milakotan)</w:t>
      </w:r>
    </w:p>
    <w:tbl>
      <w:tblPr>
        <w:tblW w:w="870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5"/>
        <w:gridCol w:w="2189"/>
      </w:tblGrid>
      <w:tr w:rsidR="0017115B" w:rsidRPr="00661202" w:rsidTr="007C2D33">
        <w:trPr>
          <w:trHeight w:val="340"/>
          <w:jc w:val="center"/>
        </w:trPr>
        <w:tc>
          <w:tcPr>
            <w:tcW w:w="6515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15B" w:rsidRPr="00661202" w:rsidRDefault="00661202" w:rsidP="0066120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Neurriak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15B" w:rsidRPr="00661202" w:rsidRDefault="00EA58D6" w:rsidP="009558B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Guztira </w:t>
            </w:r>
          </w:p>
        </w:tc>
      </w:tr>
      <w:tr w:rsidR="0017115B" w:rsidRPr="00661202" w:rsidTr="007C2D33">
        <w:trPr>
          <w:trHeight w:val="255"/>
          <w:jc w:val="center"/>
        </w:trPr>
        <w:tc>
          <w:tcPr>
            <w:tcW w:w="651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661202" w:rsidRDefault="0017115B" w:rsidP="0066120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SODENA- Zorraren birfinantzatzea</w:t>
            </w:r>
          </w:p>
        </w:tc>
        <w:tc>
          <w:tcPr>
            <w:tcW w:w="218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7115B" w:rsidRPr="00661202" w:rsidRDefault="002C58A0" w:rsidP="0066120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3.039</w:t>
            </w:r>
          </w:p>
        </w:tc>
      </w:tr>
      <w:tr w:rsidR="0017115B" w:rsidRPr="00661202" w:rsidTr="007C2D33">
        <w:trPr>
          <w:trHeight w:val="255"/>
          <w:jc w:val="center"/>
        </w:trPr>
        <w:tc>
          <w:tcPr>
            <w:tcW w:w="65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661202" w:rsidRDefault="0017115B" w:rsidP="0066120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CAT- Zorraren birfinantzatzea</w:t>
            </w:r>
          </w:p>
        </w:tc>
        <w:tc>
          <w:tcPr>
            <w:tcW w:w="2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7115B" w:rsidRPr="00661202" w:rsidRDefault="002C58A0" w:rsidP="0066120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642</w:t>
            </w:r>
          </w:p>
        </w:tc>
      </w:tr>
      <w:tr w:rsidR="0017115B" w:rsidRPr="00661202" w:rsidTr="007C2D33">
        <w:trPr>
          <w:trHeight w:val="255"/>
          <w:jc w:val="center"/>
        </w:trPr>
        <w:tc>
          <w:tcPr>
            <w:tcW w:w="65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661202" w:rsidRDefault="0017115B" w:rsidP="0066120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NDO- </w:t>
            </w:r>
            <w:proofErr w:type="spellStart"/>
            <w:r>
              <w:rPr>
                <w:rFonts w:ascii="Arial Narrow" w:hAnsi="Arial Narrow"/>
                <w:color w:val="000000"/>
              </w:rPr>
              <w:t>Los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Arcosko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Zirkuitukoak kanpoan kontratatzea</w:t>
            </w:r>
          </w:p>
        </w:tc>
        <w:tc>
          <w:tcPr>
            <w:tcW w:w="2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661202" w:rsidRDefault="0017115B" w:rsidP="0066120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1.200</w:t>
            </w:r>
          </w:p>
        </w:tc>
      </w:tr>
      <w:tr w:rsidR="0017115B" w:rsidRPr="00661202" w:rsidTr="007C2D33">
        <w:trPr>
          <w:trHeight w:val="255"/>
          <w:jc w:val="center"/>
        </w:trPr>
        <w:tc>
          <w:tcPr>
            <w:tcW w:w="65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661202" w:rsidRDefault="0017115B" w:rsidP="0066120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Kontseilarien ordainsarien aldaketa</w:t>
            </w:r>
          </w:p>
        </w:tc>
        <w:tc>
          <w:tcPr>
            <w:tcW w:w="2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661202" w:rsidRDefault="0017115B" w:rsidP="0066120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337</w:t>
            </w:r>
          </w:p>
        </w:tc>
      </w:tr>
      <w:tr w:rsidR="0017115B" w:rsidRPr="00DD21F4" w:rsidTr="007C2D33">
        <w:trPr>
          <w:trHeight w:val="255"/>
          <w:jc w:val="center"/>
        </w:trPr>
        <w:tc>
          <w:tcPr>
            <w:tcW w:w="651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DD21F4" w:rsidRDefault="0017115B" w:rsidP="00661202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Aparteko soldataren ondoriozko </w:t>
            </w:r>
            <w:proofErr w:type="spellStart"/>
            <w:r>
              <w:rPr>
                <w:rFonts w:ascii="Arial Narrow" w:hAnsi="Arial Narrow"/>
              </w:rPr>
              <w:t>desaurrezkia</w:t>
            </w:r>
            <w:proofErr w:type="spellEnd"/>
            <w:r>
              <w:rPr>
                <w:rFonts w:ascii="Arial Narrow" w:hAnsi="Arial Narrow"/>
              </w:rPr>
              <w:t xml:space="preserve"> (% 51)</w:t>
            </w:r>
          </w:p>
        </w:tc>
        <w:tc>
          <w:tcPr>
            <w:tcW w:w="218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DD21F4" w:rsidRDefault="0017115B" w:rsidP="00661202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-1.215</w:t>
            </w:r>
          </w:p>
        </w:tc>
      </w:tr>
      <w:tr w:rsidR="0017115B" w:rsidRPr="00661202" w:rsidTr="007C2D33">
        <w:trPr>
          <w:trHeight w:val="300"/>
          <w:jc w:val="center"/>
        </w:trPr>
        <w:tc>
          <w:tcPr>
            <w:tcW w:w="6515" w:type="dxa"/>
            <w:shd w:val="clear" w:color="000000" w:fill="8DB4E2"/>
            <w:noWrap/>
            <w:vAlign w:val="center"/>
            <w:hideMark/>
          </w:tcPr>
          <w:p w:rsidR="0017115B" w:rsidRPr="00661202" w:rsidRDefault="00661202" w:rsidP="0066120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2189" w:type="dxa"/>
            <w:shd w:val="clear" w:color="000000" w:fill="8DB4E2"/>
            <w:noWrap/>
            <w:vAlign w:val="center"/>
            <w:hideMark/>
          </w:tcPr>
          <w:p w:rsidR="0017115B" w:rsidRPr="00661202" w:rsidRDefault="002C58A0" w:rsidP="0066120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4.003</w:t>
            </w:r>
          </w:p>
        </w:tc>
      </w:tr>
    </w:tbl>
    <w:p w:rsidR="007F34E2" w:rsidRPr="004E4F0E" w:rsidRDefault="00EB6705" w:rsidP="007C3887">
      <w:pPr>
        <w:pStyle w:val="texto"/>
        <w:spacing w:before="180" w:after="120"/>
        <w:rPr>
          <w:rFonts w:eastAsiaTheme="minorHAnsi"/>
          <w:szCs w:val="26"/>
        </w:rPr>
      </w:pPr>
      <w:r>
        <w:t xml:space="preserve">Neurri guztiak aztertu ditugu, eta uste dugu kalkuluak arrazoizkoak direla, honako salbuespen hauekin: </w:t>
      </w:r>
    </w:p>
    <w:p w:rsidR="0017115B" w:rsidRPr="002675C9" w:rsidRDefault="0017115B" w:rsidP="007C3887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proofErr w:type="spellStart"/>
      <w:r>
        <w:t>SODENAren</w:t>
      </w:r>
      <w:proofErr w:type="spellEnd"/>
      <w:r>
        <w:t xml:space="preserve"> eta CATen zorraren birfinantzatzean doikuntza batzuk egin behar dira; honako hauek, hain zuzen:</w:t>
      </w:r>
    </w:p>
    <w:p w:rsidR="0017115B" w:rsidRPr="006E3B05" w:rsidRDefault="002675C9" w:rsidP="002675C9">
      <w:pPr>
        <w:pStyle w:val="texto"/>
        <w:rPr>
          <w:rFonts w:eastAsiaTheme="minorHAnsi"/>
          <w:szCs w:val="26"/>
        </w:rPr>
      </w:pPr>
      <w:r>
        <w:t xml:space="preserve">a) </w:t>
      </w:r>
      <w:proofErr w:type="spellStart"/>
      <w:r>
        <w:t>NEKPk</w:t>
      </w:r>
      <w:proofErr w:type="spellEnd"/>
      <w:r>
        <w:t xml:space="preserve"> zorraren baldintzen aldeek eragindako aurrezkia kalkulatu zuen, 12 hilabeteko aldi baterako. Iberdrolaren akzioen salmenta-eragiketaren er</w:t>
      </w:r>
      <w:r>
        <w:t>a</w:t>
      </w:r>
      <w:r>
        <w:t xml:space="preserve">gina kontuan hartuta, eta aintzat hartuz birfinantzatzearen dataren eta zorraren zati bat akzioak salduz ezereztu zeneko dataren arteko aldia zortzi hilabetekoa izan dela, uste dugu </w:t>
      </w:r>
      <w:proofErr w:type="spellStart"/>
      <w:r>
        <w:t>NEKPk</w:t>
      </w:r>
      <w:proofErr w:type="spellEnd"/>
      <w:r>
        <w:t xml:space="preserve"> konputatutako urteko alditik gainerako lau hilab</w:t>
      </w:r>
      <w:r>
        <w:t>e</w:t>
      </w:r>
      <w:r>
        <w:t>teak kendu beharko liratekeela; kentze horrek berekin dakar 0,61 milioi euroko doikuntza negatiboa egitea.</w:t>
      </w:r>
    </w:p>
    <w:p w:rsidR="0017115B" w:rsidRDefault="002675C9" w:rsidP="007A7004">
      <w:pPr>
        <w:pStyle w:val="texto"/>
        <w:spacing w:after="180"/>
        <w:rPr>
          <w:rFonts w:eastAsiaTheme="minorHAnsi"/>
          <w:szCs w:val="26"/>
        </w:rPr>
      </w:pPr>
      <w:r>
        <w:t xml:space="preserve">b) </w:t>
      </w:r>
      <w:proofErr w:type="spellStart"/>
      <w:r>
        <w:t>SODENAk</w:t>
      </w:r>
      <w:proofErr w:type="spellEnd"/>
      <w:r>
        <w:t xml:space="preserve"> eta </w:t>
      </w:r>
      <w:proofErr w:type="spellStart"/>
      <w:r>
        <w:t>CATek</w:t>
      </w:r>
      <w:proofErr w:type="spellEnd"/>
      <w:r>
        <w:t xml:space="preserve"> beren zorpetzearen zati bat murriztu zuten kapital-zabalkuntza baten bidez lortutako likideziarekin. Zabalkuntza hori Nafarroako Foru Komunitateko Administrazioak finantzatu zuen </w:t>
      </w:r>
      <w:proofErr w:type="spellStart"/>
      <w:r>
        <w:t>NEKPri</w:t>
      </w:r>
      <w:proofErr w:type="spellEnd"/>
      <w:r>
        <w:t xml:space="preserve"> egindako eka</w:t>
      </w:r>
      <w:r>
        <w:t>r</w:t>
      </w:r>
      <w:r>
        <w:t xml:space="preserve">pen finantzario batekin. Gure ustez zuzena bada ere sozietate horietan aurrezki gisa hartzea zama finantzarioa txikiagoa izatea, ordaindu behar ez dena, gure ustez foru sektore publikoarentzat aurrezkirik ez dago; hori dela eta, doikuntza negatibo bat egiten dugu Korporazioak kalkulatutako zenbateko berak hartuz, alegia, 1,2 milioi euro </w:t>
      </w:r>
      <w:proofErr w:type="spellStart"/>
      <w:r>
        <w:t>SODENAn</w:t>
      </w:r>
      <w:proofErr w:type="spellEnd"/>
      <w:r>
        <w:t xml:space="preserve"> eta 0,29 milioi euro CATen. </w:t>
      </w:r>
    </w:p>
    <w:p w:rsidR="00CE75A2" w:rsidRPr="002675C9" w:rsidRDefault="00CE75A2" w:rsidP="008417C7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80"/>
        <w:ind w:left="0" w:firstLine="289"/>
        <w:rPr>
          <w:rFonts w:cs="Arial"/>
        </w:rPr>
      </w:pPr>
      <w:r>
        <w:t>Aparteko ordainsariaren itzulketa, 1,21 milioi eurokoa. Horretan, gure u</w:t>
      </w:r>
      <w:r>
        <w:t>s</w:t>
      </w:r>
      <w:r>
        <w:t>tez, doikuntza bikoitza egin beharra dago:</w:t>
      </w:r>
    </w:p>
    <w:p w:rsidR="00AA7A4C" w:rsidRPr="00E17B85" w:rsidRDefault="00E747CA" w:rsidP="008417C7">
      <w:pPr>
        <w:pStyle w:val="texto"/>
        <w:spacing w:after="180"/>
        <w:rPr>
          <w:spacing w:val="10"/>
        </w:rPr>
      </w:pPr>
      <w:r>
        <w:t xml:space="preserve">a) </w:t>
      </w:r>
      <w:proofErr w:type="spellStart"/>
      <w:r>
        <w:t>NEKPk</w:t>
      </w:r>
      <w:proofErr w:type="spellEnd"/>
      <w:r>
        <w:t xml:space="preserve"> egindako aparteko soldataren </w:t>
      </w:r>
      <w:proofErr w:type="spellStart"/>
      <w:r>
        <w:t>desaurrezkia</w:t>
      </w:r>
      <w:proofErr w:type="spellEnd"/>
      <w:r>
        <w:t xml:space="preserve"> kentzea, zeren eta ez baitagokio inongo antolaketa-neurriri.</w:t>
      </w:r>
    </w:p>
    <w:p w:rsidR="00AA7A4C" w:rsidRPr="00E17B85" w:rsidRDefault="00E747CA" w:rsidP="00E747CA">
      <w:pPr>
        <w:pStyle w:val="texto"/>
        <w:spacing w:after="260"/>
        <w:rPr>
          <w:spacing w:val="10"/>
        </w:rPr>
      </w:pPr>
      <w:r>
        <w:lastRenderedPageBreak/>
        <w:t xml:space="preserve">b) 0,31 milioi euroko aurrezki handiagoa gehitzea, kontuan hartuz </w:t>
      </w:r>
      <w:proofErr w:type="spellStart"/>
      <w:r>
        <w:t>NEKPk</w:t>
      </w:r>
      <w:proofErr w:type="spellEnd"/>
      <w:r>
        <w:t xml:space="preserve"> 2012an egin zuen aurrezki-kalkuluan ordainsarien oinarri txikiagoa ageri zela, zeren eta 13 ordainsari hartu baitziren kontuan, 14 hartu beharrean.</w:t>
      </w:r>
    </w:p>
    <w:p w:rsidR="002E4E5E" w:rsidRPr="002E4E5E" w:rsidRDefault="005D0D45" w:rsidP="00084224">
      <w:pPr>
        <w:pStyle w:val="texto"/>
        <w:spacing w:after="220"/>
        <w:rPr>
          <w:spacing w:val="0"/>
        </w:rPr>
      </w:pPr>
      <w:r>
        <w:t>Egindako azterketaren arabera, egiten ditugun doikuntza guztiak, enpresen sektore publikoan eragina dutenak eta foru sektore publikoan eragina dutenak bereiziz, honako taula hauetan ageri dira xehakaturik:</w:t>
      </w:r>
    </w:p>
    <w:p w:rsidR="002E4E5E" w:rsidRDefault="002E4E5E" w:rsidP="002E4E5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spacing w:after="100"/>
        <w:ind w:left="1588" w:firstLine="0"/>
        <w:jc w:val="right"/>
        <w:rPr>
          <w:rFonts w:cs="Arial"/>
        </w:rPr>
      </w:pPr>
      <w:r>
        <w:rPr>
          <w:rFonts w:ascii="Arial Narrow" w:hAnsi="Arial Narrow"/>
          <w:sz w:val="16"/>
          <w:szCs w:val="16"/>
        </w:rPr>
        <w:t>(euroak, milakotan)</w:t>
      </w:r>
    </w:p>
    <w:tbl>
      <w:tblPr>
        <w:tblW w:w="86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9"/>
        <w:gridCol w:w="967"/>
      </w:tblGrid>
      <w:tr w:rsidR="002E4E5E" w:rsidRPr="002A42AD" w:rsidTr="001004D0">
        <w:trPr>
          <w:trHeight w:val="312"/>
          <w:jc w:val="center"/>
        </w:trPr>
        <w:tc>
          <w:tcPr>
            <w:tcW w:w="8066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E4E5E" w:rsidRPr="002A42AD" w:rsidRDefault="002E4E5E" w:rsidP="005D294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NEKPren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berariazko doikuntzen zerrenda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E4E5E" w:rsidRPr="002A42AD" w:rsidRDefault="002E4E5E" w:rsidP="005D294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Zenbat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koa</w:t>
            </w:r>
          </w:p>
        </w:tc>
      </w:tr>
      <w:tr w:rsidR="002E4E5E" w:rsidRPr="0056162A" w:rsidTr="001004D0">
        <w:trPr>
          <w:trHeight w:val="227"/>
          <w:jc w:val="center"/>
        </w:trPr>
        <w:tc>
          <w:tcPr>
            <w:tcW w:w="806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Berregituratzearen ondoriozko doikuntza: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GANeko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17 langile</w:t>
            </w:r>
          </w:p>
        </w:tc>
        <w:tc>
          <w:tcPr>
            <w:tcW w:w="62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294</w:t>
            </w:r>
          </w:p>
        </w:tc>
      </w:tr>
      <w:tr w:rsidR="002E4E5E" w:rsidRPr="0056162A" w:rsidTr="001004D0">
        <w:trPr>
          <w:trHeight w:val="227"/>
          <w:jc w:val="center"/>
        </w:trPr>
        <w:tc>
          <w:tcPr>
            <w:tcW w:w="806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SODENAren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birfinantzatzea, Iberdrolaren akzioak salduz</w:t>
            </w:r>
          </w:p>
        </w:tc>
        <w:tc>
          <w:tcPr>
            <w:tcW w:w="62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-612</w:t>
            </w:r>
          </w:p>
        </w:tc>
      </w:tr>
      <w:tr w:rsidR="002E4E5E" w:rsidRPr="0056162A" w:rsidTr="001004D0">
        <w:trPr>
          <w:trHeight w:val="227"/>
          <w:jc w:val="center"/>
        </w:trPr>
        <w:tc>
          <w:tcPr>
            <w:tcW w:w="806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E4E5E" w:rsidRPr="00AB2C95" w:rsidRDefault="002E4E5E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Aparteko ordainsariaren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desaurrezkiaren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doikuntza (% 51)</w:t>
            </w:r>
          </w:p>
        </w:tc>
        <w:tc>
          <w:tcPr>
            <w:tcW w:w="62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1.215</w:t>
            </w:r>
          </w:p>
        </w:tc>
      </w:tr>
      <w:tr w:rsidR="002E4E5E" w:rsidRPr="0056162A" w:rsidTr="001004D0">
        <w:trPr>
          <w:trHeight w:val="227"/>
          <w:jc w:val="center"/>
        </w:trPr>
        <w:tc>
          <w:tcPr>
            <w:tcW w:w="806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E4E5E" w:rsidRPr="00AB2C95" w:rsidRDefault="002E4E5E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Kaleratutako langileei aparteko ordainsaria itzultzearen ondoriozko aurrezkiaren doikuntza </w:t>
            </w:r>
          </w:p>
        </w:tc>
        <w:tc>
          <w:tcPr>
            <w:tcW w:w="62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</w:tr>
      <w:tr w:rsidR="002E4E5E" w:rsidRPr="0056162A" w:rsidTr="001004D0">
        <w:trPr>
          <w:trHeight w:val="284"/>
          <w:jc w:val="center"/>
        </w:trPr>
        <w:tc>
          <w:tcPr>
            <w:tcW w:w="8066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NEKPren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doikuntzak, guztira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1.203</w:t>
            </w:r>
          </w:p>
        </w:tc>
      </w:tr>
      <w:tr w:rsidR="002E4E5E" w:rsidRPr="0056162A" w:rsidTr="00A044FC">
        <w:trPr>
          <w:trHeight w:hRule="exact" w:val="227"/>
          <w:jc w:val="center"/>
        </w:trPr>
        <w:tc>
          <w:tcPr>
            <w:tcW w:w="80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left"/>
              <w:rPr>
                <w:lang w:val="es-ES" w:eastAsia="es-ES"/>
              </w:rPr>
            </w:pPr>
          </w:p>
        </w:tc>
        <w:tc>
          <w:tcPr>
            <w:tcW w:w="62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lang w:val="es-ES" w:eastAsia="es-ES"/>
              </w:rPr>
            </w:pPr>
          </w:p>
        </w:tc>
      </w:tr>
      <w:tr w:rsidR="002E4E5E" w:rsidRPr="0056162A" w:rsidTr="005D2942">
        <w:trPr>
          <w:trHeight w:hRule="exact" w:val="113"/>
          <w:jc w:val="center"/>
        </w:trPr>
        <w:tc>
          <w:tcPr>
            <w:tcW w:w="8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E5E" w:rsidRPr="0056162A" w:rsidRDefault="002E4E5E" w:rsidP="005D2942">
            <w:pPr>
              <w:spacing w:after="0"/>
              <w:ind w:firstLine="0"/>
              <w:jc w:val="left"/>
              <w:rPr>
                <w:lang w:val="es-ES" w:eastAsia="es-ES"/>
              </w:rPr>
            </w:pP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lang w:val="es-ES" w:eastAsia="es-ES"/>
              </w:rPr>
            </w:pPr>
          </w:p>
        </w:tc>
      </w:tr>
      <w:tr w:rsidR="002E4E5E" w:rsidRPr="0056162A" w:rsidTr="001004D0">
        <w:trPr>
          <w:trHeight w:val="312"/>
          <w:jc w:val="center"/>
        </w:trPr>
        <w:tc>
          <w:tcPr>
            <w:tcW w:w="8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E4E5E" w:rsidRPr="0056162A" w:rsidRDefault="002E4E5E" w:rsidP="00CC23BC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Doikuntzen zerrenda, foru sektore publikoa kontuan hartuta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>koa</w:t>
            </w:r>
          </w:p>
        </w:tc>
      </w:tr>
      <w:tr w:rsidR="002E4E5E" w:rsidRPr="005D119A" w:rsidTr="001004D0">
        <w:trPr>
          <w:trHeight w:val="227"/>
          <w:jc w:val="center"/>
        </w:trPr>
        <w:tc>
          <w:tcPr>
            <w:tcW w:w="806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4E5E" w:rsidRPr="005D119A" w:rsidRDefault="002E4E5E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Langile funtzionarioen doikuntza </w:t>
            </w:r>
          </w:p>
        </w:tc>
        <w:tc>
          <w:tcPr>
            <w:tcW w:w="62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E4E5E" w:rsidRPr="005D119A" w:rsidRDefault="002E4E5E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-594</w:t>
            </w:r>
          </w:p>
        </w:tc>
      </w:tr>
      <w:tr w:rsidR="002E4E5E" w:rsidRPr="0056162A" w:rsidTr="001004D0">
        <w:trPr>
          <w:trHeight w:val="227"/>
          <w:jc w:val="center"/>
        </w:trPr>
        <w:tc>
          <w:tcPr>
            <w:tcW w:w="80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SODENAren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birfinantzatzea, kapital-zabalkuntza bidezkoa</w:t>
            </w:r>
          </w:p>
        </w:tc>
        <w:tc>
          <w:tcPr>
            <w:tcW w:w="6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-1.202</w:t>
            </w:r>
          </w:p>
        </w:tc>
      </w:tr>
      <w:tr w:rsidR="002E4E5E" w:rsidRPr="0056162A" w:rsidTr="001004D0">
        <w:trPr>
          <w:trHeight w:val="227"/>
          <w:jc w:val="center"/>
        </w:trPr>
        <w:tc>
          <w:tcPr>
            <w:tcW w:w="806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CATen birfinantzatzea, kapital-zabalkuntza bidezkoa</w:t>
            </w:r>
          </w:p>
        </w:tc>
        <w:tc>
          <w:tcPr>
            <w:tcW w:w="62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-291</w:t>
            </w:r>
          </w:p>
        </w:tc>
      </w:tr>
      <w:tr w:rsidR="002E4E5E" w:rsidRPr="0056162A" w:rsidTr="001004D0">
        <w:trPr>
          <w:trHeight w:val="284"/>
          <w:jc w:val="center"/>
        </w:trPr>
        <w:tc>
          <w:tcPr>
            <w:tcW w:w="8066" w:type="dxa"/>
            <w:shd w:val="clear" w:color="auto" w:fill="8DB3E2" w:themeFill="text2" w:themeFillTint="66"/>
            <w:noWrap/>
            <w:vAlign w:val="center"/>
            <w:hideMark/>
          </w:tcPr>
          <w:p w:rsidR="002E4E5E" w:rsidRPr="0056162A" w:rsidRDefault="002E4E5E" w:rsidP="00CC23BC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Foru sektore publikoko doikuntzak, guztira</w:t>
            </w:r>
          </w:p>
        </w:tc>
        <w:tc>
          <w:tcPr>
            <w:tcW w:w="622" w:type="dxa"/>
            <w:shd w:val="clear" w:color="auto" w:fill="8DB3E2" w:themeFill="text2" w:themeFillTint="66"/>
            <w:noWrap/>
            <w:vAlign w:val="center"/>
            <w:hideMark/>
          </w:tcPr>
          <w:p w:rsidR="002E4E5E" w:rsidRPr="0056162A" w:rsidRDefault="002E4E5E" w:rsidP="005D2942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-2.087</w:t>
            </w:r>
          </w:p>
        </w:tc>
      </w:tr>
    </w:tbl>
    <w:p w:rsidR="007F34E2" w:rsidRPr="00692BE4" w:rsidRDefault="007F34E2" w:rsidP="00A044FC">
      <w:pPr>
        <w:pStyle w:val="atitulo3"/>
        <w:spacing w:before="360" w:after="200"/>
        <w:rPr>
          <w:rFonts w:cs="Arial"/>
        </w:rPr>
      </w:pPr>
      <w:r>
        <w:t>V.2.3. Fundazioen sektore publikoa</w:t>
      </w:r>
    </w:p>
    <w:p w:rsidR="004E4F0E" w:rsidRDefault="007F34E2" w:rsidP="00A044FC">
      <w:pPr>
        <w:pStyle w:val="texto"/>
      </w:pPr>
      <w:r>
        <w:t>“Ikus-entzunezko Arteen eta Zinematografiaren Nafarroako Institutua” fu</w:t>
      </w:r>
      <w:r>
        <w:t>n</w:t>
      </w:r>
      <w:r>
        <w:t xml:space="preserve">dazioa azkentzeko erabakian, ondasunak, eskubideak eta betebeharrak txosten honetako II. epigrafean aipatutako departamentuari atxikitzeko araubidea ageri da. </w:t>
      </w:r>
    </w:p>
    <w:p w:rsidR="0039286F" w:rsidRDefault="00C64C02" w:rsidP="00A044FC">
      <w:pPr>
        <w:pStyle w:val="texto"/>
      </w:pPr>
      <w:r>
        <w:t>Hala eta guztiz ere, gure azterketa egin ondoren, honako hau aipatu behar dugu:</w:t>
      </w:r>
    </w:p>
    <w:p w:rsidR="002E4E5E" w:rsidRPr="005D2942" w:rsidRDefault="002E4E5E" w:rsidP="00A044FC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529"/>
          <w:tab w:val="left" w:pos="480"/>
          <w:tab w:val="num" w:pos="720"/>
        </w:tabs>
        <w:ind w:left="0" w:firstLine="289"/>
        <w:rPr>
          <w:rFonts w:cs="Arial"/>
        </w:rPr>
      </w:pPr>
      <w:r>
        <w:t>Ondare Zerbitzuak informatzen du ez dagoela Fundazioari aurrez atxik</w:t>
      </w:r>
      <w:r>
        <w:t>i</w:t>
      </w:r>
      <w:r>
        <w:t>tako ondasun edo eskubideen erregistrorik.</w:t>
      </w:r>
    </w:p>
    <w:p w:rsidR="00982D05" w:rsidRDefault="00982D05" w:rsidP="00A044FC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Ez dago jasota antolatze-prozesutik heldutako balizko eragin ekonom</w:t>
      </w:r>
      <w:r>
        <w:t>i</w:t>
      </w:r>
      <w:r>
        <w:t>koen kalkulurik.</w:t>
      </w:r>
    </w:p>
    <w:p w:rsidR="00F91455" w:rsidRPr="00692BE4" w:rsidRDefault="00F91455" w:rsidP="00D40940">
      <w:pPr>
        <w:pStyle w:val="atitulo3"/>
        <w:spacing w:before="300" w:after="200"/>
        <w:rPr>
          <w:rFonts w:cs="Arial"/>
        </w:rPr>
      </w:pPr>
      <w:r>
        <w:t>V.2.4. Nafarroako foru sektore publikoko aurrezkiak</w:t>
      </w:r>
    </w:p>
    <w:p w:rsidR="00E63C83" w:rsidRDefault="00F30CC5" w:rsidP="00341488">
      <w:pPr>
        <w:pStyle w:val="texto"/>
        <w:spacing w:after="260"/>
        <w:rPr>
          <w:rFonts w:eastAsiaTheme="minorHAnsi"/>
          <w:szCs w:val="26"/>
        </w:rPr>
      </w:pPr>
      <w:bookmarkStart w:id="43" w:name="_Toc521909269"/>
      <w:r>
        <w:t xml:space="preserve">Sektoreen araberako aurrezkien eta aintzat hartu ditugun doikuntzen egoera metatua ondorengo taulan ageri dena da: </w:t>
      </w:r>
    </w:p>
    <w:tbl>
      <w:tblPr>
        <w:tblW w:w="874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0"/>
        <w:gridCol w:w="1219"/>
      </w:tblGrid>
      <w:tr w:rsidR="00E63C83" w:rsidRPr="0056162A" w:rsidTr="001004D0">
        <w:trPr>
          <w:trHeight w:val="312"/>
          <w:jc w:val="center"/>
        </w:trPr>
        <w:tc>
          <w:tcPr>
            <w:tcW w:w="753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63C83" w:rsidRPr="0056162A" w:rsidRDefault="00E63C83" w:rsidP="005D2942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Aurrezkiak, sektoreen arabera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63C83" w:rsidRPr="0056162A" w:rsidRDefault="00E63C83" w:rsidP="005D2942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Zenbatekoa</w:t>
            </w:r>
          </w:p>
        </w:tc>
      </w:tr>
      <w:tr w:rsidR="00E63C83" w:rsidRPr="0056162A" w:rsidTr="001004D0">
        <w:trPr>
          <w:trHeight w:val="227"/>
          <w:jc w:val="center"/>
        </w:trPr>
        <w:tc>
          <w:tcPr>
            <w:tcW w:w="753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63C83" w:rsidRPr="0056162A" w:rsidRDefault="005D2942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Administrazioaren sektore publikoa</w:t>
            </w:r>
          </w:p>
        </w:tc>
        <w:tc>
          <w:tcPr>
            <w:tcW w:w="121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63C83" w:rsidRPr="0056162A" w:rsidRDefault="003B26B9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Ez dago jasota </w:t>
            </w:r>
          </w:p>
        </w:tc>
      </w:tr>
      <w:tr w:rsidR="005D2942" w:rsidRPr="0056162A" w:rsidTr="001004D0">
        <w:trPr>
          <w:trHeight w:val="227"/>
          <w:jc w:val="center"/>
        </w:trPr>
        <w:tc>
          <w:tcPr>
            <w:tcW w:w="753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D2942" w:rsidRDefault="005D2942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Enpresen sektore publikoa</w:t>
            </w:r>
          </w:p>
        </w:tc>
        <w:tc>
          <w:tcPr>
            <w:tcW w:w="121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D2942" w:rsidRDefault="005D2942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33.450</w:t>
            </w:r>
          </w:p>
        </w:tc>
      </w:tr>
      <w:tr w:rsidR="00E63C83" w:rsidRPr="0056162A" w:rsidTr="001004D0">
        <w:trPr>
          <w:trHeight w:val="227"/>
          <w:jc w:val="center"/>
        </w:trPr>
        <w:tc>
          <w:tcPr>
            <w:tcW w:w="753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63C83" w:rsidRPr="0056162A" w:rsidRDefault="005D2942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Fundazioen sektore publikoa</w:t>
            </w:r>
          </w:p>
        </w:tc>
        <w:tc>
          <w:tcPr>
            <w:tcW w:w="121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63C83" w:rsidRPr="0056162A" w:rsidRDefault="003B26B9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Ez dago jasota</w:t>
            </w:r>
          </w:p>
        </w:tc>
      </w:tr>
      <w:tr w:rsidR="00E63C83" w:rsidRPr="0056162A" w:rsidTr="001004D0">
        <w:trPr>
          <w:trHeight w:val="255"/>
          <w:jc w:val="center"/>
        </w:trPr>
        <w:tc>
          <w:tcPr>
            <w:tcW w:w="753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63C83" w:rsidRPr="0056162A" w:rsidRDefault="00E63C83" w:rsidP="00FF2507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 xml:space="preserve">Aurrezkiak, guztira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63C83" w:rsidRPr="0056162A" w:rsidRDefault="00E63C83" w:rsidP="005D2942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33.450</w:t>
            </w:r>
          </w:p>
        </w:tc>
      </w:tr>
      <w:tr w:rsidR="00E63C83" w:rsidRPr="0056162A" w:rsidTr="001004D0">
        <w:trPr>
          <w:trHeight w:val="227"/>
          <w:jc w:val="center"/>
        </w:trPr>
        <w:tc>
          <w:tcPr>
            <w:tcW w:w="7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63C83" w:rsidRPr="0056162A" w:rsidRDefault="00E63C83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Doikuntzak</w:t>
            </w:r>
          </w:p>
        </w:tc>
        <w:tc>
          <w:tcPr>
            <w:tcW w:w="12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63C83" w:rsidRDefault="00E63C83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E63C83" w:rsidRPr="0056162A" w:rsidTr="001004D0">
        <w:trPr>
          <w:trHeight w:val="227"/>
          <w:jc w:val="center"/>
        </w:trPr>
        <w:tc>
          <w:tcPr>
            <w:tcW w:w="7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63C83" w:rsidRPr="0056162A" w:rsidRDefault="00E63C83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-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NEKPn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egindako doikuntzak</w:t>
            </w:r>
          </w:p>
        </w:tc>
        <w:tc>
          <w:tcPr>
            <w:tcW w:w="12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63C83" w:rsidRPr="0056162A" w:rsidRDefault="00E63C83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1.203</w:t>
            </w:r>
          </w:p>
        </w:tc>
      </w:tr>
      <w:tr w:rsidR="00E63C83" w:rsidRPr="0056162A" w:rsidTr="001004D0">
        <w:trPr>
          <w:trHeight w:val="227"/>
          <w:jc w:val="center"/>
        </w:trPr>
        <w:tc>
          <w:tcPr>
            <w:tcW w:w="753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63C83" w:rsidRPr="0056162A" w:rsidRDefault="00E63C83" w:rsidP="005D2942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-Foru Komunitateko Administrazioan egindako doikuntzak</w:t>
            </w:r>
          </w:p>
        </w:tc>
        <w:tc>
          <w:tcPr>
            <w:tcW w:w="121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63C83" w:rsidRPr="0056162A" w:rsidRDefault="00E63C83" w:rsidP="005D294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-2.087</w:t>
            </w:r>
          </w:p>
        </w:tc>
      </w:tr>
      <w:tr w:rsidR="00E63C83" w:rsidRPr="0056162A" w:rsidTr="00D26D2F">
        <w:trPr>
          <w:trHeight w:val="284"/>
          <w:jc w:val="center"/>
        </w:trPr>
        <w:tc>
          <w:tcPr>
            <w:tcW w:w="7530" w:type="dxa"/>
            <w:shd w:val="clear" w:color="auto" w:fill="8DB3E2" w:themeFill="text2" w:themeFillTint="66"/>
            <w:noWrap/>
            <w:vAlign w:val="center"/>
            <w:hideMark/>
          </w:tcPr>
          <w:p w:rsidR="00E63C83" w:rsidRPr="0056162A" w:rsidRDefault="00E63C83" w:rsidP="00E63C83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Nafarroako foru sektore publikoko aurrezkiak, guztira</w:t>
            </w:r>
          </w:p>
        </w:tc>
        <w:tc>
          <w:tcPr>
            <w:tcW w:w="1219" w:type="dxa"/>
            <w:shd w:val="clear" w:color="auto" w:fill="8DB3E2" w:themeFill="text2" w:themeFillTint="66"/>
            <w:noWrap/>
            <w:vAlign w:val="center"/>
            <w:hideMark/>
          </w:tcPr>
          <w:p w:rsidR="00E63C83" w:rsidRPr="0056162A" w:rsidRDefault="00E63C83" w:rsidP="005D2942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32.566</w:t>
            </w:r>
          </w:p>
        </w:tc>
      </w:tr>
    </w:tbl>
    <w:p w:rsidR="00A2629D" w:rsidRDefault="00A2629D" w:rsidP="00687C85">
      <w:pPr>
        <w:pStyle w:val="texto"/>
        <w:rPr>
          <w:rFonts w:eastAsiaTheme="minorHAnsi"/>
          <w:b/>
          <w:szCs w:val="26"/>
        </w:rPr>
      </w:pPr>
    </w:p>
    <w:p w:rsidR="002E4E5E" w:rsidRDefault="002E4E5E" w:rsidP="00687C85">
      <w:pPr>
        <w:pStyle w:val="texto"/>
        <w:rPr>
          <w:rFonts w:eastAsiaTheme="minorHAnsi"/>
          <w:szCs w:val="26"/>
        </w:rPr>
      </w:pPr>
      <w:r>
        <w:rPr>
          <w:b/>
          <w:bCs/>
        </w:rPr>
        <w:t>Azken batean</w:t>
      </w:r>
      <w:r>
        <w:t>, proposatutako doikuntzak eginda, egiaztatu da Nafarroako foru sektore publikoan kalkulatutako aurrezkia, berrantolatze-prozesuen ond</w:t>
      </w:r>
      <w:r>
        <w:t>o</w:t>
      </w:r>
      <w:r>
        <w:t xml:space="preserve">riozkoa, 32,57 milioikoa dela, eta enpresen sektore publikotik dator guztia. </w:t>
      </w:r>
    </w:p>
    <w:p w:rsidR="0017115B" w:rsidRDefault="0017115B" w:rsidP="00BF1A1A">
      <w:pPr>
        <w:pStyle w:val="atitulo2"/>
        <w:spacing w:before="240" w:after="200"/>
      </w:pPr>
      <w:bookmarkStart w:id="44" w:name="_Toc528306527"/>
      <w:r>
        <w:t>V.3. Berregituratzeak ukitutako eginkizunak</w:t>
      </w:r>
      <w:bookmarkEnd w:id="43"/>
      <w:bookmarkEnd w:id="44"/>
    </w:p>
    <w:p w:rsidR="0017115B" w:rsidRPr="00E76F68" w:rsidRDefault="0017115B" w:rsidP="00345988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60"/>
        <w:ind w:left="0" w:firstLine="289"/>
        <w:rPr>
          <w:rFonts w:cs="Arial"/>
        </w:rPr>
      </w:pPr>
      <w:r>
        <w:t>Administrazioaren sektore publikoa</w:t>
      </w:r>
    </w:p>
    <w:tbl>
      <w:tblPr>
        <w:tblW w:w="100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9"/>
        <w:gridCol w:w="2482"/>
        <w:gridCol w:w="2590"/>
        <w:gridCol w:w="2506"/>
      </w:tblGrid>
      <w:tr w:rsidR="0017115B" w:rsidRPr="007314B6" w:rsidTr="00345988">
        <w:trPr>
          <w:trHeight w:val="397"/>
          <w:jc w:val="center"/>
        </w:trPr>
        <w:tc>
          <w:tcPr>
            <w:tcW w:w="242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7115B" w:rsidRPr="007314B6" w:rsidRDefault="007C2D33" w:rsidP="007314B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Entitatea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D120A" w:rsidRDefault="007314B6" w:rsidP="007314B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Berrantolaketaren aurreko egink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i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zunak </w:t>
            </w:r>
          </w:p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D120A" w:rsidRDefault="007314B6" w:rsidP="007314B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Berrantolaketaren ondorengo egi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n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kizunak </w:t>
            </w:r>
          </w:p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7115B" w:rsidRPr="007314B6" w:rsidRDefault="007C2D33" w:rsidP="007314B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Entitatea</w:t>
            </w:r>
          </w:p>
        </w:tc>
      </w:tr>
      <w:tr w:rsidR="00B81A0C" w:rsidRPr="007314B6" w:rsidTr="007A7539">
        <w:trPr>
          <w:trHeight w:val="315"/>
          <w:jc w:val="center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81A0C" w:rsidRDefault="00B81A0C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Ikus-entzunezkoen Ko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tseilua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81A0C" w:rsidRDefault="00B81A0C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Ikus-entzunezkoen arloko jarduera Nafarroan</w:t>
            </w:r>
          </w:p>
        </w:tc>
        <w:tc>
          <w:tcPr>
            <w:tcW w:w="25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81A0C" w:rsidRDefault="00B81A0C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Ikus-entzunezkoen arloko jarduera Naf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rroan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81A0C" w:rsidRDefault="00B81A0C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Kulturako, Turismoko eta Erakunde Harremanetako Departamentua</w:t>
            </w:r>
            <w:r>
              <w:rPr>
                <w:rStyle w:val="Refdenotaalpie"/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footnoteReference w:id="15"/>
            </w:r>
          </w:p>
        </w:tc>
      </w:tr>
      <w:tr w:rsidR="00DD015E" w:rsidRPr="007314B6" w:rsidTr="007A7539">
        <w:trPr>
          <w:trHeight w:val="315"/>
          <w:jc w:val="center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D015E" w:rsidRPr="007314B6" w:rsidRDefault="00DD015E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Nafarroako Mahastizaintza eta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Enol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gia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Zentroa (EVENA)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D015E" w:rsidRDefault="00CE38E4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Enologiaren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eta mahastizaintzaren arloko aholkularitza</w:t>
            </w:r>
          </w:p>
          <w:p w:rsidR="00CE38E4" w:rsidRPr="007314B6" w:rsidRDefault="00CE38E4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-Ardogintzaren arloko ikerketa</w:t>
            </w:r>
          </w:p>
        </w:tc>
        <w:tc>
          <w:tcPr>
            <w:tcW w:w="25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D015E" w:rsidRPr="007314B6" w:rsidRDefault="00CE38E4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Ardogintzaren eta mahastizaintzaren arloetako esperimentazioa eta ikerketa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D015E" w:rsidRPr="007314B6" w:rsidRDefault="00C64C02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Landa Garapen, Industria, Enplegu eta Ingurumen Departamentua</w:t>
            </w:r>
            <w:r>
              <w:rPr>
                <w:rStyle w:val="Refdenotaalpie"/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footnoteReference w:id="16"/>
            </w:r>
          </w:p>
        </w:tc>
      </w:tr>
      <w:tr w:rsidR="0017115B" w:rsidRPr="007314B6" w:rsidTr="007A7539">
        <w:trPr>
          <w:trHeight w:val="315"/>
          <w:jc w:val="center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Administrazio Publikoaren Institutua (NAPI)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funtzionario publikoen prestakuntza eta ikaskuntza</w:t>
            </w:r>
          </w:p>
        </w:tc>
        <w:tc>
          <w:tcPr>
            <w:tcW w:w="25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funtzionario publikoen prest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kuntza eta ikaskuntza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Lehendakaritzako, Funtzio Publikoko, Barneko eta Justiziako Departamentua</w:t>
            </w:r>
          </w:p>
        </w:tc>
      </w:tr>
      <w:tr w:rsidR="0017115B" w:rsidRPr="007314B6" w:rsidTr="007A7539">
        <w:trPr>
          <w:trHeight w:val="300"/>
          <w:jc w:val="center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Gazteriaren Institutua (NGI)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Gazteentzako antolamendua eta jardu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rak</w:t>
            </w:r>
          </w:p>
        </w:tc>
        <w:tc>
          <w:tcPr>
            <w:tcW w:w="259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Kirolaren eta gazteriaren arloko antol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mendua eta jarduerak</w:t>
            </w:r>
          </w:p>
        </w:tc>
        <w:tc>
          <w:tcPr>
            <w:tcW w:w="250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Kirol eta Gazteriaren Instit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u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tua (NKGI)</w:t>
            </w:r>
          </w:p>
        </w:tc>
      </w:tr>
      <w:tr w:rsidR="0017115B" w:rsidRPr="007314B6" w:rsidTr="007A7539">
        <w:trPr>
          <w:trHeight w:val="315"/>
          <w:jc w:val="center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Kirolaren Institutua (NKI)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Kirolaren arloko antolamendua eta jarduerak</w:t>
            </w:r>
          </w:p>
        </w:tc>
        <w:tc>
          <w:tcPr>
            <w:tcW w:w="259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5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17115B" w:rsidRPr="007314B6" w:rsidRDefault="0017115B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D015E" w:rsidRPr="007314B6" w:rsidTr="007A7539">
        <w:trPr>
          <w:trHeight w:val="315"/>
          <w:jc w:val="center"/>
        </w:trPr>
        <w:tc>
          <w:tcPr>
            <w:tcW w:w="242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DD015E" w:rsidRPr="007314B6" w:rsidRDefault="00DD015E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Larrialdietako Agentzia</w:t>
            </w:r>
          </w:p>
        </w:tc>
        <w:tc>
          <w:tcPr>
            <w:tcW w:w="248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DD015E" w:rsidRDefault="00DD015E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-Babes zibileko zerbitzuak kudeatu eta koordinatzea</w:t>
            </w:r>
          </w:p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-Larrialdietako eta babes zibileko plan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tan aurreikusitako beste larrialdi-baliabide batzuen kudeaketa eta koo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dinazioa.</w:t>
            </w:r>
          </w:p>
        </w:tc>
        <w:tc>
          <w:tcPr>
            <w:tcW w:w="259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DD015E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-Babes zibileko zerbitzuak kudeatu eta koordinatzea</w:t>
            </w:r>
          </w:p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-Larrialdietako eta babes zibileko plan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tan aurreikusitako beste larrialdi-baliabide batzuen kudeaketa eta koordinazioa.</w:t>
            </w:r>
          </w:p>
        </w:tc>
        <w:tc>
          <w:tcPr>
            <w:tcW w:w="250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DD015E" w:rsidRPr="007314B6" w:rsidRDefault="00DD015E" w:rsidP="007314B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Lehendakaritzako, Funtzio Publikoko, Barneko eta Justiziako Departamentua</w:t>
            </w:r>
          </w:p>
        </w:tc>
      </w:tr>
    </w:tbl>
    <w:p w:rsidR="00CE38E4" w:rsidRPr="00687C85" w:rsidRDefault="003B26B9" w:rsidP="00D320DB">
      <w:pPr>
        <w:pStyle w:val="texto"/>
        <w:spacing w:before="240" w:after="120"/>
        <w:rPr>
          <w:spacing w:val="4"/>
        </w:rPr>
      </w:pPr>
      <w:r>
        <w:t>Azkendutako Nafarroako Ikus-entzunezkoen Kontseiluaren eginkizunak N</w:t>
      </w:r>
      <w:r>
        <w:t>a</w:t>
      </w:r>
      <w:r>
        <w:t>farroako Foru Komunitateko Administrazioak berak hartu ditu bere gain, eta gauza bera gertatzen da ezeztatu diren erakunde autonomoen eginkizunekin, horiek hainbat departamentuk eta erakunde autonomo batek hartu baitituzte beren gain.</w:t>
      </w:r>
    </w:p>
    <w:p w:rsidR="0017115B" w:rsidRPr="00DD21F4" w:rsidRDefault="0017115B" w:rsidP="00D320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>
        <w:t xml:space="preserve">Enpresen sektore publikoa </w:t>
      </w:r>
    </w:p>
    <w:p w:rsidR="00D42524" w:rsidRDefault="00DD21F4" w:rsidP="00CD258F">
      <w:pPr>
        <w:pStyle w:val="texto"/>
        <w:spacing w:after="260"/>
      </w:pPr>
      <w:r>
        <w:t xml:space="preserve">Honako hau da jarduera guztien multzokatzea, antolatze-prozesuen aurretik eta gero: </w:t>
      </w:r>
    </w:p>
    <w:tbl>
      <w:tblPr>
        <w:tblW w:w="87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3703"/>
        <w:gridCol w:w="4242"/>
      </w:tblGrid>
      <w:tr w:rsidR="003817D4" w:rsidRPr="00192F3A" w:rsidTr="00687C85">
        <w:trPr>
          <w:trHeight w:val="284"/>
          <w:jc w:val="center"/>
        </w:trPr>
        <w:tc>
          <w:tcPr>
            <w:tcW w:w="838" w:type="dxa"/>
            <w:shd w:val="clear" w:color="000000" w:fill="8DB3E2"/>
            <w:vAlign w:val="center"/>
            <w:hideMark/>
          </w:tcPr>
          <w:p w:rsidR="003817D4" w:rsidRPr="00192F3A" w:rsidRDefault="003817D4" w:rsidP="00104070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5" w:type="dxa"/>
            <w:gridSpan w:val="2"/>
            <w:shd w:val="clear" w:color="000000" w:fill="8DB3E2"/>
            <w:vAlign w:val="center"/>
            <w:hideMark/>
          </w:tcPr>
          <w:p w:rsidR="003817D4" w:rsidRPr="00192F3A" w:rsidRDefault="003817D4" w:rsidP="003817D4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Berrantolaketa-prozesuen aurretik existitzen ziren eta ehuneko 50etik gorako zuzeneko partaidetza zegoeneko sozietateak</w:t>
            </w:r>
          </w:p>
        </w:tc>
      </w:tr>
      <w:tr w:rsidR="003817D4" w:rsidRPr="003817D4" w:rsidTr="00687C85">
        <w:trPr>
          <w:trHeight w:val="284"/>
          <w:jc w:val="center"/>
        </w:trPr>
        <w:tc>
          <w:tcPr>
            <w:tcW w:w="4541" w:type="dxa"/>
            <w:gridSpan w:val="2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Berrantolaketaren aurreko jarduera ekonomikoak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Berrantolaketaren ondorengo jarduera ekonomikoak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Lurzorua eta etxebizitza</w:t>
            </w:r>
          </w:p>
        </w:tc>
        <w:tc>
          <w:tcPr>
            <w:tcW w:w="424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Lurzorua eta etxebizitza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Garraioa eta logistika</w:t>
            </w:r>
          </w:p>
        </w:tc>
        <w:tc>
          <w:tcPr>
            <w:tcW w:w="42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Lurzoruan eta etxebizitzan sartzen da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Nekazaritza-elikagaiak</w:t>
            </w:r>
          </w:p>
        </w:tc>
        <w:tc>
          <w:tcPr>
            <w:tcW w:w="42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Nekazaritza-elikagaiak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 xml:space="preserve">Ingurumena </w:t>
            </w:r>
          </w:p>
        </w:tc>
        <w:tc>
          <w:tcPr>
            <w:tcW w:w="42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Ingurumena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Tokiko azpiegiturak</w:t>
            </w:r>
          </w:p>
        </w:tc>
        <w:tc>
          <w:tcPr>
            <w:tcW w:w="42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Tokiko azpiegiturak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Kultur espazioak</w:t>
            </w:r>
          </w:p>
        </w:tc>
        <w:tc>
          <w:tcPr>
            <w:tcW w:w="42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Aisiako eta kiroleko azpiegitura arloz arlokoetan sartzen da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Aisiako eta kiroleko azpiegitura arloz arlokoak</w:t>
            </w:r>
          </w:p>
        </w:tc>
        <w:tc>
          <w:tcPr>
            <w:tcW w:w="42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Azpiegitura tematikoak, kulturakoak, aisiakoak eta kirolekoak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Hezkuntza eta talentua</w:t>
            </w:r>
          </w:p>
        </w:tc>
        <w:tc>
          <w:tcPr>
            <w:tcW w:w="42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Hezkuntza eta talentua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Administrazio publikoentzako zerbitzuak eta teknologia</w:t>
            </w:r>
          </w:p>
        </w:tc>
        <w:tc>
          <w:tcPr>
            <w:tcW w:w="42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Administrazio publikoentzako zerbitzuak eta teknologia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Berrikuntza eta ekintzaileak</w:t>
            </w:r>
          </w:p>
        </w:tc>
        <w:tc>
          <w:tcPr>
            <w:tcW w:w="42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Berrikuntza eta ekintzaileak</w:t>
            </w:r>
          </w:p>
        </w:tc>
      </w:tr>
      <w:tr w:rsidR="003B26B9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26B9" w:rsidRPr="000608A1" w:rsidRDefault="003B26B9" w:rsidP="003B26B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Katastroa, kartografia eta lurralde-informazioko sistemak</w:t>
            </w:r>
          </w:p>
        </w:tc>
        <w:tc>
          <w:tcPr>
            <w:tcW w:w="42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26B9" w:rsidRPr="000608A1" w:rsidRDefault="003B26B9" w:rsidP="003B26B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Katastroa, kartografia eta lurralde-informazioko sistemak</w:t>
            </w:r>
          </w:p>
        </w:tc>
      </w:tr>
      <w:tr w:rsidR="003B26B9" w:rsidRPr="003817D4" w:rsidTr="00687C85">
        <w:trPr>
          <w:trHeight w:val="238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26B9" w:rsidRPr="003817D4" w:rsidRDefault="003B26B9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Sustapen ekonomikoa eta finantzaketa</w:t>
            </w:r>
          </w:p>
        </w:tc>
        <w:tc>
          <w:tcPr>
            <w:tcW w:w="424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26B9" w:rsidRPr="003817D4" w:rsidRDefault="003B26B9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Sustapen ekonomikoa eta finantzaketa</w:t>
            </w:r>
          </w:p>
        </w:tc>
      </w:tr>
    </w:tbl>
    <w:p w:rsidR="00345988" w:rsidRDefault="00345988" w:rsidP="00687C85">
      <w:pPr>
        <w:pStyle w:val="texto"/>
        <w:spacing w:after="0"/>
        <w:rPr>
          <w:sz w:val="8"/>
          <w:szCs w:val="8"/>
        </w:rPr>
      </w:pPr>
    </w:p>
    <w:p w:rsidR="00687C85" w:rsidRDefault="00687C85" w:rsidP="00687C85">
      <w:pPr>
        <w:pStyle w:val="texto"/>
        <w:spacing w:after="0"/>
        <w:rPr>
          <w:sz w:val="8"/>
          <w:szCs w:val="8"/>
        </w:rPr>
      </w:pPr>
    </w:p>
    <w:p w:rsidR="00687C85" w:rsidRDefault="00687C85" w:rsidP="00687C85">
      <w:pPr>
        <w:pStyle w:val="texto"/>
        <w:spacing w:after="0"/>
        <w:rPr>
          <w:sz w:val="8"/>
          <w:szCs w:val="8"/>
        </w:rPr>
      </w:pPr>
    </w:p>
    <w:p w:rsidR="00687C85" w:rsidRPr="00687C85" w:rsidRDefault="00687C85" w:rsidP="00687C85">
      <w:pPr>
        <w:pStyle w:val="texto"/>
        <w:spacing w:after="0"/>
        <w:rPr>
          <w:sz w:val="8"/>
          <w:szCs w:val="8"/>
        </w:rPr>
      </w:pPr>
    </w:p>
    <w:tbl>
      <w:tblPr>
        <w:tblW w:w="878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3679"/>
        <w:gridCol w:w="4268"/>
      </w:tblGrid>
      <w:tr w:rsidR="003817D4" w:rsidRPr="00192F3A" w:rsidTr="00687C85">
        <w:trPr>
          <w:trHeight w:val="284"/>
          <w:jc w:val="center"/>
        </w:trPr>
        <w:tc>
          <w:tcPr>
            <w:tcW w:w="838" w:type="dxa"/>
            <w:shd w:val="clear" w:color="000000" w:fill="8DB3E2"/>
            <w:vAlign w:val="center"/>
            <w:hideMark/>
          </w:tcPr>
          <w:p w:rsidR="003817D4" w:rsidRPr="00192F3A" w:rsidRDefault="003817D4" w:rsidP="00104070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7" w:type="dxa"/>
            <w:gridSpan w:val="2"/>
            <w:shd w:val="clear" w:color="000000" w:fill="8DB3E2"/>
            <w:vAlign w:val="center"/>
            <w:hideMark/>
          </w:tcPr>
          <w:p w:rsidR="003817D4" w:rsidRPr="00192F3A" w:rsidRDefault="003817D4" w:rsidP="003817D4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Berrantolaketa-prozesuen aurretik existitzen ziren eta ehuneko 50etik gorako zeharkako partaidetza zegoeneko sozietateak</w:t>
            </w:r>
          </w:p>
        </w:tc>
      </w:tr>
      <w:tr w:rsidR="003817D4" w:rsidRPr="003817D4" w:rsidTr="00687C85">
        <w:trPr>
          <w:trHeight w:val="284"/>
          <w:jc w:val="center"/>
        </w:trPr>
        <w:tc>
          <w:tcPr>
            <w:tcW w:w="4517" w:type="dxa"/>
            <w:gridSpan w:val="2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Berrantolaketaren aurreko jarduera ekonomikoak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Berrantolaketaren ondorengo jarduera ekonomikoak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1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Enpresak sustatu eta bultzatzea</w:t>
            </w:r>
          </w:p>
        </w:tc>
        <w:tc>
          <w:tcPr>
            <w:tcW w:w="426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Enpresak sustatu eta bultzatzea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1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Gatza eta haren deribatuak sortu, prestatu eta merkaturatzea</w:t>
            </w:r>
          </w:p>
        </w:tc>
        <w:tc>
          <w:tcPr>
            <w:tcW w:w="4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Gatza eta haren deribatuak sortu, prestatu eta merkaturatzea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1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Abonu mineralak eta potasio- eta sodio-gatzetatik deribatutako produktuak</w:t>
            </w:r>
          </w:p>
        </w:tc>
        <w:tc>
          <w:tcPr>
            <w:tcW w:w="4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Abonu mineralak eta potasio- eta sodio-gatzetatik deribatutako produ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k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tuak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1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Higiezinen sustapena, efizientzia energetikoko irizpideekin</w:t>
            </w:r>
          </w:p>
        </w:tc>
        <w:tc>
          <w:tcPr>
            <w:tcW w:w="4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Higiezinen sustapena, efizientzia energetikoko irizpideekin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1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Ibilgailuen eta trenen karrozeria</w:t>
            </w:r>
          </w:p>
        </w:tc>
        <w:tc>
          <w:tcPr>
            <w:tcW w:w="4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Desagertu zen enpresa-taldea saltzearen ondorioz</w:t>
            </w:r>
          </w:p>
        </w:tc>
      </w:tr>
      <w:tr w:rsidR="003817D4" w:rsidRPr="003817D4" w:rsidTr="00687C85">
        <w:trPr>
          <w:trHeight w:val="238"/>
          <w:jc w:val="center"/>
        </w:trPr>
        <w:tc>
          <w:tcPr>
            <w:tcW w:w="45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Oinetakoak egin eta merkaturatzea</w:t>
            </w:r>
          </w:p>
        </w:tc>
        <w:tc>
          <w:tcPr>
            <w:tcW w:w="426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817D4" w:rsidRPr="003817D4" w:rsidRDefault="003817D4" w:rsidP="003817D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Desagertu zen sozietatea azkendu zelako</w:t>
            </w:r>
          </w:p>
        </w:tc>
      </w:tr>
    </w:tbl>
    <w:p w:rsidR="003B1B27" w:rsidRDefault="003B26B9" w:rsidP="00687C85">
      <w:pPr>
        <w:pStyle w:val="texto"/>
        <w:spacing w:before="240" w:after="200"/>
      </w:pPr>
      <w:r>
        <w:t>Antolaketaren aurretik zeuden sozietateek aurrera eramaten zituzten jardu</w:t>
      </w:r>
      <w:r>
        <w:t>e</w:t>
      </w:r>
      <w:r>
        <w:t>rek sozietate xurgatzaileetan jarraitzen dute edo haietan integratu dira, bi ja</w:t>
      </w:r>
      <w:r>
        <w:t>r</w:t>
      </w:r>
      <w:r>
        <w:t>dueraren kasuan izan ezik; horietan, izan ere, sozietateak saldu eta azkendu egin dira, aurreko taulan ageri den bezala.</w:t>
      </w:r>
    </w:p>
    <w:p w:rsidR="00DD015E" w:rsidRPr="00F47695" w:rsidRDefault="00DD015E" w:rsidP="005A6C2C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60"/>
        <w:ind w:left="0" w:firstLine="289"/>
        <w:rPr>
          <w:rFonts w:cs="Arial"/>
        </w:rPr>
      </w:pPr>
      <w:bookmarkStart w:id="45" w:name="_Toc521909270"/>
      <w:r>
        <w:t>Fundazioen sektore publikoa</w:t>
      </w:r>
    </w:p>
    <w:tbl>
      <w:tblPr>
        <w:tblW w:w="928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2391"/>
        <w:gridCol w:w="2349"/>
        <w:gridCol w:w="1966"/>
      </w:tblGrid>
      <w:tr w:rsidR="00DD015E" w:rsidRPr="007314B6" w:rsidTr="00BC3955">
        <w:trPr>
          <w:trHeight w:val="397"/>
          <w:jc w:val="center"/>
        </w:trPr>
        <w:tc>
          <w:tcPr>
            <w:tcW w:w="2581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015E" w:rsidRPr="007314B6" w:rsidRDefault="00192F3A" w:rsidP="00DD015E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Entitatea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015E" w:rsidRDefault="00DD015E" w:rsidP="00DD015E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Berrantolaketaren aurreko egi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n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kizunak </w:t>
            </w:r>
          </w:p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015E" w:rsidRDefault="00DD015E" w:rsidP="00DD015E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Berrantolaketaren ondorengo eginkizunak </w:t>
            </w:r>
          </w:p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015E" w:rsidRPr="007314B6" w:rsidRDefault="00192F3A" w:rsidP="00192F3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Entitatea</w:t>
            </w:r>
          </w:p>
        </w:tc>
      </w:tr>
      <w:tr w:rsidR="00DD015E" w:rsidRPr="007314B6" w:rsidTr="00277213">
        <w:trPr>
          <w:trHeight w:val="690"/>
          <w:jc w:val="center"/>
        </w:trPr>
        <w:tc>
          <w:tcPr>
            <w:tcW w:w="258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Energia Berriztagarrien arloko prestaku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tza</w:t>
            </w:r>
          </w:p>
        </w:tc>
        <w:tc>
          <w:tcPr>
            <w:tcW w:w="239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Langileen lanbide-heziketa, energia berriztagarrien sektorea garatzeko.</w:t>
            </w:r>
          </w:p>
        </w:tc>
        <w:tc>
          <w:tcPr>
            <w:tcW w:w="2349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Langileen lanbide-heziketa, energia berriztagarrien sektorea garatzeko.</w:t>
            </w:r>
          </w:p>
        </w:tc>
        <w:tc>
          <w:tcPr>
            <w:tcW w:w="196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D015E" w:rsidRPr="007314B6" w:rsidRDefault="00DD015E" w:rsidP="00192F3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Ikastetxe pribatua</w:t>
            </w:r>
          </w:p>
        </w:tc>
      </w:tr>
      <w:tr w:rsidR="00DD015E" w:rsidRPr="007314B6" w:rsidTr="00277213">
        <w:trPr>
          <w:trHeight w:val="465"/>
          <w:jc w:val="center"/>
        </w:trPr>
        <w:tc>
          <w:tcPr>
            <w:tcW w:w="25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Ikus-entzunezko Arteen eta Zinematogr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fiaren Nafarroako Institutua</w:t>
            </w:r>
          </w:p>
        </w:tc>
        <w:tc>
          <w:tcPr>
            <w:tcW w:w="23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ikus-entzunezkoen eta zinemaren sektorea sustatzea</w:t>
            </w:r>
          </w:p>
        </w:tc>
        <w:tc>
          <w:tcPr>
            <w:tcW w:w="23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ikus-entzunezkoen eta zinemaren sektorea sustatzea</w:t>
            </w:r>
          </w:p>
        </w:tc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D015E" w:rsidRPr="007314B6" w:rsidRDefault="00DD015E" w:rsidP="00192F3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Vianako Printzea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Erakundea-Kultura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Zuzendaritza Nagusia</w:t>
            </w:r>
          </w:p>
        </w:tc>
      </w:tr>
      <w:tr w:rsidR="00DD015E" w:rsidRPr="007314B6" w:rsidTr="00277213">
        <w:trPr>
          <w:trHeight w:val="690"/>
          <w:jc w:val="center"/>
        </w:trPr>
        <w:tc>
          <w:tcPr>
            <w:tcW w:w="2581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para la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Excelencia</w:t>
            </w:r>
            <w:proofErr w:type="spellEnd"/>
          </w:p>
        </w:tc>
        <w:tc>
          <w:tcPr>
            <w:tcW w:w="2391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Nafarroako enpresetan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–publikoetan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zein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pribatuetan–kalitate-zerbitzuak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sustatzea.</w:t>
            </w:r>
          </w:p>
        </w:tc>
        <w:tc>
          <w:tcPr>
            <w:tcW w:w="2349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DD015E" w:rsidRPr="007314B6" w:rsidRDefault="00DD015E" w:rsidP="00DD015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Nafarroako enpresetan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–publikoetan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zein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pribatuetan–kalitate-zerbitzuak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sustatzea.</w:t>
            </w:r>
          </w:p>
        </w:tc>
        <w:tc>
          <w:tcPr>
            <w:tcW w:w="196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D015E" w:rsidRPr="007314B6" w:rsidRDefault="00DD015E" w:rsidP="00192F3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Fundazio pribatua.</w:t>
            </w:r>
          </w:p>
        </w:tc>
      </w:tr>
    </w:tbl>
    <w:p w:rsidR="00DD015E" w:rsidRPr="00297CC8" w:rsidRDefault="00AE2D97" w:rsidP="00157C2D">
      <w:pPr>
        <w:pStyle w:val="texto"/>
        <w:spacing w:before="260"/>
      </w:pPr>
      <w:r>
        <w:t xml:space="preserve">Fundazio baten jarduerak Foru Komunitateko Administrazioak berak hartu ditu bere gain, eta gainerako bien kasuan, sektore pribatuak. </w:t>
      </w:r>
    </w:p>
    <w:p w:rsidR="0017115B" w:rsidRDefault="0017115B" w:rsidP="00FA50EB">
      <w:pPr>
        <w:pStyle w:val="atitulo2"/>
        <w:spacing w:before="400"/>
      </w:pPr>
      <w:bookmarkStart w:id="46" w:name="_Toc528306528"/>
      <w:r>
        <w:t>V.4. Berrantolaketa-planen betetzea</w:t>
      </w:r>
      <w:bookmarkEnd w:id="45"/>
      <w:bookmarkEnd w:id="46"/>
    </w:p>
    <w:p w:rsidR="0017115B" w:rsidRPr="00AD7F66" w:rsidRDefault="0017115B" w:rsidP="00FA50EB">
      <w:pPr>
        <w:pStyle w:val="atitulo3"/>
        <w:spacing w:before="240"/>
        <w:rPr>
          <w:rFonts w:cs="Arial"/>
        </w:rPr>
      </w:pPr>
      <w:bookmarkStart w:id="47" w:name="_Toc521909271"/>
      <w:r>
        <w:t>V.4.1. Administrazioaren eta fundazioen sektore publikoa</w:t>
      </w:r>
      <w:bookmarkEnd w:id="47"/>
    </w:p>
    <w:p w:rsidR="00A56C90" w:rsidRDefault="0017115B" w:rsidP="00D36FAC">
      <w:pPr>
        <w:pStyle w:val="texto"/>
        <w:spacing w:after="180"/>
      </w:pPr>
      <w:r>
        <w:t>Ez dago jasota Administrazioaren sektore publikoan berrantolaketa-plan bat dagoenik, 1/2010 eta 5/2012 esparru-akordioetan hartutako eta haietatik held</w:t>
      </w:r>
      <w:r>
        <w:t>u</w:t>
      </w:r>
      <w:r>
        <w:t>tako konpromisoetan jasotakoaren aurka; planik ez izate horrek ez du auker</w:t>
      </w:r>
      <w:r>
        <w:t>a</w:t>
      </w:r>
      <w:r>
        <w:lastRenderedPageBreak/>
        <w:t>rik ematen ez helburuak ez azkendutako entitateak desagerraraztearen ondor</w:t>
      </w:r>
      <w:r>
        <w:t>i</w:t>
      </w:r>
      <w:r>
        <w:t>ozko eraginak egiaztatzeko.</w:t>
      </w:r>
    </w:p>
    <w:p w:rsidR="00A56C90" w:rsidRDefault="0017115B" w:rsidP="00FC093C">
      <w:pPr>
        <w:pStyle w:val="texto"/>
      </w:pPr>
      <w:r>
        <w:t>Fundazioen sektore publikoan, 2013-2015 Ekintza Plana onetsi zen. Hartan, helburu gisa ezarri zen fundazioen kopurua gutxitzea, sektore publikoaren er</w:t>
      </w:r>
      <w:r>
        <w:t>a</w:t>
      </w:r>
      <w:r>
        <w:t xml:space="preserve">ginkortasuna eta efizientzia hobetzeko. Hala eta guztiz ere, ez zen helburu kuantifikagarririk ezarri, </w:t>
      </w:r>
      <w:proofErr w:type="spellStart"/>
      <w:r>
        <w:t>ez</w:t>
      </w:r>
      <w:proofErr w:type="spellEnd"/>
      <w:r>
        <w:t xml:space="preserve"> eta eragin ekonomikoen analisirik ere, haien egia</w:t>
      </w:r>
      <w:r>
        <w:t>z</w:t>
      </w:r>
      <w:r>
        <w:t xml:space="preserve">tatzea bete ahal izateko. </w:t>
      </w:r>
    </w:p>
    <w:p w:rsidR="0017115B" w:rsidRPr="00AD7F66" w:rsidRDefault="0017115B" w:rsidP="00E41E59">
      <w:pPr>
        <w:pStyle w:val="atitulo3"/>
        <w:spacing w:before="400" w:after="260"/>
        <w:rPr>
          <w:rFonts w:cs="Arial"/>
        </w:rPr>
      </w:pPr>
      <w:bookmarkStart w:id="48" w:name="_Toc521909272"/>
      <w:r>
        <w:t>V.4.2. Enpresen sektore publikoa</w:t>
      </w:r>
      <w:bookmarkEnd w:id="48"/>
    </w:p>
    <w:p w:rsidR="0017115B" w:rsidRPr="00FC093C" w:rsidRDefault="00934679" w:rsidP="00934679">
      <w:pPr>
        <w:pStyle w:val="atitulo3"/>
        <w:spacing w:before="240"/>
        <w:rPr>
          <w:rFonts w:cs="Arial"/>
        </w:rPr>
      </w:pPr>
      <w:r>
        <w:t xml:space="preserve">V.4.2.1 Enpresa publikoen sektorea antolatu eta berregituratzeko lehen plana </w:t>
      </w:r>
    </w:p>
    <w:p w:rsidR="00F05ADD" w:rsidRDefault="0017115B" w:rsidP="007C033A">
      <w:pPr>
        <w:pStyle w:val="texto"/>
        <w:spacing w:after="160"/>
      </w:pPr>
      <w:r>
        <w:t>Nafarroan enpresen sektore publikoaren antolaketa berriak, planak plante</w:t>
      </w:r>
      <w:r>
        <w:t>a</w:t>
      </w:r>
      <w:r>
        <w:t xml:space="preserve">tzen duenak, bost helburu ezarri zituen. </w:t>
      </w:r>
    </w:p>
    <w:p w:rsidR="0017115B" w:rsidRDefault="00D74699" w:rsidP="00FA50EB">
      <w:pPr>
        <w:pStyle w:val="texto"/>
        <w:spacing w:after="260"/>
      </w:pPr>
      <w:r>
        <w:t>Lehenengo plan hori praktikan jarri ondoren, honako jarduketa hauek egia</w:t>
      </w:r>
      <w:r>
        <w:t>z</w:t>
      </w:r>
      <w:r>
        <w:t>tatu ahal izan dira:</w:t>
      </w:r>
    </w:p>
    <w:tbl>
      <w:tblPr>
        <w:tblW w:w="87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222"/>
        <w:gridCol w:w="1534"/>
      </w:tblGrid>
      <w:tr w:rsidR="00D74699" w:rsidRPr="00D74699" w:rsidTr="00E41E59">
        <w:trPr>
          <w:trHeight w:val="454"/>
          <w:jc w:val="center"/>
        </w:trPr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99" w:rsidRPr="00D74699" w:rsidRDefault="00D74699" w:rsidP="00D74699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99" w:rsidRPr="00D74699" w:rsidRDefault="00D74699" w:rsidP="00D74699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:rsidR="00D74699" w:rsidRPr="00E64456" w:rsidRDefault="00D74699" w:rsidP="00D7469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Neurria ezartzea</w:t>
            </w:r>
          </w:p>
        </w:tc>
      </w:tr>
      <w:tr w:rsidR="00D74699" w:rsidRPr="00D74699" w:rsidTr="00E41E59">
        <w:trPr>
          <w:trHeight w:val="425"/>
          <w:jc w:val="center"/>
        </w:trPr>
        <w:tc>
          <w:tcPr>
            <w:tcW w:w="9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D74699" w:rsidRPr="00E64456" w:rsidRDefault="00D74699" w:rsidP="00D74699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16"/>
                <w:szCs w:val="16"/>
              </w:rPr>
              <w:t>1. helburua</w:t>
            </w:r>
          </w:p>
        </w:tc>
        <w:tc>
          <w:tcPr>
            <w:tcW w:w="622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699" w:rsidRPr="00D74699" w:rsidRDefault="00D74699" w:rsidP="00D7469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- Sozietateen kopuruaren murrizte justifikatua, eraginkortasun eta efizientzia handiagoak bilatze aldera. Proposatzen da Korporazioaren menpean 38 sozietate egotetik 13 sozietate egotera pasatzea.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699" w:rsidRPr="00D74699" w:rsidRDefault="00D74699" w:rsidP="00D7469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D74699" w:rsidRPr="00D74699" w:rsidTr="00E41E59">
        <w:trPr>
          <w:trHeight w:val="425"/>
          <w:jc w:val="center"/>
        </w:trPr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D74699" w:rsidRPr="00E64456" w:rsidRDefault="00D74699" w:rsidP="00D74699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16"/>
                <w:szCs w:val="16"/>
              </w:rPr>
              <w:t>2. helburua</w:t>
            </w:r>
          </w:p>
        </w:tc>
        <w:tc>
          <w:tcPr>
            <w:tcW w:w="6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699" w:rsidRPr="00D74699" w:rsidRDefault="00D74699" w:rsidP="00D7469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- Behar diren sozietateak lerrokatzea eta taldekatzea Nafarroako Gobernuak garatu beharreko politika sektorialen arabera. </w:t>
            </w:r>
          </w:p>
        </w:tc>
        <w:tc>
          <w:tcPr>
            <w:tcW w:w="1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699" w:rsidRPr="00D74699" w:rsidRDefault="00D74699" w:rsidP="00D7469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D74699" w:rsidRPr="00D74699" w:rsidTr="00E41E59">
        <w:trPr>
          <w:trHeight w:val="425"/>
          <w:jc w:val="center"/>
        </w:trPr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D74699" w:rsidRPr="00E64456" w:rsidRDefault="00D74699" w:rsidP="00D74699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16"/>
                <w:szCs w:val="16"/>
              </w:rPr>
              <w:t>3. helburua</w:t>
            </w:r>
          </w:p>
        </w:tc>
        <w:tc>
          <w:tcPr>
            <w:tcW w:w="6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699" w:rsidRPr="00D74699" w:rsidRDefault="00D74699" w:rsidP="00D7469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- Enpresen sektore publikoan kostuak gutxitzeko plan jarraitu bati ekitea, epe laburrean eta epe luzean. </w:t>
            </w:r>
          </w:p>
        </w:tc>
        <w:tc>
          <w:tcPr>
            <w:tcW w:w="1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699" w:rsidRPr="00D74699" w:rsidRDefault="00D74699" w:rsidP="00D7469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D74699" w:rsidRPr="00D74699" w:rsidTr="00E41E59">
        <w:trPr>
          <w:trHeight w:val="425"/>
          <w:jc w:val="center"/>
        </w:trPr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D74699" w:rsidRPr="00E64456" w:rsidRDefault="00D74699" w:rsidP="00D74699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16"/>
                <w:szCs w:val="16"/>
              </w:rPr>
              <w:t>4. helburua</w:t>
            </w:r>
          </w:p>
        </w:tc>
        <w:tc>
          <w:tcPr>
            <w:tcW w:w="6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699" w:rsidRPr="00D74699" w:rsidRDefault="00D74699" w:rsidP="00D7469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NEKPk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optimizatzea eta homogeneizatzea berregituraketa egin ondorengo sozietate publiko guztien zeharkako funtzionamendua.</w:t>
            </w:r>
          </w:p>
        </w:tc>
        <w:tc>
          <w:tcPr>
            <w:tcW w:w="1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699" w:rsidRPr="00D74699" w:rsidRDefault="00D74699" w:rsidP="00D7469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D74699" w:rsidRPr="00D74699" w:rsidTr="00E41E59">
        <w:trPr>
          <w:trHeight w:val="425"/>
          <w:jc w:val="center"/>
        </w:trPr>
        <w:tc>
          <w:tcPr>
            <w:tcW w:w="95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D74699" w:rsidRPr="00E64456" w:rsidRDefault="00D74699" w:rsidP="00D74699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16"/>
                <w:szCs w:val="16"/>
              </w:rPr>
              <w:t>5. helburua</w:t>
            </w:r>
          </w:p>
        </w:tc>
        <w:tc>
          <w:tcPr>
            <w:tcW w:w="622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699" w:rsidRPr="00D74699" w:rsidRDefault="00D74699" w:rsidP="00D7469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- Enpresa publikoen kudeaketarekin lotutako baliabide eta eragiketak gutxitzea, zentralizatzea eta koo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dinatzea.</w:t>
            </w:r>
          </w:p>
        </w:tc>
        <w:tc>
          <w:tcPr>
            <w:tcW w:w="15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699" w:rsidRPr="00D74699" w:rsidRDefault="00D74699" w:rsidP="00D7469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</w:tbl>
    <w:p w:rsidR="00CE38E4" w:rsidRPr="00AE32E5" w:rsidRDefault="0017115B" w:rsidP="007C033A">
      <w:pPr>
        <w:pStyle w:val="texto"/>
        <w:spacing w:before="260" w:after="160"/>
      </w:pPr>
      <w:r>
        <w:t xml:space="preserve">2010-2013 aldian kostuak aurrezteko estrategiak helburu gisa ezarri zuen 28 milioi euro inguru gutxiago gastatzea. </w:t>
      </w:r>
    </w:p>
    <w:p w:rsidR="00DD21F4" w:rsidRDefault="00DD21F4" w:rsidP="007C033A">
      <w:pPr>
        <w:pStyle w:val="texto"/>
        <w:spacing w:after="160"/>
      </w:pPr>
      <w:r>
        <w:t>Neurriak aplikatzetik heldutako emaitzak honako hauek izan dira:</w:t>
      </w:r>
    </w:p>
    <w:p w:rsidR="0017115B" w:rsidRPr="00FC093C" w:rsidRDefault="0017115B" w:rsidP="00AC6BF0">
      <w:pPr>
        <w:pStyle w:val="texto"/>
        <w:numPr>
          <w:ilvl w:val="0"/>
          <w:numId w:val="24"/>
        </w:numPr>
        <w:spacing w:after="260"/>
        <w:ind w:left="1003" w:hanging="357"/>
      </w:pPr>
      <w:r>
        <w:t>Sozietateak berrantolatzeko prozesua eta egiturazko eraginak:</w:t>
      </w:r>
    </w:p>
    <w:tbl>
      <w:tblPr>
        <w:tblW w:w="874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40"/>
        <w:gridCol w:w="1120"/>
        <w:gridCol w:w="1105"/>
        <w:gridCol w:w="1200"/>
      </w:tblGrid>
      <w:tr w:rsidR="0017115B" w:rsidRPr="0041674D" w:rsidTr="00ED5C9A">
        <w:trPr>
          <w:trHeight w:val="312"/>
          <w:jc w:val="center"/>
        </w:trPr>
        <w:tc>
          <w:tcPr>
            <w:tcW w:w="4280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15B" w:rsidRPr="0041674D" w:rsidRDefault="0017115B" w:rsidP="00FA1C9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15B" w:rsidRPr="0041674D" w:rsidRDefault="0017115B" w:rsidP="00E70EC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15B" w:rsidRPr="0041674D" w:rsidRDefault="0017115B" w:rsidP="00E70EC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15B" w:rsidRPr="0041674D" w:rsidRDefault="0017115B" w:rsidP="00E70EC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 xml:space="preserve">Aldea 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15B" w:rsidRPr="0041674D" w:rsidRDefault="0017115B" w:rsidP="00E70EC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Aldea (%)</w:t>
            </w:r>
          </w:p>
        </w:tc>
      </w:tr>
      <w:tr w:rsidR="0017115B" w:rsidRPr="0041674D" w:rsidTr="00ED5C9A">
        <w:trPr>
          <w:trHeight w:val="255"/>
          <w:jc w:val="center"/>
        </w:trPr>
        <w:tc>
          <w:tcPr>
            <w:tcW w:w="42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17115B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Sozietate kopurua</w:t>
            </w:r>
          </w:p>
        </w:tc>
        <w:tc>
          <w:tcPr>
            <w:tcW w:w="104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17115B" w:rsidP="00E70E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17115B" w:rsidP="00E70EC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  <w:r w:rsidR="00CE38E4">
              <w:rPr>
                <w:rStyle w:val="Refdenotaalpie"/>
                <w:rFonts w:ascii="Arial Narrow" w:hAnsi="Arial Narrow"/>
                <w:sz w:val="18"/>
                <w:szCs w:val="18"/>
                <w:lang w:val="es-ES" w:eastAsia="es-ES"/>
              </w:rPr>
              <w:footnoteReference w:id="17"/>
            </w:r>
          </w:p>
        </w:tc>
        <w:tc>
          <w:tcPr>
            <w:tcW w:w="1105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115B" w:rsidRPr="0041674D" w:rsidRDefault="0017115B" w:rsidP="00E70EC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-22</w:t>
            </w:r>
          </w:p>
        </w:tc>
        <w:tc>
          <w:tcPr>
            <w:tcW w:w="12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115B" w:rsidRPr="0041674D" w:rsidRDefault="00DD21F4" w:rsidP="00E70EC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-56</w:t>
            </w:r>
          </w:p>
        </w:tc>
      </w:tr>
      <w:tr w:rsidR="0017115B" w:rsidRPr="0041674D" w:rsidTr="00ED5C9A">
        <w:trPr>
          <w:trHeight w:val="255"/>
          <w:jc w:val="center"/>
        </w:trPr>
        <w:tc>
          <w:tcPr>
            <w:tcW w:w="42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17115B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Administrazio kontseiluetako kideen kopurua</w:t>
            </w:r>
          </w:p>
        </w:tc>
        <w:tc>
          <w:tcPr>
            <w:tcW w:w="10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0359BC" w:rsidP="00E70E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17115B" w:rsidP="00E70E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115B" w:rsidRPr="0041674D" w:rsidRDefault="0017115B" w:rsidP="00C3249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-150</w:t>
            </w: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115B" w:rsidRPr="0041674D" w:rsidRDefault="0017115B" w:rsidP="00E70E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-45</w:t>
            </w:r>
          </w:p>
        </w:tc>
      </w:tr>
      <w:tr w:rsidR="0017115B" w:rsidRPr="0041674D" w:rsidTr="00ED5C9A">
        <w:trPr>
          <w:trHeight w:val="255"/>
          <w:jc w:val="center"/>
        </w:trPr>
        <w:tc>
          <w:tcPr>
            <w:tcW w:w="42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17115B" w:rsidP="00FA1C9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Kudeatzaileen kopurua</w:t>
            </w:r>
          </w:p>
        </w:tc>
        <w:tc>
          <w:tcPr>
            <w:tcW w:w="10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17115B" w:rsidP="00E70E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0359BC" w:rsidP="00E70E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115B" w:rsidRPr="0041674D" w:rsidRDefault="00C32493" w:rsidP="00E70EC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-16</w:t>
            </w: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115B" w:rsidRPr="0041674D" w:rsidRDefault="0017115B" w:rsidP="00C3249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-53</w:t>
            </w:r>
          </w:p>
        </w:tc>
      </w:tr>
      <w:tr w:rsidR="0047317F" w:rsidRPr="0041674D" w:rsidTr="00ED5C9A">
        <w:trPr>
          <w:trHeight w:val="255"/>
          <w:jc w:val="center"/>
        </w:trPr>
        <w:tc>
          <w:tcPr>
            <w:tcW w:w="42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17115B" w:rsidP="00FA1C94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Batez besteko langile kopurua</w:t>
            </w:r>
          </w:p>
        </w:tc>
        <w:tc>
          <w:tcPr>
            <w:tcW w:w="10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C32493" w:rsidP="00C32493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1.283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115B" w:rsidRPr="0041674D" w:rsidRDefault="0047317F" w:rsidP="005616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1.046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115B" w:rsidRPr="0041674D" w:rsidRDefault="0017115B" w:rsidP="00C32493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-237</w:t>
            </w: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115B" w:rsidRPr="0041674D" w:rsidRDefault="0047317F" w:rsidP="00C32493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-18</w:t>
            </w:r>
          </w:p>
        </w:tc>
      </w:tr>
    </w:tbl>
    <w:p w:rsidR="0017115B" w:rsidRDefault="0017115B" w:rsidP="00374B34">
      <w:pPr>
        <w:pStyle w:val="texto"/>
        <w:numPr>
          <w:ilvl w:val="0"/>
          <w:numId w:val="24"/>
        </w:numPr>
        <w:spacing w:before="300"/>
        <w:ind w:left="1003" w:hanging="357"/>
      </w:pPr>
      <w:r>
        <w:lastRenderedPageBreak/>
        <w:t>Langileriaren arloko kostuak eta kostu operatiboak gutxitzeko proz</w:t>
      </w:r>
      <w:r>
        <w:t>e</w:t>
      </w:r>
      <w:r>
        <w:t xml:space="preserve">sua </w:t>
      </w:r>
    </w:p>
    <w:p w:rsidR="002E30FE" w:rsidRPr="002E30FE" w:rsidRDefault="00ED5C9A" w:rsidP="00ED5C9A">
      <w:pPr>
        <w:pStyle w:val="texto"/>
        <w:spacing w:after="100"/>
        <w:ind w:left="3164" w:firstLine="0"/>
        <w:rPr>
          <w:color w:val="FF000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(euroak, milakotan)</w:t>
      </w:r>
    </w:p>
    <w:tbl>
      <w:tblPr>
        <w:tblW w:w="872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1034"/>
        <w:gridCol w:w="686"/>
        <w:gridCol w:w="700"/>
        <w:gridCol w:w="1497"/>
        <w:gridCol w:w="1400"/>
      </w:tblGrid>
      <w:tr w:rsidR="00DD21F4" w:rsidRPr="00E70EC9" w:rsidTr="002B0D33">
        <w:trPr>
          <w:trHeight w:val="312"/>
          <w:jc w:val="center"/>
        </w:trPr>
        <w:tc>
          <w:tcPr>
            <w:tcW w:w="3412" w:type="dxa"/>
            <w:shd w:val="clear" w:color="000000" w:fill="8DB4E2"/>
            <w:noWrap/>
            <w:vAlign w:val="center"/>
            <w:hideMark/>
          </w:tcPr>
          <w:p w:rsidR="00DD21F4" w:rsidRPr="00E70EC9" w:rsidRDefault="00DD21F4" w:rsidP="00DD21F4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 </w:t>
            </w:r>
          </w:p>
        </w:tc>
        <w:tc>
          <w:tcPr>
            <w:tcW w:w="1034" w:type="dxa"/>
            <w:shd w:val="clear" w:color="000000" w:fill="8DB4E2"/>
            <w:noWrap/>
            <w:vAlign w:val="center"/>
            <w:hideMark/>
          </w:tcPr>
          <w:p w:rsidR="00DD21F4" w:rsidRPr="00E70EC9" w:rsidRDefault="00DD21F4" w:rsidP="00E70EC9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2011</w:t>
            </w:r>
          </w:p>
        </w:tc>
        <w:tc>
          <w:tcPr>
            <w:tcW w:w="686" w:type="dxa"/>
            <w:shd w:val="clear" w:color="000000" w:fill="8DB4E2"/>
            <w:noWrap/>
            <w:vAlign w:val="center"/>
            <w:hideMark/>
          </w:tcPr>
          <w:p w:rsidR="00DD21F4" w:rsidRPr="00E70EC9" w:rsidRDefault="00DD21F4" w:rsidP="00E70EC9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2012</w:t>
            </w:r>
          </w:p>
        </w:tc>
        <w:tc>
          <w:tcPr>
            <w:tcW w:w="700" w:type="dxa"/>
            <w:shd w:val="clear" w:color="000000" w:fill="8DB4E2"/>
            <w:noWrap/>
            <w:vAlign w:val="center"/>
            <w:hideMark/>
          </w:tcPr>
          <w:p w:rsidR="00DD21F4" w:rsidRPr="00E70EC9" w:rsidRDefault="00DD21F4" w:rsidP="00E70EC9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Guztira </w:t>
            </w:r>
          </w:p>
        </w:tc>
        <w:tc>
          <w:tcPr>
            <w:tcW w:w="1497" w:type="dxa"/>
            <w:shd w:val="clear" w:color="000000" w:fill="8DB4E2"/>
            <w:noWrap/>
            <w:vAlign w:val="center"/>
            <w:hideMark/>
          </w:tcPr>
          <w:p w:rsidR="00DD21F4" w:rsidRPr="00E70EC9" w:rsidRDefault="00DD21F4" w:rsidP="00E70EC9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Jarritako helb</w:t>
            </w:r>
            <w:r>
              <w:rPr>
                <w:rFonts w:ascii="Arial" w:hAnsi="Arial"/>
                <w:sz w:val="17"/>
                <w:szCs w:val="17"/>
              </w:rPr>
              <w:t>u</w:t>
            </w:r>
            <w:r>
              <w:rPr>
                <w:rFonts w:ascii="Arial" w:hAnsi="Arial"/>
                <w:sz w:val="17"/>
                <w:szCs w:val="17"/>
              </w:rPr>
              <w:t>rua</w:t>
            </w:r>
          </w:p>
        </w:tc>
        <w:tc>
          <w:tcPr>
            <w:tcW w:w="1400" w:type="dxa"/>
            <w:shd w:val="clear" w:color="000000" w:fill="8DB4E2"/>
            <w:noWrap/>
            <w:vAlign w:val="center"/>
            <w:hideMark/>
          </w:tcPr>
          <w:p w:rsidR="00DD21F4" w:rsidRPr="00E70EC9" w:rsidRDefault="00DD21F4" w:rsidP="0081353A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Betetzea (%)</w:t>
            </w:r>
          </w:p>
        </w:tc>
      </w:tr>
      <w:tr w:rsidR="00DD21F4" w:rsidRPr="00E70EC9" w:rsidTr="002B0D33">
        <w:trPr>
          <w:trHeight w:val="255"/>
          <w:jc w:val="center"/>
        </w:trPr>
        <w:tc>
          <w:tcPr>
            <w:tcW w:w="3412" w:type="dxa"/>
            <w:shd w:val="clear" w:color="auto" w:fill="auto"/>
            <w:noWrap/>
            <w:vAlign w:val="center"/>
            <w:hideMark/>
          </w:tcPr>
          <w:p w:rsidR="00DD21F4" w:rsidRPr="00E70EC9" w:rsidRDefault="00DD21F4" w:rsidP="0046297B">
            <w:pPr>
              <w:spacing w:after="0"/>
              <w:ind w:firstLine="0"/>
              <w:jc w:val="lef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I. berrantolaketa-planaren berariazko aurrezkiak 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DD21F4" w:rsidRPr="00E70EC9" w:rsidRDefault="00DD21F4" w:rsidP="00E70EC9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5.714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DD21F4" w:rsidRPr="00E70EC9" w:rsidRDefault="00DD21F4" w:rsidP="00E70EC9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10.723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D21F4" w:rsidRPr="00E70EC9" w:rsidRDefault="00DD21F4" w:rsidP="00E70EC9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16.437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DD21F4" w:rsidRPr="00E70EC9" w:rsidRDefault="00DD21F4" w:rsidP="00E70EC9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27.879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D21F4" w:rsidRPr="00E70EC9" w:rsidRDefault="00DD21F4" w:rsidP="0046297B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59</w:t>
            </w:r>
          </w:p>
        </w:tc>
      </w:tr>
    </w:tbl>
    <w:p w:rsidR="00934679" w:rsidRPr="00FC093C" w:rsidRDefault="00934679" w:rsidP="00D4035E">
      <w:pPr>
        <w:pStyle w:val="atitulo3"/>
        <w:spacing w:before="280" w:after="200"/>
        <w:rPr>
          <w:rFonts w:cs="Arial"/>
        </w:rPr>
      </w:pPr>
      <w:r>
        <w:t>V.4.2.2. Enpresa publikoen sektorea antolatu eta berregituratzeko big</w:t>
      </w:r>
      <w:r>
        <w:t>a</w:t>
      </w:r>
      <w:r>
        <w:t xml:space="preserve">rren plana </w:t>
      </w:r>
    </w:p>
    <w:p w:rsidR="00206D5E" w:rsidRDefault="00D74699" w:rsidP="006E341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60" w:line="240" w:lineRule="atLeast"/>
        <w:rPr>
          <w:szCs w:val="26"/>
        </w:rPr>
      </w:pPr>
      <w:r>
        <w:t xml:space="preserve">Aurreikusitako helburuak bost zutabetan biltzen dira; helburuak lortzeko hainbat neurri aurreikusi dira horietan. Honako hau da egindako egiaztapenen emaitza: </w:t>
      </w:r>
    </w:p>
    <w:tbl>
      <w:tblPr>
        <w:tblW w:w="8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5189"/>
        <w:gridCol w:w="1687"/>
      </w:tblGrid>
      <w:tr w:rsidR="00FC5CFB" w:rsidRPr="00DD22D2" w:rsidTr="00991CC0">
        <w:trPr>
          <w:trHeight w:val="284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FC5CFB" w:rsidRPr="00206D5E" w:rsidRDefault="00FC5CFB" w:rsidP="00B20E58">
            <w:pPr>
              <w:spacing w:after="0"/>
              <w:ind w:firstLine="0"/>
              <w:jc w:val="lef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/>
                <w:color w:val="333333"/>
                <w:sz w:val="15"/>
                <w:szCs w:val="15"/>
              </w:rPr>
              <w:t>1. zutabea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FC5CFB" w:rsidRPr="00DD22D2" w:rsidRDefault="00FC5CFB" w:rsidP="00D968E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333333"/>
                <w:sz w:val="15"/>
                <w:szCs w:val="15"/>
              </w:rPr>
              <w:t>Berregituratzea balioa sortzeko eta EBITDA hobetzeko (etekina interesen, balio-galeraren, amortizazioaren eta zergen gainetik)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FC5CFB" w:rsidRPr="00DD22D2" w:rsidRDefault="00AE2D97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Neurria ezartzea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Enpresa-sektorea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SODENA eta CEIN integratzea kudeaketa-unitate bakar batean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Lehen sektorea</w:t>
            </w:r>
          </w:p>
        </w:tc>
        <w:tc>
          <w:tcPr>
            <w:tcW w:w="51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INTIAren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bitartez</w:t>
            </w:r>
          </w:p>
        </w:tc>
        <w:tc>
          <w:tcPr>
            <w:tcW w:w="16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Ingurumenaren sektorea</w:t>
            </w:r>
          </w:p>
        </w:tc>
        <w:tc>
          <w:tcPr>
            <w:tcW w:w="51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102BB7" w:rsidP="00102BB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NILSA eta GAN integratzea kudeaketa-unitate bakar batean</w:t>
            </w:r>
          </w:p>
        </w:tc>
        <w:tc>
          <w:tcPr>
            <w:tcW w:w="16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C5CFB" w:rsidRPr="00DD22D2" w:rsidRDefault="00102BB7" w:rsidP="001D14DC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Aktibo higiezinen eta etxeb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i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zitza-politiken sektorea</w:t>
            </w:r>
          </w:p>
        </w:tc>
        <w:tc>
          <w:tcPr>
            <w:tcW w:w="51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NASUVINSA eta ANL fusionatzea</w:t>
            </w:r>
          </w:p>
        </w:tc>
        <w:tc>
          <w:tcPr>
            <w:tcW w:w="16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Aisialdiaren eta kulturaren sektorea</w:t>
            </w:r>
          </w:p>
        </w:tc>
        <w:tc>
          <w:tcPr>
            <w:tcW w:w="51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NDO eta ENDESA fusionatzea</w:t>
            </w:r>
          </w:p>
        </w:tc>
        <w:tc>
          <w:tcPr>
            <w:tcW w:w="16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Sektore teknologikoa</w:t>
            </w:r>
          </w:p>
        </w:tc>
        <w:tc>
          <w:tcPr>
            <w:tcW w:w="51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TRACASA eta NASERTIC enpresek eginen dute, eta beren egitura berezituari eutsiko diote</w:t>
            </w:r>
          </w:p>
        </w:tc>
        <w:tc>
          <w:tcPr>
            <w:tcW w:w="16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20709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Arcosko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Zirkuituaren kudeaketa kanpoan kontratatzea</w:t>
            </w:r>
          </w:p>
        </w:tc>
        <w:tc>
          <w:tcPr>
            <w:tcW w:w="168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595FBB" w:rsidTr="00991CC0">
        <w:trPr>
          <w:trHeight w:val="315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lef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/>
                <w:color w:val="333333"/>
                <w:sz w:val="15"/>
                <w:szCs w:val="15"/>
              </w:rPr>
              <w:t>2. zutabea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lef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/>
                <w:color w:val="333333"/>
                <w:sz w:val="15"/>
                <w:szCs w:val="15"/>
              </w:rPr>
              <w:t>EBITDA hobetzea, kostu operatiboen kudeaketa optimizatuz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 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Kostuen analisirako eta kudeaketarako metodo bat garatzea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595FBB" w:rsidTr="00991CC0">
        <w:trPr>
          <w:trHeight w:val="315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lef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/>
                <w:color w:val="333333"/>
                <w:sz w:val="15"/>
                <w:szCs w:val="15"/>
              </w:rPr>
              <w:t>3. zutabea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lef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/>
                <w:color w:val="333333"/>
                <w:sz w:val="15"/>
                <w:szCs w:val="15"/>
              </w:rPr>
              <w:t xml:space="preserve">Aktibo higiezinak saltzea eta likidezia lortzea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 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Inolako likideziarik ez zuten higiezinen salmentarako plan bat garatzea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595FBB" w:rsidTr="00991CC0">
        <w:trPr>
          <w:trHeight w:val="315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lef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/>
                <w:color w:val="333333"/>
                <w:sz w:val="15"/>
                <w:szCs w:val="15"/>
              </w:rPr>
              <w:t>4. zutabea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lef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/>
                <w:color w:val="333333"/>
                <w:sz w:val="15"/>
                <w:szCs w:val="15"/>
              </w:rPr>
              <w:t>Zorraren berregituratzea eta parte hartutakoen zein beste aktibo batzuen salmenta, likidezia handiagoa lortzeko.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 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color w:val="000000"/>
                <w:lang w:val="es-ES" w:eastAsia="es-ES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Korporazioko enpresek zuzeneko edo zeharkako parte-hartzea duteneko sozietateen analisia.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Helburua da parte hartutako sozietateak saltzea, zorra gutxitzeko</w:t>
            </w:r>
          </w:p>
        </w:tc>
        <w:tc>
          <w:tcPr>
            <w:tcW w:w="168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  <w:tr w:rsidR="00FC5CFB" w:rsidRPr="00595FBB" w:rsidTr="00991CC0">
        <w:trPr>
          <w:trHeight w:val="315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5. zutabea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Antolamenduaren eta kulturaren aldaketa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FC5CFB" w:rsidRPr="00595FBB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 </w:t>
            </w:r>
          </w:p>
        </w:tc>
      </w:tr>
      <w:tr w:rsidR="00FC5CFB" w:rsidRPr="00DD22D2" w:rsidTr="00991CC0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FB" w:rsidRPr="00DD22D2" w:rsidRDefault="00FC5CFB" w:rsidP="00DD22D2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5CFB" w:rsidRPr="00DD22D2" w:rsidRDefault="00FC5CFB" w:rsidP="00DD22D2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Irizpideak eta jarraibideak ezartzea baliabideak hobeki antolatzeko eta optimizatzeko, soldata-eskalak eta lan-baldintzak homogeneizatzea, eta kudeatzaileei helburuen araberako ordainsariak ezartzea.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CFB" w:rsidRPr="00DD22D2" w:rsidRDefault="00FC5CFB" w:rsidP="00DD22D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BAI</w:t>
            </w:r>
          </w:p>
        </w:tc>
      </w:tr>
    </w:tbl>
    <w:p w:rsidR="00934679" w:rsidRDefault="00934679" w:rsidP="00C0581A">
      <w:pPr>
        <w:pStyle w:val="texto"/>
        <w:spacing w:before="260" w:after="160"/>
      </w:pPr>
      <w:r>
        <w:t>Egin den berrikuspenaren ondorioz, honako alderdi hauek aipatu behar d</w:t>
      </w:r>
      <w:r>
        <w:t>i</w:t>
      </w:r>
      <w:r>
        <w:t>tugu:</w:t>
      </w:r>
    </w:p>
    <w:p w:rsidR="00934679" w:rsidRPr="00934679" w:rsidRDefault="00934679" w:rsidP="00337A0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40"/>
        <w:ind w:left="0" w:firstLine="289"/>
        <w:rPr>
          <w:rFonts w:cs="Arial"/>
        </w:rPr>
      </w:pPr>
      <w:r>
        <w:t>Egiturazko aldaketak eta behin betiko aldeak ondoko taulan ageri direnak dira:</w:t>
      </w:r>
    </w:p>
    <w:tbl>
      <w:tblPr>
        <w:tblW w:w="8673" w:type="dxa"/>
        <w:jc w:val="center"/>
        <w:tblInd w:w="-1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519"/>
        <w:gridCol w:w="863"/>
        <w:gridCol w:w="1680"/>
        <w:gridCol w:w="1201"/>
      </w:tblGrid>
      <w:tr w:rsidR="00934679" w:rsidRPr="007343D0" w:rsidTr="00AE3FDF">
        <w:trPr>
          <w:trHeight w:val="312"/>
          <w:jc w:val="center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:rsidR="00934679" w:rsidRPr="007343D0" w:rsidRDefault="00934679" w:rsidP="00934679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2016/10 aldea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Aldea (%)</w:t>
            </w:r>
          </w:p>
        </w:tc>
      </w:tr>
      <w:tr w:rsidR="00934679" w:rsidRPr="007343D0" w:rsidTr="00AE3FDF">
        <w:trPr>
          <w:trHeight w:val="255"/>
          <w:jc w:val="center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934679">
            <w:pPr>
              <w:spacing w:after="0"/>
              <w:ind w:firstLine="0"/>
              <w:jc w:val="lef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Sozietate kopurua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39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-22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BA1AF4">
            <w:pPr>
              <w:spacing w:after="0"/>
              <w:ind w:right="217"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-56</w:t>
            </w:r>
          </w:p>
        </w:tc>
      </w:tr>
      <w:tr w:rsidR="00934679" w:rsidRPr="007343D0" w:rsidTr="00AE3FDF">
        <w:trPr>
          <w:trHeight w:val="255"/>
          <w:jc w:val="center"/>
        </w:trPr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934679">
            <w:pPr>
              <w:spacing w:after="0"/>
              <w:ind w:firstLine="0"/>
              <w:jc w:val="lef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Administrazio kontseiluetako kideen kopurua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334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97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-237</w:t>
            </w:r>
          </w:p>
        </w:tc>
        <w:tc>
          <w:tcPr>
            <w:tcW w:w="12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BA1AF4">
            <w:pPr>
              <w:spacing w:after="0"/>
              <w:ind w:right="217"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-71</w:t>
            </w:r>
          </w:p>
        </w:tc>
      </w:tr>
      <w:tr w:rsidR="00934679" w:rsidRPr="007343D0" w:rsidTr="00AE3FDF">
        <w:trPr>
          <w:trHeight w:val="255"/>
          <w:jc w:val="center"/>
        </w:trPr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934679">
            <w:pPr>
              <w:spacing w:after="0"/>
              <w:ind w:firstLine="0"/>
              <w:jc w:val="lef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Kudeatzaileen kopurua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30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-20</w:t>
            </w:r>
          </w:p>
        </w:tc>
        <w:tc>
          <w:tcPr>
            <w:tcW w:w="12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BA1AF4">
            <w:pPr>
              <w:spacing w:after="0"/>
              <w:ind w:right="217"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-67</w:t>
            </w:r>
          </w:p>
        </w:tc>
      </w:tr>
      <w:tr w:rsidR="00934679" w:rsidRPr="007343D0" w:rsidTr="00AE3FDF">
        <w:trPr>
          <w:trHeight w:val="255"/>
          <w:jc w:val="center"/>
        </w:trPr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934679">
            <w:pPr>
              <w:spacing w:after="0"/>
              <w:ind w:firstLine="0"/>
              <w:jc w:val="lef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Batez besteko langile kopurua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1.283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1.059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1F6CBB">
            <w:pPr>
              <w:spacing w:after="0"/>
              <w:ind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-224</w:t>
            </w:r>
          </w:p>
        </w:tc>
        <w:tc>
          <w:tcPr>
            <w:tcW w:w="12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679" w:rsidRPr="007343D0" w:rsidRDefault="00934679" w:rsidP="00BA1AF4">
            <w:pPr>
              <w:spacing w:after="0"/>
              <w:ind w:right="217" w:firstLine="0"/>
              <w:jc w:val="right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-17</w:t>
            </w:r>
          </w:p>
        </w:tc>
      </w:tr>
    </w:tbl>
    <w:p w:rsidR="00934679" w:rsidRDefault="00934679" w:rsidP="00C0581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before="280" w:after="120"/>
        <w:ind w:left="0" w:firstLine="289"/>
        <w:rPr>
          <w:rFonts w:cs="Arial"/>
        </w:rPr>
      </w:pPr>
      <w:r>
        <w:lastRenderedPageBreak/>
        <w:t>Bigarren plan horren datu ekonomikoak, txosteneko V.2 atalean egin d</w:t>
      </w:r>
      <w:r>
        <w:t>u</w:t>
      </w:r>
      <w:r>
        <w:t xml:space="preserve">gun analisitik ondorioztatzen direnak eta bost zutabeetan hartutako neurrien multzoan eragina dutenak, honako hauek dira: </w:t>
      </w:r>
    </w:p>
    <w:p w:rsidR="002E30FE" w:rsidRPr="002E30FE" w:rsidRDefault="00191895" w:rsidP="00191895">
      <w:pPr>
        <w:pStyle w:val="texto"/>
        <w:spacing w:after="100"/>
        <w:ind w:left="1588" w:firstLine="0"/>
        <w:rPr>
          <w:color w:val="FF000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(euroak, milakotan)</w:t>
      </w:r>
    </w:p>
    <w:tbl>
      <w:tblPr>
        <w:tblW w:w="867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646"/>
        <w:gridCol w:w="594"/>
        <w:gridCol w:w="603"/>
        <w:gridCol w:w="656"/>
        <w:gridCol w:w="2268"/>
        <w:gridCol w:w="982"/>
      </w:tblGrid>
      <w:tr w:rsidR="00934679" w:rsidRPr="00A2639F" w:rsidTr="00920E4A">
        <w:trPr>
          <w:trHeight w:val="312"/>
          <w:jc w:val="center"/>
        </w:trPr>
        <w:tc>
          <w:tcPr>
            <w:tcW w:w="301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Guztira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4679" w:rsidRDefault="00934679" w:rsidP="0093467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Bost zutabeetan jarritako helburua  </w:t>
            </w:r>
          </w:p>
          <w:p w:rsidR="00934679" w:rsidRPr="00A2639F" w:rsidRDefault="00934679" w:rsidP="0093467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4679" w:rsidRDefault="00934679" w:rsidP="0093467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Betetzea (%)</w:t>
            </w:r>
          </w:p>
          <w:p w:rsidR="00934679" w:rsidRPr="00A2639F" w:rsidRDefault="00934679" w:rsidP="0093467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4679" w:rsidRPr="00A2639F" w:rsidTr="00920E4A">
        <w:trPr>
          <w:trHeight w:val="255"/>
          <w:jc w:val="center"/>
        </w:trPr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left"/>
              <w:rPr>
                <w:rFonts w:ascii="Arial Narrow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II. berrantolaketa-planaren berariazko aurre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>z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kiak 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8.966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5.909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3.353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right"/>
              <w:rPr>
                <w:rFonts w:ascii="Arial Narrow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18.228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34679" w:rsidRPr="00A2639F" w:rsidRDefault="00934679" w:rsidP="00934679">
            <w:pPr>
              <w:spacing w:after="0"/>
              <w:ind w:firstLine="0"/>
              <w:jc w:val="center"/>
              <w:rPr>
                <w:rFonts w:ascii="Arial Narrow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14.970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934679" w:rsidRPr="00A2639F" w:rsidRDefault="00934679" w:rsidP="00F34AB6">
            <w:pPr>
              <w:spacing w:after="0"/>
              <w:ind w:left="-82" w:right="164" w:firstLine="0"/>
              <w:jc w:val="right"/>
              <w:rPr>
                <w:rFonts w:ascii="Arial Narrow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122</w:t>
            </w:r>
          </w:p>
        </w:tc>
      </w:tr>
    </w:tbl>
    <w:p w:rsidR="009126F6" w:rsidRDefault="009126F6" w:rsidP="009126F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</w:tabs>
        <w:spacing w:after="160"/>
        <w:ind w:left="289" w:firstLine="0"/>
        <w:rPr>
          <w:szCs w:val="26"/>
        </w:rPr>
      </w:pPr>
    </w:p>
    <w:p w:rsidR="009126F6" w:rsidRDefault="009126F6" w:rsidP="00374B3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szCs w:val="26"/>
        </w:rPr>
      </w:pPr>
      <w:proofErr w:type="spellStart"/>
      <w:r>
        <w:t>EBITDAren</w:t>
      </w:r>
      <w:proofErr w:type="spellEnd"/>
      <w:r>
        <w:t xml:space="preserve"> bilakaera honako hau izan da:</w:t>
      </w:r>
    </w:p>
    <w:p w:rsidR="006631CF" w:rsidRDefault="006631CF" w:rsidP="006631C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</w:tabs>
        <w:spacing w:after="160"/>
        <w:ind w:left="289" w:firstLine="0"/>
        <w:jc w:val="right"/>
        <w:rPr>
          <w:szCs w:val="26"/>
        </w:rPr>
      </w:pPr>
      <w:r>
        <w:rPr>
          <w:rFonts w:ascii="Arial Narrow" w:hAnsi="Arial Narrow"/>
          <w:sz w:val="16"/>
          <w:szCs w:val="16"/>
        </w:rPr>
        <w:t xml:space="preserve">                             (euroak, milakotan)</w:t>
      </w:r>
    </w:p>
    <w:tbl>
      <w:tblPr>
        <w:tblW w:w="0" w:type="auto"/>
        <w:jc w:val="center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676"/>
        <w:gridCol w:w="1134"/>
        <w:gridCol w:w="992"/>
        <w:gridCol w:w="1134"/>
        <w:gridCol w:w="1035"/>
        <w:gridCol w:w="960"/>
        <w:gridCol w:w="1072"/>
      </w:tblGrid>
      <w:tr w:rsidR="009126F6" w:rsidRPr="007343D0" w:rsidTr="009126F6">
        <w:trPr>
          <w:trHeight w:val="312"/>
          <w:jc w:val="center"/>
        </w:trPr>
        <w:tc>
          <w:tcPr>
            <w:tcW w:w="734" w:type="dxa"/>
            <w:shd w:val="clear" w:color="000000" w:fill="8DB4E2"/>
            <w:noWrap/>
            <w:vAlign w:val="center"/>
            <w:hideMark/>
          </w:tcPr>
          <w:p w:rsidR="009126F6" w:rsidRPr="007343D0" w:rsidRDefault="009126F6" w:rsidP="009126F6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 </w:t>
            </w:r>
          </w:p>
        </w:tc>
        <w:tc>
          <w:tcPr>
            <w:tcW w:w="1676" w:type="dxa"/>
            <w:shd w:val="clear" w:color="000000" w:fill="8DB4E2"/>
            <w:noWrap/>
            <w:vAlign w:val="center"/>
            <w:hideMark/>
          </w:tcPr>
          <w:p w:rsidR="009126F6" w:rsidRPr="00191895" w:rsidRDefault="009126F6" w:rsidP="009126F6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2010</w:t>
            </w:r>
          </w:p>
        </w:tc>
        <w:tc>
          <w:tcPr>
            <w:tcW w:w="1134" w:type="dxa"/>
            <w:shd w:val="clear" w:color="000000" w:fill="8DB4E2"/>
            <w:noWrap/>
            <w:vAlign w:val="center"/>
            <w:hideMark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2011</w:t>
            </w:r>
          </w:p>
        </w:tc>
        <w:tc>
          <w:tcPr>
            <w:tcW w:w="992" w:type="dxa"/>
            <w:shd w:val="clear" w:color="000000" w:fill="8DB4E2"/>
            <w:noWrap/>
            <w:vAlign w:val="center"/>
            <w:hideMark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2012</w:t>
            </w:r>
          </w:p>
        </w:tc>
        <w:tc>
          <w:tcPr>
            <w:tcW w:w="1134" w:type="dxa"/>
            <w:shd w:val="clear" w:color="000000" w:fill="8DB4E2"/>
            <w:noWrap/>
            <w:vAlign w:val="center"/>
            <w:hideMark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2013</w:t>
            </w:r>
          </w:p>
        </w:tc>
        <w:tc>
          <w:tcPr>
            <w:tcW w:w="1035" w:type="dxa"/>
            <w:shd w:val="clear" w:color="000000" w:fill="8DB4E2"/>
            <w:noWrap/>
            <w:vAlign w:val="center"/>
            <w:hideMark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2014</w:t>
            </w:r>
          </w:p>
        </w:tc>
        <w:tc>
          <w:tcPr>
            <w:tcW w:w="960" w:type="dxa"/>
            <w:shd w:val="clear" w:color="000000" w:fill="8DB4E2"/>
            <w:noWrap/>
            <w:vAlign w:val="center"/>
            <w:hideMark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2015</w:t>
            </w:r>
          </w:p>
        </w:tc>
        <w:tc>
          <w:tcPr>
            <w:tcW w:w="1072" w:type="dxa"/>
            <w:shd w:val="clear" w:color="000000" w:fill="8DB4E2"/>
            <w:noWrap/>
            <w:vAlign w:val="center"/>
            <w:hideMark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2016</w:t>
            </w:r>
          </w:p>
        </w:tc>
      </w:tr>
      <w:tr w:rsidR="009126F6" w:rsidRPr="007343D0" w:rsidTr="009126F6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126F6" w:rsidRPr="007343D0" w:rsidRDefault="009126F6" w:rsidP="009126F6">
            <w:pPr>
              <w:spacing w:after="0"/>
              <w:ind w:firstLine="0"/>
              <w:jc w:val="lef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EBITDA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9126F6" w:rsidRPr="00191895" w:rsidRDefault="009126F6" w:rsidP="009126F6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-15.386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-35.909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14.555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35.934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975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9126F6" w:rsidRPr="007343D0" w:rsidRDefault="009126F6" w:rsidP="009126F6">
            <w:pPr>
              <w:spacing w:after="0"/>
              <w:ind w:firstLine="0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9.188</w:t>
            </w:r>
          </w:p>
        </w:tc>
      </w:tr>
    </w:tbl>
    <w:p w:rsidR="006631CF" w:rsidRPr="006631CF" w:rsidRDefault="00230985" w:rsidP="00374B3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  <w:r>
        <w:t xml:space="preserve">Ikusi da bilakaera positibo bat egon dela, zeren eta EBITDA 2010ean 0,81 milioikoa izatetik 2016an 9,19 milioikoa izatera pasa baita. Hala eta guztiz ere, txostenean egiaztatutako kostuen aurrezkiak </w:t>
      </w:r>
      <w:proofErr w:type="spellStart"/>
      <w:r>
        <w:t>EBITDAn</w:t>
      </w:r>
      <w:proofErr w:type="spellEnd"/>
      <w:r>
        <w:t xml:space="preserve"> inpaktua badu ere, magnitude hori faktore askok baldintzatzen dute (</w:t>
      </w:r>
      <w:proofErr w:type="spellStart"/>
      <w:r>
        <w:t>SODENAk</w:t>
      </w:r>
      <w:proofErr w:type="spellEnd"/>
      <w:r>
        <w:t xml:space="preserve"> parte hartutako enpesetako kontabilitate-narriatzeak, sozietate publikoen jarduerak homogen</w:t>
      </w:r>
      <w:r>
        <w:t>e</w:t>
      </w:r>
      <w:r>
        <w:t xml:space="preserve">oak ez izatea eta higiezinen merkatuaren bilakaera, besteak beste), eta horiek interferentzia egiten dute bilakaeran. </w:t>
      </w:r>
    </w:p>
    <w:p w:rsidR="00AD5D75" w:rsidRDefault="00206D5E" w:rsidP="00374B3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szCs w:val="26"/>
        </w:rPr>
      </w:pPr>
      <w:r>
        <w:t>NASUVINSA eta CAT sozietate publikoek aktiboen salmentarako plan bat garatu dute; horrek, 2013-2015 aldian 66,08 milioi euroko diru-sarrerak ekarri ditu guztira.</w:t>
      </w:r>
    </w:p>
    <w:p w:rsidR="00206D5E" w:rsidRDefault="00206D5E" w:rsidP="00374B3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</w:tabs>
      </w:pPr>
      <w:r>
        <w:t xml:space="preserve">35 eragiketen lagin bat berrikusi dugu </w:t>
      </w:r>
      <w:proofErr w:type="spellStart"/>
      <w:r>
        <w:t>—zazpi</w:t>
      </w:r>
      <w:proofErr w:type="spellEnd"/>
      <w:r>
        <w:t xml:space="preserve"> milioi euroko bolumen ek</w:t>
      </w:r>
      <w:r>
        <w:t>o</w:t>
      </w:r>
      <w:r>
        <w:t xml:space="preserve">nomikoa eta egindako eragiketen ehuneko 11 egiten </w:t>
      </w:r>
      <w:proofErr w:type="spellStart"/>
      <w:r>
        <w:t>dute—</w:t>
      </w:r>
      <w:proofErr w:type="spellEnd"/>
      <w:r>
        <w:t xml:space="preserve">, eta egindako egiaztapenen emaitza arrazoizkoa da. </w:t>
      </w:r>
    </w:p>
    <w:p w:rsidR="00206D5E" w:rsidRDefault="00207099" w:rsidP="001117D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</w:tabs>
        <w:spacing w:after="120"/>
        <w:rPr>
          <w:szCs w:val="26"/>
        </w:rPr>
      </w:pPr>
      <w:r>
        <w:t xml:space="preserve">Likidezia lortzeko salmenta-planaren betearaztea honako hau da </w:t>
      </w:r>
      <w:proofErr w:type="spellStart"/>
      <w:r>
        <w:t>NEPKren</w:t>
      </w:r>
      <w:proofErr w:type="spellEnd"/>
      <w:r>
        <w:t xml:space="preserve"> datuen arabera:</w:t>
      </w:r>
    </w:p>
    <w:p w:rsidR="00191895" w:rsidRPr="002E30FE" w:rsidRDefault="00191895" w:rsidP="00191895">
      <w:pPr>
        <w:pStyle w:val="texto"/>
        <w:spacing w:after="100"/>
        <w:ind w:left="1588" w:firstLine="0"/>
        <w:rPr>
          <w:color w:val="FF000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(euroak, milakotan)</w:t>
      </w:r>
    </w:p>
    <w:tbl>
      <w:tblPr>
        <w:tblW w:w="870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559"/>
        <w:gridCol w:w="1701"/>
        <w:gridCol w:w="1418"/>
        <w:gridCol w:w="1559"/>
      </w:tblGrid>
      <w:tr w:rsidR="00AD5D75" w:rsidRPr="005717B1" w:rsidTr="00AD5D75">
        <w:trPr>
          <w:trHeight w:val="300"/>
          <w:jc w:val="center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Diru-sarrerak, guztira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Guztira</w:t>
            </w:r>
          </w:p>
        </w:tc>
      </w:tr>
      <w:tr w:rsidR="00AD5D75" w:rsidRPr="005717B1" w:rsidTr="00AD5D75">
        <w:trPr>
          <w:trHeight w:val="255"/>
          <w:jc w:val="center"/>
        </w:trPr>
        <w:tc>
          <w:tcPr>
            <w:tcW w:w="246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Helburua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D5D75" w:rsidRPr="005717B1" w:rsidRDefault="007F4683" w:rsidP="007F468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23.153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D5D75" w:rsidRPr="005717B1" w:rsidRDefault="007F4683" w:rsidP="007F468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34.531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D5D75" w:rsidRPr="005717B1" w:rsidRDefault="007F4683" w:rsidP="00AD5D7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32.219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D5D75" w:rsidRPr="005717B1" w:rsidRDefault="007F4683" w:rsidP="007F468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89.903</w:t>
            </w:r>
          </w:p>
        </w:tc>
      </w:tr>
      <w:tr w:rsidR="00AD5D75" w:rsidRPr="005717B1" w:rsidTr="00AD5D75">
        <w:trPr>
          <w:trHeight w:val="255"/>
          <w:jc w:val="center"/>
        </w:trPr>
        <w:tc>
          <w:tcPr>
            <w:tcW w:w="24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Egiazkoa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16.544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28.542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21.001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66.088</w:t>
            </w:r>
          </w:p>
        </w:tc>
      </w:tr>
      <w:tr w:rsidR="00AD5D75" w:rsidRPr="005717B1" w:rsidTr="00AD5D75">
        <w:trPr>
          <w:trHeight w:val="300"/>
          <w:jc w:val="center"/>
        </w:trPr>
        <w:tc>
          <w:tcPr>
            <w:tcW w:w="2467" w:type="dxa"/>
            <w:shd w:val="clear" w:color="auto" w:fill="8DB3E2" w:themeFill="text2" w:themeFillTint="66"/>
            <w:noWrap/>
            <w:vAlign w:val="center"/>
            <w:hideMark/>
          </w:tcPr>
          <w:p w:rsidR="00AD5D75" w:rsidRPr="005717B1" w:rsidRDefault="00AD5D75" w:rsidP="00AD5D7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Aldea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center"/>
            <w:hideMark/>
          </w:tcPr>
          <w:p w:rsidR="00AD5D75" w:rsidRPr="005717B1" w:rsidRDefault="00AD5D75" w:rsidP="007F468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-6.608</w:t>
            </w:r>
          </w:p>
        </w:tc>
        <w:tc>
          <w:tcPr>
            <w:tcW w:w="1701" w:type="dxa"/>
            <w:shd w:val="clear" w:color="auto" w:fill="8DB3E2" w:themeFill="text2" w:themeFillTint="66"/>
            <w:noWrap/>
            <w:vAlign w:val="center"/>
            <w:hideMark/>
          </w:tcPr>
          <w:p w:rsidR="00AD5D75" w:rsidRPr="005717B1" w:rsidRDefault="007F4683" w:rsidP="007F468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-5.988</w:t>
            </w:r>
          </w:p>
        </w:tc>
        <w:tc>
          <w:tcPr>
            <w:tcW w:w="1418" w:type="dxa"/>
            <w:shd w:val="clear" w:color="auto" w:fill="8DB3E2" w:themeFill="text2" w:themeFillTint="66"/>
            <w:noWrap/>
            <w:vAlign w:val="center"/>
            <w:hideMark/>
          </w:tcPr>
          <w:p w:rsidR="00AD5D75" w:rsidRPr="005717B1" w:rsidRDefault="007F4683" w:rsidP="00AD5D7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-11.218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center"/>
            <w:hideMark/>
          </w:tcPr>
          <w:p w:rsidR="00AD5D75" w:rsidRPr="005717B1" w:rsidRDefault="007F4683" w:rsidP="00AD5D7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-23.815</w:t>
            </w:r>
          </w:p>
        </w:tc>
      </w:tr>
    </w:tbl>
    <w:p w:rsidR="00AD5D75" w:rsidRDefault="00192F3A" w:rsidP="00374B3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line="240" w:lineRule="atLeast"/>
        <w:rPr>
          <w:szCs w:val="26"/>
        </w:rPr>
      </w:pPr>
      <w:r>
        <w:t>Hau da, betetze-mailak aurreikuspenen ehuneko 74 egiten du.</w:t>
      </w:r>
    </w:p>
    <w:p w:rsidR="007F4683" w:rsidRDefault="00743804" w:rsidP="00FB718D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Zorraren berregituratzearen helburuari dagokionez, eta berrikusitako d</w:t>
      </w:r>
      <w:r>
        <w:t>a</w:t>
      </w:r>
      <w:r>
        <w:t>tuen arabera, honako taula honetan ageri da haren bilakaera:</w:t>
      </w:r>
    </w:p>
    <w:p w:rsidR="00191895" w:rsidRPr="002E30FE" w:rsidRDefault="00191895" w:rsidP="00191895">
      <w:pPr>
        <w:pStyle w:val="texto"/>
        <w:spacing w:after="100"/>
        <w:ind w:left="1588" w:firstLine="0"/>
        <w:rPr>
          <w:color w:val="FF000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(euroak, milakotan)</w:t>
      </w:r>
    </w:p>
    <w:tbl>
      <w:tblPr>
        <w:tblW w:w="8679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85"/>
        <w:gridCol w:w="644"/>
        <w:gridCol w:w="644"/>
        <w:gridCol w:w="644"/>
        <w:gridCol w:w="644"/>
        <w:gridCol w:w="567"/>
        <w:gridCol w:w="567"/>
        <w:gridCol w:w="1490"/>
        <w:gridCol w:w="1134"/>
      </w:tblGrid>
      <w:tr w:rsidR="007F4683" w:rsidRPr="007F4683" w:rsidTr="00D206AF">
        <w:trPr>
          <w:trHeight w:val="315"/>
        </w:trPr>
        <w:tc>
          <w:tcPr>
            <w:tcW w:w="1560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7F4683" w:rsidRPr="007F4683" w:rsidRDefault="007F4683" w:rsidP="007F4683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000000" w:fill="8DB3E2"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2016/10 aldea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8DB3E2"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Aldea (%)</w:t>
            </w:r>
          </w:p>
        </w:tc>
      </w:tr>
      <w:tr w:rsidR="007F4683" w:rsidRPr="007F4683" w:rsidTr="00D206AF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4683" w:rsidRPr="007F4683" w:rsidRDefault="007F4683" w:rsidP="007B2268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lastRenderedPageBreak/>
              <w:t>Zorra, guztira *</w:t>
            </w:r>
          </w:p>
        </w:tc>
        <w:tc>
          <w:tcPr>
            <w:tcW w:w="785" w:type="dxa"/>
            <w:shd w:val="clear" w:color="000000" w:fill="FFFFFF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323.115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295.629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276.924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260.451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104.645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73.115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56.449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-266.666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F4683" w:rsidRPr="007F4683" w:rsidRDefault="007F4683" w:rsidP="00D206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-83</w:t>
            </w:r>
          </w:p>
        </w:tc>
      </w:tr>
    </w:tbl>
    <w:p w:rsidR="0062021F" w:rsidRDefault="007F4683" w:rsidP="00374B3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60" w:after="260" w:line="240" w:lineRule="atLeas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*Datu hauetan ez da kontuan hartzen interesen aldizkakotasuna eta Europako Inbertsio Bankuen finantzaketa.</w:t>
      </w:r>
    </w:p>
    <w:p w:rsidR="0062021F" w:rsidRDefault="0062021F" w:rsidP="004937D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 w:line="240" w:lineRule="atLeast"/>
        <w:rPr>
          <w:szCs w:val="26"/>
        </w:rPr>
      </w:pPr>
      <w:r>
        <w:t>2014ko ekitaldian, zorraren gutxitze handiago bat gertatu da, zeren eta Ibe</w:t>
      </w:r>
      <w:r>
        <w:t>r</w:t>
      </w:r>
      <w:r>
        <w:t>drolaren akzioen salmentari dagokion diru-sarrera jaso baita</w:t>
      </w:r>
      <w:r w:rsidR="00747DFB">
        <w:rPr>
          <w:rStyle w:val="Refdenotaalpie"/>
          <w:szCs w:val="26"/>
        </w:rPr>
        <w:footnoteReference w:id="18"/>
      </w:r>
      <w:r>
        <w:t>.</w:t>
      </w:r>
    </w:p>
    <w:p w:rsidR="0017115B" w:rsidRPr="00385147" w:rsidRDefault="0017115B" w:rsidP="004937DE">
      <w:pPr>
        <w:pStyle w:val="texto"/>
        <w:spacing w:after="160"/>
        <w:rPr>
          <w:spacing w:val="0"/>
        </w:rPr>
      </w:pPr>
      <w:r>
        <w:rPr>
          <w:b/>
        </w:rPr>
        <w:t>Azken batean,</w:t>
      </w:r>
      <w:r>
        <w:t xml:space="preserve"> gure iritziz enpresen sektore publikoa berrantolatzeko bi prozesuak helburu zehatzak jasotzen zituen plangintza baten arabera gauzatu dira, eta, oro har, helburu horiek kuantifikagarriak eta egiaztagarriak dira. </w:t>
      </w:r>
    </w:p>
    <w:p w:rsidR="0081353A" w:rsidRPr="00385147" w:rsidRDefault="0081353A" w:rsidP="001F0570">
      <w:pPr>
        <w:pStyle w:val="texto"/>
        <w:spacing w:after="280"/>
        <w:rPr>
          <w:spacing w:val="2"/>
        </w:rPr>
      </w:pPr>
      <w:r>
        <w:t>Horien egiaztatzeak aukera ematen du ondorioztatzeko ezen, oro har, arr</w:t>
      </w:r>
      <w:r>
        <w:t>a</w:t>
      </w:r>
      <w:r>
        <w:t>zoiz bete direla programatutako aldietan aurreikusitako helburuak.</w:t>
      </w:r>
    </w:p>
    <w:p w:rsidR="00385147" w:rsidRPr="00FE3658" w:rsidRDefault="00385147" w:rsidP="0038514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 xml:space="preserve">Miguel </w:t>
      </w:r>
      <w:proofErr w:type="spellStart"/>
      <w:r>
        <w:t>Ángel</w:t>
      </w:r>
      <w:proofErr w:type="spellEnd"/>
      <w:r>
        <w:t xml:space="preserve"> Aurrecoechea </w:t>
      </w:r>
      <w:proofErr w:type="spellStart"/>
      <w:r>
        <w:t>Gutiérrez</w:t>
      </w:r>
      <w:proofErr w:type="spellEnd"/>
      <w:r>
        <w:t xml:space="preserve"> auditorea arduratu da lan honetaz, eta hark proposatuta eman da txosten hau, indarrean dagoen araudiak aurreikus</w:t>
      </w:r>
      <w:r>
        <w:t>i</w:t>
      </w:r>
      <w:r>
        <w:t>tako izapideak bete ondoren.</w:t>
      </w:r>
    </w:p>
    <w:p w:rsidR="0017115B" w:rsidRPr="00B402D6" w:rsidRDefault="0017115B" w:rsidP="00CC450A">
      <w:pPr>
        <w:tabs>
          <w:tab w:val="right" w:pos="284"/>
          <w:tab w:val="left" w:pos="426"/>
        </w:tabs>
        <w:spacing w:after="18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Iruñean, 2018ko urriaren 16an</w:t>
      </w:r>
    </w:p>
    <w:p w:rsidR="00385147" w:rsidRPr="00AF2BF1" w:rsidRDefault="00385147" w:rsidP="0038514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jc w:val="center"/>
        <w:rPr>
          <w:rFonts w:cs="Arial"/>
          <w:color w:val="000000"/>
          <w:sz w:val="32"/>
          <w:szCs w:val="32"/>
        </w:rPr>
      </w:pPr>
      <w:r>
        <w:rPr>
          <w:color w:val="000000"/>
        </w:rPr>
        <w:t xml:space="preserve">Lehendakaria, </w:t>
      </w:r>
    </w:p>
    <w:p w:rsidR="00385147" w:rsidRPr="006B7777" w:rsidRDefault="00385147" w:rsidP="0038514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jc w:val="center"/>
        <w:rPr>
          <w:rFonts w:cs="Arial"/>
          <w:color w:val="000000"/>
        </w:rPr>
      </w:pPr>
      <w:proofErr w:type="spellStart"/>
      <w:r>
        <w:rPr>
          <w:color w:val="000000"/>
        </w:rPr>
        <w:t>Asunción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Olaechea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Estanga</w:t>
      </w:r>
      <w:proofErr w:type="spellEnd"/>
    </w:p>
    <w:p w:rsidR="0017115B" w:rsidRPr="003D1559" w:rsidRDefault="0017115B" w:rsidP="003D1559">
      <w:pPr>
        <w:pStyle w:val="texto"/>
        <w:rPr>
          <w:lang w:val="es-ES"/>
        </w:rPr>
      </w:pPr>
    </w:p>
    <w:p w:rsidR="007C6F82" w:rsidRDefault="007C6F82">
      <w:pPr>
        <w:spacing w:after="0"/>
        <w:ind w:firstLine="0"/>
        <w:jc w:val="left"/>
        <w:rPr>
          <w:spacing w:val="6"/>
          <w:sz w:val="26"/>
          <w:szCs w:val="24"/>
        </w:rPr>
      </w:pPr>
      <w:bookmarkStart w:id="49" w:name="_Toc521909273"/>
      <w:r>
        <w:br w:type="page"/>
      </w:r>
    </w:p>
    <w:p w:rsidR="0017115B" w:rsidRDefault="0017115B" w:rsidP="0017115B">
      <w:pPr>
        <w:pStyle w:val="atitulo1"/>
        <w:rPr>
          <w:b w:val="0"/>
        </w:rPr>
      </w:pPr>
      <w:bookmarkStart w:id="50" w:name="_Toc528306529"/>
      <w:r>
        <w:rPr>
          <w:b w:val="0"/>
        </w:rPr>
        <w:lastRenderedPageBreak/>
        <w:t>Eranskinak</w:t>
      </w:r>
      <w:bookmarkEnd w:id="49"/>
      <w:bookmarkEnd w:id="50"/>
      <w:r>
        <w:rPr>
          <w:b w:val="0"/>
        </w:rPr>
        <w:t xml:space="preserve"> </w:t>
      </w:r>
    </w:p>
    <w:p w:rsidR="00871B5D" w:rsidRPr="00F46F6C" w:rsidRDefault="00871B5D" w:rsidP="00F46F6C">
      <w:pPr>
        <w:pStyle w:val="atitulo2"/>
        <w:spacing w:before="240" w:after="360"/>
      </w:pPr>
      <w:bookmarkStart w:id="51" w:name="_Toc528306530"/>
      <w:r>
        <w:t>1. eranskina. Esparru juridikoa</w:t>
      </w:r>
      <w:bookmarkEnd w:id="51"/>
    </w:p>
    <w:p w:rsidR="00AC7E44" w:rsidRPr="00017008" w:rsidRDefault="00AC7E44" w:rsidP="00AC7E44">
      <w:pPr>
        <w:pStyle w:val="atitulo3"/>
        <w:spacing w:before="240"/>
        <w:rPr>
          <w:sz w:val="24"/>
          <w:szCs w:val="24"/>
        </w:rPr>
      </w:pPr>
      <w:r>
        <w:rPr>
          <w:sz w:val="24"/>
          <w:szCs w:val="24"/>
        </w:rPr>
        <w:t>Estatuko araudia</w:t>
      </w:r>
    </w:p>
    <w:p w:rsidR="00AC7E44" w:rsidRPr="005171FB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 xml:space="preserve">Uztailaren 2ko 1/2010 Legegintzako Errege Dekretua, zeinaren bitartez onesten baita Kapitaleko Sozietateei buruzko Legearen testu </w:t>
      </w:r>
      <w:proofErr w:type="spellStart"/>
      <w:r>
        <w:t>bategina</w:t>
      </w:r>
      <w:proofErr w:type="spellEnd"/>
      <w:r>
        <w:t>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Apirilaren 27ko 2/2012 Lege Organikoa, aurrekontu-egonkortasunari eta finantza-iraunkortasunari buruzkoa.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HAP/2015/2012 Agindua, urriaren 1ekoa, 2/2012 Lege Organikoan info</w:t>
      </w:r>
      <w:r>
        <w:t>r</w:t>
      </w:r>
      <w:r>
        <w:t>mazioa emateko aurreikusitako betebeharrak garatzekoa.</w:t>
      </w:r>
    </w:p>
    <w:p w:rsidR="00AC7E44" w:rsidRPr="00017008" w:rsidRDefault="00AC7E44" w:rsidP="00AC7E44">
      <w:pPr>
        <w:pStyle w:val="atitulo3"/>
        <w:spacing w:before="240"/>
        <w:rPr>
          <w:sz w:val="24"/>
          <w:szCs w:val="24"/>
        </w:rPr>
      </w:pPr>
      <w:r>
        <w:rPr>
          <w:sz w:val="24"/>
          <w:szCs w:val="24"/>
        </w:rPr>
        <w:t>Autonomia erkidegoko araudia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14/2004 Foru Legea, abenduaren 3koa, Nafarroako Gobernuari eta Lehe</w:t>
      </w:r>
      <w:r>
        <w:t>n</w:t>
      </w:r>
      <w:r>
        <w:t>dakariari buruzkoa.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15/2004 Foru Legea, abenduaren 3koa, Nafarroako Foru Komunitateko Administrazioari buruzkoa.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13/2007 Foru Legea, apirilaren 4koa, Nafarroako Ogasun Publikoari b</w:t>
      </w:r>
      <w:r>
        <w:t>u</w:t>
      </w:r>
      <w:r>
        <w:t>ruzkoa.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14/2007 Foru Legea, apirilaren 4koa, Nafarroako Ondareari buruzkoa.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8/2009 Foru Legea, ekainaren 18koa, Enpresa Korporazio Publikoa SMP sortzeari buruzkoa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Enpresen sektore publikoa antolatzeko eta berregituratzeko I. Plana, Naf</w:t>
      </w:r>
      <w:r>
        <w:t>a</w:t>
      </w:r>
      <w:r>
        <w:t>rroako Gobernuak 2010eko abenduaren 20an onetsia.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15/2011 Foru Legea, urriaren 21ekoa, uztailaren 5eko 18/2001 Foru L</w:t>
      </w:r>
      <w:r>
        <w:t>e</w:t>
      </w:r>
      <w:r>
        <w:t xml:space="preserve">gea, Nafarroako ikus-entzunezkoen jarduera arautu eta Nafarroako </w:t>
      </w:r>
      <w:proofErr w:type="spellStart"/>
      <w:r>
        <w:t>Ikus-Entzunezkoen</w:t>
      </w:r>
      <w:proofErr w:type="spellEnd"/>
      <w:r>
        <w:t xml:space="preserve"> Kontseilua sortzen duena, indargabetzen duena.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 xml:space="preserve">142/2011 Foru Dekretua, abuztuaren 24koa, Nafarroako Mahastizaintza eta </w:t>
      </w:r>
      <w:proofErr w:type="spellStart"/>
      <w:r>
        <w:t>Enologia</w:t>
      </w:r>
      <w:proofErr w:type="spellEnd"/>
      <w:r>
        <w:t xml:space="preserve"> Zentroa erakunde autonomoa iraungitzen duena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35/2012 Foru Dekretua, uztailaren 2koa, Gizarte Politiketako Departame</w:t>
      </w:r>
      <w:r>
        <w:t>n</w:t>
      </w:r>
      <w:r>
        <w:t>tuaren oinarrizko egitura organikoa ezartzen duena, eta 73/2012 Foru Dekr</w:t>
      </w:r>
      <w:r>
        <w:t>e</w:t>
      </w:r>
      <w:r>
        <w:t>tua, uztailaren 25ekoa, Gizarte Politiketako Departamentuaren oinarrizko eg</w:t>
      </w:r>
      <w:r>
        <w:t>i</w:t>
      </w:r>
      <w:r>
        <w:t xml:space="preserve">tura organikoa ezartzen duena. 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36/2012 Foru Dekretua, uztailaren 2koa, Nafarroako Kirolaren eta Gazt</w:t>
      </w:r>
      <w:r>
        <w:t>e</w:t>
      </w:r>
      <w:r>
        <w:t>riaren Institutuaren Estatutuak onesten dituena.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lastRenderedPageBreak/>
        <w:t>68/2012 Foru Dekretua, uztailaren 25ekoa, Nafarroako Administrazio P</w:t>
      </w:r>
      <w:r>
        <w:t>u</w:t>
      </w:r>
      <w:r>
        <w:t>blikoaren Institutua erakunde autonomoa iraungitzen duena.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Nafarroako Gobernuaren 2013ko maiatzaren 8ko Ekintza Plana, zeinaren bidez Administrazioa erreformatzeko hainbat neurri erabaki ziren, egitura g</w:t>
      </w:r>
      <w:r>
        <w:t>u</w:t>
      </w:r>
      <w:r>
        <w:t>txitzeko eta efizientzia handitzeko.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Enpresen sektore publikoa berrantolatzeko II. Plana, Nafarroako Enpresa Korporazio Publikoaren Administrazio Kontseiluak 2013ko maiatzaren 13an onetsia.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Nafarroako Gobernuaren Erabakia, 2014ko martxoaren 20koa, zeinaren bidez Nafarroako Foru Komunitateko Administrazioaren fundazio jakin b</w:t>
      </w:r>
      <w:r>
        <w:t>a</w:t>
      </w:r>
      <w:r>
        <w:t>tzuen estatutuak azkentzeko edo aldatzeko prozeduren hasiera agindu baitzen.</w:t>
      </w:r>
    </w:p>
    <w:p w:rsidR="00AC7E44" w:rsidRPr="00F95D0A" w:rsidRDefault="00AC7E44" w:rsidP="00A639C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169"/>
          <w:tab w:val="left" w:pos="480"/>
          <w:tab w:val="num" w:pos="720"/>
        </w:tabs>
        <w:ind w:left="0" w:firstLine="289"/>
        <w:rPr>
          <w:rFonts w:cs="Arial"/>
        </w:rPr>
      </w:pPr>
      <w:r>
        <w:t>197/2015 Foru Dekretua, irailaren 9koa, Nafarroako Larrialdietako Age</w:t>
      </w:r>
      <w:r>
        <w:t>n</w:t>
      </w:r>
      <w:r>
        <w:t>tzia erakunde autonomoa iraungitzen duena.</w:t>
      </w:r>
    </w:p>
    <w:p w:rsidR="00871B5D" w:rsidRDefault="00871B5D">
      <w:pPr>
        <w:spacing w:after="0"/>
        <w:ind w:firstLine="0"/>
        <w:jc w:val="left"/>
        <w:rPr>
          <w:rFonts w:ascii="Arial" w:hAnsi="Arial"/>
          <w:color w:val="000000"/>
          <w:kern w:val="28"/>
          <w:sz w:val="25"/>
          <w:szCs w:val="26"/>
        </w:rPr>
      </w:pPr>
      <w:r>
        <w:br w:type="page"/>
      </w:r>
    </w:p>
    <w:p w:rsidR="00871B5D" w:rsidRDefault="00871B5D" w:rsidP="00871B5D">
      <w:pPr>
        <w:pStyle w:val="atitulo2"/>
        <w:spacing w:before="240" w:after="280"/>
      </w:pPr>
      <w:bookmarkStart w:id="52" w:name="_Toc528306531"/>
      <w:r>
        <w:lastRenderedPageBreak/>
        <w:t xml:space="preserve">2. eranskina. </w:t>
      </w:r>
      <w:proofErr w:type="spellStart"/>
      <w:r>
        <w:t>Ente</w:t>
      </w:r>
      <w:proofErr w:type="spellEnd"/>
      <w:r>
        <w:t xml:space="preserve"> eta erakunde publikoen zerrenda eta haien bilakaera</w:t>
      </w:r>
      <w:bookmarkEnd w:id="52"/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404"/>
        <w:gridCol w:w="567"/>
        <w:gridCol w:w="496"/>
        <w:gridCol w:w="496"/>
        <w:gridCol w:w="567"/>
        <w:gridCol w:w="638"/>
        <w:gridCol w:w="496"/>
      </w:tblGrid>
      <w:tr w:rsidR="00B63E7F" w:rsidRPr="00B63E7F" w:rsidTr="000B496F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:rsidR="00B63E7F" w:rsidRPr="00B63E7F" w:rsidRDefault="00B63E7F" w:rsidP="00A3414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Ente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publikoak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</w:t>
            </w:r>
          </w:p>
        </w:tc>
      </w:tr>
      <w:tr w:rsidR="00B63E7F" w:rsidRPr="00B63E7F" w:rsidTr="000B496F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Kontseilua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B63E7F" w:rsidRPr="00B63E7F" w:rsidTr="000B496F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Ikus-entzunezkoen Kontseilua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3E7F" w:rsidRPr="00B63E7F" w:rsidTr="000B496F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Guztira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B63E7F" w:rsidRPr="00B63E7F" w:rsidRDefault="00B63E7F" w:rsidP="00B63E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</w:tr>
    </w:tbl>
    <w:p w:rsidR="00B63E7F" w:rsidRDefault="00B63E7F" w:rsidP="00871B5D">
      <w:pPr>
        <w:pStyle w:val="atitulo2"/>
        <w:spacing w:before="240" w:after="280"/>
      </w:pPr>
    </w:p>
    <w:tbl>
      <w:tblPr>
        <w:tblW w:w="873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709"/>
        <w:gridCol w:w="496"/>
        <w:gridCol w:w="567"/>
        <w:gridCol w:w="496"/>
        <w:gridCol w:w="567"/>
        <w:gridCol w:w="551"/>
        <w:gridCol w:w="538"/>
      </w:tblGrid>
      <w:tr w:rsidR="00871B5D" w:rsidRPr="00274CEA" w:rsidTr="00871B5D">
        <w:trPr>
          <w:trHeight w:val="315"/>
          <w:jc w:val="center"/>
        </w:trPr>
        <w:tc>
          <w:tcPr>
            <w:tcW w:w="4813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Erakunde autonomoak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</w:t>
            </w: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Larrialdietako Agentzia (NLA)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3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Nafarroako Mahastizaintza eta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Enologia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Zentroa (EVENA)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Zerga Ogasuna (NZO)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Administrazio Publikoaren Institutua (NAPI)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Mendekotasun Agentzia (2015etik, Nafarroako Pertsonen Auton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miarako eta Garapenerako Agentzia)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Kirolaren eta Jarduera Fisikoaren Institutua (NKI)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Gazteriaren Institutua (NGI)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Nafarroako Kirol eta Gazteriaren Institutua (NKGI)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0D1758" w:rsidP="00915B7E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Nafarroako Familiarako eta Berdintasunerako Institutua (2015etik, Nafarroako Berdintasunerako Institutua, NBI) 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0D1758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Euskarabidea-Euskararen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Nafar Institutua (E-ENI)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Nafarroako Osasun Publikoaren eta Lan Osasunaren Institutua (NOPLOI) 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Lansare-Nafarroako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Enplegu Zerbitzua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871B5D" w:rsidRPr="00E742F9" w:rsidTr="00871B5D">
        <w:trPr>
          <w:trHeight w:val="238"/>
          <w:jc w:val="center"/>
        </w:trPr>
        <w:tc>
          <w:tcPr>
            <w:tcW w:w="481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0D1758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Osasunbidea-Nafarroako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Osasun Zerbitzua (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O-NOZ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B5D" w:rsidRPr="00E742F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871B5D" w:rsidRPr="00274CEA" w:rsidTr="00871B5D">
        <w:trPr>
          <w:trHeight w:val="300"/>
          <w:jc w:val="center"/>
        </w:trPr>
        <w:tc>
          <w:tcPr>
            <w:tcW w:w="4813" w:type="dxa"/>
            <w:shd w:val="clear" w:color="auto" w:fill="8DB3E2" w:themeFill="text2" w:themeFillTint="66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6" w:type="dxa"/>
            <w:shd w:val="clear" w:color="auto" w:fill="8DB3E2" w:themeFill="text2" w:themeFillTint="66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96" w:type="dxa"/>
            <w:shd w:val="clear" w:color="auto" w:fill="8DB3E2" w:themeFill="text2" w:themeFillTint="66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shd w:val="clear" w:color="auto" w:fill="8DB3E2" w:themeFill="text2" w:themeFillTint="66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8" w:type="dxa"/>
            <w:shd w:val="clear" w:color="auto" w:fill="8DB3E2" w:themeFill="text2" w:themeFillTint="66"/>
            <w:noWrap/>
            <w:vAlign w:val="center"/>
            <w:hideMark/>
          </w:tcPr>
          <w:p w:rsidR="00871B5D" w:rsidRPr="00274CEA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8</w:t>
            </w:r>
          </w:p>
        </w:tc>
      </w:tr>
    </w:tbl>
    <w:p w:rsidR="00871B5D" w:rsidRPr="003D1559" w:rsidRDefault="00871B5D" w:rsidP="003D1559">
      <w:pPr>
        <w:pStyle w:val="texto"/>
        <w:rPr>
          <w:lang w:val="es-ES"/>
        </w:rPr>
      </w:pPr>
    </w:p>
    <w:p w:rsidR="00871B5D" w:rsidRDefault="00871B5D">
      <w:pPr>
        <w:spacing w:after="0"/>
        <w:ind w:firstLine="0"/>
        <w:jc w:val="left"/>
        <w:rPr>
          <w:rFonts w:ascii="Arial" w:hAnsi="Arial"/>
          <w:color w:val="000000"/>
          <w:kern w:val="28"/>
          <w:sz w:val="25"/>
          <w:szCs w:val="26"/>
        </w:rPr>
      </w:pPr>
      <w:r>
        <w:br w:type="page"/>
      </w:r>
    </w:p>
    <w:p w:rsidR="00882EE6" w:rsidRDefault="004F527D" w:rsidP="004026C7">
      <w:pPr>
        <w:pStyle w:val="atitulo2"/>
        <w:spacing w:before="240"/>
      </w:pPr>
      <w:bookmarkStart w:id="53" w:name="_Toc528306532"/>
      <w:r>
        <w:lastRenderedPageBreak/>
        <w:t>3. eranskina. Sozietate xurgatuen eta xurgatzaileen zerrenda</w:t>
      </w:r>
      <w:bookmarkEnd w:id="53"/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871B5D" w:rsidRPr="00627E79" w:rsidTr="00F5359C">
        <w:trPr>
          <w:trHeight w:hRule="exact" w:val="340"/>
        </w:trPr>
        <w:tc>
          <w:tcPr>
            <w:tcW w:w="9796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71B5D" w:rsidRPr="00F46F6C" w:rsidRDefault="00F5359C" w:rsidP="00F5359C">
            <w:pPr>
              <w:pStyle w:val="Prrafodelista"/>
              <w:spacing w:after="0"/>
              <w:ind w:left="108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                             A. Lehenengo berrantolatze-prozesuan sortutako fusioak</w:t>
            </w:r>
          </w:p>
        </w:tc>
      </w:tr>
    </w:tbl>
    <w:p w:rsidR="00871B5D" w:rsidRPr="003D1559" w:rsidRDefault="00871B5D" w:rsidP="003D1559">
      <w:pPr>
        <w:pStyle w:val="texto"/>
        <w:spacing w:after="0"/>
        <w:rPr>
          <w:sz w:val="10"/>
          <w:szCs w:val="10"/>
          <w:lang w:val="es-ES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200"/>
        <w:gridCol w:w="1980"/>
        <w:gridCol w:w="3236"/>
      </w:tblGrid>
      <w:tr w:rsidR="00FC53A5" w:rsidRPr="00627E79" w:rsidTr="003D1559">
        <w:trPr>
          <w:trHeight w:hRule="exact" w:val="284"/>
        </w:trPr>
        <w:tc>
          <w:tcPr>
            <w:tcW w:w="9796" w:type="dxa"/>
            <w:gridSpan w:val="4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FC53A5" w:rsidRPr="00FC53A5" w:rsidRDefault="00FC53A5" w:rsidP="006B033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Arial" w:hAnsi="Arial"/>
                <w:bCs/>
                <w:color w:val="333333"/>
                <w:sz w:val="16"/>
                <w:szCs w:val="16"/>
              </w:rPr>
              <w:t>NEKPk</w:t>
            </w:r>
            <w:proofErr w:type="spellEnd"/>
            <w:r>
              <w:rPr>
                <w:rFonts w:ascii="Arial" w:hAnsi="Arial"/>
                <w:bCs/>
                <w:color w:val="333333"/>
                <w:sz w:val="16"/>
                <w:szCs w:val="16"/>
              </w:rPr>
              <w:t xml:space="preserve"> partaidetza zuzena eta gehiengoa duen sozietate publikoak, berregituratu ondoren</w:t>
            </w:r>
          </w:p>
        </w:tc>
      </w:tr>
      <w:tr w:rsidR="00FC53A5" w:rsidRPr="00FC53A5" w:rsidTr="00FB1680">
        <w:trPr>
          <w:trHeight w:hRule="exact" w:val="284"/>
        </w:trPr>
        <w:tc>
          <w:tcPr>
            <w:tcW w:w="238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FC53A5" w:rsidRPr="00FC53A5" w:rsidRDefault="00FC53A5" w:rsidP="006B0335">
            <w:pPr>
              <w:spacing w:after="0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Ondoriozko enpresa publikoa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FC53A5" w:rsidRPr="00FC53A5" w:rsidRDefault="00FC53A5" w:rsidP="006B0335">
            <w:pPr>
              <w:spacing w:after="0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Sozietate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xurgatzailea/berria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FC53A5" w:rsidRPr="00FC53A5" w:rsidRDefault="00FC53A5" w:rsidP="006B0335">
            <w:pPr>
              <w:spacing w:after="0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Xurgatutako sozietateak</w:t>
            </w:r>
          </w:p>
        </w:tc>
        <w:tc>
          <w:tcPr>
            <w:tcW w:w="3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FC53A5" w:rsidRPr="00FC53A5" w:rsidRDefault="00FC53A5" w:rsidP="00FC53A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Jarduera ekonomikoa</w:t>
            </w:r>
          </w:p>
        </w:tc>
      </w:tr>
      <w:tr w:rsidR="00FB1680" w:rsidRPr="00627E79" w:rsidTr="00FB1680">
        <w:trPr>
          <w:trHeight w:hRule="exact" w:val="369"/>
        </w:trPr>
        <w:tc>
          <w:tcPr>
            <w:tcW w:w="2380" w:type="dxa"/>
            <w:vMerge w:val="restart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1680" w:rsidRPr="00627E79" w:rsidRDefault="00FB1680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1.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Suelo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Vivienda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(NASUVINSA)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1680" w:rsidRPr="00627E79" w:rsidRDefault="00FB1680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Viviendas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(VINSA)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1680" w:rsidRPr="00627E79" w:rsidRDefault="00FB1680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Suelo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Residencial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(NASURSA)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B1680" w:rsidRPr="00627E79" w:rsidRDefault="00FB1680" w:rsidP="00FB1680">
            <w:pPr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Lurzorua eta etxebizitza</w:t>
            </w:r>
          </w:p>
        </w:tc>
      </w:tr>
      <w:tr w:rsidR="00FB1680" w:rsidRPr="00627E79" w:rsidTr="00FB1680">
        <w:trPr>
          <w:trHeight w:hRule="exact" w:val="369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B1680" w:rsidRPr="00627E79" w:rsidRDefault="00FB1680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B1680" w:rsidRPr="00627E79" w:rsidRDefault="00FB1680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1680" w:rsidRPr="00627E79" w:rsidRDefault="00FB1680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Suelo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Industrial SA (NASUINSA)</w:t>
            </w:r>
          </w:p>
        </w:tc>
        <w:tc>
          <w:tcPr>
            <w:tcW w:w="3236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1680" w:rsidRPr="00627E79" w:rsidRDefault="00FB1680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882EE6" w:rsidRPr="00627E79" w:rsidTr="003D1559">
        <w:trPr>
          <w:trHeight w:hRule="exact" w:val="369"/>
        </w:trPr>
        <w:tc>
          <w:tcPr>
            <w:tcW w:w="2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2. Agentzia. Navarra del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Transporte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Logística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(ANL)</w:t>
            </w:r>
          </w:p>
        </w:tc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Ciudad del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Transporte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Pamplona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(CTPSA)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Agencia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Transporte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Logística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(ANL)</w:t>
            </w: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Garraioa eta logistika</w:t>
            </w:r>
          </w:p>
        </w:tc>
      </w:tr>
      <w:tr w:rsidR="00882EE6" w:rsidRPr="00627E79" w:rsidTr="003D1559">
        <w:trPr>
          <w:trHeight w:hRule="exact" w:val="369"/>
        </w:trPr>
        <w:tc>
          <w:tcPr>
            <w:tcW w:w="2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3. Ciudad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Agroalimentaria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Tudela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 (CAT)</w:t>
            </w:r>
          </w:p>
        </w:tc>
        <w:tc>
          <w:tcPr>
            <w:tcW w:w="41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Aldaketarik ez egungo egoeraren gainean</w:t>
            </w: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Nekazaritza-elikagaiak</w:t>
            </w:r>
          </w:p>
        </w:tc>
      </w:tr>
      <w:tr w:rsidR="00B54BD7" w:rsidRPr="00627E79" w:rsidTr="00CD437C">
        <w:trPr>
          <w:trHeight w:hRule="exact" w:val="369"/>
        </w:trPr>
        <w:tc>
          <w:tcPr>
            <w:tcW w:w="23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4.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Instituto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Navarro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Tecnologías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Infraestructuras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Agroalimentarias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(INTIA)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Riegos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Canal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(RICAN) 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Instituto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Calidad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Agroaliment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(ICAN)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Nekazaritza-elikagaiak</w:t>
            </w:r>
          </w:p>
          <w:p w:rsidR="00B54BD7" w:rsidRPr="00627E79" w:rsidRDefault="00B54BD7" w:rsidP="006B0335">
            <w:pPr>
              <w:spacing w:after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B54BD7" w:rsidRPr="00627E79" w:rsidTr="00CD437C">
        <w:trPr>
          <w:trHeight w:hRule="exact" w:val="369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Instituto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Técnico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Agrícola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(ITGA) </w:t>
            </w:r>
          </w:p>
        </w:tc>
        <w:tc>
          <w:tcPr>
            <w:tcW w:w="3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B54BD7" w:rsidRPr="00627E79" w:rsidTr="00CD437C">
        <w:trPr>
          <w:trHeight w:hRule="exact" w:val="369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Instituto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Técnico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Ganadero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(ITGG)</w:t>
            </w:r>
          </w:p>
        </w:tc>
        <w:tc>
          <w:tcPr>
            <w:tcW w:w="3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B54BD7" w:rsidRPr="00627E79" w:rsidTr="00496997">
        <w:trPr>
          <w:trHeight w:hRule="exact" w:val="284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Riegos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</w:t>
            </w:r>
          </w:p>
        </w:tc>
        <w:tc>
          <w:tcPr>
            <w:tcW w:w="3236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B54BD7" w:rsidRPr="00627E79" w:rsidTr="00CD437C">
        <w:trPr>
          <w:trHeight w:hRule="exact" w:val="369"/>
        </w:trPr>
        <w:tc>
          <w:tcPr>
            <w:tcW w:w="23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5.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Ambiental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(GAN)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Ambiental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Viveros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Repoblaciones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(VIVEROS)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de Medio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Ambiente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Industrial SA (NAMAINSA)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09569B">
            <w:pPr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Ingurumena </w:t>
            </w:r>
          </w:p>
        </w:tc>
      </w:tr>
      <w:tr w:rsidR="00B54BD7" w:rsidRPr="00627E79" w:rsidTr="008C1228">
        <w:trPr>
          <w:trHeight w:hRule="exact" w:val="284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Echauri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Forestal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</w:t>
            </w:r>
          </w:p>
        </w:tc>
        <w:tc>
          <w:tcPr>
            <w:tcW w:w="3236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B54BD7" w:rsidRPr="00627E79" w:rsidRDefault="00B54BD7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882EE6" w:rsidRPr="00627E79" w:rsidTr="003D1559">
        <w:trPr>
          <w:trHeight w:hRule="exact" w:val="369"/>
        </w:trPr>
        <w:tc>
          <w:tcPr>
            <w:tcW w:w="2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6.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Infraestructuras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Locales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(NILSA)</w:t>
            </w:r>
          </w:p>
        </w:tc>
        <w:tc>
          <w:tcPr>
            <w:tcW w:w="41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Aldaketarik ez egungo egoeraren gainean</w:t>
            </w: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Tokiko azpiegiturak</w:t>
            </w:r>
          </w:p>
        </w:tc>
      </w:tr>
      <w:tr w:rsidR="00882EE6" w:rsidRPr="00627E79" w:rsidTr="0043085D">
        <w:trPr>
          <w:trHeight w:hRule="exact" w:val="609"/>
        </w:trPr>
        <w:tc>
          <w:tcPr>
            <w:tcW w:w="2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7.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Espacios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Culturales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(ENECSA)</w:t>
            </w:r>
          </w:p>
        </w:tc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Baluarte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Palacio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Congresos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Auditorio de Navarra SA (B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LUARTE)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Planetario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Pamplona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Kultur espazioak</w:t>
            </w:r>
          </w:p>
        </w:tc>
      </w:tr>
      <w:tr w:rsidR="00882EE6" w:rsidRPr="00627E79" w:rsidTr="003D1559">
        <w:trPr>
          <w:trHeight w:hRule="exact" w:val="369"/>
        </w:trPr>
        <w:tc>
          <w:tcPr>
            <w:tcW w:w="23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8. Navarra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Ocio SL (NDO)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Circuito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Arcos SL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Sociedad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Promoción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Inversiones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Infraestructuras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(SPRIN)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Aisiako eta kiroleko azpiegitura arloz arlokoak</w:t>
            </w:r>
          </w:p>
        </w:tc>
      </w:tr>
      <w:tr w:rsidR="00882EE6" w:rsidRPr="00627E79" w:rsidTr="008C1228">
        <w:trPr>
          <w:trHeight w:hRule="exact" w:val="284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Territorio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Roncalia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</w:t>
            </w:r>
          </w:p>
        </w:tc>
        <w:tc>
          <w:tcPr>
            <w:tcW w:w="32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882EE6" w:rsidRPr="00627E79" w:rsidTr="003D1559">
        <w:trPr>
          <w:trHeight w:hRule="exact" w:val="369"/>
        </w:trPr>
        <w:tc>
          <w:tcPr>
            <w:tcW w:w="2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9.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Centro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Navarro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Aprendizaje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Idiomas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(CNAI)</w:t>
            </w:r>
          </w:p>
        </w:tc>
        <w:tc>
          <w:tcPr>
            <w:tcW w:w="41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Aldaketarik ez egungo egoeraren gainean</w:t>
            </w: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82EE6" w:rsidRPr="00627E79" w:rsidRDefault="00882EE6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Hezkuntza eta talentua</w:t>
            </w:r>
          </w:p>
        </w:tc>
      </w:tr>
      <w:tr w:rsidR="005F2DBE" w:rsidRPr="00627E79" w:rsidTr="009558BF">
        <w:trPr>
          <w:trHeight w:hRule="exact" w:val="369"/>
        </w:trPr>
        <w:tc>
          <w:tcPr>
            <w:tcW w:w="23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5F2DBE" w:rsidRPr="00627E79" w:rsidRDefault="005F2DBE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10.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Servicios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Tecn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logías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(NASERTIC)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DBE" w:rsidRPr="00627E79" w:rsidRDefault="005F2DBE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Servicios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SERSA)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5F2DBE" w:rsidRPr="00627E79" w:rsidRDefault="005F2DBE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Producción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Informática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SL (PIN)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F2DBE" w:rsidRPr="00627E79" w:rsidRDefault="005F2DBE" w:rsidP="006B0335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Administrazio publikoentzako zerbitzuak eta teknologia</w:t>
            </w:r>
          </w:p>
        </w:tc>
      </w:tr>
      <w:tr w:rsidR="005F2DBE" w:rsidRPr="00627E79" w:rsidTr="009558BF">
        <w:trPr>
          <w:trHeight w:hRule="exact" w:val="369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5F2DBE" w:rsidRPr="00627E79" w:rsidRDefault="005F2DBE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2DBE" w:rsidRPr="00627E79" w:rsidRDefault="005F2DBE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5F2DBE" w:rsidRPr="00627E79" w:rsidRDefault="005F2DBE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Obras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Públicas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Telecomun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i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caciones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(O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P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NATEL)</w:t>
            </w:r>
          </w:p>
        </w:tc>
        <w:tc>
          <w:tcPr>
            <w:tcW w:w="3236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5F2DBE" w:rsidRPr="00627E79" w:rsidRDefault="005F2DBE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5F2DBE" w:rsidRPr="00627E79" w:rsidTr="009558BF">
        <w:trPr>
          <w:trHeight w:hRule="exact" w:val="369"/>
        </w:trPr>
        <w:tc>
          <w:tcPr>
            <w:tcW w:w="23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5F2DBE" w:rsidRPr="00627E79" w:rsidRDefault="005F2DBE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11.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Centro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Europeo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Innovación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 (CEIN)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F2DBE" w:rsidRPr="009558BF" w:rsidRDefault="005F2DBE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5F2DBE" w:rsidRPr="00627E79" w:rsidRDefault="005F2DBE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Centro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Europeo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Innovación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(CEIN)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F2DBE" w:rsidRPr="00627E79" w:rsidRDefault="005F2DBE" w:rsidP="006B0335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Berrikuntza eta ekintzaileak</w:t>
            </w:r>
          </w:p>
        </w:tc>
      </w:tr>
      <w:tr w:rsidR="009558BF" w:rsidRPr="00627E79" w:rsidTr="009558BF">
        <w:trPr>
          <w:trHeight w:hRule="exact" w:val="369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558BF" w:rsidRPr="009558BF" w:rsidRDefault="009558BF" w:rsidP="00B117B9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Centro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Europeo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Innovación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Agencia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Innovación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Tecnología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(ANAIN)</w:t>
            </w:r>
          </w:p>
        </w:tc>
        <w:tc>
          <w:tcPr>
            <w:tcW w:w="3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9558BF" w:rsidRPr="00627E79" w:rsidTr="009558BF">
        <w:trPr>
          <w:trHeight w:hRule="exact" w:val="369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8BF" w:rsidRPr="009558BF" w:rsidRDefault="009558BF" w:rsidP="009558BF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Verificaciones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Legales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(NAVELSA)</w:t>
            </w:r>
          </w:p>
        </w:tc>
        <w:tc>
          <w:tcPr>
            <w:tcW w:w="3236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9558BF" w:rsidRPr="00627E79" w:rsidTr="009558BF">
        <w:trPr>
          <w:trHeight w:val="510"/>
        </w:trPr>
        <w:tc>
          <w:tcPr>
            <w:tcW w:w="238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12.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Trabajos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Catastrales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(TR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CASA)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Trabajos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Catastrales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(TR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CASA)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8BF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Deudas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(G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DESA) </w:t>
            </w:r>
          </w:p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845F98" w:rsidP="006B0335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Katastroa, kartografia eta lurralde-informazioko sistemak</w:t>
            </w:r>
          </w:p>
        </w:tc>
      </w:tr>
      <w:tr w:rsidR="009558BF" w:rsidRPr="00627E79" w:rsidTr="009558BF">
        <w:trPr>
          <w:trHeight w:hRule="exact" w:val="369"/>
        </w:trPr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13.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Sociedad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Desarrollo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rra SL (SODENA)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Sociedad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Desarrollo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(SODENA)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Sustapen ekonomikoa eta finantzaketa</w:t>
            </w:r>
          </w:p>
          <w:p w:rsidR="009558BF" w:rsidRPr="00627E79" w:rsidRDefault="009558BF" w:rsidP="006B0335">
            <w:pPr>
              <w:spacing w:after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558BF" w:rsidRPr="00627E79" w:rsidTr="009558BF">
        <w:trPr>
          <w:trHeight w:hRule="exact" w:val="369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B117B9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Sociedad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Desarrollo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SL 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Finananciación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Control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(NAFINCO)</w:t>
            </w:r>
          </w:p>
        </w:tc>
        <w:tc>
          <w:tcPr>
            <w:tcW w:w="3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9558BF" w:rsidRPr="00627E79" w:rsidTr="009558BF">
        <w:trPr>
          <w:trHeight w:hRule="exact" w:val="369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Administración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(NGA)</w:t>
            </w:r>
          </w:p>
        </w:tc>
        <w:tc>
          <w:tcPr>
            <w:tcW w:w="3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9558BF" w:rsidRPr="00627E79" w:rsidTr="009558BF">
        <w:trPr>
          <w:trHeight w:hRule="exact" w:val="369"/>
        </w:trPr>
        <w:tc>
          <w:tcPr>
            <w:tcW w:w="2380" w:type="dxa"/>
            <w:vMerge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Fondo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Jóvenes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Empresarios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Navarros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3236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58BF" w:rsidRPr="00627E79" w:rsidRDefault="009558BF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:rsidR="00871B5D" w:rsidRPr="00D21B4A" w:rsidRDefault="00871B5D" w:rsidP="00D21B4A">
      <w:pPr>
        <w:spacing w:after="100"/>
        <w:ind w:firstLine="0"/>
        <w:jc w:val="left"/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871B5D" w:rsidRPr="00627E79" w:rsidTr="003D1559">
        <w:trPr>
          <w:trHeight w:hRule="exact" w:val="340"/>
        </w:trPr>
        <w:tc>
          <w:tcPr>
            <w:tcW w:w="9796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71B5D" w:rsidRPr="00F46F6C" w:rsidRDefault="00F5359C" w:rsidP="00F5359C">
            <w:pPr>
              <w:pStyle w:val="Prrafodelista"/>
              <w:spacing w:after="0"/>
              <w:ind w:left="108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                           B. Bigarren berrantolatze-prozesuan sortutako fusioak </w:t>
            </w:r>
          </w:p>
        </w:tc>
      </w:tr>
    </w:tbl>
    <w:p w:rsidR="00FF36C4" w:rsidRPr="00FF36C4" w:rsidRDefault="00FF36C4" w:rsidP="00FF36C4">
      <w:pPr>
        <w:tabs>
          <w:tab w:val="left" w:pos="2435"/>
          <w:tab w:val="left" w:pos="4635"/>
          <w:tab w:val="left" w:pos="6615"/>
        </w:tabs>
        <w:spacing w:after="0"/>
        <w:ind w:left="57" w:firstLine="0"/>
        <w:jc w:val="left"/>
        <w:rPr>
          <w:rFonts w:ascii="Arial" w:hAnsi="Arial" w:cs="Arial"/>
          <w:color w:val="000000"/>
          <w:sz w:val="10"/>
          <w:szCs w:val="10"/>
          <w:lang w:eastAsia="es-ES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200"/>
        <w:gridCol w:w="1980"/>
        <w:gridCol w:w="3236"/>
      </w:tblGrid>
      <w:tr w:rsidR="00871B5D" w:rsidRPr="00FC53A5" w:rsidTr="003D1559">
        <w:trPr>
          <w:trHeight w:hRule="exact" w:val="284"/>
        </w:trPr>
        <w:tc>
          <w:tcPr>
            <w:tcW w:w="238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71B5D" w:rsidRPr="00FC53A5" w:rsidRDefault="00871B5D" w:rsidP="00871B5D">
            <w:pPr>
              <w:spacing w:after="0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Ondoriozko enpresa publikoa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71B5D" w:rsidRPr="00FC53A5" w:rsidRDefault="00871B5D" w:rsidP="00871B5D">
            <w:pPr>
              <w:spacing w:after="0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Sozietate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xurgatzailea/berria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71B5D" w:rsidRPr="00FC53A5" w:rsidRDefault="00871B5D" w:rsidP="00871B5D">
            <w:pPr>
              <w:spacing w:after="0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Xurgatutako sozietateak</w:t>
            </w:r>
          </w:p>
        </w:tc>
        <w:tc>
          <w:tcPr>
            <w:tcW w:w="3236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71B5D" w:rsidRPr="00FC53A5" w:rsidRDefault="00871B5D" w:rsidP="00871B5D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Jarduera ekonomikoa</w:t>
            </w:r>
          </w:p>
        </w:tc>
      </w:tr>
      <w:tr w:rsidR="00871B5D" w:rsidRPr="00627E79" w:rsidTr="003D1559">
        <w:trPr>
          <w:trHeight w:hRule="exact" w:val="369"/>
        </w:trPr>
        <w:tc>
          <w:tcPr>
            <w:tcW w:w="2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71B5D" w:rsidRPr="00627E79" w:rsidRDefault="00871B5D" w:rsidP="00871B5D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Infraestructuras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Cultura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Ocio (NICDO)</w:t>
            </w:r>
          </w:p>
        </w:tc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71B5D" w:rsidRPr="00627E79" w:rsidRDefault="00871B5D" w:rsidP="00871B5D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Ocio (NDO)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71B5D" w:rsidRPr="00627E79" w:rsidRDefault="00F46F6C" w:rsidP="00871B5D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Espacios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Culturales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(ENECSA)</w:t>
            </w: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71B5D" w:rsidRPr="00627E79" w:rsidRDefault="00F46F6C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Kultur espazioak</w:t>
            </w:r>
          </w:p>
        </w:tc>
      </w:tr>
      <w:tr w:rsidR="00871B5D" w:rsidRPr="00627E79" w:rsidTr="003D1559">
        <w:trPr>
          <w:trHeight w:hRule="exact" w:val="369"/>
        </w:trPr>
        <w:tc>
          <w:tcPr>
            <w:tcW w:w="2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71B5D" w:rsidRPr="00627E79" w:rsidRDefault="00F46F6C" w:rsidP="00871B5D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Suelo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Vivienda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(NAS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U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VINSA)</w:t>
            </w:r>
          </w:p>
        </w:tc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71B5D" w:rsidRPr="00627E79" w:rsidRDefault="00F46F6C" w:rsidP="00871B5D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Suelo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Vivienda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SUVINSA)</w:t>
            </w: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71B5D" w:rsidRPr="00627E79" w:rsidRDefault="00871B5D" w:rsidP="00871B5D">
            <w:pPr>
              <w:spacing w:after="0"/>
              <w:ind w:firstLine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Agencia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Transporte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Logística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(ANL)</w:t>
            </w: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871B5D" w:rsidRPr="00627E79" w:rsidRDefault="00871B5D" w:rsidP="00871B5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Garraioa eta logistika</w:t>
            </w:r>
          </w:p>
        </w:tc>
      </w:tr>
    </w:tbl>
    <w:p w:rsidR="00CB61E6" w:rsidRPr="008E1462" w:rsidRDefault="00CB61E6">
      <w:pPr>
        <w:spacing w:after="0"/>
        <w:ind w:firstLine="0"/>
        <w:jc w:val="left"/>
        <w:rPr>
          <w:rFonts w:ascii="Arial" w:hAnsi="Arial"/>
          <w:bCs/>
          <w:iCs/>
          <w:spacing w:val="10"/>
          <w:kern w:val="28"/>
          <w:sz w:val="16"/>
          <w:szCs w:val="16"/>
        </w:rPr>
      </w:pPr>
      <w:r>
        <w:br w:type="page"/>
      </w:r>
    </w:p>
    <w:p w:rsidR="00EE74A5" w:rsidRPr="00B14A6C" w:rsidRDefault="004F527D" w:rsidP="008A62F7">
      <w:pPr>
        <w:pStyle w:val="atitulo2"/>
        <w:spacing w:before="240" w:after="320"/>
        <w:rPr>
          <w:color w:val="auto"/>
        </w:rPr>
      </w:pPr>
      <w:bookmarkStart w:id="54" w:name="_Toc528306533"/>
      <w:r>
        <w:rPr>
          <w:color w:val="auto"/>
        </w:rPr>
        <w:lastRenderedPageBreak/>
        <w:t>4. eranskina. Sozietate publikoen zerrenda eta haien bilakaera</w:t>
      </w:r>
      <w:bookmarkEnd w:id="54"/>
      <w:r>
        <w:rPr>
          <w:color w:val="auto"/>
        </w:rPr>
        <w:t xml:space="preserve">  </w:t>
      </w:r>
    </w:p>
    <w:tbl>
      <w:tblPr>
        <w:tblW w:w="88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5"/>
        <w:gridCol w:w="567"/>
        <w:gridCol w:w="567"/>
        <w:gridCol w:w="567"/>
        <w:gridCol w:w="567"/>
        <w:gridCol w:w="567"/>
        <w:gridCol w:w="567"/>
        <w:gridCol w:w="708"/>
      </w:tblGrid>
      <w:tr w:rsidR="00EE74A5" w:rsidRPr="002172DB" w:rsidTr="00C06A57">
        <w:trPr>
          <w:trHeight w:val="312"/>
          <w:jc w:val="center"/>
        </w:trPr>
        <w:tc>
          <w:tcPr>
            <w:tcW w:w="4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5266E0" w:rsidP="002172D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Agencia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Innovación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Tecnología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Agencia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del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Transporte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la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Logística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Agencia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del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Transporte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la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Logística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SAU (lehen, Ciudad del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Transporte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SA)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Centro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Europeo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Innovación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Centro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Europeo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Innovación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Centro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Navarro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Autoaprendizaje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Idiomas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Ciudad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Agroalimentaria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Tudela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SLU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Corporación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Pública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Empresarial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SLU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Echauri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Forestal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SLU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Empresa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Espacios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Culturales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(lehen,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Baluarte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, Palacio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Congresos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Auditoria de Navarra SA)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Fondo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Jóvenes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Empresarios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Navarros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SAU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Ambiental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Deudas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Instituto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Calidad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Agroalimentaria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Instituto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Técnico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Agrícola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Instituto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Técnico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Ganadero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FE506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Instituto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Navarro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Tecnologías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Infraestructuras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Agroalimentarias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SAU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Natural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Climate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Systems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Navarra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Financiación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Control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Navarra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Administración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 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Navarra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Infraestructuras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Locales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Navarra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Medio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Ambiente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Industrial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Navarra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Servicios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Tecnologías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Navarra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Suelo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Industrial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Navarra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Suelo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Residencial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Navarra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Suelo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Vivienda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SAU (lehen,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Viviendas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SA)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Navarra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Verificaciones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Legales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Navarra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Deporte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Ocio SL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Obras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Públicas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Telecomunicaciones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 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Planetario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Pamplona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Potasas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Subiza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SAU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Producción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Informática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SL 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Riegos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Salinas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Sociedad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Desarrollo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 Sociedad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Desarrollo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 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Sociedad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Promoción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Inversiones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Infraestructuras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Navarra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Start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Up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Capital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C64C02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64C02" w:rsidRPr="002172DB" w:rsidRDefault="00C64C02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Subgrupo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Burnizko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64C02" w:rsidRPr="002172DB" w:rsidRDefault="00C64C02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64C02" w:rsidRPr="002172DB" w:rsidRDefault="00C64C02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64C02" w:rsidRPr="002172DB" w:rsidRDefault="00C64C02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64C02" w:rsidRPr="002172DB" w:rsidRDefault="00C64C02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64C02" w:rsidRPr="002172DB" w:rsidRDefault="00C64C02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64C02" w:rsidRPr="002172DB" w:rsidRDefault="00C64C02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64C02" w:rsidRPr="002172DB" w:rsidRDefault="00C64C02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Territorio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Roncalia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Trabajos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Instrumental SL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EE74A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 Trabajos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Catastrales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651C65" w:rsidRPr="002172DB" w:rsidTr="00C06A57">
        <w:trPr>
          <w:trHeight w:val="238"/>
          <w:jc w:val="center"/>
        </w:trPr>
        <w:tc>
          <w:tcPr>
            <w:tcW w:w="470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1C65" w:rsidRPr="002172DB" w:rsidRDefault="00651C65" w:rsidP="00217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Tuckland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Footwear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1C65" w:rsidRPr="002172DB" w:rsidRDefault="00651C6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1C65" w:rsidRPr="002172DB" w:rsidRDefault="00651C6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1C65" w:rsidRPr="002172DB" w:rsidRDefault="00651C6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1C65" w:rsidRPr="002172DB" w:rsidRDefault="00651C6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1C65" w:rsidRPr="002172DB" w:rsidRDefault="00651C6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1C65" w:rsidRPr="002172DB" w:rsidRDefault="00651C6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1C65" w:rsidRPr="002172DB" w:rsidRDefault="00651C65" w:rsidP="002172D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E74A5" w:rsidRPr="002172DB" w:rsidTr="00C06A57">
        <w:trPr>
          <w:trHeight w:val="284"/>
          <w:jc w:val="center"/>
        </w:trPr>
        <w:tc>
          <w:tcPr>
            <w:tcW w:w="4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C20F4E" w:rsidP="002172DB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651C65" w:rsidP="002172DB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651C65" w:rsidP="00F46F6C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F46F6C" w:rsidP="002172DB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E74A5" w:rsidRPr="002172DB" w:rsidRDefault="00EE74A5" w:rsidP="002172DB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17</w:t>
            </w:r>
          </w:p>
        </w:tc>
      </w:tr>
    </w:tbl>
    <w:p w:rsidR="00CB61E6" w:rsidRDefault="00CB61E6">
      <w:pPr>
        <w:spacing w:after="0"/>
        <w:ind w:firstLine="0"/>
        <w:jc w:val="left"/>
        <w:rPr>
          <w:rFonts w:ascii="Arial" w:hAnsi="Arial"/>
          <w:bCs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A60BE1" w:rsidRPr="004026C7" w:rsidRDefault="004F527D" w:rsidP="008F25B9">
      <w:pPr>
        <w:pStyle w:val="atitulo2"/>
        <w:spacing w:before="240" w:after="320"/>
      </w:pPr>
      <w:bookmarkStart w:id="55" w:name="_Toc528306534"/>
      <w:r>
        <w:lastRenderedPageBreak/>
        <w:t>5. eranskina. Fundazio publikoen zerrenda eta haien bilakaera</w:t>
      </w:r>
      <w:bookmarkEnd w:id="55"/>
      <w:r>
        <w:t xml:space="preserve"> </w:t>
      </w:r>
    </w:p>
    <w:tbl>
      <w:tblPr>
        <w:tblW w:w="8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6"/>
        <w:gridCol w:w="541"/>
        <w:gridCol w:w="496"/>
        <w:gridCol w:w="496"/>
        <w:gridCol w:w="496"/>
        <w:gridCol w:w="496"/>
        <w:gridCol w:w="496"/>
        <w:gridCol w:w="496"/>
      </w:tblGrid>
      <w:tr w:rsidR="00A60BE1" w:rsidRPr="00D33060" w:rsidTr="009E6F9B">
        <w:trPr>
          <w:trHeight w:val="315"/>
          <w:jc w:val="center"/>
        </w:trPr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Fundazio publikoak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2010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</w:t>
            </w:r>
          </w:p>
        </w:tc>
      </w:tr>
      <w:tr w:rsidR="00A60BE1" w:rsidRPr="00D33060" w:rsidTr="009E6F9B">
        <w:trPr>
          <w:trHeight w:val="255"/>
          <w:jc w:val="center"/>
        </w:trPr>
        <w:tc>
          <w:tcPr>
            <w:tcW w:w="533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Baluarte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Fundazioa 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A60BE1" w:rsidRPr="00D33060" w:rsidTr="009E6F9B">
        <w:trPr>
          <w:trHeight w:val="255"/>
          <w:jc w:val="center"/>
        </w:trPr>
        <w:tc>
          <w:tcPr>
            <w:tcW w:w="53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Fundación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Formación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Energías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Renovables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60BE1" w:rsidRPr="00D33060" w:rsidTr="009E6F9B">
        <w:trPr>
          <w:trHeight w:val="255"/>
          <w:jc w:val="center"/>
        </w:trPr>
        <w:tc>
          <w:tcPr>
            <w:tcW w:w="53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Fundación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Miguel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Servet </w:t>
            </w:r>
            <w:proofErr w:type="spellEnd"/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A60BE1" w:rsidRPr="00D33060" w:rsidTr="009E6F9B">
        <w:trPr>
          <w:trHeight w:val="255"/>
          <w:jc w:val="center"/>
        </w:trPr>
        <w:tc>
          <w:tcPr>
            <w:tcW w:w="53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Fundación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Navarra para la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Excelencia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60BE1" w:rsidRPr="00D33060" w:rsidTr="009E6F9B">
        <w:trPr>
          <w:trHeight w:val="255"/>
          <w:jc w:val="center"/>
        </w:trPr>
        <w:tc>
          <w:tcPr>
            <w:tcW w:w="53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Nafarroako Ondare Historikoa Zaintzeko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Fundazioa. </w:t>
            </w:r>
            <w:proofErr w:type="spellEnd"/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A60BE1" w:rsidRPr="00D33060" w:rsidTr="009E6F9B">
        <w:trPr>
          <w:trHeight w:val="255"/>
          <w:jc w:val="center"/>
        </w:trPr>
        <w:tc>
          <w:tcPr>
            <w:tcW w:w="53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Fundación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Tutela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Personas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Adultas </w:t>
            </w:r>
            <w:proofErr w:type="spellEnd"/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</w:tr>
      <w:tr w:rsidR="00A60BE1" w:rsidRPr="00D33060" w:rsidTr="009E6F9B">
        <w:trPr>
          <w:trHeight w:val="255"/>
          <w:jc w:val="center"/>
        </w:trPr>
        <w:tc>
          <w:tcPr>
            <w:tcW w:w="53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Fundación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Instituto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Navarro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Artes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Audiovisuales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Cinematografía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60BE1" w:rsidRPr="00D33060" w:rsidTr="009E6F9B">
        <w:trPr>
          <w:trHeight w:val="315"/>
          <w:jc w:val="center"/>
        </w:trPr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D33060" w:rsidP="006B0335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60BE1" w:rsidRPr="00D33060" w:rsidRDefault="00A60BE1" w:rsidP="006B0335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</w:t>
            </w:r>
          </w:p>
        </w:tc>
      </w:tr>
    </w:tbl>
    <w:p w:rsidR="00A60BE1" w:rsidRDefault="00A60BE1" w:rsidP="00A60BE1">
      <w:pPr>
        <w:ind w:firstLine="0"/>
        <w:rPr>
          <w:sz w:val="26"/>
          <w:szCs w:val="26"/>
        </w:rPr>
      </w:pPr>
    </w:p>
    <w:p w:rsidR="00FE5063" w:rsidRDefault="00042563" w:rsidP="00A60BE1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FE5063" w:rsidSect="00612C33">
      <w:headerReference w:type="even" r:id="rId14"/>
      <w:footerReference w:type="default" r:id="rId15"/>
      <w:type w:val="oddPage"/>
      <w:pgSz w:w="11907" w:h="16840" w:code="9"/>
      <w:pgMar w:top="2109" w:right="1632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1A" w:rsidRDefault="00BF1A1A">
      <w:r>
        <w:separator/>
      </w:r>
    </w:p>
    <w:p w:rsidR="00BF1A1A" w:rsidRDefault="00BF1A1A"/>
    <w:p w:rsidR="00BF1A1A" w:rsidRDefault="00BF1A1A"/>
    <w:p w:rsidR="00BF1A1A" w:rsidRDefault="00BF1A1A"/>
  </w:endnote>
  <w:endnote w:type="continuationSeparator" w:id="0">
    <w:p w:rsidR="00BF1A1A" w:rsidRDefault="00BF1A1A">
      <w:r>
        <w:continuationSeparator/>
      </w:r>
    </w:p>
    <w:p w:rsidR="00BF1A1A" w:rsidRDefault="00BF1A1A"/>
    <w:p w:rsidR="00BF1A1A" w:rsidRDefault="00BF1A1A"/>
    <w:p w:rsidR="00BF1A1A" w:rsidRDefault="00BF1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1A" w:rsidRDefault="00BF1A1A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CA37B3">
      <w:rPr>
        <w:rStyle w:val="Nmerodepgina"/>
      </w:rPr>
      <w:fldChar w:fldCharType="separate"/>
    </w:r>
    <w:r w:rsidR="00CA37B3">
      <w:rPr>
        <w:rStyle w:val="Nmerodepgina"/>
        <w:noProof/>
      </w:rPr>
      <w:t>32</w:t>
    </w:r>
    <w:r>
      <w:rPr>
        <w:rStyle w:val="Nmerodepgina"/>
      </w:rPr>
      <w:fldChar w:fldCharType="end"/>
    </w:r>
  </w:p>
  <w:p w:rsidR="00BF1A1A" w:rsidRDefault="00BF1A1A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1A" w:rsidRPr="00F03814" w:rsidRDefault="00BF1A1A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70817D8C" wp14:editId="32BA47AA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A1A" w:rsidRPr="00F74E38" w:rsidRDefault="00BF1A1A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:rsidR="00BF1A1A" w:rsidRPr="00C13453" w:rsidRDefault="00BF1A1A" w:rsidP="00D2472C">
    <w:pPr>
      <w:pStyle w:val="BorradorProvisional"/>
      <w:ind w:left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1A" w:rsidRDefault="00BF1A1A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1A" w:rsidRPr="00F03814" w:rsidRDefault="00BF1A1A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7976A7D9" wp14:editId="581239D9">
          <wp:extent cx="219075" cy="371475"/>
          <wp:effectExtent l="0" t="0" r="9525" b="9525"/>
          <wp:docPr id="6" name="Imagen 6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CA37B3">
      <w:rPr>
        <w:rStyle w:val="Nmerodepgina"/>
        <w:noProof/>
        <w:szCs w:val="24"/>
      </w:rPr>
      <w:t>32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BF1A1A" w:rsidRPr="00C13453" w:rsidRDefault="00BF1A1A" w:rsidP="00D2472C">
    <w:pPr>
      <w:pStyle w:val="BorradorProvisional"/>
      <w:ind w:left="0"/>
      <w:jc w:val="center"/>
    </w:pPr>
  </w:p>
  <w:p w:rsidR="00BF1A1A" w:rsidRDefault="00BF1A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1A" w:rsidRDefault="00BF1A1A">
      <w:r>
        <w:separator/>
      </w:r>
    </w:p>
  </w:footnote>
  <w:footnote w:type="continuationSeparator" w:id="0">
    <w:p w:rsidR="00BF1A1A" w:rsidRDefault="00BF1A1A">
      <w:r>
        <w:continuationSeparator/>
      </w:r>
    </w:p>
    <w:p w:rsidR="00BF1A1A" w:rsidRDefault="00BF1A1A"/>
    <w:p w:rsidR="00BF1A1A" w:rsidRDefault="00BF1A1A"/>
    <w:p w:rsidR="00BF1A1A" w:rsidRDefault="00BF1A1A"/>
  </w:footnote>
  <w:footnote w:id="1">
    <w:p w:rsidR="00BF1A1A" w:rsidRDefault="00BF1A1A" w:rsidP="00AB4A69">
      <w:pPr>
        <w:pStyle w:val="Textonotapie"/>
      </w:pPr>
      <w:r>
        <w:rPr>
          <w:rStyle w:val="Refdenotaalpie"/>
        </w:rPr>
        <w:footnoteRef/>
      </w:r>
      <w:r>
        <w:t xml:space="preserve"> Sozietate publikoak dira Nafarroako Foru Komunitateko Administrazioak ehuneko 50eko zuzeneko zein zeharko partaidetza duenak, edo administrazio-, zuzendaritza- edo zaintza-organoetako kideen erdia baino gehiago zuzenean nahiz zeharka izendatzeko gaitasuna duenak; edo sozietateak jaulkitako partaidetzei dagozkien botoen gehiengoa dutenak. </w:t>
      </w:r>
    </w:p>
  </w:footnote>
  <w:footnote w:id="2">
    <w:p w:rsidR="00BF1A1A" w:rsidRDefault="00BF1A1A" w:rsidP="00AB4A69">
      <w:pPr>
        <w:pStyle w:val="Textonotapie"/>
      </w:pPr>
      <w:r>
        <w:rPr>
          <w:rStyle w:val="Refdenotaalpie"/>
        </w:rPr>
        <w:footnoteRef/>
      </w:r>
      <w:r>
        <w:t xml:space="preserve"> Fundazio publikoak dira Foru Komunitateko Administrazioak zuzenean sortu dituenak, sorrerako ondarean partaidetzaren gehiena jarriz, bai eta bere sorreran izaera pribatua bazuten ere, hasiera batean esk</w:t>
      </w:r>
      <w:r>
        <w:t>a</w:t>
      </w:r>
      <w:r>
        <w:t xml:space="preserve">tzen ziren baldintzak ez betetzeagatik, geroztik baldintza horiek berenganatu dituztenak, eta horrekin batera beren gobernu organoetan administrazioaren ordezkaritzak gehiengoa osatzeko baldintza betetzen dutenak. </w:t>
      </w:r>
    </w:p>
  </w:footnote>
  <w:footnote w:id="3">
    <w:p w:rsidR="00BF1A1A" w:rsidRDefault="00BF1A1A" w:rsidP="00AB4A69">
      <w:pPr>
        <w:pStyle w:val="Textonotapie"/>
      </w:pPr>
      <w:r>
        <w:rPr>
          <w:rStyle w:val="Refdenotaalpie"/>
        </w:rPr>
        <w:footnoteRef/>
      </w:r>
      <w:r>
        <w:t xml:space="preserve"> Bat datoz 2010-2016 aldiari dagokion batez besteko datuarekin</w:t>
      </w:r>
    </w:p>
  </w:footnote>
  <w:footnote w:id="4">
    <w:p w:rsidR="00BF1A1A" w:rsidRPr="002A6555" w:rsidRDefault="00BF1A1A" w:rsidP="00AB4A69">
      <w:pPr>
        <w:pStyle w:val="Textonotapie"/>
      </w:pPr>
      <w:r>
        <w:rPr>
          <w:rStyle w:val="Refdenotaalpie"/>
        </w:rPr>
        <w:footnoteRef/>
      </w:r>
      <w:r>
        <w:t xml:space="preserve"> Aurrekontu-egonkortasun eta Finantza-iraunkortasunari buruzko 2/2012 Lege Organikoan inform</w:t>
      </w:r>
      <w:r>
        <w:t>a</w:t>
      </w:r>
      <w:r>
        <w:t>zioa emateko aurreikusitako betebeharrak garatzen dituen agindua.</w:t>
      </w:r>
    </w:p>
  </w:footnote>
  <w:footnote w:id="5">
    <w:p w:rsidR="00BF1A1A" w:rsidRDefault="00BF1A1A" w:rsidP="00B63E7F">
      <w:pPr>
        <w:pStyle w:val="Textonotapie"/>
      </w:pPr>
      <w:r>
        <w:rPr>
          <w:rStyle w:val="Refdenotaalpie"/>
        </w:rPr>
        <w:footnoteRef/>
      </w:r>
      <w:r>
        <w:t xml:space="preserve"> Gaur egun, Lehendakaritzako, Funtzio Publikoko, Barneko eta Justiziako Departamentua</w:t>
      </w:r>
    </w:p>
  </w:footnote>
  <w:footnote w:id="6">
    <w:p w:rsidR="00BF1A1A" w:rsidRDefault="00BF1A1A" w:rsidP="00B63E7F">
      <w:pPr>
        <w:pStyle w:val="Textonotapie"/>
      </w:pPr>
      <w:r>
        <w:rPr>
          <w:rStyle w:val="Refdenotaalpie"/>
        </w:rPr>
        <w:footnoteRef/>
      </w:r>
      <w:r>
        <w:t xml:space="preserve"> Gaur egun, Landa Garapeneko, Ingurumeneko eta Toki Administrazioko Departamentua</w:t>
      </w:r>
    </w:p>
  </w:footnote>
  <w:footnote w:id="7">
    <w:p w:rsidR="00BF1A1A" w:rsidRDefault="00BF1A1A" w:rsidP="00B63E7F">
      <w:pPr>
        <w:pStyle w:val="Textonotapie"/>
      </w:pPr>
      <w:r>
        <w:rPr>
          <w:rStyle w:val="Refdenotaalpie"/>
        </w:rPr>
        <w:footnoteRef/>
      </w:r>
      <w:r>
        <w:t xml:space="preserve"> Gaur egun, Kultura, Kirol eta Gazteria Departamentua</w:t>
      </w:r>
    </w:p>
  </w:footnote>
  <w:footnote w:id="8">
    <w:p w:rsidR="00BF1A1A" w:rsidRDefault="00BF1A1A" w:rsidP="00626CCB">
      <w:pPr>
        <w:pStyle w:val="Textonotapie"/>
        <w:ind w:left="-98" w:firstLine="0"/>
      </w:pPr>
      <w:r>
        <w:t xml:space="preserve"> </w:t>
      </w:r>
      <w:r>
        <w:rPr>
          <w:sz w:val="18"/>
          <w:szCs w:val="18"/>
        </w:rPr>
        <w:t xml:space="preserve">           </w:t>
      </w:r>
      <w:r>
        <w:t xml:space="preserve"> </w:t>
      </w:r>
      <w:r>
        <w:rPr>
          <w:rStyle w:val="Refdenotaalpie"/>
        </w:rPr>
        <w:footnoteRef/>
      </w:r>
      <w:r>
        <w:t xml:space="preserve"> 8/2009 Foru Legearen hirugarren xedapen iragankorrak ezarritako baldintza.</w:t>
      </w:r>
    </w:p>
  </w:footnote>
  <w:footnote w:id="9">
    <w:p w:rsidR="00BF1A1A" w:rsidRDefault="00BF1A1A" w:rsidP="00AB4A69">
      <w:pPr>
        <w:pStyle w:val="Textonotapie"/>
      </w:pPr>
      <w:r>
        <w:rPr>
          <w:rStyle w:val="Refdenotaalpie"/>
        </w:rPr>
        <w:footnoteRef/>
      </w:r>
      <w:r>
        <w:t xml:space="preserve"> 2014/24/EE Zuzentarauaren 12. artikuluak ezartzen du pertsona juridiko horren jardueren % 80 baino gehiago egin behar izatea kontrola egiten dien adjudikazio botereak ardurapean utzi dizkien zereginen jardunean. </w:t>
      </w:r>
    </w:p>
  </w:footnote>
  <w:footnote w:id="10">
    <w:p w:rsidR="00BF1A1A" w:rsidRPr="00097C28" w:rsidRDefault="00BF1A1A" w:rsidP="00AB4A69">
      <w:pPr>
        <w:pStyle w:val="Textonotapie"/>
        <w:rPr>
          <w:sz w:val="19"/>
          <w:szCs w:val="19"/>
        </w:rPr>
      </w:pPr>
      <w:r>
        <w:rPr>
          <w:rStyle w:val="Refdenotaalpie"/>
        </w:rPr>
        <w:footnoteRef/>
      </w:r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Yesa</w:t>
      </w:r>
      <w:proofErr w:type="spellEnd"/>
      <w:r>
        <w:rPr>
          <w:sz w:val="19"/>
          <w:szCs w:val="19"/>
        </w:rPr>
        <w:t xml:space="preserve">, Valle de </w:t>
      </w:r>
      <w:proofErr w:type="spellStart"/>
      <w:r>
        <w:rPr>
          <w:sz w:val="19"/>
          <w:szCs w:val="19"/>
        </w:rPr>
        <w:t>Erro-Roncesvalles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Itoiz-Canal</w:t>
      </w:r>
      <w:proofErr w:type="spellEnd"/>
      <w:r>
        <w:rPr>
          <w:sz w:val="19"/>
          <w:szCs w:val="19"/>
        </w:rPr>
        <w:t xml:space="preserve"> de Navarra eta </w:t>
      </w:r>
      <w:proofErr w:type="spellStart"/>
      <w:r>
        <w:rPr>
          <w:sz w:val="19"/>
          <w:szCs w:val="19"/>
        </w:rPr>
        <w:t>Centro</w:t>
      </w:r>
      <w:proofErr w:type="spellEnd"/>
      <w:r>
        <w:rPr>
          <w:sz w:val="19"/>
          <w:szCs w:val="19"/>
        </w:rPr>
        <w:t xml:space="preserve"> de </w:t>
      </w:r>
      <w:proofErr w:type="spellStart"/>
      <w:r>
        <w:rPr>
          <w:sz w:val="19"/>
          <w:szCs w:val="19"/>
        </w:rPr>
        <w:t>Recursos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Ambientales</w:t>
      </w:r>
      <w:proofErr w:type="spellEnd"/>
      <w:r>
        <w:rPr>
          <w:sz w:val="19"/>
          <w:szCs w:val="19"/>
        </w:rPr>
        <w:t xml:space="preserve"> fundaz</w:t>
      </w:r>
      <w:r>
        <w:rPr>
          <w:sz w:val="19"/>
          <w:szCs w:val="19"/>
        </w:rPr>
        <w:t>i</w:t>
      </w:r>
      <w:r>
        <w:rPr>
          <w:sz w:val="19"/>
          <w:szCs w:val="19"/>
        </w:rPr>
        <w:t>oak ageri dira erabaki horretan eta Ogasuneko eta Funtzio Publikoko Ministerioaren informazioan. Horiek ez dira fiskalizatuko lan honetan, zeren eta ez baitira fundazio publikotzat hartzen.</w:t>
      </w:r>
    </w:p>
  </w:footnote>
  <w:footnote w:id="11">
    <w:p w:rsidR="00BF1A1A" w:rsidRPr="00871EA0" w:rsidRDefault="00BF1A1A" w:rsidP="00AB4A69">
      <w:pPr>
        <w:rPr>
          <w:sz w:val="2"/>
          <w:szCs w:val="2"/>
        </w:rPr>
      </w:pPr>
    </w:p>
  </w:footnote>
  <w:footnote w:id="12">
    <w:p w:rsidR="00BF1A1A" w:rsidRDefault="00BF1A1A">
      <w:pPr>
        <w:pStyle w:val="Textonotapie"/>
      </w:pPr>
      <w:r>
        <w:rPr>
          <w:rStyle w:val="Refdenotaalpie"/>
        </w:rPr>
        <w:footnoteRef/>
      </w:r>
      <w:r>
        <w:t xml:space="preserve"> Honako eragiketa hau eginez kalkulatu da: langileen gastua zati ekitaldiaren amaierako batez be</w:t>
      </w:r>
      <w:r>
        <w:t>s</w:t>
      </w:r>
      <w:r>
        <w:t xml:space="preserve">teko </w:t>
      </w:r>
      <w:proofErr w:type="spellStart"/>
      <w:r>
        <w:t>plantilla</w:t>
      </w:r>
      <w:proofErr w:type="spellEnd"/>
      <w:r>
        <w:t xml:space="preserve">. </w:t>
      </w:r>
    </w:p>
  </w:footnote>
  <w:footnote w:id="13">
    <w:p w:rsidR="00BF1A1A" w:rsidRDefault="00BF1A1A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NEKPk</w:t>
      </w:r>
      <w:proofErr w:type="spellEnd"/>
      <w:r>
        <w:t xml:space="preserve"> emandako informazioa</w:t>
      </w:r>
    </w:p>
  </w:footnote>
  <w:footnote w:id="14">
    <w:p w:rsidR="00BF1A1A" w:rsidRDefault="00BF1A1A" w:rsidP="00EB6705">
      <w:pPr>
        <w:pStyle w:val="Textonotapie"/>
      </w:pPr>
      <w:r>
        <w:rPr>
          <w:rStyle w:val="Refdenotaalpie"/>
        </w:rPr>
        <w:footnoteRef/>
      </w:r>
      <w:r>
        <w:t xml:space="preserve"> Zerbitzu-eginkizunetan edo eszedentzian zeuden langileen egoerak dira, Nafarroako Administrazio Publikoen zerbitzuko langileen estatutuaren testu </w:t>
      </w:r>
      <w:proofErr w:type="spellStart"/>
      <w:r>
        <w:t>bategina</w:t>
      </w:r>
      <w:proofErr w:type="spellEnd"/>
      <w:r>
        <w:t xml:space="preserve"> onesten duen abuztuaren 30eko 251/1993 Leg</w:t>
      </w:r>
      <w:r>
        <w:t>e</w:t>
      </w:r>
      <w:r>
        <w:t>gintzako Foru Dekretuaren baldintzetan.</w:t>
      </w:r>
    </w:p>
    <w:p w:rsidR="00BF1A1A" w:rsidRDefault="00BF1A1A">
      <w:pPr>
        <w:pStyle w:val="Textonotapie"/>
      </w:pPr>
    </w:p>
  </w:footnote>
  <w:footnote w:id="15">
    <w:p w:rsidR="00BF1A1A" w:rsidRDefault="00BF1A1A">
      <w:pPr>
        <w:pStyle w:val="Textonotapie"/>
      </w:pPr>
      <w:r>
        <w:rPr>
          <w:rStyle w:val="Refdenotaalpie"/>
        </w:rPr>
        <w:footnoteRef/>
      </w:r>
      <w:r>
        <w:t xml:space="preserve"> Gaur egun, Lehendakaritzako, Funtzio Publikoko, Barneko eta Justiziako Departamentua</w:t>
      </w:r>
    </w:p>
  </w:footnote>
  <w:footnote w:id="16">
    <w:p w:rsidR="00BF1A1A" w:rsidRDefault="00BF1A1A">
      <w:pPr>
        <w:pStyle w:val="Textonotapie"/>
      </w:pPr>
      <w:r>
        <w:rPr>
          <w:rStyle w:val="Refdenotaalpie"/>
        </w:rPr>
        <w:footnoteRef/>
      </w:r>
      <w:r>
        <w:t xml:space="preserve"> Gaur egun, Landa Garapeneko, Ingurumeneko eta Toki Administrazioko Departamentua</w:t>
      </w:r>
    </w:p>
  </w:footnote>
  <w:footnote w:id="17">
    <w:p w:rsidR="00BF1A1A" w:rsidRDefault="00BF1A1A">
      <w:pPr>
        <w:pStyle w:val="Textonotapie"/>
      </w:pPr>
      <w:r>
        <w:rPr>
          <w:rStyle w:val="Refdenotaalpie"/>
        </w:rPr>
        <w:footnoteRef/>
      </w:r>
      <w:r>
        <w:t xml:space="preserve"> Bat datoz zuzeneko partaidetzako 13 sozietateekin eta zeharkako partaidetzako lau sozietateekin.</w:t>
      </w:r>
    </w:p>
  </w:footnote>
  <w:footnote w:id="18">
    <w:p w:rsidR="00BF1A1A" w:rsidRDefault="00BF1A1A">
      <w:pPr>
        <w:pStyle w:val="Textonotapie"/>
      </w:pPr>
      <w:r>
        <w:rPr>
          <w:rStyle w:val="Refdenotaalpie"/>
        </w:rPr>
        <w:footnoteRef/>
      </w:r>
      <w:r>
        <w:t xml:space="preserve"> Kontuen Ganberaren 2016ko urtarrileko txostena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1A" w:rsidRDefault="00BF1A1A" w:rsidP="007C36BE">
    <w:pPr>
      <w:pStyle w:val="Encabezado"/>
      <w:pBdr>
        <w:bottom w:val="single" w:sz="4" w:space="1" w:color="auto"/>
      </w:pBdr>
      <w:spacing w:after="40"/>
      <w:ind w:firstLine="0"/>
      <w:jc w:val="left"/>
    </w:pPr>
    <w:r>
      <w:rPr>
        <w:b/>
        <w:noProof/>
        <w:lang w:val="es-ES" w:eastAsia="es-ES"/>
      </w:rPr>
      <w:drawing>
        <wp:inline distT="0" distB="0" distL="0" distR="0" wp14:anchorId="51D932F3" wp14:editId="148470AB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A1A" w:rsidRPr="0059650E" w:rsidRDefault="00BF1A1A" w:rsidP="00891D73">
    <w:pPr>
      <w:pStyle w:val="Encabezado"/>
      <w:pBdr>
        <w:bottom w:val="single" w:sz="4" w:space="1" w:color="auto"/>
      </w:pBdr>
      <w:ind w:firstLine="0"/>
    </w:pPr>
    <w:r>
      <w:t>Nafarroako FORU SEKTORE PUBLIKOAREN BERREGITURATZEARI BURUZKO FISKALIZAZIO TXOSTENA (2010-2016)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1A" w:rsidRDefault="00BF1A1A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 wp14:anchorId="207AF6AA" wp14:editId="2855A995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1A" w:rsidRDefault="00BF1A1A"/>
  <w:p w:rsidR="00BF1A1A" w:rsidRDefault="00BF1A1A"/>
  <w:p w:rsidR="00BF1A1A" w:rsidRDefault="00BF1A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A91"/>
    <w:multiLevelType w:val="hybridMultilevel"/>
    <w:tmpl w:val="FCD4D98C"/>
    <w:lvl w:ilvl="0" w:tplc="92AC495E">
      <w:start w:val="3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2">
    <w:nsid w:val="20C31B8E"/>
    <w:multiLevelType w:val="hybridMultilevel"/>
    <w:tmpl w:val="A468B76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E439AB"/>
    <w:multiLevelType w:val="hybridMultilevel"/>
    <w:tmpl w:val="34A29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C0F26"/>
    <w:multiLevelType w:val="hybridMultilevel"/>
    <w:tmpl w:val="BD68D120"/>
    <w:lvl w:ilvl="0" w:tplc="31645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D3BB0"/>
    <w:multiLevelType w:val="hybridMultilevel"/>
    <w:tmpl w:val="C7B4DE3E"/>
    <w:lvl w:ilvl="0" w:tplc="EC0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B66228"/>
    <w:multiLevelType w:val="hybridMultilevel"/>
    <w:tmpl w:val="C8C4863A"/>
    <w:lvl w:ilvl="0" w:tplc="5E5C74CA">
      <w:start w:val="1"/>
      <w:numFmt w:val="lowerLetter"/>
      <w:lvlText w:val="%1)"/>
      <w:lvlJc w:val="left"/>
      <w:pPr>
        <w:ind w:left="884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481F5A"/>
    <w:multiLevelType w:val="hybridMultilevel"/>
    <w:tmpl w:val="D44CFD7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6C03504"/>
    <w:multiLevelType w:val="hybridMultilevel"/>
    <w:tmpl w:val="34A29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D5E1D"/>
    <w:multiLevelType w:val="hybridMultilevel"/>
    <w:tmpl w:val="62A85BE8"/>
    <w:lvl w:ilvl="0" w:tplc="7D36ED4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7C5994"/>
    <w:multiLevelType w:val="hybridMultilevel"/>
    <w:tmpl w:val="B3D6C160"/>
    <w:lvl w:ilvl="0" w:tplc="EE340186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0545B2"/>
    <w:multiLevelType w:val="hybridMultilevel"/>
    <w:tmpl w:val="20F0DA1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5D415E7"/>
    <w:multiLevelType w:val="hybridMultilevel"/>
    <w:tmpl w:val="34A29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91D65"/>
    <w:multiLevelType w:val="hybridMultilevel"/>
    <w:tmpl w:val="20E2C3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F2BA8"/>
    <w:multiLevelType w:val="hybridMultilevel"/>
    <w:tmpl w:val="91D402EC"/>
    <w:lvl w:ilvl="0" w:tplc="7CDC9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440695"/>
    <w:multiLevelType w:val="hybridMultilevel"/>
    <w:tmpl w:val="6B14783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C837E4F"/>
    <w:multiLevelType w:val="hybridMultilevel"/>
    <w:tmpl w:val="F34C4184"/>
    <w:lvl w:ilvl="0" w:tplc="3D6CEB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3E7DBE"/>
    <w:multiLevelType w:val="hybridMultilevel"/>
    <w:tmpl w:val="80D4D34E"/>
    <w:lvl w:ilvl="0" w:tplc="F0AEF7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D7E1432"/>
    <w:multiLevelType w:val="hybridMultilevel"/>
    <w:tmpl w:val="DE3C5BD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E0300F7"/>
    <w:multiLevelType w:val="hybridMultilevel"/>
    <w:tmpl w:val="BDD07344"/>
    <w:lvl w:ilvl="0" w:tplc="DDB63D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F4B280A"/>
    <w:multiLevelType w:val="hybridMultilevel"/>
    <w:tmpl w:val="EDAEC60A"/>
    <w:lvl w:ilvl="0" w:tplc="29421B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031304C"/>
    <w:multiLevelType w:val="hybridMultilevel"/>
    <w:tmpl w:val="240093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1266A61"/>
    <w:multiLevelType w:val="hybridMultilevel"/>
    <w:tmpl w:val="34A29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64B0E"/>
    <w:multiLevelType w:val="hybridMultilevel"/>
    <w:tmpl w:val="5F6E7F4A"/>
    <w:lvl w:ilvl="0" w:tplc="BE80CD1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8D1BED"/>
    <w:multiLevelType w:val="hybridMultilevel"/>
    <w:tmpl w:val="35AA22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826BF"/>
    <w:multiLevelType w:val="hybridMultilevel"/>
    <w:tmpl w:val="22F8E7C0"/>
    <w:lvl w:ilvl="0" w:tplc="31645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0A419F"/>
    <w:multiLevelType w:val="hybridMultilevel"/>
    <w:tmpl w:val="F87A14AA"/>
    <w:lvl w:ilvl="0" w:tplc="4BB270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28">
    <w:nsid w:val="6A726738"/>
    <w:multiLevelType w:val="hybridMultilevel"/>
    <w:tmpl w:val="3B62A9F2"/>
    <w:lvl w:ilvl="0" w:tplc="8508F4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EB587B"/>
    <w:multiLevelType w:val="hybridMultilevel"/>
    <w:tmpl w:val="497A54D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F446D8"/>
    <w:multiLevelType w:val="hybridMultilevel"/>
    <w:tmpl w:val="158AA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F58D7"/>
    <w:multiLevelType w:val="hybridMultilevel"/>
    <w:tmpl w:val="34A29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F08EC"/>
    <w:multiLevelType w:val="hybridMultilevel"/>
    <w:tmpl w:val="DE2604DC"/>
    <w:lvl w:ilvl="0" w:tplc="F2DED7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"/>
  </w:num>
  <w:num w:numId="3">
    <w:abstractNumId w:val="13"/>
  </w:num>
  <w:num w:numId="4">
    <w:abstractNumId w:val="2"/>
  </w:num>
  <w:num w:numId="5">
    <w:abstractNumId w:val="30"/>
  </w:num>
  <w:num w:numId="6">
    <w:abstractNumId w:val="18"/>
  </w:num>
  <w:num w:numId="7">
    <w:abstractNumId w:val="15"/>
  </w:num>
  <w:num w:numId="8">
    <w:abstractNumId w:val="29"/>
  </w:num>
  <w:num w:numId="9">
    <w:abstractNumId w:val="24"/>
  </w:num>
  <w:num w:numId="10">
    <w:abstractNumId w:val="14"/>
  </w:num>
  <w:num w:numId="11">
    <w:abstractNumId w:val="11"/>
  </w:num>
  <w:num w:numId="12">
    <w:abstractNumId w:val="0"/>
  </w:num>
  <w:num w:numId="13">
    <w:abstractNumId w:val="7"/>
  </w:num>
  <w:num w:numId="14">
    <w:abstractNumId w:val="20"/>
  </w:num>
  <w:num w:numId="15">
    <w:abstractNumId w:val="12"/>
  </w:num>
  <w:num w:numId="16">
    <w:abstractNumId w:val="31"/>
  </w:num>
  <w:num w:numId="17">
    <w:abstractNumId w:val="3"/>
  </w:num>
  <w:num w:numId="18">
    <w:abstractNumId w:val="8"/>
  </w:num>
  <w:num w:numId="19">
    <w:abstractNumId w:val="22"/>
  </w:num>
  <w:num w:numId="20">
    <w:abstractNumId w:val="16"/>
  </w:num>
  <w:num w:numId="21">
    <w:abstractNumId w:val="6"/>
  </w:num>
  <w:num w:numId="22">
    <w:abstractNumId w:val="9"/>
  </w:num>
  <w:num w:numId="23">
    <w:abstractNumId w:val="32"/>
  </w:num>
  <w:num w:numId="24">
    <w:abstractNumId w:val="21"/>
  </w:num>
  <w:num w:numId="25">
    <w:abstractNumId w:val="28"/>
  </w:num>
  <w:num w:numId="26">
    <w:abstractNumId w:val="17"/>
  </w:num>
  <w:num w:numId="27">
    <w:abstractNumId w:val="5"/>
  </w:num>
  <w:num w:numId="28">
    <w:abstractNumId w:val="23"/>
  </w:num>
  <w:num w:numId="29">
    <w:abstractNumId w:val="26"/>
  </w:num>
  <w:num w:numId="30">
    <w:abstractNumId w:val="25"/>
  </w:num>
  <w:num w:numId="31">
    <w:abstractNumId w:val="4"/>
  </w:num>
  <w:num w:numId="32">
    <w:abstractNumId w:val="19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93"/>
    <w:rsid w:val="000019D8"/>
    <w:rsid w:val="00002542"/>
    <w:rsid w:val="00004620"/>
    <w:rsid w:val="00005918"/>
    <w:rsid w:val="00006736"/>
    <w:rsid w:val="00006A97"/>
    <w:rsid w:val="00010FE9"/>
    <w:rsid w:val="0001123B"/>
    <w:rsid w:val="00012A7F"/>
    <w:rsid w:val="0001366B"/>
    <w:rsid w:val="00015A31"/>
    <w:rsid w:val="00017008"/>
    <w:rsid w:val="00017A3A"/>
    <w:rsid w:val="00017CE4"/>
    <w:rsid w:val="00022E16"/>
    <w:rsid w:val="00023AB9"/>
    <w:rsid w:val="000251B5"/>
    <w:rsid w:val="000340C9"/>
    <w:rsid w:val="000359BC"/>
    <w:rsid w:val="00036E42"/>
    <w:rsid w:val="0004099E"/>
    <w:rsid w:val="00042563"/>
    <w:rsid w:val="0004373B"/>
    <w:rsid w:val="000448FA"/>
    <w:rsid w:val="00045D36"/>
    <w:rsid w:val="000506C7"/>
    <w:rsid w:val="0005098E"/>
    <w:rsid w:val="0005168E"/>
    <w:rsid w:val="00051E18"/>
    <w:rsid w:val="00053A42"/>
    <w:rsid w:val="0005517D"/>
    <w:rsid w:val="00056C71"/>
    <w:rsid w:val="0006057A"/>
    <w:rsid w:val="000608A1"/>
    <w:rsid w:val="0006133D"/>
    <w:rsid w:val="00063585"/>
    <w:rsid w:val="000671B4"/>
    <w:rsid w:val="00070A90"/>
    <w:rsid w:val="00071CD0"/>
    <w:rsid w:val="00075692"/>
    <w:rsid w:val="000757EC"/>
    <w:rsid w:val="00080B3D"/>
    <w:rsid w:val="00084224"/>
    <w:rsid w:val="00087543"/>
    <w:rsid w:val="00087B8D"/>
    <w:rsid w:val="0009072D"/>
    <w:rsid w:val="000915BC"/>
    <w:rsid w:val="00093D67"/>
    <w:rsid w:val="00093E60"/>
    <w:rsid w:val="0009569B"/>
    <w:rsid w:val="0009672A"/>
    <w:rsid w:val="0009739B"/>
    <w:rsid w:val="00097C28"/>
    <w:rsid w:val="000A18B7"/>
    <w:rsid w:val="000A1AC5"/>
    <w:rsid w:val="000A2BB3"/>
    <w:rsid w:val="000A2C1E"/>
    <w:rsid w:val="000A4697"/>
    <w:rsid w:val="000A6322"/>
    <w:rsid w:val="000B158A"/>
    <w:rsid w:val="000B2728"/>
    <w:rsid w:val="000B3943"/>
    <w:rsid w:val="000B4477"/>
    <w:rsid w:val="000B496F"/>
    <w:rsid w:val="000B5037"/>
    <w:rsid w:val="000B5F1E"/>
    <w:rsid w:val="000B62C5"/>
    <w:rsid w:val="000B684B"/>
    <w:rsid w:val="000C0704"/>
    <w:rsid w:val="000C2B07"/>
    <w:rsid w:val="000C39CC"/>
    <w:rsid w:val="000C4002"/>
    <w:rsid w:val="000C7566"/>
    <w:rsid w:val="000C79E0"/>
    <w:rsid w:val="000D13E7"/>
    <w:rsid w:val="000D1758"/>
    <w:rsid w:val="000D188E"/>
    <w:rsid w:val="000D1DB3"/>
    <w:rsid w:val="000D39C8"/>
    <w:rsid w:val="000D5335"/>
    <w:rsid w:val="000E0E15"/>
    <w:rsid w:val="000E1A3E"/>
    <w:rsid w:val="000E1E9C"/>
    <w:rsid w:val="000E54F4"/>
    <w:rsid w:val="000E5FC0"/>
    <w:rsid w:val="000E63B3"/>
    <w:rsid w:val="000E6573"/>
    <w:rsid w:val="000E7B86"/>
    <w:rsid w:val="000F1B2C"/>
    <w:rsid w:val="000F2B66"/>
    <w:rsid w:val="000F3D83"/>
    <w:rsid w:val="000F6FB5"/>
    <w:rsid w:val="001004D0"/>
    <w:rsid w:val="00100F12"/>
    <w:rsid w:val="0010130A"/>
    <w:rsid w:val="00102BB7"/>
    <w:rsid w:val="00102DA7"/>
    <w:rsid w:val="00103589"/>
    <w:rsid w:val="00104070"/>
    <w:rsid w:val="001045C9"/>
    <w:rsid w:val="00105D38"/>
    <w:rsid w:val="00107B6D"/>
    <w:rsid w:val="00107CC1"/>
    <w:rsid w:val="001117DC"/>
    <w:rsid w:val="00111A92"/>
    <w:rsid w:val="001136DF"/>
    <w:rsid w:val="001145C3"/>
    <w:rsid w:val="0011619B"/>
    <w:rsid w:val="001161D2"/>
    <w:rsid w:val="0012268E"/>
    <w:rsid w:val="00122C02"/>
    <w:rsid w:val="0012320A"/>
    <w:rsid w:val="00126322"/>
    <w:rsid w:val="00126E1A"/>
    <w:rsid w:val="00131B2C"/>
    <w:rsid w:val="00131DF1"/>
    <w:rsid w:val="00132C38"/>
    <w:rsid w:val="00132F76"/>
    <w:rsid w:val="00133984"/>
    <w:rsid w:val="0013528B"/>
    <w:rsid w:val="001364E0"/>
    <w:rsid w:val="001365C4"/>
    <w:rsid w:val="00136E0E"/>
    <w:rsid w:val="0014118E"/>
    <w:rsid w:val="0014147D"/>
    <w:rsid w:val="00141D29"/>
    <w:rsid w:val="001421AC"/>
    <w:rsid w:val="00142BCE"/>
    <w:rsid w:val="00143A3A"/>
    <w:rsid w:val="00144ED3"/>
    <w:rsid w:val="00144EFE"/>
    <w:rsid w:val="0014506A"/>
    <w:rsid w:val="001460F6"/>
    <w:rsid w:val="0014728F"/>
    <w:rsid w:val="001521A2"/>
    <w:rsid w:val="00152358"/>
    <w:rsid w:val="00155BFF"/>
    <w:rsid w:val="00157C2D"/>
    <w:rsid w:val="00157CA3"/>
    <w:rsid w:val="00160E5F"/>
    <w:rsid w:val="00160F66"/>
    <w:rsid w:val="001623E1"/>
    <w:rsid w:val="001633AF"/>
    <w:rsid w:val="00164537"/>
    <w:rsid w:val="00165908"/>
    <w:rsid w:val="00166A6C"/>
    <w:rsid w:val="0017115B"/>
    <w:rsid w:val="00173399"/>
    <w:rsid w:val="00173EDD"/>
    <w:rsid w:val="0017402B"/>
    <w:rsid w:val="00181D37"/>
    <w:rsid w:val="001835B7"/>
    <w:rsid w:val="0018426B"/>
    <w:rsid w:val="00184A55"/>
    <w:rsid w:val="0018562E"/>
    <w:rsid w:val="00185A37"/>
    <w:rsid w:val="0018676B"/>
    <w:rsid w:val="001917ED"/>
    <w:rsid w:val="00191895"/>
    <w:rsid w:val="00191C99"/>
    <w:rsid w:val="00192F3A"/>
    <w:rsid w:val="00194097"/>
    <w:rsid w:val="00194309"/>
    <w:rsid w:val="00194540"/>
    <w:rsid w:val="0019660E"/>
    <w:rsid w:val="001A0244"/>
    <w:rsid w:val="001A2326"/>
    <w:rsid w:val="001A4F64"/>
    <w:rsid w:val="001B0D0E"/>
    <w:rsid w:val="001B0DC2"/>
    <w:rsid w:val="001B147A"/>
    <w:rsid w:val="001B343F"/>
    <w:rsid w:val="001B39E2"/>
    <w:rsid w:val="001C14F6"/>
    <w:rsid w:val="001C2B26"/>
    <w:rsid w:val="001C3A32"/>
    <w:rsid w:val="001C5D1C"/>
    <w:rsid w:val="001D14DC"/>
    <w:rsid w:val="001D25C6"/>
    <w:rsid w:val="001D4F09"/>
    <w:rsid w:val="001D585C"/>
    <w:rsid w:val="001E61D3"/>
    <w:rsid w:val="001E6D42"/>
    <w:rsid w:val="001E7D8D"/>
    <w:rsid w:val="001F0570"/>
    <w:rsid w:val="001F1482"/>
    <w:rsid w:val="001F20D7"/>
    <w:rsid w:val="001F2493"/>
    <w:rsid w:val="001F497E"/>
    <w:rsid w:val="001F5F90"/>
    <w:rsid w:val="001F6CBB"/>
    <w:rsid w:val="001F7744"/>
    <w:rsid w:val="002014EB"/>
    <w:rsid w:val="00201E9B"/>
    <w:rsid w:val="002021CF"/>
    <w:rsid w:val="00202B1A"/>
    <w:rsid w:val="00203635"/>
    <w:rsid w:val="00204979"/>
    <w:rsid w:val="00204D89"/>
    <w:rsid w:val="00204DA6"/>
    <w:rsid w:val="00206D5E"/>
    <w:rsid w:val="00207099"/>
    <w:rsid w:val="0021004C"/>
    <w:rsid w:val="00211D69"/>
    <w:rsid w:val="00213211"/>
    <w:rsid w:val="00216C49"/>
    <w:rsid w:val="002172DB"/>
    <w:rsid w:val="002179DB"/>
    <w:rsid w:val="00220802"/>
    <w:rsid w:val="00221154"/>
    <w:rsid w:val="00223E86"/>
    <w:rsid w:val="00225785"/>
    <w:rsid w:val="00226CAD"/>
    <w:rsid w:val="00227E48"/>
    <w:rsid w:val="00230577"/>
    <w:rsid w:val="00230985"/>
    <w:rsid w:val="0023209D"/>
    <w:rsid w:val="00232925"/>
    <w:rsid w:val="002333F8"/>
    <w:rsid w:val="00233D79"/>
    <w:rsid w:val="00237657"/>
    <w:rsid w:val="0023787B"/>
    <w:rsid w:val="00237B81"/>
    <w:rsid w:val="0024131B"/>
    <w:rsid w:val="00242BA7"/>
    <w:rsid w:val="0024328E"/>
    <w:rsid w:val="002437B5"/>
    <w:rsid w:val="00244EF1"/>
    <w:rsid w:val="00244F3D"/>
    <w:rsid w:val="0024648B"/>
    <w:rsid w:val="00246F21"/>
    <w:rsid w:val="0025202A"/>
    <w:rsid w:val="002531B9"/>
    <w:rsid w:val="00253280"/>
    <w:rsid w:val="00253E78"/>
    <w:rsid w:val="00254B41"/>
    <w:rsid w:val="00255CB5"/>
    <w:rsid w:val="00257DDA"/>
    <w:rsid w:val="00257F4B"/>
    <w:rsid w:val="0026022C"/>
    <w:rsid w:val="00261341"/>
    <w:rsid w:val="00262C3C"/>
    <w:rsid w:val="00262C65"/>
    <w:rsid w:val="002634CD"/>
    <w:rsid w:val="00263A5F"/>
    <w:rsid w:val="00264C88"/>
    <w:rsid w:val="0026532C"/>
    <w:rsid w:val="0026575D"/>
    <w:rsid w:val="002675C9"/>
    <w:rsid w:val="002705B0"/>
    <w:rsid w:val="002717A6"/>
    <w:rsid w:val="00272015"/>
    <w:rsid w:val="002726B7"/>
    <w:rsid w:val="00273C10"/>
    <w:rsid w:val="00274B4C"/>
    <w:rsid w:val="00274CEA"/>
    <w:rsid w:val="00276264"/>
    <w:rsid w:val="00277040"/>
    <w:rsid w:val="00277213"/>
    <w:rsid w:val="00277FAA"/>
    <w:rsid w:val="00281DCA"/>
    <w:rsid w:val="0028212D"/>
    <w:rsid w:val="002834AC"/>
    <w:rsid w:val="00290DE5"/>
    <w:rsid w:val="002940A8"/>
    <w:rsid w:val="00297B04"/>
    <w:rsid w:val="00297CC8"/>
    <w:rsid w:val="002A056C"/>
    <w:rsid w:val="002A42AD"/>
    <w:rsid w:val="002A6555"/>
    <w:rsid w:val="002A66A5"/>
    <w:rsid w:val="002A6AA1"/>
    <w:rsid w:val="002A6EBB"/>
    <w:rsid w:val="002A7200"/>
    <w:rsid w:val="002A770F"/>
    <w:rsid w:val="002B0D33"/>
    <w:rsid w:val="002B21E9"/>
    <w:rsid w:val="002B2B87"/>
    <w:rsid w:val="002B4E0F"/>
    <w:rsid w:val="002B5754"/>
    <w:rsid w:val="002B7253"/>
    <w:rsid w:val="002B7C1F"/>
    <w:rsid w:val="002C1683"/>
    <w:rsid w:val="002C20D3"/>
    <w:rsid w:val="002C58A0"/>
    <w:rsid w:val="002C61E2"/>
    <w:rsid w:val="002C628F"/>
    <w:rsid w:val="002C7026"/>
    <w:rsid w:val="002C7E08"/>
    <w:rsid w:val="002D089F"/>
    <w:rsid w:val="002D15D3"/>
    <w:rsid w:val="002D5635"/>
    <w:rsid w:val="002D5C97"/>
    <w:rsid w:val="002D654D"/>
    <w:rsid w:val="002D65E8"/>
    <w:rsid w:val="002D7D32"/>
    <w:rsid w:val="002E02E5"/>
    <w:rsid w:val="002E0478"/>
    <w:rsid w:val="002E0791"/>
    <w:rsid w:val="002E1B92"/>
    <w:rsid w:val="002E2236"/>
    <w:rsid w:val="002E30FE"/>
    <w:rsid w:val="002E4C1E"/>
    <w:rsid w:val="002E4E5E"/>
    <w:rsid w:val="002E7B81"/>
    <w:rsid w:val="002F09FB"/>
    <w:rsid w:val="002F0FE3"/>
    <w:rsid w:val="002F12E3"/>
    <w:rsid w:val="002F1AF0"/>
    <w:rsid w:val="002F2530"/>
    <w:rsid w:val="002F272A"/>
    <w:rsid w:val="002F3225"/>
    <w:rsid w:val="002F3DE2"/>
    <w:rsid w:val="002F51FB"/>
    <w:rsid w:val="002F53B4"/>
    <w:rsid w:val="002F5514"/>
    <w:rsid w:val="002F5D83"/>
    <w:rsid w:val="002F76D6"/>
    <w:rsid w:val="00302248"/>
    <w:rsid w:val="00303506"/>
    <w:rsid w:val="00304B01"/>
    <w:rsid w:val="00307057"/>
    <w:rsid w:val="003102C8"/>
    <w:rsid w:val="003110F1"/>
    <w:rsid w:val="003114EF"/>
    <w:rsid w:val="00312505"/>
    <w:rsid w:val="00312819"/>
    <w:rsid w:val="00312E9C"/>
    <w:rsid w:val="00313875"/>
    <w:rsid w:val="00317FEF"/>
    <w:rsid w:val="003203BF"/>
    <w:rsid w:val="00321369"/>
    <w:rsid w:val="003214CC"/>
    <w:rsid w:val="003218D5"/>
    <w:rsid w:val="00321A6B"/>
    <w:rsid w:val="0032437F"/>
    <w:rsid w:val="00330787"/>
    <w:rsid w:val="00332F86"/>
    <w:rsid w:val="00334690"/>
    <w:rsid w:val="00337493"/>
    <w:rsid w:val="00337A06"/>
    <w:rsid w:val="00341488"/>
    <w:rsid w:val="0034285F"/>
    <w:rsid w:val="003452AB"/>
    <w:rsid w:val="00345988"/>
    <w:rsid w:val="003464A4"/>
    <w:rsid w:val="00346565"/>
    <w:rsid w:val="00351684"/>
    <w:rsid w:val="00353085"/>
    <w:rsid w:val="00354458"/>
    <w:rsid w:val="0035621C"/>
    <w:rsid w:val="00356313"/>
    <w:rsid w:val="00357253"/>
    <w:rsid w:val="00360ADD"/>
    <w:rsid w:val="00361933"/>
    <w:rsid w:val="00361EDC"/>
    <w:rsid w:val="00363653"/>
    <w:rsid w:val="00363796"/>
    <w:rsid w:val="0036509D"/>
    <w:rsid w:val="0037134C"/>
    <w:rsid w:val="0037183D"/>
    <w:rsid w:val="0037228C"/>
    <w:rsid w:val="003738FD"/>
    <w:rsid w:val="00373F5A"/>
    <w:rsid w:val="00374B34"/>
    <w:rsid w:val="00380CDB"/>
    <w:rsid w:val="003810BE"/>
    <w:rsid w:val="003817D4"/>
    <w:rsid w:val="0038244F"/>
    <w:rsid w:val="003825C2"/>
    <w:rsid w:val="00384E8E"/>
    <w:rsid w:val="00385147"/>
    <w:rsid w:val="0038593D"/>
    <w:rsid w:val="00386F6C"/>
    <w:rsid w:val="00387709"/>
    <w:rsid w:val="00387794"/>
    <w:rsid w:val="00390729"/>
    <w:rsid w:val="0039286F"/>
    <w:rsid w:val="00396288"/>
    <w:rsid w:val="00397162"/>
    <w:rsid w:val="00397510"/>
    <w:rsid w:val="003A0021"/>
    <w:rsid w:val="003A143E"/>
    <w:rsid w:val="003A23E5"/>
    <w:rsid w:val="003A335E"/>
    <w:rsid w:val="003A3DD2"/>
    <w:rsid w:val="003A7131"/>
    <w:rsid w:val="003B1B27"/>
    <w:rsid w:val="003B26B9"/>
    <w:rsid w:val="003B3573"/>
    <w:rsid w:val="003B5813"/>
    <w:rsid w:val="003C03EA"/>
    <w:rsid w:val="003C196B"/>
    <w:rsid w:val="003C53CD"/>
    <w:rsid w:val="003C5E5A"/>
    <w:rsid w:val="003C6E1D"/>
    <w:rsid w:val="003D058C"/>
    <w:rsid w:val="003D0DE5"/>
    <w:rsid w:val="003D103F"/>
    <w:rsid w:val="003D1559"/>
    <w:rsid w:val="003D214E"/>
    <w:rsid w:val="003D3D6D"/>
    <w:rsid w:val="003D6F0C"/>
    <w:rsid w:val="003D76B1"/>
    <w:rsid w:val="003E0634"/>
    <w:rsid w:val="003E17A6"/>
    <w:rsid w:val="003E2507"/>
    <w:rsid w:val="003E305C"/>
    <w:rsid w:val="003E4AA5"/>
    <w:rsid w:val="003E5BA9"/>
    <w:rsid w:val="003E6037"/>
    <w:rsid w:val="003E747D"/>
    <w:rsid w:val="003F1CEC"/>
    <w:rsid w:val="003F32F3"/>
    <w:rsid w:val="003F43BF"/>
    <w:rsid w:val="003F53DB"/>
    <w:rsid w:val="003F6BE4"/>
    <w:rsid w:val="004007B0"/>
    <w:rsid w:val="00402509"/>
    <w:rsid w:val="004026C7"/>
    <w:rsid w:val="00403CF8"/>
    <w:rsid w:val="004057CA"/>
    <w:rsid w:val="00407459"/>
    <w:rsid w:val="00410CA6"/>
    <w:rsid w:val="00414D01"/>
    <w:rsid w:val="00415E68"/>
    <w:rsid w:val="00416407"/>
    <w:rsid w:val="0041674D"/>
    <w:rsid w:val="004170FE"/>
    <w:rsid w:val="00417B1C"/>
    <w:rsid w:val="004209E6"/>
    <w:rsid w:val="0042324B"/>
    <w:rsid w:val="004234E8"/>
    <w:rsid w:val="00426805"/>
    <w:rsid w:val="00430150"/>
    <w:rsid w:val="004302F9"/>
    <w:rsid w:val="0043085D"/>
    <w:rsid w:val="0043229B"/>
    <w:rsid w:val="00432D48"/>
    <w:rsid w:val="00435287"/>
    <w:rsid w:val="00435647"/>
    <w:rsid w:val="004365D2"/>
    <w:rsid w:val="0043715D"/>
    <w:rsid w:val="00437689"/>
    <w:rsid w:val="00440A22"/>
    <w:rsid w:val="004415C5"/>
    <w:rsid w:val="00443457"/>
    <w:rsid w:val="0044452D"/>
    <w:rsid w:val="004529AE"/>
    <w:rsid w:val="0045550E"/>
    <w:rsid w:val="00456456"/>
    <w:rsid w:val="00462367"/>
    <w:rsid w:val="0046297B"/>
    <w:rsid w:val="00463E95"/>
    <w:rsid w:val="0046490C"/>
    <w:rsid w:val="00467AA9"/>
    <w:rsid w:val="00470287"/>
    <w:rsid w:val="00470674"/>
    <w:rsid w:val="00470733"/>
    <w:rsid w:val="0047317F"/>
    <w:rsid w:val="0047675F"/>
    <w:rsid w:val="0047695E"/>
    <w:rsid w:val="00477498"/>
    <w:rsid w:val="00477C53"/>
    <w:rsid w:val="0048241D"/>
    <w:rsid w:val="00482E79"/>
    <w:rsid w:val="00485380"/>
    <w:rsid w:val="004937DE"/>
    <w:rsid w:val="00493A4F"/>
    <w:rsid w:val="00493D87"/>
    <w:rsid w:val="004943F8"/>
    <w:rsid w:val="004945C3"/>
    <w:rsid w:val="004950D4"/>
    <w:rsid w:val="00496997"/>
    <w:rsid w:val="004A0506"/>
    <w:rsid w:val="004A2342"/>
    <w:rsid w:val="004A2F62"/>
    <w:rsid w:val="004B0A40"/>
    <w:rsid w:val="004B1DB8"/>
    <w:rsid w:val="004B2F01"/>
    <w:rsid w:val="004B4182"/>
    <w:rsid w:val="004B4538"/>
    <w:rsid w:val="004B58D4"/>
    <w:rsid w:val="004B6733"/>
    <w:rsid w:val="004B6FB6"/>
    <w:rsid w:val="004B6FDC"/>
    <w:rsid w:val="004B786F"/>
    <w:rsid w:val="004B7E4C"/>
    <w:rsid w:val="004C08B5"/>
    <w:rsid w:val="004C2A76"/>
    <w:rsid w:val="004C3423"/>
    <w:rsid w:val="004C571D"/>
    <w:rsid w:val="004C5B32"/>
    <w:rsid w:val="004C634B"/>
    <w:rsid w:val="004C70D2"/>
    <w:rsid w:val="004D2EB0"/>
    <w:rsid w:val="004D35A2"/>
    <w:rsid w:val="004D5FD1"/>
    <w:rsid w:val="004E4F0E"/>
    <w:rsid w:val="004E5F1C"/>
    <w:rsid w:val="004E641E"/>
    <w:rsid w:val="004F2A74"/>
    <w:rsid w:val="004F44CD"/>
    <w:rsid w:val="004F527D"/>
    <w:rsid w:val="004F7C93"/>
    <w:rsid w:val="00502796"/>
    <w:rsid w:val="00502C93"/>
    <w:rsid w:val="005034A6"/>
    <w:rsid w:val="00506105"/>
    <w:rsid w:val="00506E38"/>
    <w:rsid w:val="00513162"/>
    <w:rsid w:val="0051430C"/>
    <w:rsid w:val="005171FB"/>
    <w:rsid w:val="00523F91"/>
    <w:rsid w:val="00524597"/>
    <w:rsid w:val="00524DC4"/>
    <w:rsid w:val="00525809"/>
    <w:rsid w:val="005266E0"/>
    <w:rsid w:val="00533F95"/>
    <w:rsid w:val="00535130"/>
    <w:rsid w:val="005364EA"/>
    <w:rsid w:val="00537302"/>
    <w:rsid w:val="00537649"/>
    <w:rsid w:val="005411CA"/>
    <w:rsid w:val="00542449"/>
    <w:rsid w:val="00546EAD"/>
    <w:rsid w:val="00547823"/>
    <w:rsid w:val="00551028"/>
    <w:rsid w:val="0055174B"/>
    <w:rsid w:val="005541C9"/>
    <w:rsid w:val="00554AF8"/>
    <w:rsid w:val="00555509"/>
    <w:rsid w:val="00561278"/>
    <w:rsid w:val="0056162A"/>
    <w:rsid w:val="00561C5B"/>
    <w:rsid w:val="00561D47"/>
    <w:rsid w:val="00563DBA"/>
    <w:rsid w:val="00564F2D"/>
    <w:rsid w:val="00565665"/>
    <w:rsid w:val="00565938"/>
    <w:rsid w:val="00565F40"/>
    <w:rsid w:val="00566CDA"/>
    <w:rsid w:val="0056727E"/>
    <w:rsid w:val="00567BA6"/>
    <w:rsid w:val="00567C9C"/>
    <w:rsid w:val="00570033"/>
    <w:rsid w:val="00570147"/>
    <w:rsid w:val="00570934"/>
    <w:rsid w:val="005717B1"/>
    <w:rsid w:val="0057307E"/>
    <w:rsid w:val="00573615"/>
    <w:rsid w:val="005739A5"/>
    <w:rsid w:val="00573A4C"/>
    <w:rsid w:val="00574B79"/>
    <w:rsid w:val="00574D12"/>
    <w:rsid w:val="00575FD3"/>
    <w:rsid w:val="00576A6E"/>
    <w:rsid w:val="005800B4"/>
    <w:rsid w:val="0058070B"/>
    <w:rsid w:val="0058296F"/>
    <w:rsid w:val="00585F71"/>
    <w:rsid w:val="00586C20"/>
    <w:rsid w:val="00591822"/>
    <w:rsid w:val="0059369A"/>
    <w:rsid w:val="00595E80"/>
    <w:rsid w:val="00595FBB"/>
    <w:rsid w:val="0059650E"/>
    <w:rsid w:val="00596953"/>
    <w:rsid w:val="0059785D"/>
    <w:rsid w:val="005A4E38"/>
    <w:rsid w:val="005A6030"/>
    <w:rsid w:val="005A6C2C"/>
    <w:rsid w:val="005B2F9C"/>
    <w:rsid w:val="005B57AD"/>
    <w:rsid w:val="005B65CE"/>
    <w:rsid w:val="005B722E"/>
    <w:rsid w:val="005B7561"/>
    <w:rsid w:val="005C02FE"/>
    <w:rsid w:val="005C0934"/>
    <w:rsid w:val="005C0F0E"/>
    <w:rsid w:val="005C1891"/>
    <w:rsid w:val="005C2BFF"/>
    <w:rsid w:val="005C32DE"/>
    <w:rsid w:val="005C39F9"/>
    <w:rsid w:val="005C4447"/>
    <w:rsid w:val="005C50AC"/>
    <w:rsid w:val="005C6406"/>
    <w:rsid w:val="005C78F0"/>
    <w:rsid w:val="005D0D45"/>
    <w:rsid w:val="005D119A"/>
    <w:rsid w:val="005D2942"/>
    <w:rsid w:val="005D2BC6"/>
    <w:rsid w:val="005D5366"/>
    <w:rsid w:val="005D5FB1"/>
    <w:rsid w:val="005D64F8"/>
    <w:rsid w:val="005D69D1"/>
    <w:rsid w:val="005E2092"/>
    <w:rsid w:val="005E210D"/>
    <w:rsid w:val="005E2DA4"/>
    <w:rsid w:val="005F2425"/>
    <w:rsid w:val="005F2DBE"/>
    <w:rsid w:val="005F466E"/>
    <w:rsid w:val="005F5EC7"/>
    <w:rsid w:val="005F602D"/>
    <w:rsid w:val="005F7207"/>
    <w:rsid w:val="005F7FA6"/>
    <w:rsid w:val="005F7FCF"/>
    <w:rsid w:val="006027D2"/>
    <w:rsid w:val="00603F97"/>
    <w:rsid w:val="00607691"/>
    <w:rsid w:val="00607F5E"/>
    <w:rsid w:val="0061062C"/>
    <w:rsid w:val="00612C33"/>
    <w:rsid w:val="00612D36"/>
    <w:rsid w:val="00613026"/>
    <w:rsid w:val="00613183"/>
    <w:rsid w:val="006133F0"/>
    <w:rsid w:val="00613FA1"/>
    <w:rsid w:val="00616888"/>
    <w:rsid w:val="006176BE"/>
    <w:rsid w:val="0062021F"/>
    <w:rsid w:val="006212CB"/>
    <w:rsid w:val="00625294"/>
    <w:rsid w:val="00626CCB"/>
    <w:rsid w:val="006279F9"/>
    <w:rsid w:val="00627E79"/>
    <w:rsid w:val="00630D9A"/>
    <w:rsid w:val="006310FF"/>
    <w:rsid w:val="00632649"/>
    <w:rsid w:val="00632DF6"/>
    <w:rsid w:val="00633005"/>
    <w:rsid w:val="00634015"/>
    <w:rsid w:val="006369EE"/>
    <w:rsid w:val="0064167A"/>
    <w:rsid w:val="00642E51"/>
    <w:rsid w:val="0064700E"/>
    <w:rsid w:val="00650183"/>
    <w:rsid w:val="00650677"/>
    <w:rsid w:val="00651C65"/>
    <w:rsid w:val="00652A5E"/>
    <w:rsid w:val="00652EAC"/>
    <w:rsid w:val="00654AA1"/>
    <w:rsid w:val="00657A47"/>
    <w:rsid w:val="00661202"/>
    <w:rsid w:val="00663193"/>
    <w:rsid w:val="006631CF"/>
    <w:rsid w:val="0066727E"/>
    <w:rsid w:val="0067259E"/>
    <w:rsid w:val="006736A9"/>
    <w:rsid w:val="00673BC7"/>
    <w:rsid w:val="00673EB0"/>
    <w:rsid w:val="0067466E"/>
    <w:rsid w:val="00674975"/>
    <w:rsid w:val="00675D39"/>
    <w:rsid w:val="00681748"/>
    <w:rsid w:val="00684415"/>
    <w:rsid w:val="0068560B"/>
    <w:rsid w:val="00687C85"/>
    <w:rsid w:val="00690300"/>
    <w:rsid w:val="00690468"/>
    <w:rsid w:val="00692BE4"/>
    <w:rsid w:val="00697849"/>
    <w:rsid w:val="006A0265"/>
    <w:rsid w:val="006A1087"/>
    <w:rsid w:val="006A1277"/>
    <w:rsid w:val="006A2602"/>
    <w:rsid w:val="006A2D41"/>
    <w:rsid w:val="006A2DC9"/>
    <w:rsid w:val="006A4531"/>
    <w:rsid w:val="006A67E1"/>
    <w:rsid w:val="006B0335"/>
    <w:rsid w:val="006B4B31"/>
    <w:rsid w:val="006C36FB"/>
    <w:rsid w:val="006C5E10"/>
    <w:rsid w:val="006C7D62"/>
    <w:rsid w:val="006D0B23"/>
    <w:rsid w:val="006D0CCD"/>
    <w:rsid w:val="006D0F4F"/>
    <w:rsid w:val="006D140F"/>
    <w:rsid w:val="006D2D50"/>
    <w:rsid w:val="006D2ED6"/>
    <w:rsid w:val="006D5685"/>
    <w:rsid w:val="006E1987"/>
    <w:rsid w:val="006E23B2"/>
    <w:rsid w:val="006E26D6"/>
    <w:rsid w:val="006E3417"/>
    <w:rsid w:val="006E355F"/>
    <w:rsid w:val="006E3B05"/>
    <w:rsid w:val="006E50DD"/>
    <w:rsid w:val="006E5207"/>
    <w:rsid w:val="006E54A0"/>
    <w:rsid w:val="006F375D"/>
    <w:rsid w:val="006F5C70"/>
    <w:rsid w:val="006F66EB"/>
    <w:rsid w:val="006F6A20"/>
    <w:rsid w:val="006F6F6B"/>
    <w:rsid w:val="00703C86"/>
    <w:rsid w:val="0070412C"/>
    <w:rsid w:val="007043B7"/>
    <w:rsid w:val="007047B2"/>
    <w:rsid w:val="00704DE7"/>
    <w:rsid w:val="00706868"/>
    <w:rsid w:val="007078B8"/>
    <w:rsid w:val="00707F24"/>
    <w:rsid w:val="00710698"/>
    <w:rsid w:val="007119ED"/>
    <w:rsid w:val="00712504"/>
    <w:rsid w:val="00713001"/>
    <w:rsid w:val="007130A5"/>
    <w:rsid w:val="007144A0"/>
    <w:rsid w:val="00715E32"/>
    <w:rsid w:val="007162D1"/>
    <w:rsid w:val="00716463"/>
    <w:rsid w:val="0071706E"/>
    <w:rsid w:val="007202AF"/>
    <w:rsid w:val="00720A29"/>
    <w:rsid w:val="00727292"/>
    <w:rsid w:val="007275C0"/>
    <w:rsid w:val="007314B6"/>
    <w:rsid w:val="00733729"/>
    <w:rsid w:val="007343D0"/>
    <w:rsid w:val="00736D70"/>
    <w:rsid w:val="00737513"/>
    <w:rsid w:val="00742795"/>
    <w:rsid w:val="00742F6A"/>
    <w:rsid w:val="00743804"/>
    <w:rsid w:val="007446E8"/>
    <w:rsid w:val="00745CDA"/>
    <w:rsid w:val="007460FC"/>
    <w:rsid w:val="00747DFB"/>
    <w:rsid w:val="007502D6"/>
    <w:rsid w:val="00751553"/>
    <w:rsid w:val="0075165E"/>
    <w:rsid w:val="00754372"/>
    <w:rsid w:val="00754E10"/>
    <w:rsid w:val="00755FC7"/>
    <w:rsid w:val="00756B31"/>
    <w:rsid w:val="00757A0A"/>
    <w:rsid w:val="0076116B"/>
    <w:rsid w:val="00762A29"/>
    <w:rsid w:val="0076327D"/>
    <w:rsid w:val="007634FE"/>
    <w:rsid w:val="007656C8"/>
    <w:rsid w:val="00767745"/>
    <w:rsid w:val="0077052D"/>
    <w:rsid w:val="007707FC"/>
    <w:rsid w:val="00770BE3"/>
    <w:rsid w:val="0077177A"/>
    <w:rsid w:val="007719A0"/>
    <w:rsid w:val="00771B9D"/>
    <w:rsid w:val="007728A8"/>
    <w:rsid w:val="00773097"/>
    <w:rsid w:val="007758AF"/>
    <w:rsid w:val="00777DB4"/>
    <w:rsid w:val="007822A0"/>
    <w:rsid w:val="007822FD"/>
    <w:rsid w:val="00783A87"/>
    <w:rsid w:val="00785A76"/>
    <w:rsid w:val="00786731"/>
    <w:rsid w:val="00787723"/>
    <w:rsid w:val="00787852"/>
    <w:rsid w:val="00787981"/>
    <w:rsid w:val="00790B86"/>
    <w:rsid w:val="007915BC"/>
    <w:rsid w:val="00792C67"/>
    <w:rsid w:val="00793316"/>
    <w:rsid w:val="007967FA"/>
    <w:rsid w:val="00797E7A"/>
    <w:rsid w:val="007A08D1"/>
    <w:rsid w:val="007A0EA6"/>
    <w:rsid w:val="007A2D9E"/>
    <w:rsid w:val="007A3620"/>
    <w:rsid w:val="007A7004"/>
    <w:rsid w:val="007A7539"/>
    <w:rsid w:val="007B0381"/>
    <w:rsid w:val="007B07F8"/>
    <w:rsid w:val="007B0F3D"/>
    <w:rsid w:val="007B148D"/>
    <w:rsid w:val="007B18C8"/>
    <w:rsid w:val="007B2268"/>
    <w:rsid w:val="007B28DE"/>
    <w:rsid w:val="007B5D55"/>
    <w:rsid w:val="007B7A5F"/>
    <w:rsid w:val="007C033A"/>
    <w:rsid w:val="007C22DC"/>
    <w:rsid w:val="007C297C"/>
    <w:rsid w:val="007C2D33"/>
    <w:rsid w:val="007C36BE"/>
    <w:rsid w:val="007C3887"/>
    <w:rsid w:val="007C4DCF"/>
    <w:rsid w:val="007C635F"/>
    <w:rsid w:val="007C6AD2"/>
    <w:rsid w:val="007C6F82"/>
    <w:rsid w:val="007D02DA"/>
    <w:rsid w:val="007D53ED"/>
    <w:rsid w:val="007D6001"/>
    <w:rsid w:val="007D73DE"/>
    <w:rsid w:val="007D77ED"/>
    <w:rsid w:val="007D7F94"/>
    <w:rsid w:val="007E0391"/>
    <w:rsid w:val="007E1B76"/>
    <w:rsid w:val="007E219A"/>
    <w:rsid w:val="007E37BF"/>
    <w:rsid w:val="007E42C9"/>
    <w:rsid w:val="007E6593"/>
    <w:rsid w:val="007F0606"/>
    <w:rsid w:val="007F096F"/>
    <w:rsid w:val="007F1101"/>
    <w:rsid w:val="007F2CB1"/>
    <w:rsid w:val="007F34E2"/>
    <w:rsid w:val="007F4683"/>
    <w:rsid w:val="007F6BDC"/>
    <w:rsid w:val="00803D20"/>
    <w:rsid w:val="00803ED0"/>
    <w:rsid w:val="00807AD0"/>
    <w:rsid w:val="00810007"/>
    <w:rsid w:val="00810691"/>
    <w:rsid w:val="008109CB"/>
    <w:rsid w:val="008112A0"/>
    <w:rsid w:val="0081190A"/>
    <w:rsid w:val="0081353A"/>
    <w:rsid w:val="00814827"/>
    <w:rsid w:val="0081696D"/>
    <w:rsid w:val="00816E01"/>
    <w:rsid w:val="008173D0"/>
    <w:rsid w:val="008221DA"/>
    <w:rsid w:val="00822214"/>
    <w:rsid w:val="00823235"/>
    <w:rsid w:val="008243E9"/>
    <w:rsid w:val="00824922"/>
    <w:rsid w:val="008249F1"/>
    <w:rsid w:val="00824AF2"/>
    <w:rsid w:val="0082593A"/>
    <w:rsid w:val="00826686"/>
    <w:rsid w:val="008312EA"/>
    <w:rsid w:val="00835563"/>
    <w:rsid w:val="00836511"/>
    <w:rsid w:val="00836B02"/>
    <w:rsid w:val="00836EC6"/>
    <w:rsid w:val="008370FD"/>
    <w:rsid w:val="0083725F"/>
    <w:rsid w:val="0083741E"/>
    <w:rsid w:val="00837985"/>
    <w:rsid w:val="00840E3D"/>
    <w:rsid w:val="008417C7"/>
    <w:rsid w:val="008418D9"/>
    <w:rsid w:val="00841D8C"/>
    <w:rsid w:val="00842220"/>
    <w:rsid w:val="008437A2"/>
    <w:rsid w:val="00844111"/>
    <w:rsid w:val="00844F74"/>
    <w:rsid w:val="00845C14"/>
    <w:rsid w:val="00845F98"/>
    <w:rsid w:val="00846382"/>
    <w:rsid w:val="00850F57"/>
    <w:rsid w:val="00852478"/>
    <w:rsid w:val="008536C2"/>
    <w:rsid w:val="008600C7"/>
    <w:rsid w:val="008617D0"/>
    <w:rsid w:val="00861A60"/>
    <w:rsid w:val="00862357"/>
    <w:rsid w:val="00862D02"/>
    <w:rsid w:val="00862DAE"/>
    <w:rsid w:val="008631E8"/>
    <w:rsid w:val="00863728"/>
    <w:rsid w:val="008637B9"/>
    <w:rsid w:val="0086395C"/>
    <w:rsid w:val="00864194"/>
    <w:rsid w:val="00870399"/>
    <w:rsid w:val="008706F9"/>
    <w:rsid w:val="0087097C"/>
    <w:rsid w:val="008711EC"/>
    <w:rsid w:val="008718FE"/>
    <w:rsid w:val="00871B5D"/>
    <w:rsid w:val="00871EA0"/>
    <w:rsid w:val="00872946"/>
    <w:rsid w:val="00881B3A"/>
    <w:rsid w:val="00881C41"/>
    <w:rsid w:val="00882EE6"/>
    <w:rsid w:val="0088303D"/>
    <w:rsid w:val="00883928"/>
    <w:rsid w:val="00883DDE"/>
    <w:rsid w:val="00885386"/>
    <w:rsid w:val="00886D35"/>
    <w:rsid w:val="008910D0"/>
    <w:rsid w:val="00891D73"/>
    <w:rsid w:val="00892A44"/>
    <w:rsid w:val="008A1C4A"/>
    <w:rsid w:val="008A2DE8"/>
    <w:rsid w:val="008A312D"/>
    <w:rsid w:val="008A3E09"/>
    <w:rsid w:val="008A3E57"/>
    <w:rsid w:val="008A5EFF"/>
    <w:rsid w:val="008A62F7"/>
    <w:rsid w:val="008A77A7"/>
    <w:rsid w:val="008B24C8"/>
    <w:rsid w:val="008B3F34"/>
    <w:rsid w:val="008C0487"/>
    <w:rsid w:val="008C1228"/>
    <w:rsid w:val="008C265C"/>
    <w:rsid w:val="008C56B9"/>
    <w:rsid w:val="008C5BF9"/>
    <w:rsid w:val="008D05E0"/>
    <w:rsid w:val="008D0F88"/>
    <w:rsid w:val="008D1C82"/>
    <w:rsid w:val="008D2600"/>
    <w:rsid w:val="008D4630"/>
    <w:rsid w:val="008D494B"/>
    <w:rsid w:val="008D5923"/>
    <w:rsid w:val="008E0AC0"/>
    <w:rsid w:val="008E1462"/>
    <w:rsid w:val="008E221A"/>
    <w:rsid w:val="008E3FFE"/>
    <w:rsid w:val="008E60BE"/>
    <w:rsid w:val="008E6B74"/>
    <w:rsid w:val="008E7186"/>
    <w:rsid w:val="008F0FAF"/>
    <w:rsid w:val="008F158F"/>
    <w:rsid w:val="008F22F0"/>
    <w:rsid w:val="008F25B9"/>
    <w:rsid w:val="008F4262"/>
    <w:rsid w:val="008F46CD"/>
    <w:rsid w:val="008F6480"/>
    <w:rsid w:val="008F7740"/>
    <w:rsid w:val="008F7B81"/>
    <w:rsid w:val="00900CA2"/>
    <w:rsid w:val="0090348C"/>
    <w:rsid w:val="00903653"/>
    <w:rsid w:val="009076A5"/>
    <w:rsid w:val="00910A52"/>
    <w:rsid w:val="00911479"/>
    <w:rsid w:val="009126F6"/>
    <w:rsid w:val="0091484D"/>
    <w:rsid w:val="00915B7E"/>
    <w:rsid w:val="00920E4A"/>
    <w:rsid w:val="0092318C"/>
    <w:rsid w:val="00925555"/>
    <w:rsid w:val="00925E71"/>
    <w:rsid w:val="00931578"/>
    <w:rsid w:val="0093329F"/>
    <w:rsid w:val="00933D2D"/>
    <w:rsid w:val="00934679"/>
    <w:rsid w:val="009365E3"/>
    <w:rsid w:val="00937043"/>
    <w:rsid w:val="00943FF5"/>
    <w:rsid w:val="009444FA"/>
    <w:rsid w:val="009445D3"/>
    <w:rsid w:val="009468FA"/>
    <w:rsid w:val="00947BF2"/>
    <w:rsid w:val="009558BF"/>
    <w:rsid w:val="00955A8A"/>
    <w:rsid w:val="00955CD9"/>
    <w:rsid w:val="00960E9C"/>
    <w:rsid w:val="00960FDF"/>
    <w:rsid w:val="0096400D"/>
    <w:rsid w:val="00965A18"/>
    <w:rsid w:val="00966600"/>
    <w:rsid w:val="009671D9"/>
    <w:rsid w:val="00971352"/>
    <w:rsid w:val="00975D2C"/>
    <w:rsid w:val="00975E5B"/>
    <w:rsid w:val="00977333"/>
    <w:rsid w:val="0097738D"/>
    <w:rsid w:val="00977C8F"/>
    <w:rsid w:val="00977F94"/>
    <w:rsid w:val="0098078E"/>
    <w:rsid w:val="00980F55"/>
    <w:rsid w:val="00982D05"/>
    <w:rsid w:val="00983A8B"/>
    <w:rsid w:val="00985410"/>
    <w:rsid w:val="009863E9"/>
    <w:rsid w:val="00987D04"/>
    <w:rsid w:val="00991CC0"/>
    <w:rsid w:val="00992E20"/>
    <w:rsid w:val="009936FC"/>
    <w:rsid w:val="00993925"/>
    <w:rsid w:val="00993977"/>
    <w:rsid w:val="00994CCB"/>
    <w:rsid w:val="00997529"/>
    <w:rsid w:val="009A05D1"/>
    <w:rsid w:val="009A28AC"/>
    <w:rsid w:val="009A3A5B"/>
    <w:rsid w:val="009A3F2A"/>
    <w:rsid w:val="009A4B18"/>
    <w:rsid w:val="009A5762"/>
    <w:rsid w:val="009B2AAC"/>
    <w:rsid w:val="009B3521"/>
    <w:rsid w:val="009B541C"/>
    <w:rsid w:val="009B5D90"/>
    <w:rsid w:val="009B6DDF"/>
    <w:rsid w:val="009C4213"/>
    <w:rsid w:val="009C4460"/>
    <w:rsid w:val="009C627D"/>
    <w:rsid w:val="009C6F79"/>
    <w:rsid w:val="009D0508"/>
    <w:rsid w:val="009D2FC9"/>
    <w:rsid w:val="009D4EB8"/>
    <w:rsid w:val="009D7192"/>
    <w:rsid w:val="009E0E38"/>
    <w:rsid w:val="009E1A35"/>
    <w:rsid w:val="009E41BD"/>
    <w:rsid w:val="009E5E0F"/>
    <w:rsid w:val="009E6F9B"/>
    <w:rsid w:val="009E7B17"/>
    <w:rsid w:val="009F09AA"/>
    <w:rsid w:val="009F2C16"/>
    <w:rsid w:val="009F2C1B"/>
    <w:rsid w:val="009F335C"/>
    <w:rsid w:val="009F380B"/>
    <w:rsid w:val="009F49E0"/>
    <w:rsid w:val="00A002B5"/>
    <w:rsid w:val="00A0260C"/>
    <w:rsid w:val="00A02B02"/>
    <w:rsid w:val="00A041B5"/>
    <w:rsid w:val="00A044FC"/>
    <w:rsid w:val="00A04F8C"/>
    <w:rsid w:val="00A05158"/>
    <w:rsid w:val="00A06942"/>
    <w:rsid w:val="00A13BF5"/>
    <w:rsid w:val="00A14837"/>
    <w:rsid w:val="00A1533C"/>
    <w:rsid w:val="00A17B6C"/>
    <w:rsid w:val="00A20E14"/>
    <w:rsid w:val="00A225E3"/>
    <w:rsid w:val="00A23A26"/>
    <w:rsid w:val="00A24A8F"/>
    <w:rsid w:val="00A25708"/>
    <w:rsid w:val="00A25BF0"/>
    <w:rsid w:val="00A2629D"/>
    <w:rsid w:val="00A2639F"/>
    <w:rsid w:val="00A27BC2"/>
    <w:rsid w:val="00A3026E"/>
    <w:rsid w:val="00A31F2E"/>
    <w:rsid w:val="00A34146"/>
    <w:rsid w:val="00A379C8"/>
    <w:rsid w:val="00A41D6D"/>
    <w:rsid w:val="00A4576A"/>
    <w:rsid w:val="00A45AD0"/>
    <w:rsid w:val="00A45EE9"/>
    <w:rsid w:val="00A47111"/>
    <w:rsid w:val="00A478E9"/>
    <w:rsid w:val="00A5141F"/>
    <w:rsid w:val="00A52177"/>
    <w:rsid w:val="00A52D47"/>
    <w:rsid w:val="00A53C14"/>
    <w:rsid w:val="00A55AA8"/>
    <w:rsid w:val="00A56C90"/>
    <w:rsid w:val="00A60BE1"/>
    <w:rsid w:val="00A61410"/>
    <w:rsid w:val="00A6198A"/>
    <w:rsid w:val="00A639C4"/>
    <w:rsid w:val="00A65108"/>
    <w:rsid w:val="00A7067F"/>
    <w:rsid w:val="00A707A7"/>
    <w:rsid w:val="00A718FD"/>
    <w:rsid w:val="00A72341"/>
    <w:rsid w:val="00A7258D"/>
    <w:rsid w:val="00A73BF1"/>
    <w:rsid w:val="00A7410B"/>
    <w:rsid w:val="00A74A6E"/>
    <w:rsid w:val="00A774D1"/>
    <w:rsid w:val="00A776ED"/>
    <w:rsid w:val="00A80E50"/>
    <w:rsid w:val="00A8137F"/>
    <w:rsid w:val="00A81D07"/>
    <w:rsid w:val="00A83663"/>
    <w:rsid w:val="00A83B0F"/>
    <w:rsid w:val="00A84216"/>
    <w:rsid w:val="00A847F9"/>
    <w:rsid w:val="00A8534B"/>
    <w:rsid w:val="00A8695D"/>
    <w:rsid w:val="00A90161"/>
    <w:rsid w:val="00A90BFA"/>
    <w:rsid w:val="00A919AF"/>
    <w:rsid w:val="00A92BF3"/>
    <w:rsid w:val="00A943C8"/>
    <w:rsid w:val="00A94873"/>
    <w:rsid w:val="00A94BDA"/>
    <w:rsid w:val="00A950A4"/>
    <w:rsid w:val="00A9520D"/>
    <w:rsid w:val="00A966C2"/>
    <w:rsid w:val="00A9747D"/>
    <w:rsid w:val="00AA00A6"/>
    <w:rsid w:val="00AA448F"/>
    <w:rsid w:val="00AA4E57"/>
    <w:rsid w:val="00AA6BA8"/>
    <w:rsid w:val="00AA7A4C"/>
    <w:rsid w:val="00AA7F5A"/>
    <w:rsid w:val="00AB0131"/>
    <w:rsid w:val="00AB2340"/>
    <w:rsid w:val="00AB2C95"/>
    <w:rsid w:val="00AB4029"/>
    <w:rsid w:val="00AB4A69"/>
    <w:rsid w:val="00AB5FE4"/>
    <w:rsid w:val="00AB6515"/>
    <w:rsid w:val="00AB659D"/>
    <w:rsid w:val="00AC04DA"/>
    <w:rsid w:val="00AC123A"/>
    <w:rsid w:val="00AC229F"/>
    <w:rsid w:val="00AC6BF0"/>
    <w:rsid w:val="00AC7E44"/>
    <w:rsid w:val="00AD34FD"/>
    <w:rsid w:val="00AD5D75"/>
    <w:rsid w:val="00AD7671"/>
    <w:rsid w:val="00AD7F66"/>
    <w:rsid w:val="00AE115C"/>
    <w:rsid w:val="00AE2D97"/>
    <w:rsid w:val="00AE32E5"/>
    <w:rsid w:val="00AE3FDF"/>
    <w:rsid w:val="00AE53E8"/>
    <w:rsid w:val="00AE6FE4"/>
    <w:rsid w:val="00AE78C8"/>
    <w:rsid w:val="00AF2059"/>
    <w:rsid w:val="00AF3D84"/>
    <w:rsid w:val="00AF4161"/>
    <w:rsid w:val="00AF4173"/>
    <w:rsid w:val="00AF580B"/>
    <w:rsid w:val="00AF6AAA"/>
    <w:rsid w:val="00AF783A"/>
    <w:rsid w:val="00B007C8"/>
    <w:rsid w:val="00B01FC7"/>
    <w:rsid w:val="00B02CFF"/>
    <w:rsid w:val="00B06337"/>
    <w:rsid w:val="00B06392"/>
    <w:rsid w:val="00B117B9"/>
    <w:rsid w:val="00B11E07"/>
    <w:rsid w:val="00B14410"/>
    <w:rsid w:val="00B14A6C"/>
    <w:rsid w:val="00B1558D"/>
    <w:rsid w:val="00B15E61"/>
    <w:rsid w:val="00B17FD3"/>
    <w:rsid w:val="00B20E58"/>
    <w:rsid w:val="00B24F35"/>
    <w:rsid w:val="00B2609D"/>
    <w:rsid w:val="00B32C88"/>
    <w:rsid w:val="00B34747"/>
    <w:rsid w:val="00B360BE"/>
    <w:rsid w:val="00B36E55"/>
    <w:rsid w:val="00B36F5A"/>
    <w:rsid w:val="00B402D6"/>
    <w:rsid w:val="00B419BA"/>
    <w:rsid w:val="00B419F0"/>
    <w:rsid w:val="00B424B7"/>
    <w:rsid w:val="00B42E01"/>
    <w:rsid w:val="00B42E49"/>
    <w:rsid w:val="00B44906"/>
    <w:rsid w:val="00B4654D"/>
    <w:rsid w:val="00B4788E"/>
    <w:rsid w:val="00B50903"/>
    <w:rsid w:val="00B52F71"/>
    <w:rsid w:val="00B54BD7"/>
    <w:rsid w:val="00B56B21"/>
    <w:rsid w:val="00B57B9D"/>
    <w:rsid w:val="00B62FFE"/>
    <w:rsid w:val="00B63E7F"/>
    <w:rsid w:val="00B65013"/>
    <w:rsid w:val="00B70612"/>
    <w:rsid w:val="00B7123A"/>
    <w:rsid w:val="00B71398"/>
    <w:rsid w:val="00B7435C"/>
    <w:rsid w:val="00B76F38"/>
    <w:rsid w:val="00B8085D"/>
    <w:rsid w:val="00B81816"/>
    <w:rsid w:val="00B81A0C"/>
    <w:rsid w:val="00B81EFF"/>
    <w:rsid w:val="00B836BB"/>
    <w:rsid w:val="00B838C7"/>
    <w:rsid w:val="00B84122"/>
    <w:rsid w:val="00B862B0"/>
    <w:rsid w:val="00B87268"/>
    <w:rsid w:val="00B90AAA"/>
    <w:rsid w:val="00B933EE"/>
    <w:rsid w:val="00B96816"/>
    <w:rsid w:val="00BA1AF4"/>
    <w:rsid w:val="00BA2B7C"/>
    <w:rsid w:val="00BA31CA"/>
    <w:rsid w:val="00BA44C8"/>
    <w:rsid w:val="00BA5AB8"/>
    <w:rsid w:val="00BA6401"/>
    <w:rsid w:val="00BA771A"/>
    <w:rsid w:val="00BB142A"/>
    <w:rsid w:val="00BB1A45"/>
    <w:rsid w:val="00BB2DD4"/>
    <w:rsid w:val="00BB34B9"/>
    <w:rsid w:val="00BB35C2"/>
    <w:rsid w:val="00BB4C77"/>
    <w:rsid w:val="00BB553B"/>
    <w:rsid w:val="00BC28D7"/>
    <w:rsid w:val="00BC376C"/>
    <w:rsid w:val="00BC3955"/>
    <w:rsid w:val="00BC5919"/>
    <w:rsid w:val="00BC6321"/>
    <w:rsid w:val="00BC7817"/>
    <w:rsid w:val="00BD37EA"/>
    <w:rsid w:val="00BD3819"/>
    <w:rsid w:val="00BD642D"/>
    <w:rsid w:val="00BD6756"/>
    <w:rsid w:val="00BD68D1"/>
    <w:rsid w:val="00BD6988"/>
    <w:rsid w:val="00BE1549"/>
    <w:rsid w:val="00BE1A77"/>
    <w:rsid w:val="00BE1D70"/>
    <w:rsid w:val="00BE3736"/>
    <w:rsid w:val="00BE4742"/>
    <w:rsid w:val="00BE7383"/>
    <w:rsid w:val="00BE754D"/>
    <w:rsid w:val="00BE7CCE"/>
    <w:rsid w:val="00BF1A1A"/>
    <w:rsid w:val="00BF1DB9"/>
    <w:rsid w:val="00BF2DB8"/>
    <w:rsid w:val="00BF3322"/>
    <w:rsid w:val="00BF6D10"/>
    <w:rsid w:val="00BF6E79"/>
    <w:rsid w:val="00C006BD"/>
    <w:rsid w:val="00C029C8"/>
    <w:rsid w:val="00C03F6C"/>
    <w:rsid w:val="00C0573A"/>
    <w:rsid w:val="00C0581A"/>
    <w:rsid w:val="00C06A57"/>
    <w:rsid w:val="00C06BC9"/>
    <w:rsid w:val="00C12108"/>
    <w:rsid w:val="00C121D9"/>
    <w:rsid w:val="00C122AA"/>
    <w:rsid w:val="00C13453"/>
    <w:rsid w:val="00C20F4E"/>
    <w:rsid w:val="00C220F9"/>
    <w:rsid w:val="00C24A5F"/>
    <w:rsid w:val="00C2541C"/>
    <w:rsid w:val="00C25736"/>
    <w:rsid w:val="00C26862"/>
    <w:rsid w:val="00C2787C"/>
    <w:rsid w:val="00C30458"/>
    <w:rsid w:val="00C31DA6"/>
    <w:rsid w:val="00C32493"/>
    <w:rsid w:val="00C331B9"/>
    <w:rsid w:val="00C33260"/>
    <w:rsid w:val="00C34878"/>
    <w:rsid w:val="00C429DB"/>
    <w:rsid w:val="00C4598F"/>
    <w:rsid w:val="00C50360"/>
    <w:rsid w:val="00C54289"/>
    <w:rsid w:val="00C54E12"/>
    <w:rsid w:val="00C5537C"/>
    <w:rsid w:val="00C55468"/>
    <w:rsid w:val="00C603A3"/>
    <w:rsid w:val="00C613E7"/>
    <w:rsid w:val="00C622C3"/>
    <w:rsid w:val="00C63BD5"/>
    <w:rsid w:val="00C64C02"/>
    <w:rsid w:val="00C74906"/>
    <w:rsid w:val="00C778F1"/>
    <w:rsid w:val="00C778FE"/>
    <w:rsid w:val="00C800BA"/>
    <w:rsid w:val="00C81B40"/>
    <w:rsid w:val="00C81FEA"/>
    <w:rsid w:val="00C83969"/>
    <w:rsid w:val="00C83EF4"/>
    <w:rsid w:val="00C841C7"/>
    <w:rsid w:val="00C862AC"/>
    <w:rsid w:val="00C86C95"/>
    <w:rsid w:val="00C87CAA"/>
    <w:rsid w:val="00C96195"/>
    <w:rsid w:val="00CA01EC"/>
    <w:rsid w:val="00CA05EB"/>
    <w:rsid w:val="00CA1740"/>
    <w:rsid w:val="00CA3515"/>
    <w:rsid w:val="00CA37B3"/>
    <w:rsid w:val="00CA3A05"/>
    <w:rsid w:val="00CA5F7B"/>
    <w:rsid w:val="00CA789D"/>
    <w:rsid w:val="00CB14E9"/>
    <w:rsid w:val="00CB35C9"/>
    <w:rsid w:val="00CB4396"/>
    <w:rsid w:val="00CB61E6"/>
    <w:rsid w:val="00CB6D90"/>
    <w:rsid w:val="00CB72C3"/>
    <w:rsid w:val="00CC12ED"/>
    <w:rsid w:val="00CC23BC"/>
    <w:rsid w:val="00CC42F8"/>
    <w:rsid w:val="00CC450A"/>
    <w:rsid w:val="00CC45E4"/>
    <w:rsid w:val="00CC71F4"/>
    <w:rsid w:val="00CD019F"/>
    <w:rsid w:val="00CD258F"/>
    <w:rsid w:val="00CD2747"/>
    <w:rsid w:val="00CD27C5"/>
    <w:rsid w:val="00CD437C"/>
    <w:rsid w:val="00CD4833"/>
    <w:rsid w:val="00CD63D5"/>
    <w:rsid w:val="00CE228C"/>
    <w:rsid w:val="00CE2F8A"/>
    <w:rsid w:val="00CE3433"/>
    <w:rsid w:val="00CE355B"/>
    <w:rsid w:val="00CE38E4"/>
    <w:rsid w:val="00CE4169"/>
    <w:rsid w:val="00CE48F6"/>
    <w:rsid w:val="00CE75A2"/>
    <w:rsid w:val="00CE7894"/>
    <w:rsid w:val="00CF06A1"/>
    <w:rsid w:val="00CF089B"/>
    <w:rsid w:val="00CF1467"/>
    <w:rsid w:val="00CF1609"/>
    <w:rsid w:val="00CF1B1B"/>
    <w:rsid w:val="00CF3010"/>
    <w:rsid w:val="00CF38F4"/>
    <w:rsid w:val="00CF43B5"/>
    <w:rsid w:val="00CF48D6"/>
    <w:rsid w:val="00CF57D6"/>
    <w:rsid w:val="00CF6C1B"/>
    <w:rsid w:val="00D019D5"/>
    <w:rsid w:val="00D0350F"/>
    <w:rsid w:val="00D040FE"/>
    <w:rsid w:val="00D11494"/>
    <w:rsid w:val="00D114D7"/>
    <w:rsid w:val="00D168FD"/>
    <w:rsid w:val="00D16F64"/>
    <w:rsid w:val="00D17755"/>
    <w:rsid w:val="00D206AF"/>
    <w:rsid w:val="00D21B4A"/>
    <w:rsid w:val="00D22150"/>
    <w:rsid w:val="00D226BF"/>
    <w:rsid w:val="00D22D3C"/>
    <w:rsid w:val="00D23A18"/>
    <w:rsid w:val="00D2472C"/>
    <w:rsid w:val="00D25169"/>
    <w:rsid w:val="00D2579E"/>
    <w:rsid w:val="00D26299"/>
    <w:rsid w:val="00D26D2F"/>
    <w:rsid w:val="00D279BA"/>
    <w:rsid w:val="00D320DB"/>
    <w:rsid w:val="00D33060"/>
    <w:rsid w:val="00D36FAC"/>
    <w:rsid w:val="00D373DA"/>
    <w:rsid w:val="00D4035E"/>
    <w:rsid w:val="00D404B5"/>
    <w:rsid w:val="00D40940"/>
    <w:rsid w:val="00D42524"/>
    <w:rsid w:val="00D447CB"/>
    <w:rsid w:val="00D44C2B"/>
    <w:rsid w:val="00D47D16"/>
    <w:rsid w:val="00D505F4"/>
    <w:rsid w:val="00D51CE1"/>
    <w:rsid w:val="00D562F2"/>
    <w:rsid w:val="00D57A37"/>
    <w:rsid w:val="00D61B93"/>
    <w:rsid w:val="00D659A6"/>
    <w:rsid w:val="00D674F7"/>
    <w:rsid w:val="00D67E4A"/>
    <w:rsid w:val="00D718E7"/>
    <w:rsid w:val="00D743D2"/>
    <w:rsid w:val="00D74699"/>
    <w:rsid w:val="00D763FD"/>
    <w:rsid w:val="00D771D2"/>
    <w:rsid w:val="00D80259"/>
    <w:rsid w:val="00D854BA"/>
    <w:rsid w:val="00D87FA9"/>
    <w:rsid w:val="00D90AD1"/>
    <w:rsid w:val="00D90D48"/>
    <w:rsid w:val="00D91B88"/>
    <w:rsid w:val="00D920BD"/>
    <w:rsid w:val="00D941F7"/>
    <w:rsid w:val="00D957CC"/>
    <w:rsid w:val="00D968EF"/>
    <w:rsid w:val="00DA107B"/>
    <w:rsid w:val="00DA140C"/>
    <w:rsid w:val="00DA2E5B"/>
    <w:rsid w:val="00DA38AB"/>
    <w:rsid w:val="00DA4DDF"/>
    <w:rsid w:val="00DB01E1"/>
    <w:rsid w:val="00DB0804"/>
    <w:rsid w:val="00DB2426"/>
    <w:rsid w:val="00DB2FC4"/>
    <w:rsid w:val="00DB4D3B"/>
    <w:rsid w:val="00DB6621"/>
    <w:rsid w:val="00DB6F5F"/>
    <w:rsid w:val="00DC382A"/>
    <w:rsid w:val="00DD015E"/>
    <w:rsid w:val="00DD21F4"/>
    <w:rsid w:val="00DD22D2"/>
    <w:rsid w:val="00DD2EC7"/>
    <w:rsid w:val="00DD44FA"/>
    <w:rsid w:val="00DE1923"/>
    <w:rsid w:val="00DE2B33"/>
    <w:rsid w:val="00DE3672"/>
    <w:rsid w:val="00DE638B"/>
    <w:rsid w:val="00DE72EE"/>
    <w:rsid w:val="00DE788E"/>
    <w:rsid w:val="00DF37E5"/>
    <w:rsid w:val="00DF6600"/>
    <w:rsid w:val="00DF684D"/>
    <w:rsid w:val="00DF6A0F"/>
    <w:rsid w:val="00E00273"/>
    <w:rsid w:val="00E00C2E"/>
    <w:rsid w:val="00E01A3E"/>
    <w:rsid w:val="00E034FE"/>
    <w:rsid w:val="00E035E2"/>
    <w:rsid w:val="00E041E5"/>
    <w:rsid w:val="00E04888"/>
    <w:rsid w:val="00E0499C"/>
    <w:rsid w:val="00E0541F"/>
    <w:rsid w:val="00E06076"/>
    <w:rsid w:val="00E0763B"/>
    <w:rsid w:val="00E10302"/>
    <w:rsid w:val="00E110D2"/>
    <w:rsid w:val="00E1401C"/>
    <w:rsid w:val="00E16C7D"/>
    <w:rsid w:val="00E179B9"/>
    <w:rsid w:val="00E179EE"/>
    <w:rsid w:val="00E17B85"/>
    <w:rsid w:val="00E17EC5"/>
    <w:rsid w:val="00E20723"/>
    <w:rsid w:val="00E21B26"/>
    <w:rsid w:val="00E25E84"/>
    <w:rsid w:val="00E25F69"/>
    <w:rsid w:val="00E26BFD"/>
    <w:rsid w:val="00E2767C"/>
    <w:rsid w:val="00E2769A"/>
    <w:rsid w:val="00E27E90"/>
    <w:rsid w:val="00E30299"/>
    <w:rsid w:val="00E33D02"/>
    <w:rsid w:val="00E3403B"/>
    <w:rsid w:val="00E34F2C"/>
    <w:rsid w:val="00E35578"/>
    <w:rsid w:val="00E35D79"/>
    <w:rsid w:val="00E36D00"/>
    <w:rsid w:val="00E36EA9"/>
    <w:rsid w:val="00E4168B"/>
    <w:rsid w:val="00E41E59"/>
    <w:rsid w:val="00E4224A"/>
    <w:rsid w:val="00E4641E"/>
    <w:rsid w:val="00E46FF5"/>
    <w:rsid w:val="00E519AE"/>
    <w:rsid w:val="00E54E42"/>
    <w:rsid w:val="00E57AF7"/>
    <w:rsid w:val="00E6241B"/>
    <w:rsid w:val="00E63C83"/>
    <w:rsid w:val="00E64456"/>
    <w:rsid w:val="00E64FCC"/>
    <w:rsid w:val="00E65371"/>
    <w:rsid w:val="00E656CF"/>
    <w:rsid w:val="00E703B6"/>
    <w:rsid w:val="00E7049D"/>
    <w:rsid w:val="00E709C8"/>
    <w:rsid w:val="00E70EC9"/>
    <w:rsid w:val="00E72200"/>
    <w:rsid w:val="00E72B1B"/>
    <w:rsid w:val="00E742F9"/>
    <w:rsid w:val="00E747CA"/>
    <w:rsid w:val="00E75D47"/>
    <w:rsid w:val="00E766F5"/>
    <w:rsid w:val="00E76F68"/>
    <w:rsid w:val="00E82948"/>
    <w:rsid w:val="00E85602"/>
    <w:rsid w:val="00E90218"/>
    <w:rsid w:val="00E913BB"/>
    <w:rsid w:val="00E93744"/>
    <w:rsid w:val="00E957AC"/>
    <w:rsid w:val="00E95BCC"/>
    <w:rsid w:val="00E95F2E"/>
    <w:rsid w:val="00EA1508"/>
    <w:rsid w:val="00EA1541"/>
    <w:rsid w:val="00EA32E4"/>
    <w:rsid w:val="00EA58D6"/>
    <w:rsid w:val="00EA7E36"/>
    <w:rsid w:val="00EB0898"/>
    <w:rsid w:val="00EB2578"/>
    <w:rsid w:val="00EB2BFF"/>
    <w:rsid w:val="00EB3B81"/>
    <w:rsid w:val="00EB627B"/>
    <w:rsid w:val="00EB6705"/>
    <w:rsid w:val="00EB6C9F"/>
    <w:rsid w:val="00EB6D94"/>
    <w:rsid w:val="00EC3A63"/>
    <w:rsid w:val="00EC4183"/>
    <w:rsid w:val="00EC6468"/>
    <w:rsid w:val="00EC6708"/>
    <w:rsid w:val="00ED038F"/>
    <w:rsid w:val="00ED0ABE"/>
    <w:rsid w:val="00ED120A"/>
    <w:rsid w:val="00ED207C"/>
    <w:rsid w:val="00ED325A"/>
    <w:rsid w:val="00ED3F41"/>
    <w:rsid w:val="00ED5615"/>
    <w:rsid w:val="00ED5C9A"/>
    <w:rsid w:val="00ED692E"/>
    <w:rsid w:val="00ED69AF"/>
    <w:rsid w:val="00EE1847"/>
    <w:rsid w:val="00EE240E"/>
    <w:rsid w:val="00EE5096"/>
    <w:rsid w:val="00EE688E"/>
    <w:rsid w:val="00EE6A6D"/>
    <w:rsid w:val="00EE74A5"/>
    <w:rsid w:val="00EF03E2"/>
    <w:rsid w:val="00EF134E"/>
    <w:rsid w:val="00EF20F3"/>
    <w:rsid w:val="00EF3FC0"/>
    <w:rsid w:val="00EF65A0"/>
    <w:rsid w:val="00EF7F8B"/>
    <w:rsid w:val="00F02D6F"/>
    <w:rsid w:val="00F03814"/>
    <w:rsid w:val="00F058FE"/>
    <w:rsid w:val="00F05ADD"/>
    <w:rsid w:val="00F05FB9"/>
    <w:rsid w:val="00F06213"/>
    <w:rsid w:val="00F0719B"/>
    <w:rsid w:val="00F07A09"/>
    <w:rsid w:val="00F07B2D"/>
    <w:rsid w:val="00F11467"/>
    <w:rsid w:val="00F1373D"/>
    <w:rsid w:val="00F1390C"/>
    <w:rsid w:val="00F14D98"/>
    <w:rsid w:val="00F1571C"/>
    <w:rsid w:val="00F20C5E"/>
    <w:rsid w:val="00F2402D"/>
    <w:rsid w:val="00F30CC5"/>
    <w:rsid w:val="00F30E92"/>
    <w:rsid w:val="00F34AB6"/>
    <w:rsid w:val="00F3537A"/>
    <w:rsid w:val="00F36886"/>
    <w:rsid w:val="00F36A1D"/>
    <w:rsid w:val="00F37746"/>
    <w:rsid w:val="00F427B2"/>
    <w:rsid w:val="00F4287E"/>
    <w:rsid w:val="00F44278"/>
    <w:rsid w:val="00F450AA"/>
    <w:rsid w:val="00F46DE6"/>
    <w:rsid w:val="00F46F6C"/>
    <w:rsid w:val="00F47695"/>
    <w:rsid w:val="00F502D2"/>
    <w:rsid w:val="00F51B65"/>
    <w:rsid w:val="00F52AAB"/>
    <w:rsid w:val="00F52EB6"/>
    <w:rsid w:val="00F5359C"/>
    <w:rsid w:val="00F55260"/>
    <w:rsid w:val="00F553E5"/>
    <w:rsid w:val="00F6316B"/>
    <w:rsid w:val="00F6439A"/>
    <w:rsid w:val="00F64545"/>
    <w:rsid w:val="00F65AE0"/>
    <w:rsid w:val="00F70B20"/>
    <w:rsid w:val="00F73303"/>
    <w:rsid w:val="00F74E38"/>
    <w:rsid w:val="00F751A3"/>
    <w:rsid w:val="00F751D9"/>
    <w:rsid w:val="00F76BF5"/>
    <w:rsid w:val="00F76D6F"/>
    <w:rsid w:val="00F778B0"/>
    <w:rsid w:val="00F80941"/>
    <w:rsid w:val="00F816A3"/>
    <w:rsid w:val="00F83BC2"/>
    <w:rsid w:val="00F83C98"/>
    <w:rsid w:val="00F86871"/>
    <w:rsid w:val="00F91455"/>
    <w:rsid w:val="00F92396"/>
    <w:rsid w:val="00F92EC1"/>
    <w:rsid w:val="00F9478C"/>
    <w:rsid w:val="00F94C47"/>
    <w:rsid w:val="00F95D0A"/>
    <w:rsid w:val="00FA0421"/>
    <w:rsid w:val="00FA0EF3"/>
    <w:rsid w:val="00FA0F13"/>
    <w:rsid w:val="00FA1C94"/>
    <w:rsid w:val="00FA3389"/>
    <w:rsid w:val="00FA3476"/>
    <w:rsid w:val="00FA495F"/>
    <w:rsid w:val="00FA50EB"/>
    <w:rsid w:val="00FB0C10"/>
    <w:rsid w:val="00FB1680"/>
    <w:rsid w:val="00FB3C36"/>
    <w:rsid w:val="00FB4280"/>
    <w:rsid w:val="00FB4350"/>
    <w:rsid w:val="00FB58E1"/>
    <w:rsid w:val="00FB649A"/>
    <w:rsid w:val="00FB718D"/>
    <w:rsid w:val="00FB7CCE"/>
    <w:rsid w:val="00FC01C8"/>
    <w:rsid w:val="00FC093C"/>
    <w:rsid w:val="00FC1A43"/>
    <w:rsid w:val="00FC1B40"/>
    <w:rsid w:val="00FC493D"/>
    <w:rsid w:val="00FC5027"/>
    <w:rsid w:val="00FC50C7"/>
    <w:rsid w:val="00FC511D"/>
    <w:rsid w:val="00FC5211"/>
    <w:rsid w:val="00FC53A5"/>
    <w:rsid w:val="00FC5CFB"/>
    <w:rsid w:val="00FC5D9E"/>
    <w:rsid w:val="00FC5FB3"/>
    <w:rsid w:val="00FC68BC"/>
    <w:rsid w:val="00FD11D4"/>
    <w:rsid w:val="00FD225D"/>
    <w:rsid w:val="00FD2384"/>
    <w:rsid w:val="00FE18F1"/>
    <w:rsid w:val="00FE452E"/>
    <w:rsid w:val="00FE4A8D"/>
    <w:rsid w:val="00FE4B6C"/>
    <w:rsid w:val="00FE4D90"/>
    <w:rsid w:val="00FE5063"/>
    <w:rsid w:val="00FE6F86"/>
    <w:rsid w:val="00FE7097"/>
    <w:rsid w:val="00FE7483"/>
    <w:rsid w:val="00FF11E0"/>
    <w:rsid w:val="00FF2507"/>
    <w:rsid w:val="00FF330F"/>
    <w:rsid w:val="00FF36C4"/>
    <w:rsid w:val="00FF3764"/>
    <w:rsid w:val="00FF4275"/>
    <w:rsid w:val="00FF4A4C"/>
    <w:rsid w:val="00FF4C15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105D38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5">
    <w:name w:val="heading 5"/>
    <w:basedOn w:val="Normal"/>
    <w:next w:val="Normal"/>
    <w:link w:val="Ttulo5Car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uiPriority w:val="99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uiPriority w:val="99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link w:val="atitulo3Car"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uiPriority w:val="99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link w:val="PiedepginaCar"/>
    <w:uiPriority w:val="99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uiPriority w:val="99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uiPriority w:val="99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uiPriority w:val="59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styleId="NormalWeb">
    <w:name w:val="Normal (Web)"/>
    <w:basedOn w:val="Normal"/>
    <w:uiPriority w:val="99"/>
    <w:rsid w:val="0017115B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es-ES"/>
    </w:rPr>
  </w:style>
  <w:style w:type="character" w:customStyle="1" w:styleId="atitulo1Car">
    <w:name w:val="atitulo1 Car"/>
    <w:link w:val="atitulo1"/>
    <w:uiPriority w:val="99"/>
    <w:rsid w:val="0017115B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character" w:customStyle="1" w:styleId="atitulo2Car">
    <w:name w:val="atitulo2 Car"/>
    <w:link w:val="atitulo2"/>
    <w:locked/>
    <w:rsid w:val="0017115B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styleId="Textoindependiente">
    <w:name w:val="Body Text"/>
    <w:basedOn w:val="Normal"/>
    <w:link w:val="TextoindependienteCar"/>
    <w:rsid w:val="0017115B"/>
    <w:pPr>
      <w:spacing w:after="0"/>
      <w:ind w:firstLine="0"/>
    </w:pPr>
    <w:rPr>
      <w:rFonts w:ascii="Arial" w:eastAsia="Calibri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7115B"/>
    <w:rPr>
      <w:rFonts w:ascii="Arial" w:eastAsia="Calibri" w:hAnsi="Arial"/>
      <w:sz w:val="24"/>
      <w:lang w:val="eu-ES"/>
    </w:rPr>
  </w:style>
  <w:style w:type="character" w:customStyle="1" w:styleId="Ttulo5Car">
    <w:name w:val="Título 5 Car"/>
    <w:link w:val="Ttulo5"/>
    <w:locked/>
    <w:rsid w:val="0017115B"/>
    <w:rPr>
      <w:b/>
      <w:sz w:val="28"/>
      <w:lang w:eastAsia="en-US"/>
    </w:rPr>
  </w:style>
  <w:style w:type="paragraph" w:styleId="Textonotapie">
    <w:name w:val="footnote text"/>
    <w:basedOn w:val="Normal"/>
    <w:link w:val="TextonotapieCar"/>
    <w:rsid w:val="0017115B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rsid w:val="0017115B"/>
    <w:rPr>
      <w:lang w:val="eu-ES" w:eastAsia="en-US"/>
    </w:rPr>
  </w:style>
  <w:style w:type="table" w:customStyle="1" w:styleId="Tablaconcuadrcula1">
    <w:name w:val="Tabla con cuadrícula1"/>
    <w:basedOn w:val="Tablanormal"/>
    <w:next w:val="Tablaconcuadrcula"/>
    <w:rsid w:val="001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rsid w:val="0017115B"/>
    <w:rPr>
      <w:vertAlign w:val="superscript"/>
    </w:rPr>
  </w:style>
  <w:style w:type="paragraph" w:customStyle="1" w:styleId="prea">
    <w:name w:val="prea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115B"/>
    <w:rPr>
      <w:spacing w:val="6"/>
      <w:lang w:val="eu-ES" w:eastAsia="en-US"/>
    </w:rPr>
  </w:style>
  <w:style w:type="paragraph" w:styleId="Prrafodelista">
    <w:name w:val="List Paragraph"/>
    <w:basedOn w:val="Normal"/>
    <w:uiPriority w:val="34"/>
    <w:qFormat/>
    <w:rsid w:val="0017115B"/>
    <w:pPr>
      <w:ind w:left="720"/>
      <w:contextualSpacing/>
    </w:pPr>
  </w:style>
  <w:style w:type="paragraph" w:customStyle="1" w:styleId="foral-f-parrafo-c">
    <w:name w:val="foral-f-parrafo-c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foral-f-parrafo-3lineas-t5-c">
    <w:name w:val="foral-f-parrafo-3lineas-t5-c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Default">
    <w:name w:val="Default"/>
    <w:rsid w:val="001711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5B"/>
    <w:rPr>
      <w:rFonts w:ascii="Tahoma" w:hAnsi="Tahoma" w:cs="Tahoma"/>
      <w:sz w:val="16"/>
      <w:szCs w:val="16"/>
      <w:lang w:val="eu-ES" w:eastAsia="en-US"/>
    </w:rPr>
  </w:style>
  <w:style w:type="paragraph" w:customStyle="1" w:styleId="xl1">
    <w:name w:val="xl1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2">
    <w:name w:val="xl2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character" w:customStyle="1" w:styleId="atitulo3Car">
    <w:name w:val="atitulo3 Car"/>
    <w:link w:val="atitulo3"/>
    <w:rsid w:val="0017115B"/>
    <w:rPr>
      <w:rFonts w:ascii="Arial" w:hAnsi="Arial"/>
      <w:i/>
      <w:iCs/>
      <w:color w:val="000000"/>
      <w:spacing w:val="10"/>
      <w:kern w:val="28"/>
      <w:sz w:val="25"/>
      <w:szCs w:val="26"/>
      <w:lang w:val="eu-ES" w:eastAsia="en-US"/>
    </w:rPr>
  </w:style>
  <w:style w:type="paragraph" w:customStyle="1" w:styleId="parrafo">
    <w:name w:val="parrafo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parrafo2">
    <w:name w:val="parrafo_2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7115B"/>
  </w:style>
  <w:style w:type="character" w:customStyle="1" w:styleId="EncabezadoCar">
    <w:name w:val="Encabezado Car"/>
    <w:basedOn w:val="Fuentedeprrafopredeter"/>
    <w:link w:val="Encabezado"/>
    <w:uiPriority w:val="99"/>
    <w:rsid w:val="0017115B"/>
    <w:rPr>
      <w:bCs/>
      <w:caps/>
      <w:sz w:val="14"/>
      <w:szCs w:val="12"/>
      <w:lang w:val="eu-ES" w:eastAsia="en-US"/>
    </w:rPr>
  </w:style>
  <w:style w:type="character" w:styleId="Hipervnculovisitado">
    <w:name w:val="FollowedHyperlink"/>
    <w:basedOn w:val="Fuentedeprrafopredeter"/>
    <w:uiPriority w:val="99"/>
    <w:unhideWhenUsed/>
    <w:rsid w:val="0017115B"/>
    <w:rPr>
      <w:color w:val="800080"/>
      <w:u w:val="single"/>
    </w:rPr>
  </w:style>
  <w:style w:type="paragraph" w:customStyle="1" w:styleId="xl65">
    <w:name w:val="xl65"/>
    <w:basedOn w:val="Normal"/>
    <w:rsid w:val="0017115B"/>
    <w:pP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68">
    <w:name w:val="xl68"/>
    <w:basedOn w:val="Normal"/>
    <w:rsid w:val="001711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1711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70">
    <w:name w:val="xl70"/>
    <w:basedOn w:val="Normal"/>
    <w:rsid w:val="0017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71">
    <w:name w:val="xl71"/>
    <w:basedOn w:val="Normal"/>
    <w:rsid w:val="0017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72">
    <w:name w:val="xl72"/>
    <w:basedOn w:val="Normal"/>
    <w:rsid w:val="001711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73">
    <w:name w:val="xl73"/>
    <w:basedOn w:val="Normal"/>
    <w:rsid w:val="001711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74">
    <w:name w:val="xl74"/>
    <w:basedOn w:val="Normal"/>
    <w:rsid w:val="0017115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75">
    <w:name w:val="xl75"/>
    <w:basedOn w:val="Normal"/>
    <w:rsid w:val="0017115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17115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17115B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78">
    <w:name w:val="xl78"/>
    <w:basedOn w:val="Normal"/>
    <w:rsid w:val="0017115B"/>
    <w:pPr>
      <w:pBdr>
        <w:top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79">
    <w:name w:val="xl79"/>
    <w:basedOn w:val="Normal"/>
    <w:rsid w:val="001711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0">
    <w:name w:val="xl80"/>
    <w:basedOn w:val="Normal"/>
    <w:rsid w:val="001711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1">
    <w:name w:val="xl81"/>
    <w:basedOn w:val="Normal"/>
    <w:rsid w:val="001711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82">
    <w:name w:val="xl82"/>
    <w:basedOn w:val="Normal"/>
    <w:rsid w:val="001711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3">
    <w:name w:val="xl83"/>
    <w:basedOn w:val="Normal"/>
    <w:rsid w:val="0017115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84">
    <w:name w:val="xl84"/>
    <w:basedOn w:val="Normal"/>
    <w:rsid w:val="0017115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85">
    <w:name w:val="xl85"/>
    <w:basedOn w:val="Normal"/>
    <w:rsid w:val="0017115B"/>
    <w:pPr>
      <w:pBdr>
        <w:top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6">
    <w:name w:val="xl86"/>
    <w:basedOn w:val="Normal"/>
    <w:rsid w:val="0017115B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87">
    <w:name w:val="xl87"/>
    <w:basedOn w:val="Normal"/>
    <w:rsid w:val="0017115B"/>
    <w:pPr>
      <w:pBdr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8">
    <w:name w:val="xl88"/>
    <w:basedOn w:val="Normal"/>
    <w:rsid w:val="001711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9">
    <w:name w:val="xl89"/>
    <w:basedOn w:val="Normal"/>
    <w:rsid w:val="001711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90">
    <w:name w:val="xl90"/>
    <w:basedOn w:val="Normal"/>
    <w:rsid w:val="001711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91">
    <w:name w:val="xl91"/>
    <w:basedOn w:val="Normal"/>
    <w:rsid w:val="001711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92">
    <w:name w:val="xl92"/>
    <w:basedOn w:val="Normal"/>
    <w:rsid w:val="0017115B"/>
    <w:pPr>
      <w:pBdr>
        <w:top w:val="single" w:sz="8" w:space="0" w:color="auto"/>
        <w:left w:val="single" w:sz="4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93">
    <w:name w:val="xl93"/>
    <w:basedOn w:val="Normal"/>
    <w:rsid w:val="0017115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94">
    <w:name w:val="xl94"/>
    <w:basedOn w:val="Normal"/>
    <w:rsid w:val="0017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95">
    <w:name w:val="xl95"/>
    <w:basedOn w:val="Normal"/>
    <w:rsid w:val="0017115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96">
    <w:name w:val="xl96"/>
    <w:basedOn w:val="Normal"/>
    <w:rsid w:val="001711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97">
    <w:name w:val="xl97"/>
    <w:basedOn w:val="Normal"/>
    <w:rsid w:val="001711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98">
    <w:name w:val="xl98"/>
    <w:basedOn w:val="Normal"/>
    <w:rsid w:val="001711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99">
    <w:name w:val="xl99"/>
    <w:basedOn w:val="Normal"/>
    <w:rsid w:val="001711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100">
    <w:name w:val="xl100"/>
    <w:basedOn w:val="Normal"/>
    <w:rsid w:val="00171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101">
    <w:name w:val="xl101"/>
    <w:basedOn w:val="Normal"/>
    <w:rsid w:val="001711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102">
    <w:name w:val="xl102"/>
    <w:basedOn w:val="Normal"/>
    <w:rsid w:val="001711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103">
    <w:name w:val="xl103"/>
    <w:basedOn w:val="Normal"/>
    <w:rsid w:val="001711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104">
    <w:name w:val="xl104"/>
    <w:basedOn w:val="Normal"/>
    <w:rsid w:val="001711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105">
    <w:name w:val="xl105"/>
    <w:basedOn w:val="Normal"/>
    <w:rsid w:val="001711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106">
    <w:name w:val="xl106"/>
    <w:basedOn w:val="Normal"/>
    <w:rsid w:val="001711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107">
    <w:name w:val="xl107"/>
    <w:basedOn w:val="Normal"/>
    <w:rsid w:val="001711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108">
    <w:name w:val="xl108"/>
    <w:basedOn w:val="Normal"/>
    <w:rsid w:val="0017115B"/>
    <w:pPr>
      <w:pBdr>
        <w:top w:val="single" w:sz="8" w:space="0" w:color="auto"/>
        <w:bottom w:val="single" w:sz="8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Acuerdos">
    <w:name w:val="Acuerdos"/>
    <w:basedOn w:val="Normal"/>
    <w:rsid w:val="0017115B"/>
    <w:pPr>
      <w:widowControl w:val="0"/>
      <w:tabs>
        <w:tab w:val="left" w:pos="709"/>
        <w:tab w:val="center" w:pos="3856"/>
      </w:tabs>
      <w:spacing w:after="0" w:line="380" w:lineRule="atLeast"/>
      <w:ind w:firstLine="709"/>
    </w:pPr>
    <w:rPr>
      <w:rFonts w:ascii="Arial" w:hAnsi="Arial"/>
      <w:sz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rsid w:val="001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1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1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1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105D38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5">
    <w:name w:val="heading 5"/>
    <w:basedOn w:val="Normal"/>
    <w:next w:val="Normal"/>
    <w:link w:val="Ttulo5Car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uiPriority w:val="99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uiPriority w:val="99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link w:val="atitulo3Car"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uiPriority w:val="99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link w:val="PiedepginaCar"/>
    <w:uiPriority w:val="99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uiPriority w:val="99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uiPriority w:val="99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uiPriority w:val="59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styleId="NormalWeb">
    <w:name w:val="Normal (Web)"/>
    <w:basedOn w:val="Normal"/>
    <w:uiPriority w:val="99"/>
    <w:rsid w:val="0017115B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es-ES"/>
    </w:rPr>
  </w:style>
  <w:style w:type="character" w:customStyle="1" w:styleId="atitulo1Car">
    <w:name w:val="atitulo1 Car"/>
    <w:link w:val="atitulo1"/>
    <w:uiPriority w:val="99"/>
    <w:rsid w:val="0017115B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character" w:customStyle="1" w:styleId="atitulo2Car">
    <w:name w:val="atitulo2 Car"/>
    <w:link w:val="atitulo2"/>
    <w:locked/>
    <w:rsid w:val="0017115B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styleId="Textoindependiente">
    <w:name w:val="Body Text"/>
    <w:basedOn w:val="Normal"/>
    <w:link w:val="TextoindependienteCar"/>
    <w:rsid w:val="0017115B"/>
    <w:pPr>
      <w:spacing w:after="0"/>
      <w:ind w:firstLine="0"/>
    </w:pPr>
    <w:rPr>
      <w:rFonts w:ascii="Arial" w:eastAsia="Calibri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7115B"/>
    <w:rPr>
      <w:rFonts w:ascii="Arial" w:eastAsia="Calibri" w:hAnsi="Arial"/>
      <w:sz w:val="24"/>
      <w:lang w:val="eu-ES"/>
    </w:rPr>
  </w:style>
  <w:style w:type="character" w:customStyle="1" w:styleId="Ttulo5Car">
    <w:name w:val="Título 5 Car"/>
    <w:link w:val="Ttulo5"/>
    <w:locked/>
    <w:rsid w:val="0017115B"/>
    <w:rPr>
      <w:b/>
      <w:sz w:val="28"/>
      <w:lang w:eastAsia="en-US"/>
    </w:rPr>
  </w:style>
  <w:style w:type="paragraph" w:styleId="Textonotapie">
    <w:name w:val="footnote text"/>
    <w:basedOn w:val="Normal"/>
    <w:link w:val="TextonotapieCar"/>
    <w:rsid w:val="0017115B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rsid w:val="0017115B"/>
    <w:rPr>
      <w:lang w:val="eu-ES" w:eastAsia="en-US"/>
    </w:rPr>
  </w:style>
  <w:style w:type="table" w:customStyle="1" w:styleId="Tablaconcuadrcula1">
    <w:name w:val="Tabla con cuadrícula1"/>
    <w:basedOn w:val="Tablanormal"/>
    <w:next w:val="Tablaconcuadrcula"/>
    <w:rsid w:val="001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rsid w:val="0017115B"/>
    <w:rPr>
      <w:vertAlign w:val="superscript"/>
    </w:rPr>
  </w:style>
  <w:style w:type="paragraph" w:customStyle="1" w:styleId="prea">
    <w:name w:val="prea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115B"/>
    <w:rPr>
      <w:spacing w:val="6"/>
      <w:lang w:val="eu-ES" w:eastAsia="en-US"/>
    </w:rPr>
  </w:style>
  <w:style w:type="paragraph" w:styleId="Prrafodelista">
    <w:name w:val="List Paragraph"/>
    <w:basedOn w:val="Normal"/>
    <w:uiPriority w:val="34"/>
    <w:qFormat/>
    <w:rsid w:val="0017115B"/>
    <w:pPr>
      <w:ind w:left="720"/>
      <w:contextualSpacing/>
    </w:pPr>
  </w:style>
  <w:style w:type="paragraph" w:customStyle="1" w:styleId="foral-f-parrafo-c">
    <w:name w:val="foral-f-parrafo-c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foral-f-parrafo-3lineas-t5-c">
    <w:name w:val="foral-f-parrafo-3lineas-t5-c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Default">
    <w:name w:val="Default"/>
    <w:rsid w:val="001711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5B"/>
    <w:rPr>
      <w:rFonts w:ascii="Tahoma" w:hAnsi="Tahoma" w:cs="Tahoma"/>
      <w:sz w:val="16"/>
      <w:szCs w:val="16"/>
      <w:lang w:val="eu-ES" w:eastAsia="en-US"/>
    </w:rPr>
  </w:style>
  <w:style w:type="paragraph" w:customStyle="1" w:styleId="xl1">
    <w:name w:val="xl1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2">
    <w:name w:val="xl2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character" w:customStyle="1" w:styleId="atitulo3Car">
    <w:name w:val="atitulo3 Car"/>
    <w:link w:val="atitulo3"/>
    <w:rsid w:val="0017115B"/>
    <w:rPr>
      <w:rFonts w:ascii="Arial" w:hAnsi="Arial"/>
      <w:i/>
      <w:iCs/>
      <w:color w:val="000000"/>
      <w:spacing w:val="10"/>
      <w:kern w:val="28"/>
      <w:sz w:val="25"/>
      <w:szCs w:val="26"/>
      <w:lang w:val="eu-ES" w:eastAsia="en-US"/>
    </w:rPr>
  </w:style>
  <w:style w:type="paragraph" w:customStyle="1" w:styleId="parrafo">
    <w:name w:val="parrafo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parrafo2">
    <w:name w:val="parrafo_2"/>
    <w:basedOn w:val="Normal"/>
    <w:rsid w:val="0017115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7115B"/>
  </w:style>
  <w:style w:type="character" w:customStyle="1" w:styleId="EncabezadoCar">
    <w:name w:val="Encabezado Car"/>
    <w:basedOn w:val="Fuentedeprrafopredeter"/>
    <w:link w:val="Encabezado"/>
    <w:uiPriority w:val="99"/>
    <w:rsid w:val="0017115B"/>
    <w:rPr>
      <w:bCs/>
      <w:caps/>
      <w:sz w:val="14"/>
      <w:szCs w:val="12"/>
      <w:lang w:val="eu-ES" w:eastAsia="en-US"/>
    </w:rPr>
  </w:style>
  <w:style w:type="character" w:styleId="Hipervnculovisitado">
    <w:name w:val="FollowedHyperlink"/>
    <w:basedOn w:val="Fuentedeprrafopredeter"/>
    <w:uiPriority w:val="99"/>
    <w:unhideWhenUsed/>
    <w:rsid w:val="0017115B"/>
    <w:rPr>
      <w:color w:val="800080"/>
      <w:u w:val="single"/>
    </w:rPr>
  </w:style>
  <w:style w:type="paragraph" w:customStyle="1" w:styleId="xl65">
    <w:name w:val="xl65"/>
    <w:basedOn w:val="Normal"/>
    <w:rsid w:val="0017115B"/>
    <w:pP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68">
    <w:name w:val="xl68"/>
    <w:basedOn w:val="Normal"/>
    <w:rsid w:val="001711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1711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70">
    <w:name w:val="xl70"/>
    <w:basedOn w:val="Normal"/>
    <w:rsid w:val="0017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71">
    <w:name w:val="xl71"/>
    <w:basedOn w:val="Normal"/>
    <w:rsid w:val="0017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72">
    <w:name w:val="xl72"/>
    <w:basedOn w:val="Normal"/>
    <w:rsid w:val="001711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73">
    <w:name w:val="xl73"/>
    <w:basedOn w:val="Normal"/>
    <w:rsid w:val="001711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74">
    <w:name w:val="xl74"/>
    <w:basedOn w:val="Normal"/>
    <w:rsid w:val="0017115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75">
    <w:name w:val="xl75"/>
    <w:basedOn w:val="Normal"/>
    <w:rsid w:val="0017115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17115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17115B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78">
    <w:name w:val="xl78"/>
    <w:basedOn w:val="Normal"/>
    <w:rsid w:val="0017115B"/>
    <w:pPr>
      <w:pBdr>
        <w:top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79">
    <w:name w:val="xl79"/>
    <w:basedOn w:val="Normal"/>
    <w:rsid w:val="001711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0">
    <w:name w:val="xl80"/>
    <w:basedOn w:val="Normal"/>
    <w:rsid w:val="001711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1">
    <w:name w:val="xl81"/>
    <w:basedOn w:val="Normal"/>
    <w:rsid w:val="001711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82">
    <w:name w:val="xl82"/>
    <w:basedOn w:val="Normal"/>
    <w:rsid w:val="001711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3">
    <w:name w:val="xl83"/>
    <w:basedOn w:val="Normal"/>
    <w:rsid w:val="0017115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84">
    <w:name w:val="xl84"/>
    <w:basedOn w:val="Normal"/>
    <w:rsid w:val="0017115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85">
    <w:name w:val="xl85"/>
    <w:basedOn w:val="Normal"/>
    <w:rsid w:val="0017115B"/>
    <w:pPr>
      <w:pBdr>
        <w:top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6">
    <w:name w:val="xl86"/>
    <w:basedOn w:val="Normal"/>
    <w:rsid w:val="0017115B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87">
    <w:name w:val="xl87"/>
    <w:basedOn w:val="Normal"/>
    <w:rsid w:val="0017115B"/>
    <w:pPr>
      <w:pBdr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8">
    <w:name w:val="xl88"/>
    <w:basedOn w:val="Normal"/>
    <w:rsid w:val="001711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89">
    <w:name w:val="xl89"/>
    <w:basedOn w:val="Normal"/>
    <w:rsid w:val="001711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90">
    <w:name w:val="xl90"/>
    <w:basedOn w:val="Normal"/>
    <w:rsid w:val="001711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91">
    <w:name w:val="xl91"/>
    <w:basedOn w:val="Normal"/>
    <w:rsid w:val="001711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92">
    <w:name w:val="xl92"/>
    <w:basedOn w:val="Normal"/>
    <w:rsid w:val="0017115B"/>
    <w:pPr>
      <w:pBdr>
        <w:top w:val="single" w:sz="8" w:space="0" w:color="auto"/>
        <w:left w:val="single" w:sz="4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93">
    <w:name w:val="xl93"/>
    <w:basedOn w:val="Normal"/>
    <w:rsid w:val="0017115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94">
    <w:name w:val="xl94"/>
    <w:basedOn w:val="Normal"/>
    <w:rsid w:val="0017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95">
    <w:name w:val="xl95"/>
    <w:basedOn w:val="Normal"/>
    <w:rsid w:val="0017115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96">
    <w:name w:val="xl96"/>
    <w:basedOn w:val="Normal"/>
    <w:rsid w:val="001711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97">
    <w:name w:val="xl97"/>
    <w:basedOn w:val="Normal"/>
    <w:rsid w:val="001711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98">
    <w:name w:val="xl98"/>
    <w:basedOn w:val="Normal"/>
    <w:rsid w:val="001711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99">
    <w:name w:val="xl99"/>
    <w:basedOn w:val="Normal"/>
    <w:rsid w:val="001711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100">
    <w:name w:val="xl100"/>
    <w:basedOn w:val="Normal"/>
    <w:rsid w:val="00171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xl101">
    <w:name w:val="xl101"/>
    <w:basedOn w:val="Normal"/>
    <w:rsid w:val="001711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102">
    <w:name w:val="xl102"/>
    <w:basedOn w:val="Normal"/>
    <w:rsid w:val="001711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103">
    <w:name w:val="xl103"/>
    <w:basedOn w:val="Normal"/>
    <w:rsid w:val="001711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104">
    <w:name w:val="xl104"/>
    <w:basedOn w:val="Normal"/>
    <w:rsid w:val="001711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105">
    <w:name w:val="xl105"/>
    <w:basedOn w:val="Normal"/>
    <w:rsid w:val="001711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106">
    <w:name w:val="xl106"/>
    <w:basedOn w:val="Normal"/>
    <w:rsid w:val="001711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107">
    <w:name w:val="xl107"/>
    <w:basedOn w:val="Normal"/>
    <w:rsid w:val="001711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  <w:lang w:eastAsia="es-ES"/>
    </w:rPr>
  </w:style>
  <w:style w:type="paragraph" w:customStyle="1" w:styleId="xl108">
    <w:name w:val="xl108"/>
    <w:basedOn w:val="Normal"/>
    <w:rsid w:val="0017115B"/>
    <w:pPr>
      <w:pBdr>
        <w:top w:val="single" w:sz="8" w:space="0" w:color="auto"/>
        <w:bottom w:val="single" w:sz="8" w:space="0" w:color="auto"/>
      </w:pBdr>
      <w:shd w:val="clear" w:color="000000" w:fill="DDDDDD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es-ES"/>
    </w:rPr>
  </w:style>
  <w:style w:type="paragraph" w:customStyle="1" w:styleId="Acuerdos">
    <w:name w:val="Acuerdos"/>
    <w:basedOn w:val="Normal"/>
    <w:rsid w:val="0017115B"/>
    <w:pPr>
      <w:widowControl w:val="0"/>
      <w:tabs>
        <w:tab w:val="left" w:pos="709"/>
        <w:tab w:val="center" w:pos="3856"/>
      </w:tabs>
      <w:spacing w:after="0" w:line="380" w:lineRule="atLeast"/>
      <w:ind w:firstLine="709"/>
    </w:pPr>
    <w:rPr>
      <w:rFonts w:ascii="Arial" w:hAnsi="Arial"/>
      <w:sz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rsid w:val="001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1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1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1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E801-D1ED-4DB7-8EEC-E70DBB16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9166</Words>
  <Characters>50414</Characters>
  <Application>Microsoft Office Word</Application>
  <DocSecurity>0</DocSecurity>
  <Lines>420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59462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 Laurenz, Isabel (Cámara de Comptos)</dc:creator>
  <cp:lastModifiedBy>Iñaki De Santiago</cp:lastModifiedBy>
  <cp:revision>2</cp:revision>
  <cp:lastPrinted>2018-10-15T07:21:00Z</cp:lastPrinted>
  <dcterms:created xsi:type="dcterms:W3CDTF">2018-10-26T06:40:00Z</dcterms:created>
  <dcterms:modified xsi:type="dcterms:W3CDTF">2018-10-26T06:40:00Z</dcterms:modified>
</cp:coreProperties>
</file>