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medidas para apoyar el desarrollo de la Estrategia Comarcal de Especialización Inteligente de la Ribera de Navarra,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¿Qué medidas concretas ha establecido y financiado el Gobierno de Navarra para apoyar el desarrollo de la Estrategia Comarcal de Especialización Inteligente de la Ribera de Navarra?</w:t>
      </w:r>
    </w:p>
    <w:p>
      <w:pPr>
        <w:pStyle w:val="0"/>
        <w:suppressAutoHyphens w:val="false"/>
        <w:rPr>
          <w:rStyle w:val="1"/>
        </w:rPr>
      </w:pPr>
      <w:r>
        <w:rPr>
          <w:rStyle w:val="1"/>
        </w:rPr>
        <w:t xml:space="preserve">Especifíquese medida concreta y financiación aportada desde el gobierno en cada caso.</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