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Nafarroako Erriberan kokatu diren enpresa berriei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Erriberan zer enpresa eragile, nola baitira metalaren sektorekoak, ezarri dira?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Energia berriztagarrien, turismoan, nekazaritzaren edo automozioaren arloko zer enpresa eragile ezarri dira?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Sodenak zer ekimen edo neurri berri hartu du Erriberan enpresa berriak ezartzea bultzatzeko?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Gobernuak zer plangintza zehatz ezarri du Erriberarako, industria- eta nekazaritza-jarduera laguntzeko (esaterako, portu lehorra, Nekazaritzako Elikagaien Hiria, Erriberako herrietako industrialdeak eta ekintzailetzarako gune/haztegiak)? Zehaztu Nafarroako Gobernuak Erriberan inbertsiorako laguntzak indartze aldera egindako jarduketak.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Gobernuak taxutu al du Erriberako langabeziaren aurkako berariazko planik?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azaroaren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