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los plazos previstos en las obras pendientes en la primera fase del Canal de Navarra, formulada por la Ilma. Sra. D.ª María Carmen Segura Moreno.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Mari Carmen Segura, miembro de las Cortes de Navarra, adscrito al Grupo Parlamentario Unión del Pueblo Navarro (UPN), al amparo de lo dispuesto en el artículo 188 y siguientes del Reglamento de la Cámara, solicita a la Consejera de Desarrollo Rural, Medio Ambiente y Administración Local respuesta oral en el Pleno a la siguiente pregunta: 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Las obras de la ampliación de la primera fase del Canal de Navarra deberían haber finalizado en abril del año pasado. A día de hoy, únicamente Arga 4 está en construcción y las obras del ramal del Ega ni se han iniciado, esto traducido a hectáreas, implica que, de las 15.275 hectáreas previstas de la ampliación, están en riego menos del 50%.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Esta ampliación dará riego a varios pueblos de Tierra Estella, y es primordial que se ejecute en su totalidad. La consejera nos confirmó que para principios de enero estaría realizada la calendarización del ramal del Ega, y el miércoles 30 de enero anunció la modificación contractual de la ampliación del Canal, por lo que le realizamos la siguiente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¿Cuáles son los plazos previstos de entrega de Arga 4, teniendo en cuenta que únicamente se está construyendo el ramal principal y cuáles son los plazos previstos de inicio y finalización de todas las obras pendientes del ramal del Ega dentro del proyecto de ampliación de la primera fase del Canal de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31 de enero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Mari Carmen Segura Moreno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