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febrero de 2019, el Pleno de la Cámara se dio por enterado de la retirada de la moción por la que se insta al Gobierno de España al cese de las negociaciones con la Generalitat de Cataluña cuyo objetivo es la división de la soberanía nacional, presentada por la Ilma. Sra. D.ª Ana María Beltrán Villalba y publicada en el Boletín Oficial del Parlamento núm. 19, de 12 de febrero de 2019.</w:t>
      </w:r>
    </w:p>
    <w:p>
      <w:pPr>
        <w:pStyle w:val="0"/>
        <w:suppressAutoHyphens w:val="false"/>
        <w:rPr>
          <w:rStyle w:val="1"/>
        </w:rPr>
      </w:pPr>
      <w:r>
        <w:rPr>
          <w:rStyle w:val="1"/>
        </w:rPr>
        <w:t xml:space="preserve">Pamplona, 15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