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8" w:rsidRDefault="00770EB1" w:rsidP="00AC130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EH </w:t>
      </w:r>
      <w:proofErr w:type="spellStart"/>
      <w:r>
        <w:rPr>
          <w:rFonts w:ascii="Arial" w:hAnsi="Arial"/>
          <w:sz w:val="24"/>
          <w:szCs w:val="24"/>
        </w:rPr>
        <w:t>Bildu-Nafarroa</w:t>
      </w:r>
      <w:proofErr w:type="spellEnd"/>
      <w:r>
        <w:rPr>
          <w:rFonts w:ascii="Arial" w:hAnsi="Arial"/>
          <w:sz w:val="24"/>
          <w:szCs w:val="24"/>
        </w:rPr>
        <w:t xml:space="preserve"> talde parlamentarioari atxikitako foru parlamentari </w:t>
      </w:r>
      <w:proofErr w:type="spellStart"/>
      <w:r>
        <w:rPr>
          <w:rFonts w:ascii="Arial" w:hAnsi="Arial"/>
          <w:sz w:val="24"/>
          <w:szCs w:val="24"/>
        </w:rPr>
        <w:t>Ma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orga</w:t>
      </w:r>
      <w:proofErr w:type="spellEnd"/>
      <w:r>
        <w:rPr>
          <w:rFonts w:ascii="Arial" w:hAnsi="Arial"/>
          <w:sz w:val="24"/>
          <w:szCs w:val="24"/>
        </w:rPr>
        <w:t xml:space="preserve"> Ramirez Erro jaunak idatziz erantzuteko galdera bat egin du  ekonomiaren bilakaera eta bilakaera horrek Nafarroan duen eragina berehala ezagutzeko Naf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rroako Gobernuak dauzkan kontrol mekanismoei buruz. Hauxe da Garapen Ek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nomikorako kontseilariak horri buruz informatu beharrekoa: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Nafarroako koiuntura ekonomikoaren analisia eta jarraipena, bai eta Estatuko eta nazioarteko ekonomiarenak ere, Garapen Ekonomikorako Departamentuari d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gozkio, 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siaren bitartez, Garapen Ekonomikorako Departamentuaren egitura organikoa ezartzen duen urtarrilaren 11ko 1/2017 Foru Dekretuak aipatzen duenez.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Nafarroako jarduera ekonomikoari buruzko analisi- eta monitorizatze-lan horretan, 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Nagusiak hai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bat monitorizatze- eta aurreikuspen-tresna bildu ditu, zeinek aukera ematen bait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ote Nafarroaren bilakaera ekonomikoa epe laburrean baloratu eta balioesteko eta haien ibilbideari aurrea hartzeko.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Ondoren xehetasun gehiagorekin deskribatuko dugu haiek zertan diren eta nolako erabilgarritasuna duen mekanismo horietako bakoitzak erregioko jardueraren j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rraipenerako:</w:t>
      </w:r>
    </w:p>
    <w:p w:rsidR="008F6BF8" w:rsidRDefault="007F34B2" w:rsidP="007F34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Koiunturaren semaforoa, adierazle estatistikoen behatoki moduan.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Nafarroari buruz ezagutzen joaten diren estatistiken azterketa jarraitua da, eta e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tatistika institutu ofizialek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Estatistikako</w:t>
      </w:r>
      <w:proofErr w:type="spellEnd"/>
      <w:r>
        <w:rPr>
          <w:rFonts w:ascii="Arial" w:hAnsi="Arial"/>
          <w:sz w:val="24"/>
          <w:szCs w:val="24"/>
        </w:rPr>
        <w:t xml:space="preserve"> Institutu Nazionala eta Nafarroako Estati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tika </w:t>
      </w:r>
      <w:proofErr w:type="spellStart"/>
      <w:r>
        <w:rPr>
          <w:rFonts w:ascii="Arial" w:hAnsi="Arial"/>
          <w:sz w:val="24"/>
          <w:szCs w:val="24"/>
        </w:rPr>
        <w:t>Erakundea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 xml:space="preserve"> eta bestelako erakundeek, ministerioek edo enpresa eta e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karte pribatuek zabaldutako prentsa-oharren bidez eskuratzen da.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Aldi baterako informazio estatistiko hori guztia biltzeko modu oso grafikoa “koiu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tura-semaforoa” deitu ohi duguna da: datu base bat da, zeinean </w:t>
      </w:r>
      <w:proofErr w:type="spellStart"/>
      <w:r>
        <w:rPr>
          <w:rFonts w:ascii="Arial" w:hAnsi="Arial"/>
          <w:sz w:val="24"/>
          <w:szCs w:val="24"/>
        </w:rPr>
        <w:t>hilabetero</w:t>
      </w:r>
      <w:proofErr w:type="spellEnd"/>
      <w:r>
        <w:rPr>
          <w:rFonts w:ascii="Arial" w:hAnsi="Arial"/>
          <w:sz w:val="24"/>
          <w:szCs w:val="24"/>
        </w:rPr>
        <w:t xml:space="preserve"> biltzen baita Nafarroako ekonomiaren hileko maiztasunaren adierazle nagusien bilakaera (afiliatuak, industria-produkzioa, zerbitzuetako negozio-zifra, hasitako etxebizitzak, autoen ekoizpena, kontsumo elektronikoa, kanpoko merkataritza, txikizkako me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kataritza, turismoen matrikulazioa, hipotekak, ekipo-ondasunen inportazioa, ko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tsumo-onasunen inportazioa, bidaiariak eta gauak, </w:t>
      </w:r>
      <w:proofErr w:type="spellStart"/>
      <w:r>
        <w:rPr>
          <w:rFonts w:ascii="Arial" w:hAnsi="Arial"/>
          <w:sz w:val="24"/>
          <w:szCs w:val="24"/>
        </w:rPr>
        <w:t>KPIa</w:t>
      </w:r>
      <w:proofErr w:type="spellEnd"/>
      <w:r>
        <w:rPr>
          <w:rFonts w:ascii="Arial" w:hAnsi="Arial"/>
          <w:sz w:val="24"/>
          <w:szCs w:val="24"/>
        </w:rPr>
        <w:t>); izan ere, lagungarri ge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tatzen da ezagutzeko nola garatzen ari den jarduera hilabetez </w:t>
      </w:r>
      <w:proofErr w:type="spellStart"/>
      <w:r>
        <w:rPr>
          <w:rFonts w:ascii="Arial" w:hAnsi="Arial"/>
          <w:sz w:val="24"/>
          <w:szCs w:val="24"/>
        </w:rPr>
        <w:t>hilabete</w:t>
      </w:r>
      <w:proofErr w:type="spellEnd"/>
      <w:r>
        <w:rPr>
          <w:rFonts w:ascii="Arial" w:hAnsi="Arial"/>
          <w:sz w:val="24"/>
          <w:szCs w:val="24"/>
        </w:rPr>
        <w:t>, koloreen bitartez identifikatuz garapen horretan eragin positiboa edo negatiboa dutenak, eta, halaber, aukera ematen du baloratzeko ea ekonomiaren bilakaera goranzkoa ala beheranzkoa izaten ari den.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Tresna horren funtzionamendua hobeki ulertzeko, ondoren koiuntura-semaforoaren irudi bat erakutsi dugu (1. irudia). Informazioa honako multzo hauen arabera dago antolatua: enplegua, jarduera, eskaera eta prezioak. </w:t>
      </w:r>
      <w:proofErr w:type="spellStart"/>
      <w:r>
        <w:rPr>
          <w:rFonts w:ascii="Arial" w:hAnsi="Arial"/>
          <w:sz w:val="24"/>
          <w:szCs w:val="24"/>
        </w:rPr>
        <w:t>Hilabetero</w:t>
      </w:r>
      <w:proofErr w:type="spellEnd"/>
      <w:r>
        <w:rPr>
          <w:rFonts w:ascii="Arial" w:hAnsi="Arial"/>
          <w:sz w:val="24"/>
          <w:szCs w:val="24"/>
        </w:rPr>
        <w:t xml:space="preserve"> ad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erazle horietako bakoitzaren urte arteko aldea jasotzen da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hau</w:t>
      </w:r>
      <w:proofErr w:type="spellEnd"/>
      <w:r>
        <w:rPr>
          <w:rFonts w:ascii="Arial" w:hAnsi="Arial"/>
          <w:sz w:val="24"/>
          <w:szCs w:val="24"/>
        </w:rPr>
        <w:t xml:space="preserve"> da, kasuko hil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betearen eta aurreko ekitaldiko hilabete beraren arteko </w:t>
      </w:r>
      <w:proofErr w:type="spellStart"/>
      <w:r>
        <w:rPr>
          <w:rFonts w:ascii="Arial" w:hAnsi="Arial"/>
          <w:sz w:val="24"/>
          <w:szCs w:val="24"/>
        </w:rPr>
        <w:t>aldea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>, horixe baita joera analizatzeko modurik egokiena. Koloreek adierazten dute ea hil horretako tasa goragokoa (kolore berdez adierazia) edo beherakoa (kolore arrosaz) den aurreko hiru hilabeteetako batez bestekoa baino; hartara, ikus daiteke, modu nahiko azk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rrean, ea ekonomia goranzko fasean dagoen ala, aitzitik, mantsotzen ari den.</w:t>
      </w: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</w:p>
    <w:p w:rsidR="0029090F" w:rsidRDefault="0029090F" w:rsidP="007F34B2">
      <w:pPr>
        <w:jc w:val="center"/>
        <w:rPr>
          <w:rFonts w:ascii="Arial" w:hAnsi="Arial" w:cs="Arial"/>
          <w:sz w:val="24"/>
          <w:szCs w:val="24"/>
        </w:rPr>
      </w:pPr>
    </w:p>
    <w:p w:rsidR="0029090F" w:rsidRDefault="0029090F" w:rsidP="007F34B2">
      <w:pPr>
        <w:jc w:val="center"/>
        <w:rPr>
          <w:rFonts w:ascii="Arial" w:hAnsi="Arial" w:cs="Arial"/>
          <w:sz w:val="24"/>
          <w:szCs w:val="24"/>
        </w:rPr>
      </w:pPr>
    </w:p>
    <w:p w:rsidR="0029090F" w:rsidRDefault="0029090F" w:rsidP="007F34B2">
      <w:pPr>
        <w:jc w:val="center"/>
        <w:rPr>
          <w:rFonts w:ascii="Arial" w:hAnsi="Arial" w:cs="Arial"/>
          <w:sz w:val="24"/>
          <w:szCs w:val="24"/>
        </w:rPr>
      </w:pPr>
    </w:p>
    <w:p w:rsidR="0029090F" w:rsidRDefault="0029090F" w:rsidP="007F34B2">
      <w:pPr>
        <w:jc w:val="center"/>
        <w:rPr>
          <w:rFonts w:ascii="Arial" w:hAnsi="Arial" w:cs="Arial"/>
          <w:sz w:val="24"/>
          <w:szCs w:val="24"/>
        </w:rPr>
      </w:pPr>
    </w:p>
    <w:p w:rsidR="0029090F" w:rsidRDefault="0029090F" w:rsidP="007F34B2">
      <w:pPr>
        <w:jc w:val="center"/>
        <w:rPr>
          <w:rFonts w:ascii="Arial" w:hAnsi="Arial" w:cs="Arial"/>
          <w:sz w:val="24"/>
          <w:szCs w:val="24"/>
        </w:rPr>
      </w:pP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</w:p>
    <w:p w:rsidR="007F34B2" w:rsidRPr="0029090F" w:rsidRDefault="007F34B2" w:rsidP="0029090F">
      <w:pPr>
        <w:spacing w:after="200"/>
        <w:jc w:val="center"/>
        <w:rPr>
          <w:rFonts w:ascii="Arial" w:hAnsi="Arial" w:cs="Arial"/>
        </w:rPr>
      </w:pPr>
      <w:r w:rsidRPr="0029090F">
        <w:rPr>
          <w:rFonts w:ascii="Arial" w:hAnsi="Arial"/>
        </w:rPr>
        <w:t>1. irudia. Koiuntura-semaforoa</w:t>
      </w:r>
    </w:p>
    <w:p w:rsidR="008F6BF8" w:rsidRDefault="006E5A1C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s-ES"/>
        </w:rPr>
        <w:lastRenderedPageBreak/>
        <w:drawing>
          <wp:inline distT="0" distB="0" distL="0" distR="0" wp14:anchorId="3D049E35" wp14:editId="75362E65">
            <wp:extent cx="5572125" cy="3067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77" w:rsidRPr="007F34B2" w:rsidRDefault="00893177" w:rsidP="007F34B2">
      <w:pPr>
        <w:jc w:val="both"/>
        <w:rPr>
          <w:rFonts w:ascii="Arial" w:hAnsi="Arial" w:cs="Arial"/>
          <w:sz w:val="24"/>
          <w:szCs w:val="24"/>
        </w:rPr>
      </w:pPr>
    </w:p>
    <w:p w:rsidR="008F6BF8" w:rsidRDefault="007F34B2" w:rsidP="007F34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Eredu propioak koiunturazko </w:t>
      </w:r>
      <w:proofErr w:type="spellStart"/>
      <w:r>
        <w:rPr>
          <w:rFonts w:ascii="Arial" w:hAnsi="Arial"/>
          <w:i/>
          <w:iCs/>
          <w:sz w:val="24"/>
          <w:szCs w:val="24"/>
        </w:rPr>
        <w:t>momentum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delakoan neurtzen dira.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Erregioko ekonomiak epe laburrean izanen duen bilakaera aurreratzeko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hiruhileko</w:t>
      </w:r>
      <w:proofErr w:type="spellEnd"/>
      <w:r>
        <w:rPr>
          <w:rFonts w:ascii="Arial" w:hAnsi="Arial"/>
          <w:sz w:val="24"/>
          <w:szCs w:val="24"/>
        </w:rPr>
        <w:t xml:space="preserve"> batekoa izan ohi da epe </w:t>
      </w:r>
      <w:proofErr w:type="spellStart"/>
      <w:r>
        <w:rPr>
          <w:rFonts w:ascii="Arial" w:hAnsi="Arial"/>
          <w:sz w:val="24"/>
          <w:szCs w:val="24"/>
        </w:rPr>
        <w:t>hori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 xml:space="preserve">, 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Nagusiak beste bi eredu propio badauzka, zeinak z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zendaritzan bertan lantzen baitira teknika </w:t>
      </w:r>
      <w:proofErr w:type="spellStart"/>
      <w:r>
        <w:rPr>
          <w:rFonts w:ascii="Arial" w:hAnsi="Arial"/>
          <w:sz w:val="24"/>
          <w:szCs w:val="24"/>
        </w:rPr>
        <w:t>ekonometrikoak</w:t>
      </w:r>
      <w:proofErr w:type="spellEnd"/>
      <w:r>
        <w:rPr>
          <w:rFonts w:ascii="Arial" w:hAnsi="Arial"/>
          <w:sz w:val="24"/>
          <w:szCs w:val="24"/>
        </w:rPr>
        <w:t xml:space="preserve"> erabiliz; horien bitartez, bere aurreikuspenak egiten ditu. Jarduerari buruzko adierazle sintetiko bat eta eredu faktorial dinamiko bat dira.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Nafarroako Jardueraren Adierazle Sintetikoa (NJAS)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NJASa</w:t>
      </w:r>
      <w:proofErr w:type="spellEnd"/>
      <w:r>
        <w:rPr>
          <w:rFonts w:ascii="Arial" w:hAnsi="Arial"/>
          <w:sz w:val="24"/>
          <w:szCs w:val="24"/>
        </w:rPr>
        <w:t xml:space="preserve"> adierazle sintetiko bat da, zeina egiten baita Ekonomia eta Enpresa Mini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terioaren metodologiari jarraituz, hilabeteko maiztasuna duten eta </w:t>
      </w:r>
      <w:proofErr w:type="spellStart"/>
      <w:r>
        <w:rPr>
          <w:rFonts w:ascii="Arial" w:hAnsi="Arial"/>
          <w:sz w:val="24"/>
          <w:szCs w:val="24"/>
        </w:rPr>
        <w:t>BPGarekin</w:t>
      </w:r>
      <w:proofErr w:type="spellEnd"/>
      <w:r>
        <w:rPr>
          <w:rFonts w:ascii="Arial" w:hAnsi="Arial"/>
          <w:sz w:val="24"/>
          <w:szCs w:val="24"/>
        </w:rPr>
        <w:t xml:space="preserve"> estu lotuta dauden adierazle </w:t>
      </w:r>
      <w:proofErr w:type="spellStart"/>
      <w:r>
        <w:rPr>
          <w:rFonts w:ascii="Arial" w:hAnsi="Arial"/>
          <w:sz w:val="24"/>
          <w:szCs w:val="24"/>
        </w:rPr>
        <w:t>koiuntural</w:t>
      </w:r>
      <w:proofErr w:type="spellEnd"/>
      <w:r>
        <w:rPr>
          <w:rFonts w:ascii="Arial" w:hAnsi="Arial"/>
          <w:sz w:val="24"/>
          <w:szCs w:val="24"/>
        </w:rPr>
        <w:t xml:space="preserve"> batzuetatik abiatuta. Urtero </w:t>
      </w:r>
      <w:proofErr w:type="spellStart"/>
      <w:r>
        <w:rPr>
          <w:rFonts w:ascii="Arial" w:hAnsi="Arial"/>
          <w:sz w:val="24"/>
          <w:szCs w:val="24"/>
        </w:rPr>
        <w:t>NJASean</w:t>
      </w:r>
      <w:proofErr w:type="spellEnd"/>
      <w:r>
        <w:rPr>
          <w:rFonts w:ascii="Arial" w:hAnsi="Arial"/>
          <w:sz w:val="24"/>
          <w:szCs w:val="24"/>
        </w:rPr>
        <w:t xml:space="preserve"> sartu b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harreko aldagaiak berrikusten dira; aldi honetan honako hauek dira: nekazaritz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koak ez diren Gizarte Segurantzaren afiliatuak, zerbitzuen sektoreko negozio-zifra (IASS</w:t>
      </w:r>
      <w:proofErr w:type="spellStart"/>
      <w:r>
        <w:rPr>
          <w:rFonts w:ascii="Arial" w:hAnsi="Arial"/>
          <w:sz w:val="24"/>
          <w:szCs w:val="24"/>
        </w:rPr>
        <w:t>), g</w:t>
      </w:r>
      <w:proofErr w:type="spellEnd"/>
      <w:r>
        <w:rPr>
          <w:rFonts w:ascii="Arial" w:hAnsi="Arial"/>
          <w:sz w:val="24"/>
          <w:szCs w:val="24"/>
        </w:rPr>
        <w:t>uztizko kontsumo elektrikoa eta ibilgailuen autobide-trafikoaren egun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roko batez besteko intentsitatea.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Adierazle horietako bakoitzak Nafarroako </w:t>
      </w:r>
      <w:proofErr w:type="spellStart"/>
      <w:r>
        <w:rPr>
          <w:rFonts w:ascii="Arial" w:hAnsi="Arial"/>
          <w:sz w:val="24"/>
          <w:szCs w:val="24"/>
        </w:rPr>
        <w:t>BPGarekin</w:t>
      </w:r>
      <w:proofErr w:type="spellEnd"/>
      <w:r>
        <w:rPr>
          <w:rFonts w:ascii="Arial" w:hAnsi="Arial"/>
          <w:sz w:val="24"/>
          <w:szCs w:val="24"/>
        </w:rPr>
        <w:t xml:space="preserve"> duen korrelazioaren hazt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penak eginez eta erregresio-eredu bat erabiliz, </w:t>
      </w:r>
      <w:proofErr w:type="spellStart"/>
      <w:r>
        <w:rPr>
          <w:rFonts w:ascii="Arial" w:hAnsi="Arial"/>
          <w:sz w:val="24"/>
          <w:szCs w:val="24"/>
        </w:rPr>
        <w:t>NJASa</w:t>
      </w:r>
      <w:proofErr w:type="spellEnd"/>
      <w:r>
        <w:rPr>
          <w:rFonts w:ascii="Arial" w:hAnsi="Arial"/>
          <w:sz w:val="24"/>
          <w:szCs w:val="24"/>
        </w:rPr>
        <w:t xml:space="preserve"> sortzen da. Kontuan hartu beharra dago neurketa kuantitatibo bat baino gehiago adierazle sintetiko bat dela, eta Nafarroako ekonomiaren bilakaeraren seinale kualitatibo bat ematen duela, ibilbidea goranzkoa ala beheranzkoa den informatuz.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Ondoren, </w:t>
      </w:r>
      <w:proofErr w:type="spellStart"/>
      <w:r>
        <w:rPr>
          <w:rFonts w:ascii="Arial" w:hAnsi="Arial"/>
          <w:sz w:val="24"/>
          <w:szCs w:val="24"/>
        </w:rPr>
        <w:t>NJASaren</w:t>
      </w:r>
      <w:proofErr w:type="spellEnd"/>
      <w:r>
        <w:rPr>
          <w:rFonts w:ascii="Arial" w:hAnsi="Arial"/>
          <w:sz w:val="24"/>
          <w:szCs w:val="24"/>
        </w:rPr>
        <w:t xml:space="preserve"> eta </w:t>
      </w: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bilakaera erakusten dugu (2. irudia). Bertan, bi ibilbideen arteko antzekotasuna erakusten da.</w:t>
      </w: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</w:rPr>
      </w:pPr>
    </w:p>
    <w:p w:rsidR="008F6BF8" w:rsidRDefault="008F6BF8" w:rsidP="007F34B2">
      <w:pPr>
        <w:jc w:val="center"/>
        <w:rPr>
          <w:rFonts w:ascii="Arial" w:hAnsi="Arial" w:cs="Arial"/>
          <w:sz w:val="24"/>
          <w:szCs w:val="24"/>
        </w:rPr>
      </w:pPr>
      <w:r>
        <w:br w:type="page"/>
      </w:r>
    </w:p>
    <w:p w:rsidR="008F6BF8" w:rsidRPr="0029090F" w:rsidRDefault="007F34B2" w:rsidP="007F34B2">
      <w:pPr>
        <w:jc w:val="center"/>
        <w:rPr>
          <w:rFonts w:ascii="Arial" w:hAnsi="Arial" w:cs="Arial"/>
        </w:rPr>
      </w:pPr>
      <w:r w:rsidRPr="0029090F">
        <w:rPr>
          <w:rFonts w:ascii="Arial" w:hAnsi="Arial"/>
        </w:rPr>
        <w:lastRenderedPageBreak/>
        <w:t xml:space="preserve">2. irudia. </w:t>
      </w:r>
      <w:proofErr w:type="spellStart"/>
      <w:r w:rsidRPr="0029090F">
        <w:rPr>
          <w:rFonts w:ascii="Arial" w:hAnsi="Arial"/>
        </w:rPr>
        <w:t>BPGaren</w:t>
      </w:r>
      <w:proofErr w:type="spellEnd"/>
      <w:r w:rsidRPr="0029090F">
        <w:rPr>
          <w:rFonts w:ascii="Arial" w:hAnsi="Arial"/>
        </w:rPr>
        <w:t xml:space="preserve"> eta </w:t>
      </w:r>
      <w:proofErr w:type="spellStart"/>
      <w:r w:rsidRPr="0029090F">
        <w:rPr>
          <w:rFonts w:ascii="Arial" w:hAnsi="Arial"/>
        </w:rPr>
        <w:t>NJASaren</w:t>
      </w:r>
      <w:proofErr w:type="spellEnd"/>
      <w:r w:rsidRPr="0029090F">
        <w:rPr>
          <w:rFonts w:ascii="Arial" w:hAnsi="Arial"/>
        </w:rPr>
        <w:t xml:space="preserve"> bilakaera</w:t>
      </w: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57728" behindDoc="0" locked="0" layoutInCell="1" allowOverlap="1" wp14:anchorId="5F09FD88" wp14:editId="1D5033AF">
            <wp:simplePos x="0" y="0"/>
            <wp:positionH relativeFrom="column">
              <wp:posOffset>-31115</wp:posOffset>
            </wp:positionH>
            <wp:positionV relativeFrom="paragraph">
              <wp:posOffset>20955</wp:posOffset>
            </wp:positionV>
            <wp:extent cx="4964430" cy="2541905"/>
            <wp:effectExtent l="0" t="0" r="762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254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F6BF8" w:rsidRP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Eredu Faktorial Dinamikoa</w:t>
      </w: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</w:rPr>
      </w:pP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Nagusia aut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nomia erkidegoek osatuta dagoen eta </w:t>
      </w:r>
      <w:proofErr w:type="spellStart"/>
      <w:r>
        <w:rPr>
          <w:rFonts w:ascii="Arial" w:hAnsi="Arial"/>
          <w:sz w:val="24"/>
          <w:szCs w:val="24"/>
        </w:rPr>
        <w:t>Airefek</w:t>
      </w:r>
      <w:proofErr w:type="spellEnd"/>
      <w:r>
        <w:rPr>
          <w:rFonts w:ascii="Arial" w:hAnsi="Arial"/>
          <w:sz w:val="24"/>
          <w:szCs w:val="24"/>
        </w:rPr>
        <w:t xml:space="preserve"> sustatzen duen lantalde bateko k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dea da. Lantalde horren helburua da metodologia </w:t>
      </w:r>
      <w:proofErr w:type="spellStart"/>
      <w:r>
        <w:rPr>
          <w:rFonts w:ascii="Arial" w:hAnsi="Arial"/>
          <w:sz w:val="24"/>
          <w:szCs w:val="24"/>
        </w:rPr>
        <w:t>amankomun</w:t>
      </w:r>
      <w:proofErr w:type="spellEnd"/>
      <w:r>
        <w:rPr>
          <w:rFonts w:ascii="Arial" w:hAnsi="Arial"/>
          <w:sz w:val="24"/>
          <w:szCs w:val="24"/>
        </w:rPr>
        <w:t xml:space="preserve"> bat ezartzea ko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dro </w:t>
      </w:r>
      <w:proofErr w:type="spellStart"/>
      <w:r>
        <w:rPr>
          <w:rFonts w:ascii="Arial" w:hAnsi="Arial"/>
          <w:sz w:val="24"/>
          <w:szCs w:val="24"/>
        </w:rPr>
        <w:t>makroekonomiko</w:t>
      </w:r>
      <w:proofErr w:type="spellEnd"/>
      <w:r>
        <w:rPr>
          <w:rFonts w:ascii="Arial" w:hAnsi="Arial"/>
          <w:sz w:val="24"/>
          <w:szCs w:val="24"/>
        </w:rPr>
        <w:t xml:space="preserve"> erregionala zenbatesteko. Lehenengo fase batean, hiruh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leko </w:t>
      </w: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zenbatespen bat egiten hasi da, eta </w:t>
      </w:r>
      <w:proofErr w:type="spellStart"/>
      <w:r>
        <w:rPr>
          <w:rFonts w:ascii="Arial" w:hAnsi="Arial"/>
          <w:sz w:val="24"/>
          <w:szCs w:val="24"/>
        </w:rPr>
        <w:t>Airefek</w:t>
      </w:r>
      <w:proofErr w:type="spellEnd"/>
      <w:r>
        <w:rPr>
          <w:rFonts w:ascii="Arial" w:hAnsi="Arial"/>
          <w:sz w:val="24"/>
          <w:szCs w:val="24"/>
        </w:rPr>
        <w:t xml:space="preserve"> horretarako propos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tzen du eredu faktorial dinamiko bat erabiltzea, bere METCAP ereduan oinarritua. Autonomia erkidego bakoitzak gero eredu hori egokitu ahalko du bere kasuistikari doitzeko (3. irudia).</w:t>
      </w:r>
    </w:p>
    <w:p w:rsidR="007F34B2" w:rsidRPr="007F34B2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Analisi faktorialak faktore bakarrean biltzen du hilabeteko eta hiruhileko maizt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suna duten adierazle </w:t>
      </w:r>
      <w:proofErr w:type="spellStart"/>
      <w:r>
        <w:rPr>
          <w:rFonts w:ascii="Arial" w:hAnsi="Arial"/>
          <w:sz w:val="24"/>
          <w:szCs w:val="24"/>
        </w:rPr>
        <w:t>koiunturalen</w:t>
      </w:r>
      <w:proofErr w:type="spellEnd"/>
      <w:r>
        <w:rPr>
          <w:rFonts w:ascii="Arial" w:hAnsi="Arial"/>
          <w:sz w:val="24"/>
          <w:szCs w:val="24"/>
        </w:rPr>
        <w:t xml:space="preserve"> multzoa, eta gero faktore horren bidez </w:t>
      </w: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hiruhileko aldea zenbatesten du. Hasiera batean </w:t>
      </w:r>
      <w:proofErr w:type="spellStart"/>
      <w:r>
        <w:rPr>
          <w:rFonts w:ascii="Arial" w:hAnsi="Arial"/>
          <w:sz w:val="24"/>
          <w:szCs w:val="24"/>
        </w:rPr>
        <w:t>Airefek</w:t>
      </w:r>
      <w:proofErr w:type="spellEnd"/>
      <w:r>
        <w:rPr>
          <w:rFonts w:ascii="Arial" w:hAnsi="Arial"/>
          <w:sz w:val="24"/>
          <w:szCs w:val="24"/>
        </w:rPr>
        <w:t xml:space="preserve"> proposatzen dituen adi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razleen bateria oso erabatekoa da, eta jarduera ekonomikoaren osagai guztiak hartzen ditu; honako hauek, besteak </w:t>
      </w:r>
      <w:proofErr w:type="spellStart"/>
      <w:r>
        <w:rPr>
          <w:rFonts w:ascii="Arial" w:hAnsi="Arial"/>
          <w:sz w:val="24"/>
          <w:szCs w:val="24"/>
        </w:rPr>
        <w:t>beste</w:t>
      </w:r>
      <w:proofErr w:type="spellEnd"/>
      <w:r>
        <w:rPr>
          <w:rFonts w:ascii="Arial" w:hAnsi="Arial"/>
          <w:sz w:val="24"/>
          <w:szCs w:val="24"/>
        </w:rPr>
        <w:t>: enplegua, ondasunen esportazioak eta inportazioak, autoen matrikulazioak, hoteletako gauak, txikizkako merkataritza, ekoizpen industrialeko zerbitzuen negozio-zifra, etxebizitzetarako emandako hip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tekak, obra berriko zuzendaritza bisatuak, petrolio-produktuen kontsumoa, kred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tuak eta emandako gordailuak. Analisi faktoriala egiteko, soilik hautatzen dira </w:t>
      </w:r>
      <w:proofErr w:type="spellStart"/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Garekin</w:t>
      </w:r>
      <w:proofErr w:type="spellEnd"/>
      <w:r>
        <w:rPr>
          <w:rFonts w:ascii="Arial" w:hAnsi="Arial"/>
          <w:sz w:val="24"/>
          <w:szCs w:val="24"/>
        </w:rPr>
        <w:t xml:space="preserve"> 0,5eko gutxieneko korrelazio bat dutenak, eta ondoren, faktorea lortu o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doren, </w:t>
      </w: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aurreikuspena lortzen da.</w:t>
      </w:r>
    </w:p>
    <w:p w:rsidR="007F34B2" w:rsidRPr="007F34B2" w:rsidRDefault="007F34B2" w:rsidP="007F34B2">
      <w:pPr>
        <w:jc w:val="both"/>
        <w:rPr>
          <w:rFonts w:ascii="Arial" w:hAnsi="Arial" w:cs="Arial"/>
          <w:sz w:val="24"/>
          <w:szCs w:val="24"/>
        </w:rPr>
      </w:pPr>
    </w:p>
    <w:p w:rsidR="00E6465E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Metodologia horri jarraituz, eredu faktorial propio bat diseinatu da, Nafarroako h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ruhilekoko </w:t>
      </w:r>
      <w:proofErr w:type="spellStart"/>
      <w:r>
        <w:rPr>
          <w:rFonts w:ascii="Arial" w:hAnsi="Arial"/>
          <w:sz w:val="24"/>
          <w:szCs w:val="24"/>
        </w:rPr>
        <w:t>BPGa</w:t>
      </w:r>
      <w:proofErr w:type="spellEnd"/>
      <w:r>
        <w:rPr>
          <w:rFonts w:ascii="Arial" w:hAnsi="Arial"/>
          <w:sz w:val="24"/>
          <w:szCs w:val="24"/>
        </w:rPr>
        <w:t xml:space="preserve"> zenbatesteko.</w:t>
      </w:r>
      <w:r>
        <w:rPr>
          <w:rFonts w:ascii="Arial" w:hAnsi="Arial"/>
          <w:sz w:val="24"/>
          <w:szCs w:val="24"/>
        </w:rPr>
        <w:br w:type="page"/>
      </w:r>
    </w:p>
    <w:p w:rsidR="008F6BF8" w:rsidRDefault="008F6BF8" w:rsidP="007F34B2">
      <w:pPr>
        <w:jc w:val="both"/>
        <w:rPr>
          <w:rFonts w:ascii="Arial" w:hAnsi="Arial" w:cs="Arial"/>
          <w:sz w:val="24"/>
          <w:szCs w:val="24"/>
        </w:rPr>
      </w:pPr>
    </w:p>
    <w:p w:rsidR="007F34B2" w:rsidRPr="0029090F" w:rsidRDefault="0029090F" w:rsidP="007F34B2">
      <w:pPr>
        <w:jc w:val="center"/>
        <w:rPr>
          <w:rFonts w:ascii="Arial" w:hAnsi="Arial" w:cs="Arial"/>
        </w:rPr>
      </w:pPr>
      <w:r>
        <w:rPr>
          <w:rFonts w:ascii="Arial" w:hAnsi="Arial"/>
        </w:rPr>
        <w:t>3. irudia.</w:t>
      </w:r>
      <w:r>
        <w:rPr>
          <w:rFonts w:ascii="Arial" w:hAnsi="Arial"/>
        </w:rPr>
        <w:br/>
      </w:r>
      <w:proofErr w:type="spellStart"/>
      <w:r w:rsidR="007F34B2" w:rsidRPr="0029090F">
        <w:rPr>
          <w:rFonts w:ascii="Arial" w:hAnsi="Arial"/>
        </w:rPr>
        <w:t>Airefen</w:t>
      </w:r>
      <w:proofErr w:type="spellEnd"/>
      <w:r w:rsidR="007F34B2" w:rsidRPr="0029090F">
        <w:rPr>
          <w:rFonts w:ascii="Arial" w:hAnsi="Arial"/>
        </w:rPr>
        <w:t xml:space="preserve"> </w:t>
      </w:r>
      <w:proofErr w:type="spellStart"/>
      <w:r w:rsidR="007F34B2" w:rsidRPr="0029090F">
        <w:rPr>
          <w:rFonts w:ascii="Arial" w:hAnsi="Arial"/>
        </w:rPr>
        <w:t>BPGaren</w:t>
      </w:r>
      <w:proofErr w:type="spellEnd"/>
      <w:r w:rsidR="007F34B2" w:rsidRPr="0029090F">
        <w:rPr>
          <w:rFonts w:ascii="Arial" w:hAnsi="Arial"/>
        </w:rPr>
        <w:t xml:space="preserve"> zenbatespena, 2018ko 3. hiruhilekoa, autonomia erkidegoen araber</w:t>
      </w:r>
      <w:r w:rsidR="007F34B2" w:rsidRPr="0029090F">
        <w:rPr>
          <w:rFonts w:ascii="Arial" w:hAnsi="Arial"/>
        </w:rPr>
        <w:t>a</w:t>
      </w:r>
      <w:r w:rsidR="007F34B2" w:rsidRPr="0029090F">
        <w:rPr>
          <w:rFonts w:ascii="Arial" w:hAnsi="Arial"/>
        </w:rPr>
        <w:t>koa.</w:t>
      </w:r>
    </w:p>
    <w:p w:rsidR="008F6BF8" w:rsidRDefault="006E5A1C" w:rsidP="007F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s-ES"/>
        </w:rPr>
        <w:drawing>
          <wp:inline distT="0" distB="0" distL="0" distR="0" wp14:anchorId="28DB7BEB" wp14:editId="072DBAD2">
            <wp:extent cx="4019550" cy="26670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4B2" w:rsidRPr="007F34B2" w:rsidRDefault="007F34B2" w:rsidP="007F34B2">
      <w:pPr>
        <w:jc w:val="both"/>
        <w:rPr>
          <w:rFonts w:ascii="Arial" w:hAnsi="Arial" w:cs="Arial"/>
          <w:sz w:val="24"/>
          <w:szCs w:val="24"/>
        </w:rPr>
      </w:pPr>
    </w:p>
    <w:p w:rsidR="008F6BF8" w:rsidRDefault="007F34B2" w:rsidP="007F34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Zailtasunak dituzten enpresen alerta-sistema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2017ko apirilean, zailtasunak dituzten enpresen alerta-sistema bat jarri zen abian; haren helburua zen puntu bakarrean biltzea arazo ekonomikoak, lanekoak, fina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tzarioak eta abarrekoak zituzten enpresei buruzko informazioa, hartara haien j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rraipena egin eta laguntza eman ahal izateko.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Horretarako, posta elektronikoko kontu bat gaitu zen, </w:t>
      </w:r>
      <w:hyperlink r:id="rId11" w:history="1">
        <w:r>
          <w:rPr>
            <w:rFonts w:ascii="Arial" w:hAnsi="Arial"/>
            <w:sz w:val="24"/>
            <w:szCs w:val="24"/>
          </w:rPr>
          <w:t>alerta.empresas@navarra.es</w:t>
        </w:r>
      </w:hyperlink>
      <w:r>
        <w:rPr>
          <w:rFonts w:ascii="Arial" w:hAnsi="Arial"/>
          <w:sz w:val="24"/>
          <w:szCs w:val="24"/>
        </w:rPr>
        <w:t>, honako helburu honekin: Garapen Ekonomikorako Departamentuko edo enpresa publikoetako edozein langilek, bere lana dela-eta zailtasunak dituzten enpresen berri izanez gero, informazio hori bideratu ahal iz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tea. Sistema hori hedabideetan zabaltzen diren albisteekin osatzen da.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Hilabetero</w:t>
      </w:r>
      <w:proofErr w:type="spellEnd"/>
      <w:r>
        <w:rPr>
          <w:rFonts w:ascii="Arial" w:hAnsi="Arial"/>
          <w:sz w:val="24"/>
          <w:szCs w:val="24"/>
        </w:rPr>
        <w:t>, informazio hori eta erregistratutako enplegu erregulazioko espedie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teak eta enpresen helbide sozialaren aldaketak (Nafarroatik beste erkidego batera eta beste erkidego batetik Nafarroara) bidaltzen dira.</w:t>
      </w:r>
    </w:p>
    <w:p w:rsidR="008F6BF8" w:rsidRDefault="007F34B2" w:rsidP="007F34B2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Epe ertaineko eta luzeko horizonte baterako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Aurrez azaldutako tresnez gainera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epe</w:t>
      </w:r>
      <w:proofErr w:type="spellEnd"/>
      <w:r>
        <w:rPr>
          <w:rFonts w:ascii="Arial" w:hAnsi="Arial"/>
          <w:sz w:val="24"/>
          <w:szCs w:val="24"/>
        </w:rPr>
        <w:t xml:space="preserve"> ertainean ekonomia erregionalaren bil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kaera aurreratzera orientatuta </w:t>
      </w:r>
      <w:proofErr w:type="spellStart"/>
      <w:r>
        <w:rPr>
          <w:rFonts w:ascii="Arial" w:hAnsi="Arial"/>
          <w:sz w:val="24"/>
          <w:szCs w:val="24"/>
        </w:rPr>
        <w:t>daude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 xml:space="preserve">, 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Nagusiak beste tresna-bateria bat badauka, Nafarroako Ekonomiak denbora-horizonte zabalago batean izanen duen jokaerari aurrea ha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tzeko.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Horretarako, Politika Ekonomiko eta </w:t>
      </w:r>
      <w:proofErr w:type="spellStart"/>
      <w:r>
        <w:rPr>
          <w:rFonts w:ascii="Arial" w:hAnsi="Arial"/>
          <w:sz w:val="24"/>
          <w:szCs w:val="24"/>
        </w:rPr>
        <w:t>Enpresarialaren</w:t>
      </w:r>
      <w:proofErr w:type="spellEnd"/>
      <w:r>
        <w:rPr>
          <w:rFonts w:ascii="Arial" w:hAnsi="Arial"/>
          <w:sz w:val="24"/>
          <w:szCs w:val="24"/>
        </w:rPr>
        <w:t xml:space="preserve"> eta Lanaren Zuzendaritza Nagusiak Nafarroako eta Espainiako ekonomiari buruz hainbat entitatek argitar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tzen dituzten aurreikuspen </w:t>
      </w:r>
      <w:proofErr w:type="spellStart"/>
      <w:r>
        <w:rPr>
          <w:rFonts w:ascii="Arial" w:hAnsi="Arial"/>
          <w:sz w:val="24"/>
          <w:szCs w:val="24"/>
        </w:rPr>
        <w:t>makroekonomikoak</w:t>
      </w:r>
      <w:proofErr w:type="spellEnd"/>
      <w:r>
        <w:rPr>
          <w:rFonts w:ascii="Arial" w:hAnsi="Arial"/>
          <w:sz w:val="24"/>
          <w:szCs w:val="24"/>
        </w:rPr>
        <w:t xml:space="preserve"> bildu eta haien jarraipena egiten du. Hartara, honako hauen zenbatespenak jasotzen ditu: NMF, ELGA, Europako Batzordea, Ekonomia Ministerioa, Espainiako Bankua, </w:t>
      </w:r>
      <w:proofErr w:type="spellStart"/>
      <w:r>
        <w:rPr>
          <w:rFonts w:ascii="Arial" w:hAnsi="Arial"/>
          <w:sz w:val="24"/>
          <w:szCs w:val="24"/>
        </w:rPr>
        <w:t>Airef</w:t>
      </w:r>
      <w:proofErr w:type="spellEnd"/>
      <w:r>
        <w:rPr>
          <w:rFonts w:ascii="Arial" w:hAnsi="Arial"/>
          <w:sz w:val="24"/>
          <w:szCs w:val="24"/>
        </w:rPr>
        <w:t>, FUNCAS (Aurrezki Kutxen Fundazioa), AFI (Nazioarteko Analista Finantzarioak), CEOE, BBVA, L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boral Kutxa, CEPREDE (Aurreikuspen Ekonomikorako Zentroa), </w:t>
      </w:r>
      <w:proofErr w:type="spellStart"/>
      <w:r>
        <w:rPr>
          <w:rFonts w:ascii="Arial" w:hAnsi="Arial"/>
          <w:sz w:val="24"/>
          <w:szCs w:val="24"/>
        </w:rPr>
        <w:t>Hispalink</w:t>
      </w:r>
      <w:proofErr w:type="spellEnd"/>
      <w:r>
        <w:rPr>
          <w:rFonts w:ascii="Arial" w:hAnsi="Arial"/>
          <w:sz w:val="24"/>
          <w:szCs w:val="24"/>
        </w:rPr>
        <w:t xml:space="preserve"> eta N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farroako Merkataritza eta Industria Ganbera.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Aurreikuspen horiek oinarri bat dira ekitaldi bakoitzeko Nafarroako Aurrekontu Orokorrak oinarritzen dituen agertoki </w:t>
      </w:r>
      <w:proofErr w:type="spellStart"/>
      <w:r>
        <w:rPr>
          <w:rFonts w:ascii="Arial" w:hAnsi="Arial"/>
          <w:sz w:val="24"/>
          <w:szCs w:val="24"/>
        </w:rPr>
        <w:t>makroekonomikoa</w:t>
      </w:r>
      <w:proofErr w:type="spellEnd"/>
      <w:r>
        <w:rPr>
          <w:rFonts w:ascii="Arial" w:hAnsi="Arial"/>
          <w:sz w:val="24"/>
          <w:szCs w:val="24"/>
        </w:rPr>
        <w:t xml:space="preserve"> bere testuinguruan ja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tzeko, zeren eta lagungarri baitira ingurune ekonomiko erregionala hobeki kok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tzeko.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Koadro makroa osatzen duten aldagaiak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BPG</w:t>
      </w:r>
      <w:proofErr w:type="spellEnd"/>
      <w:r>
        <w:rPr>
          <w:rFonts w:ascii="Arial" w:hAnsi="Arial"/>
          <w:sz w:val="24"/>
          <w:szCs w:val="24"/>
        </w:rPr>
        <w:t xml:space="preserve"> erreala, BPG nominala, </w:t>
      </w: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deflaktatzailea</w:t>
      </w:r>
      <w:proofErr w:type="spellEnd"/>
      <w:r>
        <w:rPr>
          <w:rFonts w:ascii="Arial" w:hAnsi="Arial"/>
          <w:sz w:val="24"/>
          <w:szCs w:val="24"/>
        </w:rPr>
        <w:t xml:space="preserve">, enplegua eta </w:t>
      </w:r>
      <w:proofErr w:type="spellStart"/>
      <w:r>
        <w:rPr>
          <w:rFonts w:ascii="Arial" w:hAnsi="Arial"/>
          <w:sz w:val="24"/>
          <w:szCs w:val="24"/>
        </w:rPr>
        <w:t>KPIa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 xml:space="preserve"> zenbatesteko, hainbat tresna erabiltzen dira. Aldagai guztiek </w:t>
      </w:r>
      <w:proofErr w:type="spellStart"/>
      <w:r>
        <w:rPr>
          <w:rFonts w:ascii="Arial" w:hAnsi="Arial"/>
          <w:sz w:val="24"/>
          <w:szCs w:val="24"/>
        </w:rPr>
        <w:t>amankomunean</w:t>
      </w:r>
      <w:proofErr w:type="spellEnd"/>
      <w:r>
        <w:rPr>
          <w:rFonts w:ascii="Arial" w:hAnsi="Arial"/>
          <w:sz w:val="24"/>
          <w:szCs w:val="24"/>
        </w:rPr>
        <w:t xml:space="preserve"> dute aldagai bakarreko doikuntza bat egitea joera aztertzeko, baina horietako bakarren batean </w:t>
      </w:r>
      <w:proofErr w:type="spellStart"/>
      <w:r w:rsidR="0029090F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>BPGa</w:t>
      </w:r>
      <w:proofErr w:type="spellEnd"/>
      <w:r>
        <w:rPr>
          <w:rFonts w:ascii="Arial" w:hAnsi="Arial"/>
          <w:sz w:val="24"/>
          <w:szCs w:val="24"/>
        </w:rPr>
        <w:t xml:space="preserve"> edo </w:t>
      </w:r>
      <w:proofErr w:type="spellStart"/>
      <w:r>
        <w:rPr>
          <w:rFonts w:ascii="Arial" w:hAnsi="Arial"/>
          <w:sz w:val="24"/>
          <w:szCs w:val="24"/>
        </w:rPr>
        <w:t>enplegua</w:t>
      </w:r>
      <w:r w:rsidR="0029090F">
        <w:rPr>
          <w:rFonts w:ascii="Arial" w:hAnsi="Arial"/>
          <w:sz w:val="24"/>
          <w:szCs w:val="24"/>
        </w:rPr>
        <w:t>–</w:t>
      </w:r>
      <w:proofErr w:type="spellEnd"/>
      <w:r>
        <w:rPr>
          <w:rFonts w:ascii="Arial" w:hAnsi="Arial"/>
          <w:sz w:val="24"/>
          <w:szCs w:val="24"/>
        </w:rPr>
        <w:t xml:space="preserve"> metodologia propioak erabiltzen dira. 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BPGaren</w:t>
      </w:r>
      <w:proofErr w:type="spellEnd"/>
      <w:r>
        <w:rPr>
          <w:rFonts w:ascii="Arial" w:hAnsi="Arial"/>
          <w:sz w:val="24"/>
          <w:szCs w:val="24"/>
        </w:rPr>
        <w:t xml:space="preserve"> kasuan, esate baterako, aldi baterako eredu kausal bat zenbatesten da, zeinak bere baitan aldagai independente moduan Estatuko </w:t>
      </w:r>
      <w:proofErr w:type="spellStart"/>
      <w:r>
        <w:rPr>
          <w:rFonts w:ascii="Arial" w:hAnsi="Arial"/>
          <w:sz w:val="24"/>
          <w:szCs w:val="24"/>
        </w:rPr>
        <w:t>BPGa</w:t>
      </w:r>
      <w:proofErr w:type="spellEnd"/>
      <w:r>
        <w:rPr>
          <w:rFonts w:ascii="Arial" w:hAnsi="Arial"/>
          <w:sz w:val="24"/>
          <w:szCs w:val="24"/>
        </w:rPr>
        <w:t xml:space="preserve"> jasotzen baita, eta eskaintzaren eta eskariaren osagaietako bakoitzaren eredua ezartzen da. 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pleguan, bestalde, eredu </w:t>
      </w:r>
      <w:proofErr w:type="spellStart"/>
      <w:r>
        <w:rPr>
          <w:rFonts w:ascii="Arial" w:hAnsi="Arial"/>
          <w:sz w:val="24"/>
          <w:szCs w:val="24"/>
        </w:rPr>
        <w:t>ekonometriko</w:t>
      </w:r>
      <w:proofErr w:type="spellEnd"/>
      <w:r>
        <w:rPr>
          <w:rFonts w:ascii="Arial" w:hAnsi="Arial"/>
          <w:sz w:val="24"/>
          <w:szCs w:val="24"/>
        </w:rPr>
        <w:t xml:space="preserve"> propio bat erabiltzen da, Nafarroako la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dunak eta </w:t>
      </w:r>
      <w:proofErr w:type="spellStart"/>
      <w:r>
        <w:rPr>
          <w:rFonts w:ascii="Arial" w:hAnsi="Arial"/>
          <w:sz w:val="24"/>
          <w:szCs w:val="24"/>
        </w:rPr>
        <w:t>BEGa</w:t>
      </w:r>
      <w:proofErr w:type="spellEnd"/>
      <w:r>
        <w:rPr>
          <w:rFonts w:ascii="Arial" w:hAnsi="Arial"/>
          <w:sz w:val="24"/>
          <w:szCs w:val="24"/>
        </w:rPr>
        <w:t xml:space="preserve"> erlazionatzen dituena; haren arabera, izan ere, urte bakoitzeko enpleguaren bilakaera </w:t>
      </w:r>
      <w:proofErr w:type="spellStart"/>
      <w:r>
        <w:rPr>
          <w:rFonts w:ascii="Arial" w:hAnsi="Arial"/>
          <w:sz w:val="24"/>
          <w:szCs w:val="24"/>
        </w:rPr>
        <w:t>BEGaren</w:t>
      </w:r>
      <w:proofErr w:type="spellEnd"/>
      <w:r>
        <w:rPr>
          <w:rFonts w:ascii="Arial" w:hAnsi="Arial"/>
          <w:sz w:val="24"/>
          <w:szCs w:val="24"/>
        </w:rPr>
        <w:t xml:space="preserve"> hazkundearen baitan ez ezik, aurreko urteko 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pleguaren bilakaeraren baitan ere egonen da.</w:t>
      </w:r>
    </w:p>
    <w:p w:rsidR="008F6BF8" w:rsidRDefault="007F34B2" w:rsidP="007F3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Azken batez, eta egiazta daitekeen bezala, Nafarroako Gobernuak behar adina tresna badauzka Nafarroako, nazio mailako eta Europako koiuntura ekonomiko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ren bilakaera monitorizatzeko, bai eta ekonomia erregionalak denborazko hor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zonte desberdinetan izanen duen bilakaera zenbatesteko ere.</w:t>
      </w:r>
    </w:p>
    <w:p w:rsidR="008F6BF8" w:rsidRDefault="009B2BD6" w:rsidP="00C52CA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ren 194. artikulua betez.</w:t>
      </w:r>
    </w:p>
    <w:p w:rsidR="00100DC0" w:rsidRPr="00362E14" w:rsidRDefault="00180DA1" w:rsidP="00885F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2018ko abenduaren 7an.</w:t>
      </w:r>
    </w:p>
    <w:p w:rsidR="00C52CA3" w:rsidRPr="00362E14" w:rsidRDefault="008F6BF8" w:rsidP="008F6B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Garapen Ekonomikorako kontseilaria: Manuel Ayerdi Olaizola</w:t>
      </w:r>
    </w:p>
    <w:sectPr w:rsidR="00C52CA3" w:rsidRPr="00362E14" w:rsidSect="008F6BF8">
      <w:headerReference w:type="first" r:id="rId12"/>
      <w:pgSz w:w="11906" w:h="16838" w:code="9"/>
      <w:pgMar w:top="1418" w:right="991" w:bottom="851" w:left="2127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61" w:rsidRDefault="00057661">
      <w:r>
        <w:separator/>
      </w:r>
    </w:p>
  </w:endnote>
  <w:endnote w:type="continuationSeparator" w:id="0">
    <w:p w:rsidR="00057661" w:rsidRDefault="0005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61" w:rsidRDefault="00057661">
      <w:r>
        <w:separator/>
      </w:r>
    </w:p>
  </w:footnote>
  <w:footnote w:type="continuationSeparator" w:id="0">
    <w:p w:rsidR="00057661" w:rsidRDefault="0005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8D" w:rsidRDefault="00214A8D" w:rsidP="00746800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8D6"/>
    <w:multiLevelType w:val="hybridMultilevel"/>
    <w:tmpl w:val="63A8A7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A06B04"/>
    <w:multiLevelType w:val="hybridMultilevel"/>
    <w:tmpl w:val="6EC01780"/>
    <w:lvl w:ilvl="0" w:tplc="DBE2F232">
      <w:start w:val="900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B252DD9"/>
    <w:multiLevelType w:val="hybridMultilevel"/>
    <w:tmpl w:val="2CB0A8AE"/>
    <w:lvl w:ilvl="0" w:tplc="F3B06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012F"/>
    <w:multiLevelType w:val="hybridMultilevel"/>
    <w:tmpl w:val="2CCAB8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6E7661"/>
    <w:multiLevelType w:val="hybridMultilevel"/>
    <w:tmpl w:val="6ED8E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06663"/>
    <w:multiLevelType w:val="hybridMultilevel"/>
    <w:tmpl w:val="590A64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F2605F"/>
    <w:multiLevelType w:val="hybridMultilevel"/>
    <w:tmpl w:val="E86CF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A703D"/>
    <w:multiLevelType w:val="hybridMultilevel"/>
    <w:tmpl w:val="F2E61A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EA2B9D"/>
    <w:multiLevelType w:val="hybridMultilevel"/>
    <w:tmpl w:val="E1ECC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D0D24"/>
    <w:multiLevelType w:val="hybridMultilevel"/>
    <w:tmpl w:val="D3A4B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47F33"/>
    <w:multiLevelType w:val="hybridMultilevel"/>
    <w:tmpl w:val="473E7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F1C3D"/>
    <w:multiLevelType w:val="hybridMultilevel"/>
    <w:tmpl w:val="F13AE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237FE"/>
    <w:multiLevelType w:val="hybridMultilevel"/>
    <w:tmpl w:val="A266D3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F4982"/>
    <w:multiLevelType w:val="hybridMultilevel"/>
    <w:tmpl w:val="7586F732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3081B4B"/>
    <w:multiLevelType w:val="hybridMultilevel"/>
    <w:tmpl w:val="75B4F898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1E60161"/>
    <w:multiLevelType w:val="hybridMultilevel"/>
    <w:tmpl w:val="21065FE8"/>
    <w:lvl w:ilvl="0" w:tplc="4358E60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E65BF4"/>
    <w:multiLevelType w:val="hybridMultilevel"/>
    <w:tmpl w:val="5240EE8A"/>
    <w:lvl w:ilvl="0" w:tplc="BA9A16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C763633"/>
    <w:multiLevelType w:val="hybridMultilevel"/>
    <w:tmpl w:val="F88223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60F6899"/>
    <w:multiLevelType w:val="hybridMultilevel"/>
    <w:tmpl w:val="215AC934"/>
    <w:lvl w:ilvl="0" w:tplc="C4C415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EDB62BA"/>
    <w:multiLevelType w:val="hybridMultilevel"/>
    <w:tmpl w:val="F2E27D82"/>
    <w:lvl w:ilvl="0" w:tplc="38544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4"/>
  </w:num>
  <w:num w:numId="7">
    <w:abstractNumId w:val="1"/>
  </w:num>
  <w:num w:numId="8">
    <w:abstractNumId w:val="0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19"/>
  </w:num>
  <w:num w:numId="14">
    <w:abstractNumId w:val="7"/>
  </w:num>
  <w:num w:numId="15">
    <w:abstractNumId w:val="3"/>
  </w:num>
  <w:num w:numId="16">
    <w:abstractNumId w:val="12"/>
  </w:num>
  <w:num w:numId="17">
    <w:abstractNumId w:val="2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40B5"/>
    <w:rsid w:val="00010452"/>
    <w:rsid w:val="00011D63"/>
    <w:rsid w:val="00034095"/>
    <w:rsid w:val="000424BF"/>
    <w:rsid w:val="000437CA"/>
    <w:rsid w:val="00050BCF"/>
    <w:rsid w:val="00057661"/>
    <w:rsid w:val="0008570B"/>
    <w:rsid w:val="0009629A"/>
    <w:rsid w:val="000A6920"/>
    <w:rsid w:val="000B7DBA"/>
    <w:rsid w:val="000C1784"/>
    <w:rsid w:val="000F78A7"/>
    <w:rsid w:val="00100DC0"/>
    <w:rsid w:val="0010491B"/>
    <w:rsid w:val="00167D15"/>
    <w:rsid w:val="00180DA1"/>
    <w:rsid w:val="001B7335"/>
    <w:rsid w:val="001C4F09"/>
    <w:rsid w:val="001D2C65"/>
    <w:rsid w:val="001F429A"/>
    <w:rsid w:val="002028A9"/>
    <w:rsid w:val="00214A8D"/>
    <w:rsid w:val="00254E83"/>
    <w:rsid w:val="0029090F"/>
    <w:rsid w:val="002C2760"/>
    <w:rsid w:val="0030776B"/>
    <w:rsid w:val="00351821"/>
    <w:rsid w:val="00362E14"/>
    <w:rsid w:val="003A401A"/>
    <w:rsid w:val="003A557A"/>
    <w:rsid w:val="00410C40"/>
    <w:rsid w:val="004610C4"/>
    <w:rsid w:val="004A2D4A"/>
    <w:rsid w:val="004D2C59"/>
    <w:rsid w:val="004D45F3"/>
    <w:rsid w:val="005303BB"/>
    <w:rsid w:val="00531603"/>
    <w:rsid w:val="0056033C"/>
    <w:rsid w:val="005D6B42"/>
    <w:rsid w:val="005F7C67"/>
    <w:rsid w:val="00612AAE"/>
    <w:rsid w:val="00633060"/>
    <w:rsid w:val="00653ED9"/>
    <w:rsid w:val="00663636"/>
    <w:rsid w:val="006E044E"/>
    <w:rsid w:val="006E5A1C"/>
    <w:rsid w:val="00712870"/>
    <w:rsid w:val="00746800"/>
    <w:rsid w:val="00752CF3"/>
    <w:rsid w:val="00770EB1"/>
    <w:rsid w:val="00785CF0"/>
    <w:rsid w:val="007B351E"/>
    <w:rsid w:val="007C7D6B"/>
    <w:rsid w:val="007D1264"/>
    <w:rsid w:val="007F34B2"/>
    <w:rsid w:val="0080205A"/>
    <w:rsid w:val="00805BCF"/>
    <w:rsid w:val="00835316"/>
    <w:rsid w:val="008412A7"/>
    <w:rsid w:val="00872016"/>
    <w:rsid w:val="00882F07"/>
    <w:rsid w:val="00885F0E"/>
    <w:rsid w:val="00893177"/>
    <w:rsid w:val="008A5AFB"/>
    <w:rsid w:val="008C2FF5"/>
    <w:rsid w:val="008C7F71"/>
    <w:rsid w:val="008F6BF8"/>
    <w:rsid w:val="00901F53"/>
    <w:rsid w:val="00906029"/>
    <w:rsid w:val="009235D3"/>
    <w:rsid w:val="009576D7"/>
    <w:rsid w:val="0099041F"/>
    <w:rsid w:val="009B2BD6"/>
    <w:rsid w:val="009D5E3E"/>
    <w:rsid w:val="00A057F8"/>
    <w:rsid w:val="00A31F55"/>
    <w:rsid w:val="00A321A2"/>
    <w:rsid w:val="00A73F79"/>
    <w:rsid w:val="00A96513"/>
    <w:rsid w:val="00AA6054"/>
    <w:rsid w:val="00AA6E44"/>
    <w:rsid w:val="00AA73D2"/>
    <w:rsid w:val="00AC130B"/>
    <w:rsid w:val="00B0281C"/>
    <w:rsid w:val="00B037D3"/>
    <w:rsid w:val="00B103B7"/>
    <w:rsid w:val="00B7743B"/>
    <w:rsid w:val="00BA0308"/>
    <w:rsid w:val="00BF32FC"/>
    <w:rsid w:val="00C007CB"/>
    <w:rsid w:val="00C11646"/>
    <w:rsid w:val="00C12320"/>
    <w:rsid w:val="00C468F5"/>
    <w:rsid w:val="00C52CA3"/>
    <w:rsid w:val="00C63A9C"/>
    <w:rsid w:val="00C94CF9"/>
    <w:rsid w:val="00CA353F"/>
    <w:rsid w:val="00CB3FEA"/>
    <w:rsid w:val="00CC220F"/>
    <w:rsid w:val="00CC248C"/>
    <w:rsid w:val="00CD42AB"/>
    <w:rsid w:val="00D40AB5"/>
    <w:rsid w:val="00D61D73"/>
    <w:rsid w:val="00D64CD3"/>
    <w:rsid w:val="00D7200B"/>
    <w:rsid w:val="00DB5FF4"/>
    <w:rsid w:val="00DF6784"/>
    <w:rsid w:val="00E00EF2"/>
    <w:rsid w:val="00E26EC7"/>
    <w:rsid w:val="00E53052"/>
    <w:rsid w:val="00E6465E"/>
    <w:rsid w:val="00E7134C"/>
    <w:rsid w:val="00E74913"/>
    <w:rsid w:val="00E86347"/>
    <w:rsid w:val="00EA48DD"/>
    <w:rsid w:val="00EB6B63"/>
    <w:rsid w:val="00EF197D"/>
    <w:rsid w:val="00F2141A"/>
    <w:rsid w:val="00F3251F"/>
    <w:rsid w:val="00F75228"/>
    <w:rsid w:val="00F81E66"/>
    <w:rsid w:val="00FA4E72"/>
    <w:rsid w:val="00FB4868"/>
    <w:rsid w:val="00FD447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80DA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rsid w:val="00653ED9"/>
  </w:style>
  <w:style w:type="character" w:customStyle="1" w:styleId="TextonotapieCar">
    <w:name w:val="Texto nota pie Car"/>
    <w:basedOn w:val="Fuentedeprrafopredeter"/>
    <w:link w:val="Textonotapie"/>
    <w:rsid w:val="00653ED9"/>
  </w:style>
  <w:style w:type="character" w:styleId="Refdenotaalpie">
    <w:name w:val="footnote reference"/>
    <w:rsid w:val="00653ED9"/>
    <w:rPr>
      <w:vertAlign w:val="superscript"/>
    </w:rPr>
  </w:style>
  <w:style w:type="character" w:styleId="Hipervnculo">
    <w:name w:val="Hyperlink"/>
    <w:basedOn w:val="Fuentedeprrafopredeter"/>
    <w:rsid w:val="00D61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80DA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rsid w:val="00653ED9"/>
  </w:style>
  <w:style w:type="character" w:customStyle="1" w:styleId="TextonotapieCar">
    <w:name w:val="Texto nota pie Car"/>
    <w:basedOn w:val="Fuentedeprrafopredeter"/>
    <w:link w:val="Textonotapie"/>
    <w:rsid w:val="00653ED9"/>
  </w:style>
  <w:style w:type="character" w:styleId="Refdenotaalpie">
    <w:name w:val="footnote reference"/>
    <w:rsid w:val="00653ED9"/>
    <w:rPr>
      <w:vertAlign w:val="superscript"/>
    </w:rPr>
  </w:style>
  <w:style w:type="character" w:styleId="Hipervnculo">
    <w:name w:val="Hyperlink"/>
    <w:basedOn w:val="Fuentedeprrafopredeter"/>
    <w:rsid w:val="00D61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rta.empresas@navarra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1144</Words>
  <Characters>8794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9919</CharactersWithSpaces>
  <SharedDoc>false</SharedDoc>
  <HLinks>
    <vt:vector size="6" baseType="variant">
      <vt:variant>
        <vt:i4>5046328</vt:i4>
      </vt:variant>
      <vt:variant>
        <vt:i4>0</vt:i4>
      </vt:variant>
      <vt:variant>
        <vt:i4>0</vt:i4>
      </vt:variant>
      <vt:variant>
        <vt:i4>5</vt:i4>
      </vt:variant>
      <vt:variant>
        <vt:lpwstr>mailto:alerta.empresas@navarra.es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2018-12-07T14:34:00Z</cp:lastPrinted>
  <dcterms:created xsi:type="dcterms:W3CDTF">2019-02-20T07:37:00Z</dcterms:created>
  <dcterms:modified xsi:type="dcterms:W3CDTF">2019-02-20T07:59:00Z</dcterms:modified>
</cp:coreProperties>
</file>