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 markak gure erkidegotik kanpo duen posizionamenduaren diagnostikoari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helburuak eta lan ildoak azaltzeko. Agerraldi hartan, kontseilariak iragarri zuen diagnostiko bat eginen zela Nafarroa markak gure erkidegotik kanpo –estatuan nahiz Europan eta mundu ekonomikoko preskriptore nagusien artean– daukan posizionamenduari buruz.</w:t>
      </w:r>
    </w:p>
    <w:p>
      <w:pPr>
        <w:pStyle w:val="0"/>
        <w:suppressAutoHyphens w:val="false"/>
        <w:rPr>
          <w:rStyle w:val="1"/>
        </w:rPr>
      </w:pPr>
      <w:r>
        <w:rPr>
          <w:rStyle w:val="1"/>
        </w:rPr>
        <w:t xml:space="preserve">Nafarroako Gobernuak zer emaitza atera du Nafarroa markak gure erkidegotik kanpo daukan posizionamenduari buruz?</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