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Advertidos errores en la Ley Foral de modificación de la Ley Foral 2/2018, de 13 de abril, de Contratos Públicos, publicada en el Boletín Oficial del Parlamento de Navarra número 46 de 27 de marzo de 2019, se procede a efectuar la oportuna rectificación:</w:t>
      </w:r>
    </w:p>
    <w:p>
      <w:pPr>
        <w:pStyle w:val="0"/>
        <w:suppressAutoHyphens w:val="false"/>
        <w:rPr>
          <w:rStyle w:val="1"/>
        </w:rPr>
      </w:pPr>
      <w:r>
        <w:rPr>
          <w:rStyle w:val="1"/>
        </w:rPr>
        <w:t xml:space="preserve">– En el segundo párrafo del Preámbulo, donde dice:</w:t>
      </w:r>
    </w:p>
    <w:p>
      <w:pPr>
        <w:pStyle w:val="0"/>
        <w:suppressAutoHyphens w:val="false"/>
        <w:rPr>
          <w:rStyle w:val="1"/>
          <w:i w:val="true"/>
        </w:rPr>
      </w:pPr>
      <w:r>
        <w:rPr>
          <w:rStyle w:val="1"/>
          <w:i w:val="true"/>
        </w:rPr>
        <w:t xml:space="preserve">En particular, los aspectos más relevantes de esta modificación, consisten en la inclusión de las previsiones referentes a la formalización de los contratos, la eliminación de la resolución de inicio del expediente en los procedimientos negociados sin convocatoria de licitación, la eliminación del carácter público del acto de apertura de criterios no cuantificables mediante fórmulas y algunos cambios en cuanto al funcionamiento del Tribunal Administrativo de Contratos Públicos y la reclamación especial en materia de contratación, en particular, la ampliación de la legitimación para presentar la reclamación a los miembros de las corporaciones locales que hayan votado en contra de los acuerdos, la inclusión de los contratos de concesión de servicios de transporte entre los que pueden resultar objeto de reclamación, y la regulación de los efectos del silencio administrativo para la entidad contratante.</w:t>
      </w:r>
    </w:p>
    <w:p>
      <w:pPr>
        <w:pStyle w:val="0"/>
        <w:suppressAutoHyphens w:val="false"/>
        <w:rPr>
          <w:rStyle w:val="1"/>
        </w:rPr>
      </w:pPr>
      <w:r>
        <w:rPr>
          <w:rStyle w:val="1"/>
        </w:rPr>
        <w:t xml:space="preserve">Debe decir:</w:t>
      </w:r>
    </w:p>
    <w:p>
      <w:pPr>
        <w:pStyle w:val="0"/>
        <w:suppressAutoHyphens w:val="false"/>
        <w:rPr>
          <w:rStyle w:val="1"/>
        </w:rPr>
      </w:pPr>
      <w:r>
        <w:rPr>
          <w:rStyle w:val="1"/>
          <w:i w:val="true"/>
        </w:rPr>
        <w:t xml:space="preserve">En particular, los aspectos más relevantes de esta modificación, consisten en la inclusión de las previsiones referentes a la formalización de los contratos, la eliminación de la resolución de inicio del expediente en los procedimientos negociados sin convocatoria de licitación, la eliminación del carácter público del acto de apertura de criterios cuantificables mediante fórmulas y algunos cambios en cuanto al funcionamiento del Tribunal Administrativo de Contratos Públicos y la reclamación especial en materia de contratación, en particular, la ampliación de la legitimación para presentar la reclamación a los miembros de las corporaciones locales que hayan votado en contra de los acuerdos, la inclusión de los contratos de concesión de servicios de transporte entre los que pueden resultar objeto de reclamación, y la regulación de los efectos del silencio administrativo para la entidad contratante.</w:t>
      </w:r>
      <w:r>
        <w:rPr>
          <w:rStyle w:val="1"/>
        </w:rPr>
      </w:r>
    </w:p>
    <w:p>
      <w:pPr>
        <w:pStyle w:val="0"/>
        <w:suppressAutoHyphens w:val="false"/>
        <w:rPr>
          <w:rStyle w:val="1"/>
        </w:rPr>
      </w:pPr>
      <w:r>
        <w:rPr>
          <w:rStyle w:val="1"/>
        </w:rPr>
        <w:t xml:space="preserve">– En el apartado dieciséis donde dice:</w:t>
      </w:r>
    </w:p>
    <w:p>
      <w:pPr>
        <w:pStyle w:val="0"/>
        <w:suppressAutoHyphens w:val="false"/>
        <w:rPr>
          <w:rStyle w:val="1"/>
          <w:i w:val="true"/>
        </w:rPr>
      </w:pPr>
      <w:r>
        <w:rPr>
          <w:rStyle w:val="1"/>
          <w:i w:val="true"/>
        </w:rPr>
        <w:t xml:space="preserve">Dieciséis. Se modifica el título y el apartado 4 del artículo 97, cuya redacción será la siguiente:</w:t>
      </w:r>
    </w:p>
    <w:p>
      <w:pPr>
        <w:pStyle w:val="0"/>
        <w:suppressAutoHyphens w:val="false"/>
        <w:rPr>
          <w:rStyle w:val="1"/>
          <w:i w:val="true"/>
        </w:rPr>
      </w:pPr>
      <w:r>
        <w:rPr>
          <w:rStyle w:val="1"/>
          <w:i w:val="true"/>
        </w:rPr>
        <w:t xml:space="preserve">“Artículo 97. Apertura y valoración de las ofertas”.</w:t>
      </w:r>
    </w:p>
    <w:p>
      <w:pPr>
        <w:pStyle w:val="0"/>
        <w:suppressAutoHyphens w:val="false"/>
        <w:rPr>
          <w:rStyle w:val="1"/>
          <w:i w:val="true"/>
        </w:rPr>
      </w:pPr>
      <w:r>
        <w:rPr>
          <w:rStyle w:val="1"/>
          <w:i w:val="true"/>
        </w:rPr>
        <w:t xml:space="preserve">“4. Efectuada esta valoración, o examinada la admisión de las ofertas, se publicará en el Portal de Contratación de Navarra, con al menos tres días de antelación el lugar, fecha y hora de la apertura de la documentación relativa a los criterios cuantificables mediante fórmula. Esta parte de la oferta debe permanecer secreta hasta el momento señalado en el Portal de Contratación. Una vez realizada la apertura de la documentación, se hará pública la puntuación obtenida por cada persona licitadora en la valoración de criterios no cuantificables mediante fórmulas, así como la oferta presentada en los criterios cuantificables mediante fórmulas”.</w:t>
      </w:r>
    </w:p>
    <w:p>
      <w:pPr>
        <w:pStyle w:val="0"/>
        <w:suppressAutoHyphens w:val="false"/>
        <w:rPr>
          <w:rStyle w:val="1"/>
        </w:rPr>
      </w:pPr>
      <w:r>
        <w:rPr>
          <w:rStyle w:val="1"/>
        </w:rPr>
        <w:t xml:space="preserve">Debe decir:</w:t>
      </w:r>
    </w:p>
    <w:p>
      <w:pPr>
        <w:pStyle w:val="0"/>
        <w:suppressAutoHyphens w:val="false"/>
        <w:rPr>
          <w:rStyle w:val="1"/>
          <w:i w:val="true"/>
        </w:rPr>
      </w:pPr>
      <w:r>
        <w:rPr>
          <w:rStyle w:val="1"/>
          <w:i w:val="true"/>
        </w:rPr>
        <w:t xml:space="preserve">Dieciséis. Se modifica el título y el párrafo cuarto del artículo 97, cuya redacción será la siguiente:</w:t>
      </w:r>
    </w:p>
    <w:p>
      <w:pPr>
        <w:pStyle w:val="0"/>
        <w:suppressAutoHyphens w:val="false"/>
        <w:rPr>
          <w:rStyle w:val="1"/>
          <w:i w:val="true"/>
        </w:rPr>
      </w:pPr>
      <w:r>
        <w:rPr>
          <w:rStyle w:val="1"/>
          <w:i w:val="true"/>
        </w:rPr>
        <w:t xml:space="preserve">“Artículo 97. Apertura y valoración de las ofertas”.</w:t>
      </w:r>
    </w:p>
    <w:p>
      <w:pPr>
        <w:pStyle w:val="0"/>
        <w:suppressAutoHyphens w:val="false"/>
        <w:rPr>
          <w:rStyle w:val="1"/>
          <w:i w:val="true"/>
        </w:rPr>
      </w:pPr>
      <w:r>
        <w:rPr>
          <w:rStyle w:val="1"/>
          <w:i w:val="true"/>
        </w:rPr>
        <w:t xml:space="preserve">“Efectuada esta valoración, o examinada la admisión de las ofertas, se publicará en el Portal de Contratación de Navarra, con al menos tres días de antelación el lugar, fecha y hora de la apertura de la documentación relativa a los criterios cuantificables mediante fórmula. Esta parte de la oferta debe permanecer secreta hasta el momento señalado en el Portal de Contratación. Una vez realizada la apertura de la documentación, se hará pública la puntuación obtenida por cada persona licitadora en la valoración de criterios no cuantificables mediante fórmulas, así como la oferta presentada en los criterios cuantificables mediante fórmulas”.</w:t>
      </w:r>
    </w:p>
    <w:p>
      <w:pPr>
        <w:pStyle w:val="0"/>
        <w:suppressAutoHyphens w:val="false"/>
        <w:rPr>
          <w:rStyle w:val="1"/>
        </w:rPr>
      </w:pPr>
      <w:r>
        <w:rPr>
          <w:rStyle w:val="1"/>
        </w:rPr>
        <w:t xml:space="preserve">Pamplona, 28 de marzo de 2019</w:t>
      </w:r>
    </w:p>
    <w:p>
      <w:pPr>
        <w:pStyle w:val="0"/>
        <w:suppressAutoHyphens w:val="false"/>
        <w:rPr>
          <w:rStyle w:val="1"/>
        </w:rPr>
      </w:pPr>
      <w:r>
        <w:rPr>
          <w:rStyle w:val="1"/>
        </w:rPr>
        <w:t xml:space="preserve">La Presidenta: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