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AC" w:rsidRDefault="001F63C7" w:rsidP="00143E08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 w:rsidRPr="00FF44CD">
        <w:rPr>
          <w:rFonts w:ascii="Century Gothic" w:hAnsi="Century Gothic"/>
        </w:rPr>
        <w:t xml:space="preserve">El Consejero de Salud del Gobierno de Navarra, en relación con la </w:t>
      </w:r>
      <w:r w:rsidR="00BD4C6D" w:rsidRPr="00FF44CD">
        <w:rPr>
          <w:rFonts w:ascii="Century Gothic" w:hAnsi="Century Gothic"/>
        </w:rPr>
        <w:t>pregunta escrita</w:t>
      </w:r>
      <w:r w:rsidRPr="00FF44CD">
        <w:rPr>
          <w:rFonts w:ascii="Century Gothic" w:hAnsi="Century Gothic"/>
        </w:rPr>
        <w:t xml:space="preserve"> </w:t>
      </w:r>
      <w:r w:rsidR="00143E08">
        <w:rPr>
          <w:rFonts w:ascii="Century Gothic" w:hAnsi="Century Gothic"/>
        </w:rPr>
        <w:t xml:space="preserve">(9-18-PES-00249) </w:t>
      </w:r>
      <w:r w:rsidRPr="00FF44CD">
        <w:rPr>
          <w:rFonts w:ascii="Century Gothic" w:hAnsi="Century Gothic"/>
        </w:rPr>
        <w:t xml:space="preserve">presentada por </w:t>
      </w:r>
      <w:r w:rsidR="00FD780A" w:rsidRPr="00FF44CD">
        <w:rPr>
          <w:rFonts w:ascii="Century Gothic" w:hAnsi="Century Gothic"/>
        </w:rPr>
        <w:t>el</w:t>
      </w:r>
      <w:r w:rsidRPr="00FF44CD">
        <w:rPr>
          <w:rFonts w:ascii="Century Gothic" w:hAnsi="Century Gothic"/>
        </w:rPr>
        <w:t xml:space="preserve"> Parlamentaria Foral Ilm</w:t>
      </w:r>
      <w:r w:rsidR="00FD780A" w:rsidRPr="00FF44CD">
        <w:rPr>
          <w:rFonts w:ascii="Century Gothic" w:hAnsi="Century Gothic"/>
        </w:rPr>
        <w:t>o</w:t>
      </w:r>
      <w:r w:rsidRPr="00FF44CD">
        <w:rPr>
          <w:rFonts w:ascii="Century Gothic" w:hAnsi="Century Gothic"/>
        </w:rPr>
        <w:t xml:space="preserve">. Sr. D. </w:t>
      </w:r>
      <w:r w:rsidR="008A590D" w:rsidRPr="00FF44CD">
        <w:rPr>
          <w:rFonts w:ascii="Century Gothic" w:hAnsi="Century Gothic"/>
        </w:rPr>
        <w:t>Alberto Catalán Higueras</w:t>
      </w:r>
      <w:r w:rsidRPr="00FF44CD">
        <w:rPr>
          <w:rFonts w:ascii="Century Gothic" w:hAnsi="Century Gothic"/>
        </w:rPr>
        <w:t>, adscrit</w:t>
      </w:r>
      <w:r w:rsidR="008A590D" w:rsidRPr="00FF44CD">
        <w:rPr>
          <w:rFonts w:ascii="Century Gothic" w:hAnsi="Century Gothic"/>
        </w:rPr>
        <w:t>o</w:t>
      </w:r>
      <w:r w:rsidRPr="00FF44CD">
        <w:rPr>
          <w:rFonts w:ascii="Century Gothic" w:hAnsi="Century Gothic"/>
        </w:rPr>
        <w:t xml:space="preserve"> a</w:t>
      </w:r>
      <w:r w:rsidR="00CD1741" w:rsidRPr="00FF44CD">
        <w:rPr>
          <w:rFonts w:ascii="Century Gothic" w:hAnsi="Century Gothic"/>
        </w:rPr>
        <w:t xml:space="preserve">l Grupo Parlamentario </w:t>
      </w:r>
      <w:r w:rsidR="00FE3DAC">
        <w:rPr>
          <w:rFonts w:ascii="Century Gothic" w:hAnsi="Century Gothic"/>
        </w:rPr>
        <w:t xml:space="preserve">Unión del Pueblo Navarro </w:t>
      </w:r>
      <w:r w:rsidR="00CD1741" w:rsidRPr="00FF44CD">
        <w:rPr>
          <w:rFonts w:ascii="Century Gothic" w:hAnsi="Century Gothic"/>
        </w:rPr>
        <w:t>(UPN)</w:t>
      </w:r>
      <w:r w:rsidRPr="00FF44CD">
        <w:rPr>
          <w:rFonts w:ascii="Century Gothic" w:hAnsi="Century Gothic"/>
        </w:rPr>
        <w:t xml:space="preserve">, </w:t>
      </w:r>
      <w:r w:rsidR="005B3E0B" w:rsidRPr="00FF44CD">
        <w:rPr>
          <w:rFonts w:ascii="Century Gothic" w:hAnsi="Century Gothic"/>
        </w:rPr>
        <w:t>solicitando</w:t>
      </w:r>
      <w:r w:rsidRPr="00FF44CD">
        <w:rPr>
          <w:rFonts w:ascii="Century Gothic" w:hAnsi="Century Gothic"/>
        </w:rPr>
        <w:t xml:space="preserve"> “</w:t>
      </w:r>
      <w:r w:rsidR="00143E08">
        <w:rPr>
          <w:rFonts w:ascii="Century Gothic" w:hAnsi="Century Gothic"/>
        </w:rPr>
        <w:t xml:space="preserve">información sobre si se ha realizado un diagnóstico de los recursos humanos del Área de Salud de Tudela y si se ha diseñado un Plan de cobertura de jubilaciones y ausencias en el Área de Tudela”, </w:t>
      </w:r>
      <w:r w:rsidR="00CD1741" w:rsidRPr="00FF44CD">
        <w:rPr>
          <w:rFonts w:ascii="Century Gothic" w:hAnsi="Century Gothic"/>
        </w:rPr>
        <w:t>tiene el honor de remitirle la siguiente información:</w:t>
      </w:r>
    </w:p>
    <w:p w:rsidR="00D966C4" w:rsidRPr="00FF44CD" w:rsidRDefault="005302E4" w:rsidP="00143E08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Á</w:t>
      </w:r>
      <w:r w:rsidR="008A590D" w:rsidRPr="00FF44CD">
        <w:rPr>
          <w:rFonts w:ascii="Century Gothic" w:hAnsi="Century Gothic"/>
        </w:rPr>
        <w:t xml:space="preserve">rea de Salud de Tudela </w:t>
      </w:r>
      <w:r w:rsidR="007D250B" w:rsidRPr="00FF44CD">
        <w:rPr>
          <w:rFonts w:ascii="Century Gothic" w:hAnsi="Century Gothic"/>
        </w:rPr>
        <w:t>se está</w:t>
      </w:r>
      <w:r>
        <w:rPr>
          <w:rFonts w:ascii="Century Gothic" w:hAnsi="Century Gothic"/>
        </w:rPr>
        <w:t xml:space="preserve"> </w:t>
      </w:r>
      <w:r w:rsidR="008A590D" w:rsidRPr="00FF44CD">
        <w:rPr>
          <w:rFonts w:ascii="Century Gothic" w:hAnsi="Century Gothic"/>
        </w:rPr>
        <w:t xml:space="preserve">trabajando en la elaboración del Plan estratégico para el </w:t>
      </w:r>
      <w:r w:rsidR="00143E08">
        <w:rPr>
          <w:rFonts w:ascii="Century Gothic" w:hAnsi="Century Gothic"/>
        </w:rPr>
        <w:t>Á</w:t>
      </w:r>
      <w:r w:rsidR="008A590D" w:rsidRPr="00FF44CD">
        <w:rPr>
          <w:rFonts w:ascii="Century Gothic" w:hAnsi="Century Gothic"/>
        </w:rPr>
        <w:t xml:space="preserve">rea de Salud de Tudela 2018-2022 en el que se incluyen las </w:t>
      </w:r>
      <w:r w:rsidR="004229AD" w:rsidRPr="00FF44CD">
        <w:rPr>
          <w:rFonts w:ascii="Century Gothic" w:hAnsi="Century Gothic"/>
        </w:rPr>
        <w:t xml:space="preserve">correspondientes </w:t>
      </w:r>
      <w:r w:rsidR="008A590D" w:rsidRPr="00FF44CD">
        <w:rPr>
          <w:rFonts w:ascii="Century Gothic" w:hAnsi="Century Gothic"/>
        </w:rPr>
        <w:t xml:space="preserve">líneas </w:t>
      </w:r>
      <w:r w:rsidR="00100AC5">
        <w:rPr>
          <w:rFonts w:ascii="Century Gothic" w:hAnsi="Century Gothic"/>
        </w:rPr>
        <w:t>de actuación</w:t>
      </w:r>
      <w:r w:rsidR="00093D74" w:rsidRPr="00FF44CD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="008A590D" w:rsidRPr="00FF44CD">
        <w:rPr>
          <w:rFonts w:ascii="Century Gothic" w:hAnsi="Century Gothic"/>
        </w:rPr>
        <w:t xml:space="preserve">en consonancia con las definidas en el Plan de Salud de Navarra 2014-2020. Cada estrategia </w:t>
      </w:r>
      <w:r w:rsidR="004229AD" w:rsidRPr="00FF44CD">
        <w:rPr>
          <w:rFonts w:ascii="Century Gothic" w:hAnsi="Century Gothic"/>
        </w:rPr>
        <w:t xml:space="preserve">constituye </w:t>
      </w:r>
      <w:r w:rsidR="00093D74" w:rsidRPr="00FF44CD">
        <w:rPr>
          <w:rFonts w:ascii="Century Gothic" w:hAnsi="Century Gothic"/>
        </w:rPr>
        <w:t>una propuesta integral de intervención en un ámbito de salud</w:t>
      </w:r>
      <w:r w:rsidR="00100AC5">
        <w:rPr>
          <w:rFonts w:ascii="Century Gothic" w:hAnsi="Century Gothic"/>
        </w:rPr>
        <w:t>,</w:t>
      </w:r>
      <w:r w:rsidR="00093D74" w:rsidRPr="00FF44CD">
        <w:rPr>
          <w:rFonts w:ascii="Century Gothic" w:hAnsi="Century Gothic"/>
        </w:rPr>
        <w:t xml:space="preserve"> que se desplega</w:t>
      </w:r>
      <w:r w:rsidR="004229AD" w:rsidRPr="00FF44CD">
        <w:rPr>
          <w:rFonts w:ascii="Century Gothic" w:hAnsi="Century Gothic"/>
        </w:rPr>
        <w:t>rá</w:t>
      </w:r>
      <w:r w:rsidR="00093D74" w:rsidRPr="00FF44CD">
        <w:rPr>
          <w:rFonts w:ascii="Century Gothic" w:hAnsi="Century Gothic"/>
        </w:rPr>
        <w:t xml:space="preserve"> en los consiguientes planes de acción </w:t>
      </w:r>
      <w:r w:rsidR="004229AD" w:rsidRPr="00FF44CD">
        <w:rPr>
          <w:rFonts w:ascii="Century Gothic" w:hAnsi="Century Gothic"/>
        </w:rPr>
        <w:t>que incluirán los recursos humanos necesarios para la implementación de los mismos.</w:t>
      </w:r>
    </w:p>
    <w:p w:rsidR="00FE3DAC" w:rsidRDefault="00B37966" w:rsidP="00143E08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 w:rsidRPr="00FF44CD">
        <w:rPr>
          <w:rFonts w:ascii="Century Gothic" w:hAnsi="Century Gothic"/>
        </w:rPr>
        <w:t>Además</w:t>
      </w:r>
      <w:r w:rsidR="00100AC5">
        <w:rPr>
          <w:rFonts w:ascii="Century Gothic" w:hAnsi="Century Gothic"/>
        </w:rPr>
        <w:t>,</w:t>
      </w:r>
      <w:r w:rsidRPr="00FF44CD">
        <w:rPr>
          <w:rFonts w:ascii="Century Gothic" w:hAnsi="Century Gothic"/>
        </w:rPr>
        <w:t xml:space="preserve"> d</w:t>
      </w:r>
      <w:r w:rsidR="00807C98" w:rsidRPr="00FF44CD">
        <w:rPr>
          <w:rFonts w:ascii="Century Gothic" w:hAnsi="Century Gothic"/>
        </w:rPr>
        <w:t xml:space="preserve">urante esta legislatura se ha trabajado en la consolidación de la plantilla del </w:t>
      </w:r>
      <w:r w:rsidR="00143E08">
        <w:rPr>
          <w:rFonts w:ascii="Century Gothic" w:hAnsi="Century Gothic"/>
        </w:rPr>
        <w:t>Á</w:t>
      </w:r>
      <w:r w:rsidR="00807C98" w:rsidRPr="00FF44CD">
        <w:rPr>
          <w:rFonts w:ascii="Century Gothic" w:hAnsi="Century Gothic"/>
        </w:rPr>
        <w:t>rea de Salud de Tudela a t</w:t>
      </w:r>
      <w:r w:rsidR="004F1D4A" w:rsidRPr="00FF44CD">
        <w:rPr>
          <w:rFonts w:ascii="Century Gothic" w:hAnsi="Century Gothic"/>
        </w:rPr>
        <w:t>ravés de la aprobación de las correspondientes</w:t>
      </w:r>
      <w:r w:rsidR="00807C98" w:rsidRPr="00FF44CD">
        <w:rPr>
          <w:rFonts w:ascii="Century Gothic" w:hAnsi="Century Gothic"/>
        </w:rPr>
        <w:t xml:space="preserve"> Ofertas Públicas de Empleo y la posterior convocatoria de plazas a traslado y a concurso oposición</w:t>
      </w:r>
      <w:r w:rsidR="00E3280A" w:rsidRPr="00FF44CD">
        <w:rPr>
          <w:rFonts w:ascii="Century Gothic" w:hAnsi="Century Gothic"/>
        </w:rPr>
        <w:t xml:space="preserve"> </w:t>
      </w:r>
      <w:r w:rsidR="00625A1F" w:rsidRPr="00FF44CD">
        <w:rPr>
          <w:rFonts w:ascii="Century Gothic" w:hAnsi="Century Gothic"/>
        </w:rPr>
        <w:t xml:space="preserve">de conformidad con </w:t>
      </w:r>
      <w:r w:rsidR="00807C98" w:rsidRPr="00FF44CD">
        <w:rPr>
          <w:rFonts w:ascii="Century Gothic" w:hAnsi="Century Gothic"/>
        </w:rPr>
        <w:t xml:space="preserve">la normativa vigente. </w:t>
      </w:r>
    </w:p>
    <w:p w:rsidR="00FE3DAC" w:rsidRDefault="00807C98" w:rsidP="00143E08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 w:rsidRPr="00FF44CD">
        <w:rPr>
          <w:rFonts w:ascii="Century Gothic" w:hAnsi="Century Gothic"/>
        </w:rPr>
        <w:t>Concretamente e</w:t>
      </w:r>
      <w:r w:rsidR="004229AD" w:rsidRPr="00FF44CD">
        <w:rPr>
          <w:rFonts w:ascii="Century Gothic" w:hAnsi="Century Gothic"/>
        </w:rPr>
        <w:t xml:space="preserve">n </w:t>
      </w:r>
      <w:r w:rsidR="00D966C4" w:rsidRPr="00FF44CD">
        <w:rPr>
          <w:rFonts w:ascii="Century Gothic" w:hAnsi="Century Gothic"/>
        </w:rPr>
        <w:t xml:space="preserve">el año 2018 se </w:t>
      </w:r>
      <w:r w:rsidR="004229AD" w:rsidRPr="00FF44CD">
        <w:rPr>
          <w:rFonts w:ascii="Century Gothic" w:hAnsi="Century Gothic"/>
        </w:rPr>
        <w:t xml:space="preserve">ha consolidado la plantilla de </w:t>
      </w:r>
      <w:r w:rsidR="006E7515" w:rsidRPr="00FF44CD">
        <w:rPr>
          <w:rFonts w:ascii="Century Gothic" w:hAnsi="Century Gothic"/>
        </w:rPr>
        <w:t>40</w:t>
      </w:r>
      <w:r w:rsidR="00C92A62" w:rsidRPr="00FF44CD">
        <w:rPr>
          <w:rFonts w:ascii="Century Gothic" w:hAnsi="Century Gothic"/>
        </w:rPr>
        <w:t xml:space="preserve"> </w:t>
      </w:r>
      <w:r w:rsidR="004229AD" w:rsidRPr="00FF44CD">
        <w:rPr>
          <w:rFonts w:ascii="Century Gothic" w:hAnsi="Century Gothic"/>
        </w:rPr>
        <w:t>profesionales de distint</w:t>
      </w:r>
      <w:r w:rsidR="00D966C4" w:rsidRPr="00FF44CD">
        <w:rPr>
          <w:rFonts w:ascii="Century Gothic" w:hAnsi="Century Gothic"/>
        </w:rPr>
        <w:t>a</w:t>
      </w:r>
      <w:r w:rsidR="004229AD" w:rsidRPr="00FF44CD">
        <w:rPr>
          <w:rFonts w:ascii="Century Gothic" w:hAnsi="Century Gothic"/>
        </w:rPr>
        <w:t>s es</w:t>
      </w:r>
      <w:r w:rsidR="00D966C4" w:rsidRPr="00FF44CD">
        <w:rPr>
          <w:rFonts w:ascii="Century Gothic" w:hAnsi="Century Gothic"/>
        </w:rPr>
        <w:t>pe</w:t>
      </w:r>
      <w:r w:rsidR="004623AC" w:rsidRPr="00FF44CD">
        <w:rPr>
          <w:rFonts w:ascii="Century Gothic" w:hAnsi="Century Gothic"/>
        </w:rPr>
        <w:t>c</w:t>
      </w:r>
      <w:r w:rsidR="00D966C4" w:rsidRPr="00FF44CD">
        <w:rPr>
          <w:rFonts w:ascii="Century Gothic" w:hAnsi="Century Gothic"/>
        </w:rPr>
        <w:t xml:space="preserve">ialidades médicas </w:t>
      </w:r>
      <w:r w:rsidRPr="00FF44CD">
        <w:rPr>
          <w:rFonts w:ascii="Century Gothic" w:hAnsi="Century Gothic"/>
        </w:rPr>
        <w:t xml:space="preserve">correspondientes a las </w:t>
      </w:r>
      <w:r w:rsidR="00802C1A" w:rsidRPr="00FF44CD">
        <w:rPr>
          <w:rFonts w:ascii="Century Gothic" w:hAnsi="Century Gothic"/>
        </w:rPr>
        <w:t>ofertas públicas de empleo</w:t>
      </w:r>
      <w:r w:rsidRPr="00FF44CD">
        <w:rPr>
          <w:rFonts w:ascii="Century Gothic" w:hAnsi="Century Gothic"/>
        </w:rPr>
        <w:t xml:space="preserve"> de los años 2013, 2015 y 2016 </w:t>
      </w:r>
      <w:r w:rsidR="004623AC" w:rsidRPr="00FF44CD">
        <w:rPr>
          <w:rFonts w:ascii="Century Gothic" w:hAnsi="Century Gothic"/>
        </w:rPr>
        <w:t>y</w:t>
      </w:r>
      <w:r w:rsidR="00D966C4" w:rsidRPr="00FF44CD">
        <w:rPr>
          <w:rFonts w:ascii="Century Gothic" w:hAnsi="Century Gothic"/>
        </w:rPr>
        <w:t xml:space="preserve"> en concreto </w:t>
      </w:r>
      <w:r w:rsidR="00E3280A" w:rsidRPr="00FF44CD">
        <w:rPr>
          <w:rFonts w:ascii="Century Gothic" w:hAnsi="Century Gothic"/>
        </w:rPr>
        <w:t>en</w:t>
      </w:r>
      <w:r w:rsidR="00D966C4" w:rsidRPr="00FF44CD">
        <w:rPr>
          <w:rFonts w:ascii="Century Gothic" w:hAnsi="Century Gothic"/>
        </w:rPr>
        <w:t xml:space="preserve"> </w:t>
      </w:r>
      <w:r w:rsidRPr="00FF44CD">
        <w:rPr>
          <w:rFonts w:ascii="Century Gothic" w:hAnsi="Century Gothic"/>
        </w:rPr>
        <w:t>traumatología, anestesia y reanimación, digestivo, cardiología, pediatría, radio</w:t>
      </w:r>
      <w:r w:rsidR="00B37966" w:rsidRPr="00FF44CD">
        <w:rPr>
          <w:rFonts w:ascii="Century Gothic" w:hAnsi="Century Gothic"/>
        </w:rPr>
        <w:t>diagnóstico</w:t>
      </w:r>
      <w:r w:rsidRPr="00FF44CD">
        <w:rPr>
          <w:rFonts w:ascii="Century Gothic" w:hAnsi="Century Gothic"/>
        </w:rPr>
        <w:t xml:space="preserve">, ginecología, medicina interna, cirugía general, </w:t>
      </w:r>
      <w:r w:rsidR="00B37966" w:rsidRPr="00FF44CD">
        <w:rPr>
          <w:rFonts w:ascii="Century Gothic" w:hAnsi="Century Gothic"/>
        </w:rPr>
        <w:t>psiquiatría</w:t>
      </w:r>
      <w:r w:rsidR="006E7515" w:rsidRPr="00FF44CD">
        <w:rPr>
          <w:rFonts w:ascii="Century Gothic" w:hAnsi="Century Gothic"/>
        </w:rPr>
        <w:t xml:space="preserve">, </w:t>
      </w:r>
      <w:r w:rsidR="00B37966" w:rsidRPr="00FF44CD">
        <w:rPr>
          <w:rFonts w:ascii="Century Gothic" w:hAnsi="Century Gothic"/>
        </w:rPr>
        <w:t>urología</w:t>
      </w:r>
      <w:r w:rsidR="006E7515" w:rsidRPr="00FF44CD">
        <w:rPr>
          <w:rFonts w:ascii="Century Gothic" w:hAnsi="Century Gothic"/>
        </w:rPr>
        <w:t xml:space="preserve">, anatomía patológica, dermatología y oftalmología. </w:t>
      </w:r>
    </w:p>
    <w:p w:rsidR="00FE3DAC" w:rsidRDefault="004F1D4A" w:rsidP="00143E08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 w:rsidRPr="00FF44CD">
        <w:rPr>
          <w:rFonts w:ascii="Century Gothic" w:hAnsi="Century Gothic"/>
        </w:rPr>
        <w:t>E</w:t>
      </w:r>
      <w:r w:rsidR="00D966C4" w:rsidRPr="00FF44CD">
        <w:rPr>
          <w:rFonts w:ascii="Century Gothic" w:hAnsi="Century Gothic"/>
        </w:rPr>
        <w:t xml:space="preserve">n los próximos meses </w:t>
      </w:r>
      <w:r w:rsidRPr="00FF44CD">
        <w:rPr>
          <w:rFonts w:ascii="Century Gothic" w:hAnsi="Century Gothic"/>
        </w:rPr>
        <w:t>se resolverá</w:t>
      </w:r>
      <w:r w:rsidR="0045699D" w:rsidRPr="00FF44CD">
        <w:rPr>
          <w:rFonts w:ascii="Century Gothic" w:hAnsi="Century Gothic"/>
        </w:rPr>
        <w:t>n</w:t>
      </w:r>
      <w:r w:rsidRPr="00FF44CD">
        <w:rPr>
          <w:rFonts w:ascii="Century Gothic" w:hAnsi="Century Gothic"/>
        </w:rPr>
        <w:t xml:space="preserve"> </w:t>
      </w:r>
      <w:r w:rsidR="00D966C4" w:rsidRPr="00FF44CD">
        <w:rPr>
          <w:rFonts w:ascii="Century Gothic" w:hAnsi="Century Gothic"/>
        </w:rPr>
        <w:t>la</w:t>
      </w:r>
      <w:r w:rsidR="0045699D" w:rsidRPr="00FF44CD">
        <w:rPr>
          <w:rFonts w:ascii="Century Gothic" w:hAnsi="Century Gothic"/>
        </w:rPr>
        <w:t>s</w:t>
      </w:r>
      <w:r w:rsidR="00D966C4" w:rsidRPr="00FF44CD">
        <w:rPr>
          <w:rFonts w:ascii="Century Gothic" w:hAnsi="Century Gothic"/>
        </w:rPr>
        <w:t xml:space="preserve"> con</w:t>
      </w:r>
      <w:r w:rsidR="00B37966" w:rsidRPr="00FF44CD">
        <w:rPr>
          <w:rFonts w:ascii="Century Gothic" w:hAnsi="Century Gothic"/>
        </w:rPr>
        <w:t>vocatoria</w:t>
      </w:r>
      <w:r w:rsidR="0045699D" w:rsidRPr="00FF44CD">
        <w:rPr>
          <w:rFonts w:ascii="Century Gothic" w:hAnsi="Century Gothic"/>
        </w:rPr>
        <w:t>s</w:t>
      </w:r>
      <w:r w:rsidR="00B37966" w:rsidRPr="00FF44CD">
        <w:rPr>
          <w:rFonts w:ascii="Century Gothic" w:hAnsi="Century Gothic"/>
        </w:rPr>
        <w:t xml:space="preserve"> correspondient</w:t>
      </w:r>
      <w:r w:rsidR="0045699D" w:rsidRPr="00FF44CD">
        <w:rPr>
          <w:rFonts w:ascii="Century Gothic" w:hAnsi="Century Gothic"/>
        </w:rPr>
        <w:t>es</w:t>
      </w:r>
      <w:r w:rsidR="00B37966" w:rsidRPr="00FF44CD">
        <w:rPr>
          <w:rFonts w:ascii="Century Gothic" w:hAnsi="Century Gothic"/>
        </w:rPr>
        <w:t xml:space="preserve"> a la especialidad médica de rehabilitación</w:t>
      </w:r>
      <w:r w:rsidR="0045699D" w:rsidRPr="00FF44CD">
        <w:rPr>
          <w:rFonts w:ascii="Century Gothic" w:hAnsi="Century Gothic"/>
        </w:rPr>
        <w:t xml:space="preserve">, </w:t>
      </w:r>
      <w:r w:rsidR="001115A0" w:rsidRPr="00FF44CD">
        <w:rPr>
          <w:rFonts w:ascii="Century Gothic" w:hAnsi="Century Gothic"/>
        </w:rPr>
        <w:t xml:space="preserve">de </w:t>
      </w:r>
      <w:r w:rsidR="00B37966" w:rsidRPr="00FF44CD">
        <w:rPr>
          <w:rFonts w:ascii="Century Gothic" w:hAnsi="Century Gothic"/>
        </w:rPr>
        <w:t>enfermer</w:t>
      </w:r>
      <w:r w:rsidR="007D250B" w:rsidRPr="00FF44CD">
        <w:rPr>
          <w:rFonts w:ascii="Century Gothic" w:hAnsi="Century Gothic"/>
        </w:rPr>
        <w:t>o</w:t>
      </w:r>
      <w:r w:rsidR="0045699D" w:rsidRPr="00FF44CD">
        <w:rPr>
          <w:rFonts w:ascii="Century Gothic" w:hAnsi="Century Gothic"/>
        </w:rPr>
        <w:t xml:space="preserve">, </w:t>
      </w:r>
      <w:r w:rsidR="00802C1A" w:rsidRPr="00FF44CD">
        <w:rPr>
          <w:rFonts w:ascii="Century Gothic" w:hAnsi="Century Gothic"/>
        </w:rPr>
        <w:t>d</w:t>
      </w:r>
      <w:r w:rsidR="001115A0" w:rsidRPr="00FF44CD">
        <w:rPr>
          <w:rFonts w:ascii="Century Gothic" w:hAnsi="Century Gothic"/>
        </w:rPr>
        <w:t xml:space="preserve">e </w:t>
      </w:r>
      <w:r w:rsidR="00B37966" w:rsidRPr="00FF44CD">
        <w:rPr>
          <w:rFonts w:ascii="Century Gothic" w:hAnsi="Century Gothic"/>
        </w:rPr>
        <w:t>enfermer</w:t>
      </w:r>
      <w:r w:rsidR="007D250B" w:rsidRPr="00FF44CD">
        <w:rPr>
          <w:rFonts w:ascii="Century Gothic" w:hAnsi="Century Gothic"/>
        </w:rPr>
        <w:t>o</w:t>
      </w:r>
      <w:r w:rsidR="00B37966" w:rsidRPr="00FF44CD">
        <w:rPr>
          <w:rFonts w:ascii="Century Gothic" w:hAnsi="Century Gothic"/>
        </w:rPr>
        <w:t xml:space="preserve"> especialista en obstetricia y ginecología</w:t>
      </w:r>
      <w:r w:rsidR="0045699D" w:rsidRPr="00FF44CD">
        <w:rPr>
          <w:rFonts w:ascii="Century Gothic" w:hAnsi="Century Gothic"/>
        </w:rPr>
        <w:t xml:space="preserve"> y de </w:t>
      </w:r>
      <w:r w:rsidR="001115A0" w:rsidRPr="00FF44CD">
        <w:rPr>
          <w:rFonts w:ascii="Century Gothic" w:hAnsi="Century Gothic"/>
        </w:rPr>
        <w:t>fisioterapeuta</w:t>
      </w:r>
      <w:r w:rsidR="0045699D" w:rsidRPr="00FF44CD">
        <w:rPr>
          <w:rFonts w:ascii="Century Gothic" w:hAnsi="Century Gothic"/>
        </w:rPr>
        <w:t xml:space="preserve"> que incluyen 4 puestos, 30 puestos, 1 puesto y 2 puestos </w:t>
      </w:r>
      <w:proofErr w:type="gramStart"/>
      <w:r w:rsidR="0045699D" w:rsidRPr="00FF44CD">
        <w:rPr>
          <w:rFonts w:ascii="Century Gothic" w:hAnsi="Century Gothic"/>
        </w:rPr>
        <w:t>respectivamente</w:t>
      </w:r>
      <w:proofErr w:type="gramEnd"/>
      <w:r w:rsidR="0045699D" w:rsidRPr="00FF44CD">
        <w:rPr>
          <w:rFonts w:ascii="Century Gothic" w:hAnsi="Century Gothic"/>
        </w:rPr>
        <w:t xml:space="preserve"> para el </w:t>
      </w:r>
      <w:r w:rsidR="00143E08">
        <w:rPr>
          <w:rFonts w:ascii="Century Gothic" w:hAnsi="Century Gothic"/>
        </w:rPr>
        <w:t>Á</w:t>
      </w:r>
      <w:r w:rsidR="0045699D" w:rsidRPr="00FF44CD">
        <w:rPr>
          <w:rFonts w:ascii="Century Gothic" w:hAnsi="Century Gothic"/>
        </w:rPr>
        <w:t>rea de Salud de Tudela</w:t>
      </w:r>
      <w:r w:rsidR="00B37966" w:rsidRPr="00FF44CD">
        <w:rPr>
          <w:rFonts w:ascii="Century Gothic" w:hAnsi="Century Gothic"/>
        </w:rPr>
        <w:t>.</w:t>
      </w:r>
      <w:r w:rsidR="005302E4">
        <w:rPr>
          <w:rFonts w:ascii="Century Gothic" w:hAnsi="Century Gothic"/>
        </w:rPr>
        <w:t xml:space="preserve"> </w:t>
      </w:r>
    </w:p>
    <w:p w:rsidR="00FE3DAC" w:rsidRDefault="006E7515" w:rsidP="00143E08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 w:rsidRPr="00FF44CD">
        <w:rPr>
          <w:rFonts w:ascii="Century Gothic" w:hAnsi="Century Gothic"/>
        </w:rPr>
        <w:t>También queda pendiente la resolución de la convocatoria de medicina de familia, que incluyen 4 puestos para el Area de Tudela y otros 4 puestos de trabajo social,</w:t>
      </w:r>
      <w:r w:rsidR="005302E4">
        <w:rPr>
          <w:rFonts w:ascii="Century Gothic" w:hAnsi="Century Gothic"/>
        </w:rPr>
        <w:t xml:space="preserve"> </w:t>
      </w:r>
      <w:r w:rsidRPr="00FF44CD">
        <w:rPr>
          <w:rFonts w:ascii="Century Gothic" w:hAnsi="Century Gothic"/>
        </w:rPr>
        <w:t>ambos correspondientes a la oferta pública de empleo de los años 2013, 2014 y 2015.</w:t>
      </w:r>
    </w:p>
    <w:p w:rsidR="00FE3DAC" w:rsidRDefault="006E7515" w:rsidP="00143E08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 w:rsidRPr="00FF44CD">
        <w:rPr>
          <w:rFonts w:ascii="Century Gothic" w:hAnsi="Century Gothic"/>
        </w:rPr>
        <w:t>Mediante Decreto Foral 116/2017</w:t>
      </w:r>
      <w:r w:rsidR="00802C1A" w:rsidRPr="00FF44CD">
        <w:rPr>
          <w:rFonts w:ascii="Century Gothic" w:hAnsi="Century Gothic"/>
        </w:rPr>
        <w:t>,</w:t>
      </w:r>
      <w:r w:rsidR="005302E4">
        <w:rPr>
          <w:rFonts w:ascii="Century Gothic" w:hAnsi="Century Gothic"/>
        </w:rPr>
        <w:t xml:space="preserve"> </w:t>
      </w:r>
      <w:r w:rsidR="00802C1A" w:rsidRPr="00FF44CD">
        <w:rPr>
          <w:rFonts w:ascii="Century Gothic" w:hAnsi="Century Gothic"/>
        </w:rPr>
        <w:t xml:space="preserve">de 20 de diciembre, se aprueba la oferta de empleo público de la Administración de la Comunidad Foral </w:t>
      </w:r>
      <w:r w:rsidR="00802C1A" w:rsidRPr="00FF44CD">
        <w:rPr>
          <w:rFonts w:ascii="Century Gothic" w:hAnsi="Century Gothic"/>
        </w:rPr>
        <w:lastRenderedPageBreak/>
        <w:t>de Navarra y sus Organismos autónomos correspondiente al año 2017, relativa a la tasa de reposición del año 2016, en los ámbitos de Administración Núcleo, del Departamento de Salud y de personal docente no universitario</w:t>
      </w:r>
      <w:r w:rsidR="0045699D" w:rsidRPr="00FF44CD">
        <w:rPr>
          <w:rFonts w:ascii="Century Gothic" w:hAnsi="Century Gothic"/>
        </w:rPr>
        <w:t>. Con esta oferta pública de empleo se van a consolidar 11 puestos de las especialidades médicas de digestivo, dermatología, hematología, nefrología, otorrinolaringología, reumatología y ginecología y obstetricia que quedaron pendientes de la anterior oferta de empleo público, además de 1 puesto de técnico especialista en laboratorio, 13 puestos de técnico en cuidados auxiliares de enfermería y 11 puestos de celador para el Area de Salud de Tudela.</w:t>
      </w:r>
    </w:p>
    <w:p w:rsidR="00FE3DAC" w:rsidRDefault="00B37966" w:rsidP="00143E08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 w:rsidRPr="00FF44CD">
        <w:rPr>
          <w:rFonts w:ascii="Century Gothic" w:hAnsi="Century Gothic"/>
        </w:rPr>
        <w:t>Así mismo</w:t>
      </w:r>
      <w:r w:rsidR="00100AC5">
        <w:rPr>
          <w:rFonts w:ascii="Century Gothic" w:hAnsi="Century Gothic"/>
        </w:rPr>
        <w:t>,</w:t>
      </w:r>
      <w:r w:rsidRPr="00FF44CD">
        <w:rPr>
          <w:rFonts w:ascii="Century Gothic" w:hAnsi="Century Gothic"/>
        </w:rPr>
        <w:t xml:space="preserve"> por Decreto Foral 52/2018</w:t>
      </w:r>
      <w:r w:rsidR="00100AC5">
        <w:rPr>
          <w:rFonts w:ascii="Century Gothic" w:hAnsi="Century Gothic"/>
        </w:rPr>
        <w:t>, de 18 de julio,</w:t>
      </w:r>
      <w:r w:rsidRPr="00FF44CD">
        <w:rPr>
          <w:rFonts w:ascii="Century Gothic" w:hAnsi="Century Gothic"/>
        </w:rPr>
        <w:t xml:space="preserve"> se ha aprobado una oferta </w:t>
      </w:r>
      <w:r w:rsidR="00625A1F" w:rsidRPr="00FF44CD">
        <w:rPr>
          <w:rFonts w:ascii="Century Gothic" w:hAnsi="Century Gothic"/>
        </w:rPr>
        <w:t>d</w:t>
      </w:r>
      <w:r w:rsidRPr="00FF44CD">
        <w:rPr>
          <w:rFonts w:ascii="Century Gothic" w:hAnsi="Century Gothic"/>
        </w:rPr>
        <w:t>e empleo público del personal sanitario del Servicio Navarro de Salud</w:t>
      </w:r>
      <w:r w:rsidR="00100AC5">
        <w:rPr>
          <w:rFonts w:ascii="Century Gothic" w:hAnsi="Century Gothic"/>
        </w:rPr>
        <w:t>-Osasunbidea</w:t>
      </w:r>
      <w:r w:rsidRPr="00FF44CD">
        <w:rPr>
          <w:rFonts w:ascii="Century Gothic" w:hAnsi="Century Gothic"/>
        </w:rPr>
        <w:t xml:space="preserve"> correspondiente a la tasa de estabilización prevista en la Ley 3/2017, de 27 de junio</w:t>
      </w:r>
      <w:r w:rsidR="00100AC5">
        <w:rPr>
          <w:rFonts w:ascii="Century Gothic" w:hAnsi="Century Gothic"/>
        </w:rPr>
        <w:t>,</w:t>
      </w:r>
      <w:r w:rsidRPr="00FF44CD">
        <w:rPr>
          <w:rFonts w:ascii="Century Gothic" w:hAnsi="Century Gothic"/>
        </w:rPr>
        <w:t xml:space="preserve"> que incluye </w:t>
      </w:r>
      <w:r w:rsidR="001115A0" w:rsidRPr="00FF44CD">
        <w:rPr>
          <w:rFonts w:ascii="Century Gothic" w:hAnsi="Century Gothic"/>
        </w:rPr>
        <w:t xml:space="preserve">un total de </w:t>
      </w:r>
      <w:r w:rsidR="005C543A" w:rsidRPr="00FF44CD">
        <w:rPr>
          <w:rFonts w:ascii="Century Gothic" w:hAnsi="Century Gothic"/>
        </w:rPr>
        <w:t>23</w:t>
      </w:r>
      <w:r w:rsidR="001115A0" w:rsidRPr="00FF44CD">
        <w:rPr>
          <w:rFonts w:ascii="Century Gothic" w:hAnsi="Century Gothic"/>
        </w:rPr>
        <w:t xml:space="preserve"> puestos de trabajo correspondientes a distintas especialidades médicas, </w:t>
      </w:r>
      <w:r w:rsidR="005C543A" w:rsidRPr="00FF44CD">
        <w:rPr>
          <w:rFonts w:ascii="Century Gothic" w:hAnsi="Century Gothic"/>
        </w:rPr>
        <w:t xml:space="preserve">15 puestos de medicina de familia para el ámbito de atención primaria, </w:t>
      </w:r>
      <w:r w:rsidR="001115A0" w:rsidRPr="00FF44CD">
        <w:rPr>
          <w:rFonts w:ascii="Century Gothic" w:hAnsi="Century Gothic"/>
        </w:rPr>
        <w:t xml:space="preserve">9 puestos de trabajo de enfermero, y </w:t>
      </w:r>
      <w:r w:rsidR="00625A1F" w:rsidRPr="00FF44CD">
        <w:rPr>
          <w:rFonts w:ascii="Century Gothic" w:hAnsi="Century Gothic"/>
        </w:rPr>
        <w:t>1</w:t>
      </w:r>
      <w:r w:rsidR="001115A0" w:rsidRPr="00FF44CD">
        <w:rPr>
          <w:rFonts w:ascii="Century Gothic" w:hAnsi="Century Gothic"/>
        </w:rPr>
        <w:t xml:space="preserve"> puesto de trabajo de Técnico Especialista en Radiodiagnóstico</w:t>
      </w:r>
      <w:r w:rsidR="007D250B" w:rsidRPr="00FF44CD">
        <w:rPr>
          <w:rFonts w:ascii="Century Gothic" w:hAnsi="Century Gothic"/>
        </w:rPr>
        <w:t xml:space="preserve"> para el Area de Salud de Tudela</w:t>
      </w:r>
      <w:r w:rsidR="001115A0" w:rsidRPr="00FF44CD">
        <w:rPr>
          <w:rFonts w:ascii="Century Gothic" w:hAnsi="Century Gothic"/>
        </w:rPr>
        <w:t xml:space="preserve">. </w:t>
      </w:r>
    </w:p>
    <w:p w:rsidR="00FE3DAC" w:rsidRDefault="001115A0" w:rsidP="00143E08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 w:rsidRPr="00FF44CD">
        <w:rPr>
          <w:rFonts w:ascii="Century Gothic" w:hAnsi="Century Gothic"/>
        </w:rPr>
        <w:t xml:space="preserve">Con fecha 20 de noviembre de 2018 se presentó en mesa sectorial </w:t>
      </w:r>
      <w:r w:rsidR="004F1D4A" w:rsidRPr="00FF44CD">
        <w:rPr>
          <w:rFonts w:ascii="Century Gothic" w:hAnsi="Century Gothic"/>
        </w:rPr>
        <w:t xml:space="preserve">de salud </w:t>
      </w:r>
      <w:r w:rsidRPr="00FF44CD">
        <w:rPr>
          <w:rFonts w:ascii="Century Gothic" w:hAnsi="Century Gothic"/>
        </w:rPr>
        <w:t xml:space="preserve">la </w:t>
      </w:r>
      <w:r w:rsidR="004F1D4A" w:rsidRPr="00FF44CD">
        <w:rPr>
          <w:rFonts w:ascii="Century Gothic" w:hAnsi="Century Gothic"/>
        </w:rPr>
        <w:t>oferta pública de empleo</w:t>
      </w:r>
      <w:r w:rsidRPr="00FF44CD">
        <w:rPr>
          <w:rFonts w:ascii="Century Gothic" w:hAnsi="Century Gothic"/>
        </w:rPr>
        <w:t xml:space="preserve"> correspondiente al año 2018 que incluye 16 puestos </w:t>
      </w:r>
      <w:r w:rsidR="00625A1F" w:rsidRPr="00FF44CD">
        <w:rPr>
          <w:rFonts w:ascii="Century Gothic" w:hAnsi="Century Gothic"/>
        </w:rPr>
        <w:t xml:space="preserve">más </w:t>
      </w:r>
      <w:r w:rsidR="00E3280A" w:rsidRPr="00FF44CD">
        <w:rPr>
          <w:rFonts w:ascii="Century Gothic" w:hAnsi="Century Gothic"/>
        </w:rPr>
        <w:t xml:space="preserve">de los estamentos sanitarios </w:t>
      </w:r>
      <w:r w:rsidRPr="00FF44CD">
        <w:rPr>
          <w:rFonts w:ascii="Century Gothic" w:hAnsi="Century Gothic"/>
        </w:rPr>
        <w:t>para el Area de Salud de Tudela que se concretan en 1 puesto de medicina de familia y 15 puestos de enfermero.</w:t>
      </w:r>
    </w:p>
    <w:p w:rsidR="00FE3DAC" w:rsidRDefault="00100AC5" w:rsidP="00143E08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625A1F" w:rsidRPr="00FF44CD">
        <w:rPr>
          <w:rFonts w:ascii="Century Gothic" w:hAnsi="Century Gothic"/>
        </w:rPr>
        <w:t>or Decreto Foral 53/2018</w:t>
      </w:r>
      <w:r>
        <w:rPr>
          <w:rFonts w:ascii="Century Gothic" w:hAnsi="Century Gothic"/>
        </w:rPr>
        <w:t>, de 18 de julio,</w:t>
      </w:r>
      <w:r w:rsidR="00625A1F" w:rsidRPr="00FF44CD">
        <w:rPr>
          <w:rFonts w:ascii="Century Gothic" w:hAnsi="Century Gothic"/>
        </w:rPr>
        <w:t xml:space="preserve"> se ha aprobado una oferta</w:t>
      </w:r>
      <w:r w:rsidR="005302E4">
        <w:rPr>
          <w:rFonts w:ascii="Century Gothic" w:hAnsi="Century Gothic"/>
        </w:rPr>
        <w:t xml:space="preserve"> </w:t>
      </w:r>
      <w:r w:rsidR="00625A1F" w:rsidRPr="00FF44CD">
        <w:rPr>
          <w:rFonts w:ascii="Century Gothic" w:hAnsi="Century Gothic"/>
        </w:rPr>
        <w:t>de empleo público en el ámbito de la Administración de la Comunidad Foral de Navarra y sus organismos autónomos correspondiente a la tasa de estabilización prevista en la Ley 3/2017</w:t>
      </w:r>
      <w:r>
        <w:rPr>
          <w:rFonts w:ascii="Century Gothic" w:hAnsi="Century Gothic"/>
        </w:rPr>
        <w:t>, de 27 de junio,</w:t>
      </w:r>
      <w:r w:rsidR="00625A1F" w:rsidRPr="00FF44CD">
        <w:rPr>
          <w:rFonts w:ascii="Century Gothic" w:hAnsi="Century Gothic"/>
        </w:rPr>
        <w:t xml:space="preserve"> que incluye 12 vacantes de auxiliar administrativo y 2 vacantes de empleado de servicios múltiples para el </w:t>
      </w:r>
      <w:r w:rsidR="00143E08">
        <w:rPr>
          <w:rFonts w:ascii="Century Gothic" w:hAnsi="Century Gothic"/>
        </w:rPr>
        <w:t>Á</w:t>
      </w:r>
      <w:r w:rsidR="00625A1F" w:rsidRPr="00FF44CD">
        <w:rPr>
          <w:rFonts w:ascii="Century Gothic" w:hAnsi="Century Gothic"/>
        </w:rPr>
        <w:t>rea de Salud de Tudela.</w:t>
      </w:r>
    </w:p>
    <w:p w:rsidR="00807C98" w:rsidRDefault="00C92A62" w:rsidP="00143E08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 w:rsidRPr="00FF44CD">
        <w:rPr>
          <w:rFonts w:ascii="Century Gothic" w:hAnsi="Century Gothic"/>
        </w:rPr>
        <w:t>A día de hoy y p</w:t>
      </w:r>
      <w:r w:rsidR="00C5010F" w:rsidRPr="00FF44CD">
        <w:rPr>
          <w:rFonts w:ascii="Century Gothic" w:hAnsi="Century Gothic"/>
        </w:rPr>
        <w:t>ara los próximos cinco años</w:t>
      </w:r>
      <w:r w:rsidRPr="00FF44CD">
        <w:rPr>
          <w:rFonts w:ascii="Century Gothic" w:hAnsi="Century Gothic"/>
        </w:rPr>
        <w:t>,</w:t>
      </w:r>
      <w:r w:rsidR="005302E4">
        <w:rPr>
          <w:rFonts w:ascii="Century Gothic" w:hAnsi="Century Gothic"/>
        </w:rPr>
        <w:t xml:space="preserve"> </w:t>
      </w:r>
      <w:r w:rsidR="00C5010F" w:rsidRPr="00FF44CD">
        <w:rPr>
          <w:rFonts w:ascii="Century Gothic" w:hAnsi="Century Gothic"/>
        </w:rPr>
        <w:t>tenemos una previsión</w:t>
      </w:r>
      <w:r w:rsidR="005302E4">
        <w:rPr>
          <w:rFonts w:ascii="Century Gothic" w:hAnsi="Century Gothic"/>
        </w:rPr>
        <w:t xml:space="preserve"> </w:t>
      </w:r>
      <w:r w:rsidR="00C5010F" w:rsidRPr="00FF44CD">
        <w:rPr>
          <w:rFonts w:ascii="Century Gothic" w:hAnsi="Century Gothic"/>
        </w:rPr>
        <w:t xml:space="preserve">de </w:t>
      </w:r>
      <w:r w:rsidR="00807C98" w:rsidRPr="00FF44CD">
        <w:rPr>
          <w:rFonts w:ascii="Century Gothic" w:hAnsi="Century Gothic"/>
        </w:rPr>
        <w:t>10</w:t>
      </w:r>
      <w:r w:rsidR="00516968" w:rsidRPr="00FF44CD">
        <w:rPr>
          <w:rFonts w:ascii="Century Gothic" w:hAnsi="Century Gothic"/>
        </w:rPr>
        <w:t>3</w:t>
      </w:r>
      <w:r w:rsidR="00807C98" w:rsidRPr="00FF44CD">
        <w:rPr>
          <w:rFonts w:ascii="Century Gothic" w:hAnsi="Century Gothic"/>
        </w:rPr>
        <w:t xml:space="preserve"> profesionales </w:t>
      </w:r>
      <w:r w:rsidRPr="00FF44CD">
        <w:rPr>
          <w:rFonts w:ascii="Century Gothic" w:hAnsi="Century Gothic"/>
        </w:rPr>
        <w:t xml:space="preserve">de distintas categorías profesionales </w:t>
      </w:r>
      <w:r w:rsidR="00807C98" w:rsidRPr="00FF44CD">
        <w:rPr>
          <w:rFonts w:ascii="Century Gothic" w:hAnsi="Century Gothic"/>
        </w:rPr>
        <w:t>susceptibles de jubilación, tal y como se detalla en la tabla adjunta</w:t>
      </w:r>
      <w:r w:rsidR="00C5010F" w:rsidRPr="00FF44CD">
        <w:rPr>
          <w:rFonts w:ascii="Century Gothic" w:hAnsi="Century Gothic"/>
        </w:rPr>
        <w:t>, cuya cobertura deberá de incluirse en las consiguientes ofertas de empleo público en la cuantía que corresponda</w:t>
      </w:r>
      <w:r w:rsidR="00F40429" w:rsidRPr="00FF44CD">
        <w:rPr>
          <w:rFonts w:ascii="Century Gothic" w:hAnsi="Century Gothic"/>
        </w:rPr>
        <w:t>,</w:t>
      </w:r>
      <w:r w:rsidR="005302E4">
        <w:rPr>
          <w:rFonts w:ascii="Century Gothic" w:hAnsi="Century Gothic"/>
        </w:rPr>
        <w:t xml:space="preserve"> </w:t>
      </w:r>
      <w:r w:rsidR="00C5010F" w:rsidRPr="00FF44CD">
        <w:rPr>
          <w:rFonts w:ascii="Century Gothic" w:hAnsi="Century Gothic"/>
        </w:rPr>
        <w:t>en concepto de tasa de reposición.</w:t>
      </w:r>
    </w:p>
    <w:p w:rsidR="00FE3DAC" w:rsidRDefault="00FE3DAC" w:rsidP="00143E08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</w:p>
    <w:p w:rsidR="00FE3DAC" w:rsidRDefault="00FE3DAC" w:rsidP="00143E08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</w:p>
    <w:p w:rsidR="003C3F8F" w:rsidRDefault="003C3F8F" w:rsidP="00143E08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</w:p>
    <w:p w:rsidR="003C3F8F" w:rsidRPr="00FF44CD" w:rsidRDefault="003C3F8F" w:rsidP="00143E08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</w:p>
    <w:p w:rsidR="001F63C7" w:rsidRPr="00FF44CD" w:rsidRDefault="001F63C7" w:rsidP="00143E08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</w:p>
    <w:tbl>
      <w:tblPr>
        <w:tblW w:w="81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9"/>
        <w:gridCol w:w="775"/>
        <w:gridCol w:w="775"/>
        <w:gridCol w:w="775"/>
        <w:gridCol w:w="775"/>
        <w:gridCol w:w="775"/>
        <w:gridCol w:w="1156"/>
      </w:tblGrid>
      <w:tr w:rsidR="00C6088D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C6088D" w:rsidRPr="00C6088D" w:rsidRDefault="00C6088D" w:rsidP="00C6088D">
            <w:pPr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bookmarkStart w:id="0" w:name="_GoBack"/>
            <w:r w:rsidRPr="00C6088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lastRenderedPageBreak/>
              <w:t>Nº de jubilaciones</w:t>
            </w:r>
          </w:p>
        </w:tc>
        <w:tc>
          <w:tcPr>
            <w:tcW w:w="3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C6088D" w:rsidRPr="00C6088D" w:rsidRDefault="00C6088D" w:rsidP="00C6088D">
            <w:pPr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Año jubilación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C6088D" w:rsidRPr="00C6088D" w:rsidRDefault="00C6088D" w:rsidP="00C6088D">
            <w:pPr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Categorías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516968" w:rsidRPr="00C6088D" w:rsidRDefault="00516968" w:rsidP="00C6088D">
            <w:pPr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516968" w:rsidRPr="00C6088D" w:rsidRDefault="00516968" w:rsidP="00C6088D">
            <w:pPr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516968" w:rsidRPr="00C6088D" w:rsidRDefault="00516968" w:rsidP="00C6088D">
            <w:pPr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516968" w:rsidRPr="00C6088D" w:rsidRDefault="00516968" w:rsidP="00C6088D">
            <w:pPr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516968" w:rsidRPr="00C6088D" w:rsidRDefault="00516968" w:rsidP="00C6088D">
            <w:pPr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516968" w:rsidRPr="00C6088D" w:rsidRDefault="00516968" w:rsidP="00C6088D">
            <w:pPr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Total general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ADMINISTRATIVO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AUXILIAR ADMINISTRATIVO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7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CELADOR (NIVEL D)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7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ENFERMERO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16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F.E.A./ADJUNTO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9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FISIOTERAPEUTA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outlineLvl w:val="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JEFE ADMISION Y ARCHIVO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outlineLvl w:val="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outlineLvl w:val="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outlineLvl w:val="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outlineLvl w:val="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outlineLvl w:val="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outlineLvl w:val="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JEFE SERVICIO ASIST.-F.E.A./ADJUNTO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JEFE SERVICIOS GENERALES HRS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JEFE UNIDAD ENFERMERIA-II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JEFE UNIDAD-IIC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MEDICO E.A.P.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11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MEDICO S.N.U.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4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ODONTOLOGO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OFICIAL TELEFONISTA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PEDIATRA E.A.P.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3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T.C.A.E.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32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T.E.A.P.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T.E.L.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TELEFONISTA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TRABAJADOR SOCIAL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</w:tr>
      <w:tr w:rsidR="00516968" w:rsidRPr="00C6088D" w:rsidTr="00C6088D">
        <w:trPr>
          <w:trHeight w:val="20"/>
        </w:trPr>
        <w:tc>
          <w:tcPr>
            <w:tcW w:w="3149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Total general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15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516968" w:rsidRPr="00C6088D" w:rsidRDefault="00516968" w:rsidP="00C6088D">
            <w:pPr>
              <w:spacing w:before="40" w:after="40"/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6088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103</w:t>
            </w:r>
          </w:p>
        </w:tc>
      </w:tr>
      <w:bookmarkEnd w:id="0"/>
    </w:tbl>
    <w:p w:rsidR="00FE3DAC" w:rsidRDefault="00FE3DAC" w:rsidP="00143E08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</w:p>
    <w:p w:rsidR="00FE3DAC" w:rsidRDefault="003A4575" w:rsidP="00143E08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 w:rsidRPr="00FF44CD">
        <w:rPr>
          <w:rFonts w:ascii="Century Gothic" w:hAnsi="Century Gothic"/>
        </w:rPr>
        <w:t>En cuanto</w:t>
      </w:r>
      <w:r w:rsidR="005302E4">
        <w:rPr>
          <w:rFonts w:ascii="Century Gothic" w:hAnsi="Century Gothic"/>
        </w:rPr>
        <w:t xml:space="preserve"> </w:t>
      </w:r>
      <w:r w:rsidRPr="00FF44CD">
        <w:rPr>
          <w:rFonts w:ascii="Century Gothic" w:hAnsi="Century Gothic"/>
        </w:rPr>
        <w:t>a la cobertura de ausencias y contrataciones</w:t>
      </w:r>
      <w:r w:rsidR="00F40429" w:rsidRPr="00FF44CD">
        <w:rPr>
          <w:rFonts w:ascii="Century Gothic" w:hAnsi="Century Gothic"/>
        </w:rPr>
        <w:t>,</w:t>
      </w:r>
      <w:r w:rsidR="005302E4">
        <w:rPr>
          <w:rFonts w:ascii="Century Gothic" w:hAnsi="Century Gothic"/>
        </w:rPr>
        <w:t xml:space="preserve"> </w:t>
      </w:r>
      <w:r w:rsidRPr="00FF44CD">
        <w:rPr>
          <w:rFonts w:ascii="Century Gothic" w:hAnsi="Century Gothic"/>
        </w:rPr>
        <w:t xml:space="preserve">es de aplicación lo dispuesto en la Orden Foral 347E/2017, de 23 de marzo, del Consejero de Salud, por el que se aprueban las normas de gestión de las listas de aspirantes a la contratación temporal en los centros y establecimientos de los organismos autónomos adscritos al Departamento de Salud, que fue objeto de negociación y aprobación en la Mesa Sectorial de Salud tras el estudio </w:t>
      </w:r>
      <w:r w:rsidR="004A524C" w:rsidRPr="00FF44CD">
        <w:rPr>
          <w:rFonts w:ascii="Century Gothic" w:hAnsi="Century Gothic"/>
        </w:rPr>
        <w:t>realizado por</w:t>
      </w:r>
      <w:r w:rsidRPr="00FF44CD">
        <w:rPr>
          <w:rFonts w:ascii="Century Gothic" w:hAnsi="Century Gothic"/>
        </w:rPr>
        <w:t xml:space="preserve"> un grupo de trabajo creado al efecto</w:t>
      </w:r>
      <w:r w:rsidR="004A524C" w:rsidRPr="00FF44CD">
        <w:rPr>
          <w:rFonts w:ascii="Century Gothic" w:hAnsi="Century Gothic"/>
        </w:rPr>
        <w:t xml:space="preserve">. </w:t>
      </w:r>
    </w:p>
    <w:p w:rsidR="00FE3DAC" w:rsidRDefault="00B778D5" w:rsidP="00143E08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 w:rsidRPr="00FF44CD">
        <w:rPr>
          <w:rFonts w:ascii="Century Gothic" w:hAnsi="Century Gothic"/>
        </w:rPr>
        <w:t xml:space="preserve">Así mismo </w:t>
      </w:r>
      <w:r w:rsidR="007D250B" w:rsidRPr="00FF44CD">
        <w:rPr>
          <w:rFonts w:ascii="Century Gothic" w:hAnsi="Century Gothic"/>
        </w:rPr>
        <w:t xml:space="preserve">y </w:t>
      </w:r>
      <w:r w:rsidR="002678C6" w:rsidRPr="00FF44CD">
        <w:rPr>
          <w:rFonts w:ascii="Century Gothic" w:hAnsi="Century Gothic"/>
        </w:rPr>
        <w:t>en el ámbito de competencias del Area de Salud y c</w:t>
      </w:r>
      <w:r w:rsidR="007D250B" w:rsidRPr="00FF44CD">
        <w:rPr>
          <w:rFonts w:ascii="Century Gothic" w:hAnsi="Century Gothic"/>
        </w:rPr>
        <w:t>on el fin de fidelizar profesionales</w:t>
      </w:r>
      <w:r w:rsidR="00E3280A" w:rsidRPr="00FF44CD">
        <w:rPr>
          <w:rFonts w:ascii="Century Gothic" w:hAnsi="Century Gothic"/>
        </w:rPr>
        <w:t xml:space="preserve">, </w:t>
      </w:r>
      <w:r w:rsidR="007D250B" w:rsidRPr="00FF44CD">
        <w:rPr>
          <w:rFonts w:ascii="Century Gothic" w:hAnsi="Century Gothic"/>
        </w:rPr>
        <w:t>se está trabajando</w:t>
      </w:r>
      <w:r w:rsidRPr="00FF44CD">
        <w:rPr>
          <w:rFonts w:ascii="Century Gothic" w:hAnsi="Century Gothic"/>
        </w:rPr>
        <w:t xml:space="preserve"> en </w:t>
      </w:r>
      <w:r w:rsidR="004B30DC" w:rsidRPr="00FF44CD">
        <w:rPr>
          <w:rFonts w:ascii="Century Gothic" w:hAnsi="Century Gothic"/>
        </w:rPr>
        <w:t xml:space="preserve">el desarrollo y mejora </w:t>
      </w:r>
      <w:r w:rsidR="00A3531D" w:rsidRPr="00FF44CD">
        <w:rPr>
          <w:rFonts w:ascii="Century Gothic" w:hAnsi="Century Gothic"/>
        </w:rPr>
        <w:t>de</w:t>
      </w:r>
      <w:r w:rsidR="004B30DC" w:rsidRPr="00FF44CD">
        <w:rPr>
          <w:rFonts w:ascii="Century Gothic" w:hAnsi="Century Gothic"/>
        </w:rPr>
        <w:t xml:space="preserve"> diferentes </w:t>
      </w:r>
      <w:r w:rsidR="008A6CE4" w:rsidRPr="00FF44CD">
        <w:rPr>
          <w:rFonts w:ascii="Century Gothic" w:hAnsi="Century Gothic"/>
        </w:rPr>
        <w:t xml:space="preserve">líneas </w:t>
      </w:r>
      <w:r w:rsidR="004B30DC" w:rsidRPr="00FF44CD">
        <w:rPr>
          <w:rFonts w:ascii="Century Gothic" w:hAnsi="Century Gothic"/>
        </w:rPr>
        <w:t xml:space="preserve">de </w:t>
      </w:r>
      <w:r w:rsidR="00100AC5">
        <w:rPr>
          <w:rFonts w:ascii="Century Gothic" w:hAnsi="Century Gothic"/>
        </w:rPr>
        <w:t>actuación</w:t>
      </w:r>
      <w:r w:rsidR="00580DEE" w:rsidRPr="00FF44CD">
        <w:rPr>
          <w:rFonts w:ascii="Century Gothic" w:hAnsi="Century Gothic"/>
        </w:rPr>
        <w:t xml:space="preserve"> que redunda</w:t>
      </w:r>
      <w:r w:rsidR="008A6CE4" w:rsidRPr="00FF44CD">
        <w:rPr>
          <w:rFonts w:ascii="Century Gothic" w:hAnsi="Century Gothic"/>
        </w:rPr>
        <w:t>rán</w:t>
      </w:r>
      <w:r w:rsidR="00580DEE" w:rsidRPr="00FF44CD">
        <w:rPr>
          <w:rFonts w:ascii="Century Gothic" w:hAnsi="Century Gothic"/>
        </w:rPr>
        <w:t xml:space="preserve"> </w:t>
      </w:r>
      <w:r w:rsidR="004F1D4A" w:rsidRPr="00FF44CD">
        <w:rPr>
          <w:rFonts w:ascii="Century Gothic" w:hAnsi="Century Gothic"/>
        </w:rPr>
        <w:t>tanto</w:t>
      </w:r>
      <w:r w:rsidR="00100AC5">
        <w:rPr>
          <w:rFonts w:ascii="Century Gothic" w:hAnsi="Century Gothic"/>
        </w:rPr>
        <w:t xml:space="preserve"> e</w:t>
      </w:r>
      <w:r w:rsidR="00580DEE" w:rsidRPr="00FF44CD">
        <w:rPr>
          <w:rFonts w:ascii="Century Gothic" w:hAnsi="Century Gothic"/>
        </w:rPr>
        <w:t xml:space="preserve">n una </w:t>
      </w:r>
      <w:r w:rsidR="008A6CE4" w:rsidRPr="00FF44CD">
        <w:rPr>
          <w:rFonts w:ascii="Century Gothic" w:hAnsi="Century Gothic"/>
        </w:rPr>
        <w:t xml:space="preserve">previsible </w:t>
      </w:r>
      <w:r w:rsidR="00580DEE" w:rsidRPr="00FF44CD">
        <w:rPr>
          <w:rFonts w:ascii="Century Gothic" w:hAnsi="Century Gothic"/>
        </w:rPr>
        <w:t>mejora de las condiciones laborales</w:t>
      </w:r>
      <w:r w:rsidR="002B5E87" w:rsidRPr="00FF44CD">
        <w:rPr>
          <w:rFonts w:ascii="Century Gothic" w:hAnsi="Century Gothic"/>
        </w:rPr>
        <w:t xml:space="preserve"> de los profesionales</w:t>
      </w:r>
      <w:r w:rsidR="00100AC5">
        <w:rPr>
          <w:rFonts w:ascii="Century Gothic" w:hAnsi="Century Gothic"/>
        </w:rPr>
        <w:t>,</w:t>
      </w:r>
      <w:r w:rsidR="002B5E87" w:rsidRPr="00FF44CD">
        <w:rPr>
          <w:rFonts w:ascii="Century Gothic" w:hAnsi="Century Gothic"/>
        </w:rPr>
        <w:t xml:space="preserve"> como en un </w:t>
      </w:r>
      <w:r w:rsidR="008A6CE4" w:rsidRPr="00FF44CD">
        <w:rPr>
          <w:rFonts w:ascii="Century Gothic" w:hAnsi="Century Gothic"/>
        </w:rPr>
        <w:t>refuerzo</w:t>
      </w:r>
      <w:r w:rsidR="002B5E87" w:rsidRPr="00FF44CD">
        <w:rPr>
          <w:rFonts w:ascii="Century Gothic" w:hAnsi="Century Gothic"/>
        </w:rPr>
        <w:t xml:space="preserve"> de las posibilidades de promoción y desarrollo profesional</w:t>
      </w:r>
      <w:r w:rsidR="004B30DC" w:rsidRPr="00FF44CD">
        <w:rPr>
          <w:rFonts w:ascii="Century Gothic" w:hAnsi="Century Gothic"/>
        </w:rPr>
        <w:t xml:space="preserve">, </w:t>
      </w:r>
      <w:r w:rsidR="002B5E87" w:rsidRPr="00FF44CD">
        <w:rPr>
          <w:rFonts w:ascii="Century Gothic" w:hAnsi="Century Gothic"/>
        </w:rPr>
        <w:t>entre las que se encuentran:</w:t>
      </w:r>
      <w:r w:rsidR="005302E4">
        <w:rPr>
          <w:rFonts w:ascii="Century Gothic" w:hAnsi="Century Gothic"/>
        </w:rPr>
        <w:t xml:space="preserve"> </w:t>
      </w:r>
      <w:r w:rsidR="002B5E87" w:rsidRPr="00FF44CD">
        <w:rPr>
          <w:rFonts w:ascii="Century Gothic" w:hAnsi="Century Gothic"/>
        </w:rPr>
        <w:t xml:space="preserve">la adecuación de espacios e infraestructuras, </w:t>
      </w:r>
      <w:r w:rsidR="007D250B" w:rsidRPr="00FF44CD">
        <w:rPr>
          <w:rFonts w:ascii="Century Gothic" w:hAnsi="Century Gothic"/>
        </w:rPr>
        <w:t xml:space="preserve">la acogida de los profesionales, </w:t>
      </w:r>
      <w:r w:rsidR="004A524C" w:rsidRPr="00FF44CD">
        <w:rPr>
          <w:rFonts w:ascii="Century Gothic" w:hAnsi="Century Gothic"/>
        </w:rPr>
        <w:t xml:space="preserve">la prevención de riesgos </w:t>
      </w:r>
      <w:r w:rsidR="00A3531D" w:rsidRPr="00FF44CD">
        <w:rPr>
          <w:rFonts w:ascii="Century Gothic" w:hAnsi="Century Gothic"/>
        </w:rPr>
        <w:t xml:space="preserve">laborales </w:t>
      </w:r>
      <w:r w:rsidR="004A524C" w:rsidRPr="00FF44CD">
        <w:rPr>
          <w:rFonts w:ascii="Century Gothic" w:hAnsi="Century Gothic"/>
        </w:rPr>
        <w:t xml:space="preserve">y promoción de la salud, </w:t>
      </w:r>
      <w:r w:rsidR="007D250B" w:rsidRPr="00FF44CD">
        <w:rPr>
          <w:rFonts w:ascii="Century Gothic" w:hAnsi="Century Gothic"/>
        </w:rPr>
        <w:t>la mejora de la comunicación interna y</w:t>
      </w:r>
      <w:r w:rsidR="005302E4">
        <w:rPr>
          <w:rFonts w:ascii="Century Gothic" w:hAnsi="Century Gothic"/>
        </w:rPr>
        <w:t xml:space="preserve"> </w:t>
      </w:r>
      <w:r w:rsidR="007D250B" w:rsidRPr="00FF44CD">
        <w:rPr>
          <w:rFonts w:ascii="Century Gothic" w:hAnsi="Century Gothic"/>
        </w:rPr>
        <w:t>participación</w:t>
      </w:r>
      <w:r w:rsidR="00F41CE4" w:rsidRPr="00FF44CD">
        <w:rPr>
          <w:rFonts w:ascii="Century Gothic" w:hAnsi="Century Gothic"/>
        </w:rPr>
        <w:t>,</w:t>
      </w:r>
      <w:r w:rsidR="005302E4">
        <w:rPr>
          <w:rFonts w:ascii="Century Gothic" w:hAnsi="Century Gothic"/>
        </w:rPr>
        <w:t xml:space="preserve"> </w:t>
      </w:r>
      <w:r w:rsidR="004F1D4A" w:rsidRPr="00FF44CD">
        <w:rPr>
          <w:rFonts w:ascii="Century Gothic" w:hAnsi="Century Gothic"/>
        </w:rPr>
        <w:t>la formación continuada</w:t>
      </w:r>
      <w:r w:rsidR="00F13B8F" w:rsidRPr="00FF44CD">
        <w:rPr>
          <w:rFonts w:ascii="Century Gothic" w:hAnsi="Century Gothic"/>
        </w:rPr>
        <w:t xml:space="preserve"> e investigación</w:t>
      </w:r>
      <w:r w:rsidR="004F1D4A" w:rsidRPr="00FF44CD">
        <w:rPr>
          <w:rFonts w:ascii="Century Gothic" w:hAnsi="Century Gothic"/>
        </w:rPr>
        <w:t>,</w:t>
      </w:r>
      <w:r w:rsidR="005302E4">
        <w:rPr>
          <w:rFonts w:ascii="Century Gothic" w:hAnsi="Century Gothic"/>
        </w:rPr>
        <w:t xml:space="preserve"> </w:t>
      </w:r>
      <w:r w:rsidR="00F13B8F" w:rsidRPr="00FF44CD">
        <w:rPr>
          <w:rFonts w:ascii="Century Gothic" w:hAnsi="Century Gothic"/>
        </w:rPr>
        <w:t xml:space="preserve"> la </w:t>
      </w:r>
      <w:r w:rsidR="008A6CE4" w:rsidRPr="00FF44CD">
        <w:rPr>
          <w:rFonts w:ascii="Century Gothic" w:hAnsi="Century Gothic"/>
        </w:rPr>
        <w:t xml:space="preserve">formación de especialistas una vez aprobados los diferentes dispositivos docentes asociados que </w:t>
      </w:r>
      <w:r w:rsidR="0002228B">
        <w:rPr>
          <w:rFonts w:ascii="Century Gothic" w:hAnsi="Century Gothic"/>
        </w:rPr>
        <w:t>se han</w:t>
      </w:r>
      <w:r w:rsidR="008A6CE4" w:rsidRPr="00FF44CD">
        <w:rPr>
          <w:rFonts w:ascii="Century Gothic" w:hAnsi="Century Gothic"/>
        </w:rPr>
        <w:t xml:space="preserve"> solicitado</w:t>
      </w:r>
      <w:r w:rsidR="00F13B8F" w:rsidRPr="00FF44CD">
        <w:rPr>
          <w:rFonts w:ascii="Century Gothic" w:hAnsi="Century Gothic"/>
        </w:rPr>
        <w:t>,</w:t>
      </w:r>
      <w:r w:rsidR="005302E4">
        <w:rPr>
          <w:rFonts w:ascii="Century Gothic" w:hAnsi="Century Gothic"/>
        </w:rPr>
        <w:t xml:space="preserve"> </w:t>
      </w:r>
      <w:r w:rsidR="004F1D4A" w:rsidRPr="00FF44CD">
        <w:rPr>
          <w:rFonts w:ascii="Century Gothic" w:hAnsi="Century Gothic"/>
        </w:rPr>
        <w:t xml:space="preserve">la </w:t>
      </w:r>
      <w:r w:rsidR="002B5E87" w:rsidRPr="00FF44CD">
        <w:rPr>
          <w:rFonts w:ascii="Century Gothic" w:hAnsi="Century Gothic"/>
        </w:rPr>
        <w:t xml:space="preserve">reposición e </w:t>
      </w:r>
      <w:r w:rsidR="004F1D4A" w:rsidRPr="00FF44CD">
        <w:rPr>
          <w:rFonts w:ascii="Century Gothic" w:hAnsi="Century Gothic"/>
        </w:rPr>
        <w:t xml:space="preserve">innovación tecnológica, </w:t>
      </w:r>
      <w:r w:rsidR="00EE6976" w:rsidRPr="00FF44CD">
        <w:rPr>
          <w:rFonts w:ascii="Century Gothic" w:hAnsi="Century Gothic"/>
        </w:rPr>
        <w:t xml:space="preserve">la mejora de la </w:t>
      </w:r>
      <w:r w:rsidR="004F1D4A" w:rsidRPr="00FF44CD">
        <w:rPr>
          <w:rFonts w:ascii="Century Gothic" w:hAnsi="Century Gothic"/>
        </w:rPr>
        <w:t>cartera de servicios</w:t>
      </w:r>
      <w:r w:rsidR="00F41CE4" w:rsidRPr="00FF44CD">
        <w:rPr>
          <w:rFonts w:ascii="Century Gothic" w:hAnsi="Century Gothic"/>
        </w:rPr>
        <w:t>,</w:t>
      </w:r>
      <w:r w:rsidR="005302E4">
        <w:rPr>
          <w:rFonts w:ascii="Century Gothic" w:hAnsi="Century Gothic"/>
        </w:rPr>
        <w:t xml:space="preserve"> </w:t>
      </w:r>
      <w:r w:rsidR="004F1D4A" w:rsidRPr="00FF44CD">
        <w:rPr>
          <w:rFonts w:ascii="Century Gothic" w:hAnsi="Century Gothic"/>
        </w:rPr>
        <w:t xml:space="preserve">la </w:t>
      </w:r>
      <w:r w:rsidR="002B5E87" w:rsidRPr="00FF44CD">
        <w:rPr>
          <w:rFonts w:ascii="Century Gothic" w:hAnsi="Century Gothic"/>
        </w:rPr>
        <w:t>creación de nuevas unidades funcionales asistenciales</w:t>
      </w:r>
      <w:r w:rsidR="00F41CE4" w:rsidRPr="00FF44CD">
        <w:rPr>
          <w:rFonts w:ascii="Century Gothic" w:hAnsi="Century Gothic"/>
        </w:rPr>
        <w:t xml:space="preserve"> </w:t>
      </w:r>
      <w:r w:rsidR="00F13B8F" w:rsidRPr="00FF44CD">
        <w:rPr>
          <w:rFonts w:ascii="Century Gothic" w:hAnsi="Century Gothic"/>
        </w:rPr>
        <w:t>como digestivo y cardiología</w:t>
      </w:r>
      <w:r w:rsidR="00100AC5">
        <w:rPr>
          <w:rFonts w:ascii="Century Gothic" w:hAnsi="Century Gothic"/>
        </w:rPr>
        <w:t>,</w:t>
      </w:r>
      <w:r w:rsidR="00F13B8F" w:rsidRPr="00FF44CD">
        <w:rPr>
          <w:rFonts w:ascii="Century Gothic" w:hAnsi="Century Gothic"/>
        </w:rPr>
        <w:t xml:space="preserve"> </w:t>
      </w:r>
      <w:r w:rsidR="00F41CE4" w:rsidRPr="00FF44CD">
        <w:rPr>
          <w:rFonts w:ascii="Century Gothic" w:hAnsi="Century Gothic"/>
        </w:rPr>
        <w:t>y</w:t>
      </w:r>
      <w:r w:rsidR="005302E4">
        <w:rPr>
          <w:rFonts w:ascii="Century Gothic" w:hAnsi="Century Gothic"/>
        </w:rPr>
        <w:t xml:space="preserve"> </w:t>
      </w:r>
      <w:r w:rsidR="00F41CE4" w:rsidRPr="00FF44CD">
        <w:rPr>
          <w:rFonts w:ascii="Century Gothic" w:hAnsi="Century Gothic"/>
        </w:rPr>
        <w:t>la flexibilización de</w:t>
      </w:r>
      <w:r w:rsidR="00100AC5">
        <w:rPr>
          <w:rFonts w:ascii="Century Gothic" w:hAnsi="Century Gothic"/>
        </w:rPr>
        <w:t>l horario laboral, esto último</w:t>
      </w:r>
      <w:r w:rsidR="00F41CE4" w:rsidRPr="00FF44CD">
        <w:rPr>
          <w:rFonts w:ascii="Century Gothic" w:hAnsi="Century Gothic"/>
        </w:rPr>
        <w:t xml:space="preserve"> siempre y cuando la normativa de aplicación y las necesidades asistenciales lo permitan</w:t>
      </w:r>
      <w:r w:rsidR="002B5E87" w:rsidRPr="00FF44CD">
        <w:rPr>
          <w:rFonts w:ascii="Century Gothic" w:hAnsi="Century Gothic"/>
        </w:rPr>
        <w:t>.</w:t>
      </w:r>
      <w:r w:rsidR="005302E4">
        <w:rPr>
          <w:rFonts w:ascii="Century Gothic" w:hAnsi="Century Gothic"/>
        </w:rPr>
        <w:t xml:space="preserve"> </w:t>
      </w:r>
      <w:r w:rsidR="004B30DC" w:rsidRPr="00FF44CD">
        <w:rPr>
          <w:rFonts w:ascii="Century Gothic" w:hAnsi="Century Gothic"/>
        </w:rPr>
        <w:t xml:space="preserve"> </w:t>
      </w:r>
    </w:p>
    <w:p w:rsidR="00FE3DAC" w:rsidRDefault="001F63C7" w:rsidP="00143E08">
      <w:pPr>
        <w:tabs>
          <w:tab w:val="left" w:pos="720"/>
        </w:tabs>
        <w:spacing w:line="288" w:lineRule="auto"/>
        <w:jc w:val="both"/>
        <w:rPr>
          <w:rFonts w:ascii="Century Gothic" w:hAnsi="Century Gothic"/>
        </w:rPr>
      </w:pPr>
      <w:r w:rsidRPr="00143E08">
        <w:rPr>
          <w:rFonts w:ascii="Century Gothic" w:hAnsi="Century Gothic"/>
        </w:rPr>
        <w:t>Es cuanto tengo el honor de informar en cumplimiento de</w:t>
      </w:r>
      <w:r w:rsidR="00565E43" w:rsidRPr="00143E08">
        <w:rPr>
          <w:rFonts w:ascii="Century Gothic" w:hAnsi="Century Gothic"/>
        </w:rPr>
        <w:t xml:space="preserve"> lo dispuesto en el artículo 194</w:t>
      </w:r>
      <w:r w:rsidRPr="00143E08">
        <w:rPr>
          <w:rFonts w:ascii="Century Gothic" w:hAnsi="Century Gothic"/>
        </w:rPr>
        <w:t xml:space="preserve"> del Reglamento del Parlamento de Navarra.</w:t>
      </w:r>
    </w:p>
    <w:p w:rsidR="00FE3DAC" w:rsidRDefault="001F63C7" w:rsidP="00143E08">
      <w:pPr>
        <w:spacing w:line="288" w:lineRule="auto"/>
        <w:ind w:left="567" w:right="567"/>
        <w:jc w:val="center"/>
        <w:outlineLvl w:val="0"/>
        <w:rPr>
          <w:rFonts w:ascii="Century Gothic" w:hAnsi="Century Gothic"/>
        </w:rPr>
      </w:pPr>
      <w:r w:rsidRPr="00143E08">
        <w:rPr>
          <w:rFonts w:ascii="Century Gothic" w:hAnsi="Century Gothic"/>
        </w:rPr>
        <w:t>Pamplona,</w:t>
      </w:r>
      <w:r w:rsidR="005302E4">
        <w:rPr>
          <w:rFonts w:ascii="Century Gothic" w:hAnsi="Century Gothic"/>
        </w:rPr>
        <w:t xml:space="preserve"> </w:t>
      </w:r>
      <w:r w:rsidR="00100AC5">
        <w:rPr>
          <w:rFonts w:ascii="Century Gothic" w:hAnsi="Century Gothic"/>
        </w:rPr>
        <w:t>10</w:t>
      </w:r>
      <w:r w:rsidR="009968F8" w:rsidRPr="00143E08">
        <w:rPr>
          <w:rFonts w:ascii="Century Gothic" w:hAnsi="Century Gothic"/>
        </w:rPr>
        <w:t xml:space="preserve"> de </w:t>
      </w:r>
      <w:r w:rsidR="00100AC5">
        <w:rPr>
          <w:rFonts w:ascii="Century Gothic" w:hAnsi="Century Gothic"/>
        </w:rPr>
        <w:t>diciembre</w:t>
      </w:r>
      <w:r w:rsidR="009968F8" w:rsidRPr="00143E08">
        <w:rPr>
          <w:rFonts w:ascii="Century Gothic" w:hAnsi="Century Gothic"/>
        </w:rPr>
        <w:t xml:space="preserve"> de 201</w:t>
      </w:r>
      <w:r w:rsidR="00EE6976" w:rsidRPr="00143E08">
        <w:rPr>
          <w:rFonts w:ascii="Century Gothic" w:hAnsi="Century Gothic"/>
        </w:rPr>
        <w:t>8</w:t>
      </w:r>
    </w:p>
    <w:p w:rsidR="00FE3DAC" w:rsidRDefault="00FE3DAC" w:rsidP="00143E08">
      <w:pPr>
        <w:spacing w:line="288" w:lineRule="auto"/>
        <w:ind w:left="567" w:right="567"/>
        <w:jc w:val="center"/>
        <w:rPr>
          <w:rFonts w:ascii="Century Gothic" w:hAnsi="Century Gothic"/>
          <w:lang w:val="pt-BR"/>
        </w:rPr>
      </w:pPr>
      <w:r>
        <w:rPr>
          <w:rFonts w:ascii="Century Gothic" w:hAnsi="Century Gothic"/>
        </w:rPr>
        <w:t xml:space="preserve">El Consejero de Salud: </w:t>
      </w:r>
      <w:r w:rsidR="001F63C7" w:rsidRPr="00143E08">
        <w:rPr>
          <w:rFonts w:ascii="Century Gothic" w:hAnsi="Century Gothic"/>
          <w:lang w:val="pt-BR"/>
        </w:rPr>
        <w:t xml:space="preserve">Fernando </w:t>
      </w:r>
      <w:proofErr w:type="spellStart"/>
      <w:r w:rsidR="001F63C7" w:rsidRPr="00143E08">
        <w:rPr>
          <w:rFonts w:ascii="Century Gothic" w:hAnsi="Century Gothic"/>
          <w:lang w:val="pt-BR"/>
        </w:rPr>
        <w:t>Dom</w:t>
      </w:r>
      <w:r w:rsidR="00100AC5">
        <w:rPr>
          <w:rFonts w:ascii="Century Gothic" w:hAnsi="Century Gothic"/>
          <w:lang w:val="pt-BR"/>
        </w:rPr>
        <w:t>í</w:t>
      </w:r>
      <w:r w:rsidR="001F63C7" w:rsidRPr="00143E08">
        <w:rPr>
          <w:rFonts w:ascii="Century Gothic" w:hAnsi="Century Gothic"/>
          <w:lang w:val="pt-BR"/>
        </w:rPr>
        <w:t>nguez</w:t>
      </w:r>
      <w:proofErr w:type="spellEnd"/>
      <w:r w:rsidR="001F63C7" w:rsidRPr="00143E08">
        <w:rPr>
          <w:rFonts w:ascii="Century Gothic" w:hAnsi="Century Gothic"/>
          <w:lang w:val="pt-BR"/>
        </w:rPr>
        <w:t xml:space="preserve"> </w:t>
      </w:r>
      <w:proofErr w:type="spellStart"/>
      <w:r w:rsidR="001F63C7" w:rsidRPr="00143E08">
        <w:rPr>
          <w:rFonts w:ascii="Century Gothic" w:hAnsi="Century Gothic"/>
          <w:lang w:val="pt-BR"/>
        </w:rPr>
        <w:t>Cunchillos</w:t>
      </w:r>
      <w:proofErr w:type="spellEnd"/>
    </w:p>
    <w:p w:rsidR="00100AC5" w:rsidRPr="00143E08" w:rsidRDefault="00100AC5" w:rsidP="00143E08">
      <w:pPr>
        <w:spacing w:line="288" w:lineRule="auto"/>
        <w:ind w:left="567" w:right="567"/>
        <w:jc w:val="center"/>
        <w:rPr>
          <w:rFonts w:ascii="Century Gothic" w:hAnsi="Century Gothic"/>
          <w:lang w:val="pt-BR"/>
        </w:rPr>
      </w:pPr>
    </w:p>
    <w:sectPr w:rsidR="00100AC5" w:rsidRPr="00143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7644C"/>
    <w:multiLevelType w:val="hybridMultilevel"/>
    <w:tmpl w:val="F9969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92A6C"/>
    <w:multiLevelType w:val="hybridMultilevel"/>
    <w:tmpl w:val="99EED196"/>
    <w:lvl w:ilvl="0" w:tplc="53ECD7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F56A2"/>
    <w:multiLevelType w:val="hybridMultilevel"/>
    <w:tmpl w:val="95D6C656"/>
    <w:lvl w:ilvl="0" w:tplc="53ECD7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C7"/>
    <w:rsid w:val="0000387F"/>
    <w:rsid w:val="000078E5"/>
    <w:rsid w:val="00010902"/>
    <w:rsid w:val="00013F71"/>
    <w:rsid w:val="000206CF"/>
    <w:rsid w:val="0002228B"/>
    <w:rsid w:val="000251F9"/>
    <w:rsid w:val="00027633"/>
    <w:rsid w:val="00027973"/>
    <w:rsid w:val="0003640C"/>
    <w:rsid w:val="000815C3"/>
    <w:rsid w:val="0009391E"/>
    <w:rsid w:val="00093D74"/>
    <w:rsid w:val="00094914"/>
    <w:rsid w:val="000A024B"/>
    <w:rsid w:val="000B1227"/>
    <w:rsid w:val="000C0780"/>
    <w:rsid w:val="000C4BDA"/>
    <w:rsid w:val="000C6172"/>
    <w:rsid w:val="000C6BD2"/>
    <w:rsid w:val="000D375F"/>
    <w:rsid w:val="000E081D"/>
    <w:rsid w:val="000E0825"/>
    <w:rsid w:val="000E75C8"/>
    <w:rsid w:val="000F5E44"/>
    <w:rsid w:val="00100AC5"/>
    <w:rsid w:val="00104044"/>
    <w:rsid w:val="001115A0"/>
    <w:rsid w:val="00115FB8"/>
    <w:rsid w:val="0012228D"/>
    <w:rsid w:val="00133815"/>
    <w:rsid w:val="00143E08"/>
    <w:rsid w:val="00154BE0"/>
    <w:rsid w:val="001657BB"/>
    <w:rsid w:val="00184B06"/>
    <w:rsid w:val="0019303E"/>
    <w:rsid w:val="001A1D73"/>
    <w:rsid w:val="001C1140"/>
    <w:rsid w:val="001C2BAA"/>
    <w:rsid w:val="001E2CB4"/>
    <w:rsid w:val="001F2DFD"/>
    <w:rsid w:val="001F63C7"/>
    <w:rsid w:val="00211567"/>
    <w:rsid w:val="00221D74"/>
    <w:rsid w:val="00235802"/>
    <w:rsid w:val="002457DF"/>
    <w:rsid w:val="00247449"/>
    <w:rsid w:val="00254A00"/>
    <w:rsid w:val="002614AA"/>
    <w:rsid w:val="00261772"/>
    <w:rsid w:val="00263406"/>
    <w:rsid w:val="002678C6"/>
    <w:rsid w:val="00273FBE"/>
    <w:rsid w:val="002755A7"/>
    <w:rsid w:val="0028280B"/>
    <w:rsid w:val="00284158"/>
    <w:rsid w:val="002A3193"/>
    <w:rsid w:val="002B42C4"/>
    <w:rsid w:val="002B5845"/>
    <w:rsid w:val="002B5E87"/>
    <w:rsid w:val="002E48AD"/>
    <w:rsid w:val="002E5567"/>
    <w:rsid w:val="003234A7"/>
    <w:rsid w:val="003304A0"/>
    <w:rsid w:val="003314EC"/>
    <w:rsid w:val="00340125"/>
    <w:rsid w:val="00361AB4"/>
    <w:rsid w:val="00364572"/>
    <w:rsid w:val="00367F2B"/>
    <w:rsid w:val="00384427"/>
    <w:rsid w:val="003A4575"/>
    <w:rsid w:val="003A539F"/>
    <w:rsid w:val="003A5B95"/>
    <w:rsid w:val="003B0B14"/>
    <w:rsid w:val="003B4B97"/>
    <w:rsid w:val="003C3F8F"/>
    <w:rsid w:val="003C3FBA"/>
    <w:rsid w:val="003E38EF"/>
    <w:rsid w:val="004114F2"/>
    <w:rsid w:val="004217D0"/>
    <w:rsid w:val="004229AD"/>
    <w:rsid w:val="00423F29"/>
    <w:rsid w:val="00426CAB"/>
    <w:rsid w:val="0043200C"/>
    <w:rsid w:val="0044433C"/>
    <w:rsid w:val="0045699D"/>
    <w:rsid w:val="004571BC"/>
    <w:rsid w:val="004623AC"/>
    <w:rsid w:val="0046407D"/>
    <w:rsid w:val="00476DF6"/>
    <w:rsid w:val="00482CC5"/>
    <w:rsid w:val="00483DB2"/>
    <w:rsid w:val="004907AB"/>
    <w:rsid w:val="00494AEB"/>
    <w:rsid w:val="004A524C"/>
    <w:rsid w:val="004B30DC"/>
    <w:rsid w:val="004C3CCA"/>
    <w:rsid w:val="004D6F2F"/>
    <w:rsid w:val="004E401D"/>
    <w:rsid w:val="004F1D4A"/>
    <w:rsid w:val="004F4628"/>
    <w:rsid w:val="00516968"/>
    <w:rsid w:val="00524F64"/>
    <w:rsid w:val="00526D1F"/>
    <w:rsid w:val="00526D5E"/>
    <w:rsid w:val="005302E4"/>
    <w:rsid w:val="0053795D"/>
    <w:rsid w:val="005404BF"/>
    <w:rsid w:val="00540E26"/>
    <w:rsid w:val="005459C6"/>
    <w:rsid w:val="0055143E"/>
    <w:rsid w:val="00555675"/>
    <w:rsid w:val="00565E43"/>
    <w:rsid w:val="0057126D"/>
    <w:rsid w:val="00580DEE"/>
    <w:rsid w:val="005854C1"/>
    <w:rsid w:val="00590A36"/>
    <w:rsid w:val="005B3E0B"/>
    <w:rsid w:val="005B5592"/>
    <w:rsid w:val="005B626E"/>
    <w:rsid w:val="005C3A1D"/>
    <w:rsid w:val="005C543A"/>
    <w:rsid w:val="005D2AB1"/>
    <w:rsid w:val="005E3A7F"/>
    <w:rsid w:val="005F59C3"/>
    <w:rsid w:val="00614B9A"/>
    <w:rsid w:val="00625A1F"/>
    <w:rsid w:val="00627732"/>
    <w:rsid w:val="00633CFD"/>
    <w:rsid w:val="0063441C"/>
    <w:rsid w:val="006406CF"/>
    <w:rsid w:val="00641B43"/>
    <w:rsid w:val="0064613E"/>
    <w:rsid w:val="0064704D"/>
    <w:rsid w:val="00670C5D"/>
    <w:rsid w:val="00677567"/>
    <w:rsid w:val="0068409D"/>
    <w:rsid w:val="00687B55"/>
    <w:rsid w:val="0069320F"/>
    <w:rsid w:val="0069366F"/>
    <w:rsid w:val="006B1E03"/>
    <w:rsid w:val="006B2BFF"/>
    <w:rsid w:val="006B4184"/>
    <w:rsid w:val="006C2097"/>
    <w:rsid w:val="006E19AE"/>
    <w:rsid w:val="006E3D96"/>
    <w:rsid w:val="006E4655"/>
    <w:rsid w:val="006E7515"/>
    <w:rsid w:val="006F3A11"/>
    <w:rsid w:val="0070226D"/>
    <w:rsid w:val="00702666"/>
    <w:rsid w:val="00711314"/>
    <w:rsid w:val="007126C6"/>
    <w:rsid w:val="00721D2E"/>
    <w:rsid w:val="007416EF"/>
    <w:rsid w:val="00745148"/>
    <w:rsid w:val="007622ED"/>
    <w:rsid w:val="007737CF"/>
    <w:rsid w:val="007776D3"/>
    <w:rsid w:val="00790545"/>
    <w:rsid w:val="007A1AFD"/>
    <w:rsid w:val="007A6EB7"/>
    <w:rsid w:val="007B147F"/>
    <w:rsid w:val="007B43E2"/>
    <w:rsid w:val="007D250B"/>
    <w:rsid w:val="007D2A41"/>
    <w:rsid w:val="007D6AAA"/>
    <w:rsid w:val="007E20EE"/>
    <w:rsid w:val="007E3EEA"/>
    <w:rsid w:val="007E7236"/>
    <w:rsid w:val="007F16ED"/>
    <w:rsid w:val="007F5B36"/>
    <w:rsid w:val="00802C1A"/>
    <w:rsid w:val="00807C98"/>
    <w:rsid w:val="00814C04"/>
    <w:rsid w:val="00817662"/>
    <w:rsid w:val="00820758"/>
    <w:rsid w:val="00824DF2"/>
    <w:rsid w:val="008264F4"/>
    <w:rsid w:val="00836F63"/>
    <w:rsid w:val="008408BD"/>
    <w:rsid w:val="0084271F"/>
    <w:rsid w:val="00855E9B"/>
    <w:rsid w:val="00864EAA"/>
    <w:rsid w:val="00884981"/>
    <w:rsid w:val="00891752"/>
    <w:rsid w:val="008A279E"/>
    <w:rsid w:val="008A590D"/>
    <w:rsid w:val="008A6CE4"/>
    <w:rsid w:val="008C0378"/>
    <w:rsid w:val="008C2EFA"/>
    <w:rsid w:val="008E72E9"/>
    <w:rsid w:val="008F00F4"/>
    <w:rsid w:val="00902F68"/>
    <w:rsid w:val="00906309"/>
    <w:rsid w:val="009204DD"/>
    <w:rsid w:val="00922004"/>
    <w:rsid w:val="00930719"/>
    <w:rsid w:val="009457A5"/>
    <w:rsid w:val="00954DB9"/>
    <w:rsid w:val="0095542B"/>
    <w:rsid w:val="00964E65"/>
    <w:rsid w:val="00970D7C"/>
    <w:rsid w:val="00982BB0"/>
    <w:rsid w:val="00984844"/>
    <w:rsid w:val="00984C8A"/>
    <w:rsid w:val="00985FB2"/>
    <w:rsid w:val="009968F8"/>
    <w:rsid w:val="009B1786"/>
    <w:rsid w:val="009B22A1"/>
    <w:rsid w:val="009D3DFD"/>
    <w:rsid w:val="009E09F4"/>
    <w:rsid w:val="009E61F0"/>
    <w:rsid w:val="009F0BC0"/>
    <w:rsid w:val="009F5A71"/>
    <w:rsid w:val="00A17D11"/>
    <w:rsid w:val="00A30D13"/>
    <w:rsid w:val="00A326AF"/>
    <w:rsid w:val="00A330C5"/>
    <w:rsid w:val="00A33FAD"/>
    <w:rsid w:val="00A34BE0"/>
    <w:rsid w:val="00A34FE9"/>
    <w:rsid w:val="00A3531D"/>
    <w:rsid w:val="00A3758C"/>
    <w:rsid w:val="00A475F9"/>
    <w:rsid w:val="00A47C7D"/>
    <w:rsid w:val="00A509BB"/>
    <w:rsid w:val="00A51705"/>
    <w:rsid w:val="00A566D6"/>
    <w:rsid w:val="00A6293A"/>
    <w:rsid w:val="00A67B49"/>
    <w:rsid w:val="00A742ED"/>
    <w:rsid w:val="00A802CE"/>
    <w:rsid w:val="00A816D9"/>
    <w:rsid w:val="00A820D6"/>
    <w:rsid w:val="00A84899"/>
    <w:rsid w:val="00A94DA7"/>
    <w:rsid w:val="00A94F8C"/>
    <w:rsid w:val="00AA065C"/>
    <w:rsid w:val="00AA0B33"/>
    <w:rsid w:val="00AA1C91"/>
    <w:rsid w:val="00AB62DD"/>
    <w:rsid w:val="00AB6F7D"/>
    <w:rsid w:val="00AC0874"/>
    <w:rsid w:val="00AD373E"/>
    <w:rsid w:val="00AD65B3"/>
    <w:rsid w:val="00AE2304"/>
    <w:rsid w:val="00AF426D"/>
    <w:rsid w:val="00AF4DB2"/>
    <w:rsid w:val="00AF6FB1"/>
    <w:rsid w:val="00B05A54"/>
    <w:rsid w:val="00B31FED"/>
    <w:rsid w:val="00B37966"/>
    <w:rsid w:val="00B4315F"/>
    <w:rsid w:val="00B52EAD"/>
    <w:rsid w:val="00B56BB3"/>
    <w:rsid w:val="00B6245E"/>
    <w:rsid w:val="00B6349F"/>
    <w:rsid w:val="00B7110F"/>
    <w:rsid w:val="00B72F4A"/>
    <w:rsid w:val="00B752DA"/>
    <w:rsid w:val="00B75734"/>
    <w:rsid w:val="00B778D5"/>
    <w:rsid w:val="00B83140"/>
    <w:rsid w:val="00B85EF1"/>
    <w:rsid w:val="00B937F0"/>
    <w:rsid w:val="00B9550D"/>
    <w:rsid w:val="00BD04B5"/>
    <w:rsid w:val="00BD4C6D"/>
    <w:rsid w:val="00BD64DF"/>
    <w:rsid w:val="00BF0E64"/>
    <w:rsid w:val="00C0487A"/>
    <w:rsid w:val="00C10AC3"/>
    <w:rsid w:val="00C1707E"/>
    <w:rsid w:val="00C233A9"/>
    <w:rsid w:val="00C23C44"/>
    <w:rsid w:val="00C2796C"/>
    <w:rsid w:val="00C33154"/>
    <w:rsid w:val="00C41ABE"/>
    <w:rsid w:val="00C41BE2"/>
    <w:rsid w:val="00C44D85"/>
    <w:rsid w:val="00C5010F"/>
    <w:rsid w:val="00C521F6"/>
    <w:rsid w:val="00C6088D"/>
    <w:rsid w:val="00C64F4A"/>
    <w:rsid w:val="00C77CCD"/>
    <w:rsid w:val="00C84847"/>
    <w:rsid w:val="00C85A94"/>
    <w:rsid w:val="00C92A62"/>
    <w:rsid w:val="00CA46EA"/>
    <w:rsid w:val="00CB0C34"/>
    <w:rsid w:val="00CB3664"/>
    <w:rsid w:val="00CB54D2"/>
    <w:rsid w:val="00CC1BB0"/>
    <w:rsid w:val="00CC5F06"/>
    <w:rsid w:val="00CD1741"/>
    <w:rsid w:val="00CD59DC"/>
    <w:rsid w:val="00CD60C3"/>
    <w:rsid w:val="00CD669F"/>
    <w:rsid w:val="00CE5D80"/>
    <w:rsid w:val="00CF3702"/>
    <w:rsid w:val="00D02DBC"/>
    <w:rsid w:val="00D06B35"/>
    <w:rsid w:val="00D22CA9"/>
    <w:rsid w:val="00D347AD"/>
    <w:rsid w:val="00D57A38"/>
    <w:rsid w:val="00D711EB"/>
    <w:rsid w:val="00D739CD"/>
    <w:rsid w:val="00D81539"/>
    <w:rsid w:val="00D833A4"/>
    <w:rsid w:val="00D94A06"/>
    <w:rsid w:val="00D966C4"/>
    <w:rsid w:val="00DA074D"/>
    <w:rsid w:val="00DA6F0D"/>
    <w:rsid w:val="00DB613E"/>
    <w:rsid w:val="00DC0C52"/>
    <w:rsid w:val="00DC148E"/>
    <w:rsid w:val="00DC470D"/>
    <w:rsid w:val="00DD0CE4"/>
    <w:rsid w:val="00DE6109"/>
    <w:rsid w:val="00DF6822"/>
    <w:rsid w:val="00E031E3"/>
    <w:rsid w:val="00E07953"/>
    <w:rsid w:val="00E118FF"/>
    <w:rsid w:val="00E17BDE"/>
    <w:rsid w:val="00E23B0F"/>
    <w:rsid w:val="00E3280A"/>
    <w:rsid w:val="00E401D8"/>
    <w:rsid w:val="00E50C2E"/>
    <w:rsid w:val="00E52AD4"/>
    <w:rsid w:val="00E558ED"/>
    <w:rsid w:val="00E6249E"/>
    <w:rsid w:val="00E636DD"/>
    <w:rsid w:val="00E6427D"/>
    <w:rsid w:val="00E87A2F"/>
    <w:rsid w:val="00EA1F09"/>
    <w:rsid w:val="00EA5CE1"/>
    <w:rsid w:val="00EA70F3"/>
    <w:rsid w:val="00EB70AE"/>
    <w:rsid w:val="00ED1F49"/>
    <w:rsid w:val="00EE2A2B"/>
    <w:rsid w:val="00EE4D7D"/>
    <w:rsid w:val="00EE6976"/>
    <w:rsid w:val="00EF51E9"/>
    <w:rsid w:val="00F00480"/>
    <w:rsid w:val="00F008AA"/>
    <w:rsid w:val="00F13B8F"/>
    <w:rsid w:val="00F31682"/>
    <w:rsid w:val="00F35E76"/>
    <w:rsid w:val="00F401F0"/>
    <w:rsid w:val="00F40429"/>
    <w:rsid w:val="00F41CE4"/>
    <w:rsid w:val="00F555F6"/>
    <w:rsid w:val="00F64DCF"/>
    <w:rsid w:val="00F70396"/>
    <w:rsid w:val="00F73DAD"/>
    <w:rsid w:val="00F866E5"/>
    <w:rsid w:val="00F90A00"/>
    <w:rsid w:val="00F96714"/>
    <w:rsid w:val="00FA5F6A"/>
    <w:rsid w:val="00FA602E"/>
    <w:rsid w:val="00FC7FCC"/>
    <w:rsid w:val="00FD08A1"/>
    <w:rsid w:val="00FD2A2B"/>
    <w:rsid w:val="00FD780A"/>
    <w:rsid w:val="00FE205B"/>
    <w:rsid w:val="00FE3DAC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3C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C85A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85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3C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C85A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85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1149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Salud del Gobierno de Navarra, en relación con la petición de información presentada por la Parlamentaria Foral Ilma</vt:lpstr>
    </vt:vector>
  </TitlesOfParts>
  <Company>Gobierno de Navarra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Salud del Gobierno de Navarra, en relación con la petición de información presentada por la Parlamentaria Foral Ilma</dc:title>
  <dc:creator>D429748</dc:creator>
  <cp:lastModifiedBy>Iñaki De Santiago</cp:lastModifiedBy>
  <cp:revision>6</cp:revision>
  <cp:lastPrinted>2018-12-11T09:18:00Z</cp:lastPrinted>
  <dcterms:created xsi:type="dcterms:W3CDTF">2018-12-13T11:13:00Z</dcterms:created>
  <dcterms:modified xsi:type="dcterms:W3CDTF">2019-04-09T12:33:00Z</dcterms:modified>
</cp:coreProperties>
</file>