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14" w:rsidRDefault="00C22414" w:rsidP="00AA7BD4">
      <w:pPr>
        <w:widowControl w:val="0"/>
        <w:autoSpaceDE w:val="0"/>
        <w:autoSpaceDN w:val="0"/>
        <w:adjustRightInd w:val="0"/>
        <w:spacing w:line="360" w:lineRule="auto"/>
        <w:ind w:right="140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Abenduak 26</w:t>
      </w:r>
    </w:p>
    <w:p w:rsidR="00C22414" w:rsidRDefault="002442D3" w:rsidP="00AA7BD4">
      <w:pPr>
        <w:widowControl w:val="0"/>
        <w:autoSpaceDE w:val="0"/>
        <w:autoSpaceDN w:val="0"/>
        <w:adjustRightInd w:val="0"/>
        <w:spacing w:line="360" w:lineRule="auto"/>
        <w:ind w:right="140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Unión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del </w:t>
      </w:r>
      <w:proofErr w:type="spellStart"/>
      <w:r>
        <w:rPr>
          <w:rFonts w:ascii="Calibri" w:hAnsi="Calibri"/>
          <w:b/>
          <w:bCs/>
          <w:sz w:val="22"/>
          <w:szCs w:val="22"/>
        </w:rPr>
        <w:t>Pueblo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Navarro (UPN)</w:t>
      </w:r>
      <w:r>
        <w:rPr>
          <w:rFonts w:ascii="Calibri" w:hAnsi="Calibri"/>
          <w:sz w:val="22"/>
          <w:szCs w:val="22"/>
        </w:rPr>
        <w:t xml:space="preserve"> talde parlamentarioari atxikitako foru parlamentari Alberto Catalán Higueras jaunak</w:t>
      </w:r>
      <w:bookmarkStart w:id="0" w:name="Texto5"/>
      <w:r>
        <w:rPr>
          <w:rFonts w:ascii="Calibri" w:hAnsi="Calibri"/>
          <w:sz w:val="22"/>
          <w:szCs w:val="22"/>
        </w:rPr>
        <w:t xml:space="preserve"> </w:t>
      </w:r>
      <w:bookmarkEnd w:id="0"/>
      <w:r>
        <w:rPr>
          <w:rFonts w:ascii="Calibri" w:hAnsi="Calibri"/>
          <w:b/>
          <w:sz w:val="22"/>
          <w:szCs w:val="22"/>
        </w:rPr>
        <w:t xml:space="preserve">9-18/PES-00243 </w:t>
      </w:r>
      <w:r>
        <w:rPr>
          <w:rFonts w:ascii="Calibri" w:hAnsi="Calibri"/>
          <w:sz w:val="22"/>
          <w:szCs w:val="22"/>
        </w:rPr>
        <w:t>galdera parlamentarioa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egin du, jakin nahi baitu zein neurri hartu diren Nafarroako Erriberaren Espezializazio Adimendunaren Eskualdeko Estrategiaren garapena babesteko. Hona Garapen Ekonomikorako kontseilariaren erantzuna:</w:t>
      </w:r>
    </w:p>
    <w:p w:rsidR="006F4F4B" w:rsidRPr="003B7158" w:rsidRDefault="006F4F4B" w:rsidP="006F4F4B">
      <w:pPr>
        <w:spacing w:before="120" w:after="1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Nafarroako Gobernuak positiboki baloratu du beren tokiko agenteen lidergoaren pean beren esparruko ekonomia, enplegua eta enpresa-ehundura bultzatzeko Nafarroako eskualdeek hartu duten konpromisoa, eta ekimen horiek indartu nahi ditu. </w:t>
      </w:r>
    </w:p>
    <w:p w:rsidR="006F4F4B" w:rsidRPr="003B7158" w:rsidRDefault="006F4F4B" w:rsidP="006F4F4B">
      <w:pPr>
        <w:spacing w:before="120" w:after="1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Babes hori bideratzeko erabaki zen modua izan zen laguntzen deialdi bat onestea eskualdea aktibatzeko planak egin eta betearazteko; plan horiek, izan ere, kasuko lurraldeko entitate publiko zein pribatuen ordezkaritza zabalaren bermea eduki behar zuten, eta, gainera, talde operatiboago eta dinamikoago bat eduki behar zuten, bultzatzaile jardunen zuena.</w:t>
      </w:r>
    </w:p>
    <w:p w:rsidR="006F4F4B" w:rsidRPr="003B7158" w:rsidRDefault="006F4F4B" w:rsidP="006F4F4B">
      <w:pPr>
        <w:spacing w:before="120" w:after="1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Eskualde bakoitzak aktibazio plana bere erritmoaren eta inguruabarren arabera garatu zezan errazteko, hiru babes-linea jaso ziren: </w:t>
      </w:r>
    </w:p>
    <w:p w:rsidR="006F4F4B" w:rsidRPr="003B7158" w:rsidRDefault="006F4F4B" w:rsidP="006F4F4B">
      <w:pPr>
        <w:numPr>
          <w:ilvl w:val="0"/>
          <w:numId w:val="13"/>
        </w:numPr>
        <w:spacing w:before="120" w:after="1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Beren planaren hasierako etapan </w:t>
      </w:r>
      <w:proofErr w:type="spellStart"/>
      <w:r>
        <w:rPr>
          <w:rFonts w:ascii="Calibri" w:hAnsi="Calibri"/>
          <w:sz w:val="22"/>
          <w:szCs w:val="22"/>
        </w:rPr>
        <w:t>—plana</w:t>
      </w:r>
      <w:proofErr w:type="spellEnd"/>
      <w:r>
        <w:rPr>
          <w:rFonts w:ascii="Calibri" w:hAnsi="Calibri"/>
          <w:sz w:val="22"/>
          <w:szCs w:val="22"/>
        </w:rPr>
        <w:t xml:space="preserve"> diseinatu eta </w:t>
      </w:r>
      <w:proofErr w:type="spellStart"/>
      <w:r>
        <w:rPr>
          <w:rFonts w:ascii="Calibri" w:hAnsi="Calibri"/>
          <w:sz w:val="22"/>
          <w:szCs w:val="22"/>
        </w:rPr>
        <w:t>sortzea—</w:t>
      </w:r>
      <w:proofErr w:type="spellEnd"/>
      <w:r>
        <w:rPr>
          <w:rFonts w:ascii="Calibri" w:hAnsi="Calibri"/>
          <w:sz w:val="22"/>
          <w:szCs w:val="22"/>
        </w:rPr>
        <w:t xml:space="preserve"> zeuden eskualdeek A linearen alde egin zezaketen, balio erantsiko kanpoko laguntza finantzatzera bideratua, eskualdea aktibatzeko plana prestatzen laguntzeko.</w:t>
      </w:r>
    </w:p>
    <w:p w:rsidR="006F4F4B" w:rsidRPr="003B7158" w:rsidRDefault="006F4F4B" w:rsidP="006F4F4B">
      <w:pPr>
        <w:numPr>
          <w:ilvl w:val="0"/>
          <w:numId w:val="13"/>
        </w:numPr>
        <w:spacing w:before="120" w:after="1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Behin eskualdea aktibatzeko plana onetsita, lurraldeek B linea hauta dezakete </w:t>
      </w:r>
      <w:proofErr w:type="spellStart"/>
      <w:r>
        <w:rPr>
          <w:rFonts w:ascii="Calibri" w:hAnsi="Calibri"/>
          <w:sz w:val="22"/>
          <w:szCs w:val="22"/>
        </w:rPr>
        <w:t>—haren</w:t>
      </w:r>
      <w:proofErr w:type="spellEnd"/>
      <w:r>
        <w:rPr>
          <w:rFonts w:ascii="Calibri" w:hAnsi="Calibri"/>
          <w:sz w:val="22"/>
          <w:szCs w:val="22"/>
        </w:rPr>
        <w:t xml:space="preserve"> bidez, planean jasotako jarduketen exekuzio-gastuak finantzatzen </w:t>
      </w:r>
      <w:proofErr w:type="spellStart"/>
      <w:r>
        <w:rPr>
          <w:rFonts w:ascii="Calibri" w:hAnsi="Calibri"/>
          <w:sz w:val="22"/>
          <w:szCs w:val="22"/>
        </w:rPr>
        <w:t>dira—</w:t>
      </w:r>
      <w:proofErr w:type="spellEnd"/>
      <w:r>
        <w:rPr>
          <w:rFonts w:ascii="Calibri" w:hAnsi="Calibri"/>
          <w:sz w:val="22"/>
          <w:szCs w:val="22"/>
        </w:rPr>
        <w:t>, bai eta C linea ere, zeinak planaren helburu eta ildo estrategikoetan sartzen diren inbertsio-proiektu estrategikoak finantzatzen baititu.</w:t>
      </w:r>
    </w:p>
    <w:p w:rsidR="006F4F4B" w:rsidRPr="003B7158" w:rsidRDefault="006F4F4B" w:rsidP="006F4F4B">
      <w:pPr>
        <w:spacing w:before="120" w:after="1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2017ko deialdian, bi espediente izapidetu ziren Nafarroako Erriberako Eder partzuergoaren izenean, bera baita Nafarroako Erriberaren Espezializazio Adimendunaren Eskualdeko Estrategiaren (</w:t>
      </w:r>
      <w:proofErr w:type="spellStart"/>
      <w:r>
        <w:rPr>
          <w:rFonts w:ascii="Calibri" w:hAnsi="Calibri"/>
          <w:sz w:val="22"/>
          <w:szCs w:val="22"/>
        </w:rPr>
        <w:t>NE-EAEE</w:t>
      </w:r>
      <w:proofErr w:type="spellEnd"/>
      <w:r>
        <w:rPr>
          <w:rFonts w:ascii="Calibri" w:hAnsi="Calibri"/>
          <w:sz w:val="22"/>
          <w:szCs w:val="22"/>
        </w:rPr>
        <w:t xml:space="preserve">) talde bultzatzailea. </w:t>
      </w:r>
      <w:proofErr w:type="spellStart"/>
      <w:r>
        <w:rPr>
          <w:rFonts w:ascii="Calibri" w:hAnsi="Calibri"/>
          <w:sz w:val="22"/>
          <w:szCs w:val="22"/>
        </w:rPr>
        <w:t>Nafarroa-S</w:t>
      </w:r>
      <w:proofErr w:type="spellEnd"/>
      <w:r>
        <w:rPr>
          <w:rFonts w:ascii="Calibri" w:hAnsi="Calibri"/>
          <w:sz w:val="22"/>
          <w:szCs w:val="22"/>
        </w:rPr>
        <w:t xml:space="preserve">3 Espezializazio Adimendunaren Estrategiarekin bat, </w:t>
      </w:r>
      <w:proofErr w:type="spellStart"/>
      <w:r>
        <w:rPr>
          <w:rFonts w:ascii="Calibri" w:hAnsi="Calibri"/>
          <w:sz w:val="22"/>
          <w:szCs w:val="22"/>
        </w:rPr>
        <w:t>NE-EAEEk</w:t>
      </w:r>
      <w:proofErr w:type="spellEnd"/>
      <w:r>
        <w:rPr>
          <w:rFonts w:ascii="Calibri" w:hAnsi="Calibri"/>
          <w:sz w:val="22"/>
          <w:szCs w:val="22"/>
        </w:rPr>
        <w:t xml:space="preserve"> sei arlo lehenesten ditu, 17 erronka identifikaturekin, bai eta lehiakortasuneko bost faktore ere, 8 erronkarekin. 25 erronka horiek betetzea lortuko da 50 proiektu estrategiko garatuz; horietarako, aurrekontua eta kronograma bat zehaztu ziren. </w:t>
      </w:r>
    </w:p>
    <w:p w:rsidR="006F4F4B" w:rsidRPr="003B7158" w:rsidRDefault="006F4F4B" w:rsidP="006F4F4B">
      <w:pPr>
        <w:spacing w:before="120" w:after="1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Lehenengo espedientea, zeinaren eskaera 2017ko azaroaren 8an egin baitzen, deialdiko A linearen alde egiten zen, eta eskatzen zen </w:t>
      </w:r>
      <w:proofErr w:type="spellStart"/>
      <w:r>
        <w:rPr>
          <w:rFonts w:ascii="Calibri" w:hAnsi="Calibri"/>
          <w:sz w:val="22"/>
          <w:szCs w:val="22"/>
        </w:rPr>
        <w:t>NE-EAEE</w:t>
      </w:r>
      <w:proofErr w:type="spellEnd"/>
      <w:r>
        <w:rPr>
          <w:rFonts w:ascii="Calibri" w:hAnsi="Calibri"/>
          <w:sz w:val="22"/>
          <w:szCs w:val="22"/>
        </w:rPr>
        <w:t xml:space="preserve"> Nafarroako Erriberako Espezializazio Adimentsuaren Estrategia egiteko gastuak finantzatzeko. Aho batez onetsi zuen hori Eder Partzuergoaren XXXVI. Batzar Nagusi Bereziak 2017ko azaroaren 10ean egindako bilkuran. </w:t>
      </w:r>
    </w:p>
    <w:p w:rsidR="006F4F4B" w:rsidRPr="003B7158" w:rsidRDefault="006F4F4B" w:rsidP="006F4F4B">
      <w:pPr>
        <w:spacing w:before="120" w:after="1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Gastu horien onarpena eta ordainketa —19.270,72 euro </w:t>
      </w:r>
      <w:proofErr w:type="spellStart"/>
      <w:r>
        <w:rPr>
          <w:rFonts w:ascii="Calibri" w:hAnsi="Calibri"/>
          <w:sz w:val="22"/>
          <w:szCs w:val="22"/>
        </w:rPr>
        <w:t>ziren—</w:t>
      </w:r>
      <w:proofErr w:type="spellEnd"/>
      <w:r>
        <w:rPr>
          <w:rFonts w:ascii="Calibri" w:hAnsi="Calibri"/>
          <w:sz w:val="22"/>
          <w:szCs w:val="22"/>
        </w:rPr>
        <w:t xml:space="preserve"> Politika Ekonomiko eta </w:t>
      </w:r>
      <w:proofErr w:type="spellStart"/>
      <w:r>
        <w:rPr>
          <w:rFonts w:ascii="Calibri" w:hAnsi="Calibri"/>
          <w:sz w:val="22"/>
          <w:szCs w:val="22"/>
        </w:rPr>
        <w:t>Enpresarialaren</w:t>
      </w:r>
      <w:proofErr w:type="spellEnd"/>
      <w:r>
        <w:rPr>
          <w:rFonts w:ascii="Calibri" w:hAnsi="Calibri"/>
          <w:sz w:val="22"/>
          <w:szCs w:val="22"/>
        </w:rPr>
        <w:t xml:space="preserve"> eta Lanaren zuzendari nagusiaren abenduaren 28ko 962E/2017 Ebazpenaren bidez onetsi ziren.</w:t>
      </w:r>
    </w:p>
    <w:p w:rsidR="006F4F4B" w:rsidRPr="003B7158" w:rsidRDefault="006F4F4B" w:rsidP="006F4F4B">
      <w:pPr>
        <w:spacing w:before="120" w:after="1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Bigarren espedientea 2017ko azaroaren 24an erregistratu zen, laguntzen B lineara zuzenduta, </w:t>
      </w:r>
      <w:proofErr w:type="spellStart"/>
      <w:r>
        <w:rPr>
          <w:rFonts w:ascii="Calibri" w:hAnsi="Calibri"/>
          <w:sz w:val="22"/>
          <w:szCs w:val="22"/>
        </w:rPr>
        <w:t>NE-EAEEaren</w:t>
      </w:r>
      <w:proofErr w:type="spellEnd"/>
      <w:r>
        <w:rPr>
          <w:rFonts w:ascii="Calibri" w:hAnsi="Calibri"/>
          <w:sz w:val="22"/>
          <w:szCs w:val="22"/>
        </w:rPr>
        <w:t xml:space="preserve"> hurrengo bi proiektuen exekuzioa finantzatzeko, honako aurrekontu honekin: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6341"/>
        <w:gridCol w:w="1599"/>
      </w:tblGrid>
      <w:tr w:rsidR="006F4F4B" w:rsidRPr="00231F7A" w:rsidTr="00231F7A">
        <w:trPr>
          <w:jc w:val="center"/>
        </w:trPr>
        <w:tc>
          <w:tcPr>
            <w:tcW w:w="930" w:type="dxa"/>
            <w:shd w:val="clear" w:color="auto" w:fill="D9D9D9"/>
            <w:vAlign w:val="center"/>
          </w:tcPr>
          <w:p w:rsidR="006F4F4B" w:rsidRPr="00231F7A" w:rsidRDefault="006F4F4B" w:rsidP="00231F7A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Jarduketa zk.</w:t>
            </w:r>
          </w:p>
        </w:tc>
        <w:tc>
          <w:tcPr>
            <w:tcW w:w="6341" w:type="dxa"/>
            <w:shd w:val="clear" w:color="auto" w:fill="D9D9D9"/>
            <w:vAlign w:val="center"/>
          </w:tcPr>
          <w:p w:rsidR="006F4F4B" w:rsidRPr="00231F7A" w:rsidRDefault="006F4F4B" w:rsidP="00231F7A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D9D9D9"/>
            <w:vAlign w:val="center"/>
          </w:tcPr>
          <w:p w:rsidR="006F4F4B" w:rsidRPr="00231F7A" w:rsidRDefault="006F4F4B" w:rsidP="00231F7A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Eskatutako zenbatekoa</w:t>
            </w:r>
          </w:p>
        </w:tc>
      </w:tr>
      <w:tr w:rsidR="006F4F4B" w:rsidRPr="00231F7A" w:rsidTr="00231F7A">
        <w:trPr>
          <w:jc w:val="center"/>
        </w:trPr>
        <w:tc>
          <w:tcPr>
            <w:tcW w:w="930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41" w:type="dxa"/>
            <w:shd w:val="clear" w:color="auto" w:fill="auto"/>
            <w:vAlign w:val="center"/>
          </w:tcPr>
          <w:p w:rsidR="006F4F4B" w:rsidRPr="00231F7A" w:rsidRDefault="006F4F4B" w:rsidP="00231F7A">
            <w:pPr>
              <w:pStyle w:val="Default"/>
              <w:spacing w:before="40" w:after="40"/>
              <w:rPr>
                <w:rFonts w:asciiTheme="minorHAnsi" w:hAnsiTheme="minorHAnsi" w:cs="Times New Roman"/>
                <w:color w:val="auto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P37. Industria-lurzoruaren kudeaketarako eta sustapenerako eskualdeko zerbitzua 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18.913,20</w:t>
            </w:r>
          </w:p>
        </w:tc>
      </w:tr>
      <w:tr w:rsidR="006F4F4B" w:rsidRPr="00231F7A" w:rsidTr="00231F7A">
        <w:trPr>
          <w:jc w:val="center"/>
        </w:trPr>
        <w:tc>
          <w:tcPr>
            <w:tcW w:w="930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341" w:type="dxa"/>
            <w:shd w:val="clear" w:color="auto" w:fill="auto"/>
            <w:vAlign w:val="bottom"/>
          </w:tcPr>
          <w:p w:rsidR="006F4F4B" w:rsidRPr="00231F7A" w:rsidRDefault="006F4F4B" w:rsidP="00231F7A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 xml:space="preserve">P48. Behatokia diseinatu eta abian jartzea 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22.678,45</w:t>
            </w:r>
          </w:p>
        </w:tc>
      </w:tr>
      <w:tr w:rsidR="006F4F4B" w:rsidRPr="00231F7A" w:rsidTr="00231F7A">
        <w:trPr>
          <w:jc w:val="center"/>
        </w:trPr>
        <w:tc>
          <w:tcPr>
            <w:tcW w:w="7271" w:type="dxa"/>
            <w:gridSpan w:val="2"/>
            <w:shd w:val="clear" w:color="auto" w:fill="auto"/>
            <w:vAlign w:val="bottom"/>
          </w:tcPr>
          <w:p w:rsidR="006F4F4B" w:rsidRPr="00231F7A" w:rsidRDefault="006F4F4B" w:rsidP="00231F7A">
            <w:pPr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231F7A">
              <w:rPr>
                <w:rFonts w:asciiTheme="minorHAnsi" w:hAnsiTheme="minorHAnsi"/>
                <w:b/>
                <w:sz w:val="18"/>
                <w:szCs w:val="18"/>
              </w:rPr>
              <w:t>Guztira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231F7A">
              <w:rPr>
                <w:rFonts w:asciiTheme="minorHAnsi" w:hAnsiTheme="minorHAnsi"/>
                <w:b/>
                <w:sz w:val="18"/>
                <w:szCs w:val="18"/>
              </w:rPr>
              <w:t>41.591,65</w:t>
            </w:r>
          </w:p>
        </w:tc>
      </w:tr>
    </w:tbl>
    <w:p w:rsidR="006F4F4B" w:rsidRPr="003B7158" w:rsidRDefault="006F4F4B" w:rsidP="006F4F4B">
      <w:pPr>
        <w:spacing w:before="120" w:after="120" w:line="360" w:lineRule="auto"/>
        <w:rPr>
          <w:rFonts w:ascii="Calibri" w:hAnsi="Calibri"/>
          <w:sz w:val="22"/>
          <w:szCs w:val="22"/>
        </w:rPr>
      </w:pPr>
    </w:p>
    <w:p w:rsidR="006F4F4B" w:rsidRPr="003B7158" w:rsidRDefault="006F4F4B" w:rsidP="006F4F4B">
      <w:pPr>
        <w:spacing w:before="120" w:after="1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Jarduketak bat datoz 37. proiektuarekin, “Industria-lurzoruaren kudeaketarako eta sustapenerako eskualdeko zerbitzua eta Erriberako Jarduera Ekonomikoko Eremuen Katalogoa”, eta 48. proiektuarekin, “Eskualdeko Garapen Adimendun, Jasangarri eta Integratzailearen Behatokia diseinatu eta abian jartzea”, eta Politika Ekonomiko eta </w:t>
      </w:r>
      <w:proofErr w:type="spellStart"/>
      <w:r>
        <w:rPr>
          <w:rFonts w:ascii="Calibri" w:hAnsi="Calibri"/>
          <w:sz w:val="22"/>
          <w:szCs w:val="22"/>
        </w:rPr>
        <w:t>Enpresarialaren</w:t>
      </w:r>
      <w:proofErr w:type="spellEnd"/>
      <w:r>
        <w:rPr>
          <w:rFonts w:ascii="Calibri" w:hAnsi="Calibri"/>
          <w:sz w:val="22"/>
          <w:szCs w:val="22"/>
        </w:rPr>
        <w:t xml:space="preserve"> eta Lanaren zuzendari nagusiaren abenduaren 28ko 963E/2017 Ebazpenaren bidez onartu ziren eta eskatutako zenbatekoa ordaindu zitzaien.</w:t>
      </w:r>
    </w:p>
    <w:p w:rsidR="006F4F4B" w:rsidRPr="003B7158" w:rsidRDefault="006F4F4B" w:rsidP="006F4F4B">
      <w:pPr>
        <w:spacing w:before="120" w:after="1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2017ko deialdian bezala, eta eskualdeko plan bakoitzaren garapenari bere berezitasunen arabera jarraitutasuna emateko xedez, 2018an aurreko urteko oinarri arautzaileetako hiru laguntza-lineei eutsi zaie (A, B eta C).</w:t>
      </w:r>
    </w:p>
    <w:p w:rsidR="006F4F4B" w:rsidRPr="003B7158" w:rsidRDefault="006F4F4B" w:rsidP="006F4F4B">
      <w:pPr>
        <w:spacing w:before="120" w:after="1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Deialdi hori Politika Ekonomiko eta </w:t>
      </w:r>
      <w:proofErr w:type="spellStart"/>
      <w:r>
        <w:rPr>
          <w:rFonts w:ascii="Calibri" w:hAnsi="Calibri"/>
          <w:sz w:val="22"/>
          <w:szCs w:val="22"/>
        </w:rPr>
        <w:t>Enpresarialaren</w:t>
      </w:r>
      <w:proofErr w:type="spellEnd"/>
      <w:r>
        <w:rPr>
          <w:rFonts w:ascii="Calibri" w:hAnsi="Calibri"/>
          <w:sz w:val="22"/>
          <w:szCs w:val="22"/>
        </w:rPr>
        <w:t xml:space="preserve"> eta Lanaren zuzendari nagusiaren maiatzaren 22ko 74E/2018 Ebazpenaren bidez onetsi zen, eta hartatik datozen konpromisoei aurre egiteko guztira 1.520.000 euroko kreditua baimendu zen: 1.200.000 euro A eta B lineetarako, 2018ko Nafarroako Aurrekontu Orokorretako “Eskualdeetako plan estrategikoak” izeneko 810001 81100 4819 422203 partidaren kargura, eta 320.000 euro C linearako, “Eskualdeetako plan estrategikoak. Proiektuak” izeneko 810001 81100 7819 422200 partidaren kargura.  </w:t>
      </w:r>
    </w:p>
    <w:p w:rsidR="006F4F4B" w:rsidRPr="003B7158" w:rsidRDefault="006F4F4B" w:rsidP="006F4F4B">
      <w:pPr>
        <w:spacing w:before="120" w:after="1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Banakako emate-araubidea izapidetuta, eskaerak aurkezteko epea 2018ko azaroaren 30ean amaitu zen.</w:t>
      </w:r>
    </w:p>
    <w:p w:rsidR="006F4F4B" w:rsidRPr="003B7158" w:rsidRDefault="006F4F4B" w:rsidP="006F4F4B">
      <w:pPr>
        <w:spacing w:before="120" w:after="1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Eder Partzuergoak bi eskaera aurkeztu ditu aurtengo laguntzen deialdirako, bata B linearako, NE </w:t>
      </w:r>
      <w:proofErr w:type="spellStart"/>
      <w:r>
        <w:rPr>
          <w:rFonts w:ascii="Calibri" w:hAnsi="Calibri"/>
          <w:sz w:val="22"/>
          <w:szCs w:val="22"/>
        </w:rPr>
        <w:t>EAEEko</w:t>
      </w:r>
      <w:proofErr w:type="spellEnd"/>
      <w:r>
        <w:rPr>
          <w:rFonts w:ascii="Calibri" w:hAnsi="Calibri"/>
          <w:sz w:val="22"/>
          <w:szCs w:val="22"/>
        </w:rPr>
        <w:t xml:space="preserve"> egindako proiektuak finantzatzeko eta bestea C linearako, eskualdeko inbertsioko proiektu bat finantzatzeko.</w:t>
      </w:r>
    </w:p>
    <w:p w:rsidR="006F4F4B" w:rsidRPr="00F96CDA" w:rsidRDefault="006F4F4B" w:rsidP="006F4F4B">
      <w:pPr>
        <w:spacing w:before="120" w:after="120" w:line="360" w:lineRule="auto"/>
        <w:rPr>
          <w:rFonts w:cs="Arial"/>
          <w:bCs/>
          <w:color w:val="000000"/>
          <w:szCs w:val="24"/>
        </w:rPr>
      </w:pPr>
      <w:r>
        <w:rPr>
          <w:rFonts w:ascii="Calibri" w:hAnsi="Calibri"/>
          <w:sz w:val="22"/>
          <w:szCs w:val="22"/>
        </w:rPr>
        <w:t>Eskaera horietako lehenengoa 2018ko azaroaren 13an erregistratu zen, honako aurrekontu-xehetasun hauekin:</w:t>
      </w:r>
    </w:p>
    <w:tbl>
      <w:tblPr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7168"/>
        <w:gridCol w:w="1065"/>
      </w:tblGrid>
      <w:tr w:rsidR="006F4F4B" w:rsidRPr="00231F7A" w:rsidTr="00231F7A">
        <w:trPr>
          <w:trHeight w:val="20"/>
        </w:trPr>
        <w:tc>
          <w:tcPr>
            <w:tcW w:w="930" w:type="dxa"/>
            <w:shd w:val="clear" w:color="auto" w:fill="D9D9D9"/>
            <w:vAlign w:val="center"/>
          </w:tcPr>
          <w:p w:rsidR="006F4F4B" w:rsidRPr="00231F7A" w:rsidRDefault="006F4F4B" w:rsidP="00231F7A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bookmarkStart w:id="1" w:name="_GoBack"/>
            <w:r w:rsidRPr="00231F7A">
              <w:rPr>
                <w:rFonts w:asciiTheme="minorHAnsi" w:hAnsiTheme="minorHAnsi"/>
                <w:sz w:val="18"/>
                <w:szCs w:val="18"/>
              </w:rPr>
              <w:lastRenderedPageBreak/>
              <w:t>Jarduketa zk.</w:t>
            </w:r>
          </w:p>
        </w:tc>
        <w:tc>
          <w:tcPr>
            <w:tcW w:w="7168" w:type="dxa"/>
            <w:shd w:val="clear" w:color="auto" w:fill="D9D9D9"/>
            <w:vAlign w:val="center"/>
          </w:tcPr>
          <w:p w:rsidR="006F4F4B" w:rsidRPr="00231F7A" w:rsidRDefault="006F4F4B" w:rsidP="00231F7A">
            <w:pPr>
              <w:spacing w:before="40" w:after="40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D9D9D9"/>
            <w:vAlign w:val="center"/>
          </w:tcPr>
          <w:p w:rsidR="006F4F4B" w:rsidRPr="00231F7A" w:rsidRDefault="006F4F4B" w:rsidP="00231F7A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Eskatutako zenbatekoa</w:t>
            </w:r>
          </w:p>
        </w:tc>
      </w:tr>
      <w:tr w:rsidR="006F4F4B" w:rsidRPr="00231F7A" w:rsidTr="00231F7A">
        <w:trPr>
          <w:trHeight w:val="20"/>
        </w:trPr>
        <w:tc>
          <w:tcPr>
            <w:tcW w:w="930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P17. “</w:t>
            </w:r>
            <w:proofErr w:type="spellStart"/>
            <w:r w:rsidRPr="00231F7A">
              <w:rPr>
                <w:rFonts w:asciiTheme="minorHAnsi" w:hAnsiTheme="minorHAnsi"/>
                <w:sz w:val="18"/>
                <w:szCs w:val="18"/>
              </w:rPr>
              <w:t>Touring</w:t>
            </w:r>
            <w:proofErr w:type="spellEnd"/>
            <w:r w:rsidRPr="00231F7A">
              <w:rPr>
                <w:rFonts w:asciiTheme="minorHAnsi" w:hAnsiTheme="minorHAnsi"/>
                <w:sz w:val="18"/>
                <w:szCs w:val="18"/>
              </w:rPr>
              <w:t xml:space="preserve"> gastronomikoa” turismo-produktua sortzeko proiektua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5.929,00</w:t>
            </w:r>
          </w:p>
        </w:tc>
      </w:tr>
      <w:tr w:rsidR="006F4F4B" w:rsidRPr="00231F7A" w:rsidTr="00231F7A">
        <w:trPr>
          <w:trHeight w:val="20"/>
        </w:trPr>
        <w:tc>
          <w:tcPr>
            <w:tcW w:w="930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P20. Sortzaile berrientzako sariketak egiteko kultur proiektua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47.796,94</w:t>
            </w:r>
          </w:p>
        </w:tc>
      </w:tr>
      <w:tr w:rsidR="006F4F4B" w:rsidRPr="00231F7A" w:rsidTr="00231F7A">
        <w:trPr>
          <w:trHeight w:val="20"/>
        </w:trPr>
        <w:tc>
          <w:tcPr>
            <w:tcW w:w="930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6F4F4B" w:rsidRPr="00231F7A" w:rsidRDefault="006F4F4B" w:rsidP="00231F7A">
            <w:pPr>
              <w:autoSpaceDE w:val="0"/>
              <w:autoSpaceDN w:val="0"/>
              <w:adjustRightInd w:val="0"/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P2. Industria sortzaile, kultural eta digitalak garatzeko lankidetza-espazioak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13.218,00</w:t>
            </w:r>
          </w:p>
        </w:tc>
      </w:tr>
      <w:tr w:rsidR="006F4F4B" w:rsidRPr="00231F7A" w:rsidTr="00231F7A">
        <w:trPr>
          <w:trHeight w:val="20"/>
        </w:trPr>
        <w:tc>
          <w:tcPr>
            <w:tcW w:w="930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6F4F4B" w:rsidRPr="00231F7A" w:rsidRDefault="006F4F4B" w:rsidP="00231F7A">
            <w:pPr>
              <w:autoSpaceDE w:val="0"/>
              <w:autoSpaceDN w:val="0"/>
              <w:adjustRightInd w:val="0"/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P37. Industria-lurzoruaren kudeaketarako eta sustapenerako eskualdeko zerbitzua eta Erriberako jarduera ekonomikoko eremuen katalogoa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3.900,00</w:t>
            </w:r>
          </w:p>
        </w:tc>
      </w:tr>
      <w:tr w:rsidR="006F4F4B" w:rsidRPr="00231F7A" w:rsidTr="00231F7A">
        <w:trPr>
          <w:trHeight w:val="20"/>
        </w:trPr>
        <w:tc>
          <w:tcPr>
            <w:tcW w:w="930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6F4F4B" w:rsidRPr="00231F7A" w:rsidRDefault="006F4F4B" w:rsidP="00231F7A">
            <w:pPr>
              <w:autoSpaceDE w:val="0"/>
              <w:autoSpaceDN w:val="0"/>
              <w:adjustRightInd w:val="0"/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 xml:space="preserve">P46. Eskualdeko entitate publikoek garatu eta kudeatzekoak diren </w:t>
            </w:r>
            <w:proofErr w:type="spellStart"/>
            <w:r w:rsidRPr="00231F7A">
              <w:rPr>
                <w:rFonts w:asciiTheme="minorHAnsi" w:hAnsiTheme="minorHAnsi"/>
                <w:sz w:val="18"/>
                <w:szCs w:val="18"/>
              </w:rPr>
              <w:t>eskualdeko-zerbitzuen</w:t>
            </w:r>
            <w:proofErr w:type="spellEnd"/>
            <w:r w:rsidRPr="00231F7A">
              <w:rPr>
                <w:rFonts w:asciiTheme="minorHAnsi" w:hAnsiTheme="minorHAnsi"/>
                <w:sz w:val="18"/>
                <w:szCs w:val="18"/>
              </w:rPr>
              <w:t xml:space="preserve"> karta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21,089,50</w:t>
            </w:r>
          </w:p>
        </w:tc>
      </w:tr>
      <w:tr w:rsidR="006F4F4B" w:rsidRPr="00231F7A" w:rsidTr="00231F7A">
        <w:trPr>
          <w:trHeight w:val="20"/>
        </w:trPr>
        <w:tc>
          <w:tcPr>
            <w:tcW w:w="930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6F4F4B" w:rsidRPr="00231F7A" w:rsidRDefault="006F4F4B" w:rsidP="00231F7A">
            <w:pPr>
              <w:autoSpaceDE w:val="0"/>
              <w:autoSpaceDN w:val="0"/>
              <w:adjustRightInd w:val="0"/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P48. Eskualdeko Garapen Adimendun, Jasangarri eta Integratzailearen Behatokia diseinatu eta abian jartzea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15.300,00</w:t>
            </w:r>
          </w:p>
        </w:tc>
      </w:tr>
      <w:tr w:rsidR="006F4F4B" w:rsidRPr="00231F7A" w:rsidTr="00231F7A">
        <w:trPr>
          <w:trHeight w:val="20"/>
        </w:trPr>
        <w:tc>
          <w:tcPr>
            <w:tcW w:w="930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231F7A">
              <w:rPr>
                <w:rFonts w:asciiTheme="minorHAnsi" w:hAnsiTheme="minorHAnsi"/>
                <w:sz w:val="18"/>
                <w:szCs w:val="18"/>
              </w:rPr>
              <w:t>Gobernantza</w:t>
            </w:r>
            <w:proofErr w:type="spellEnd"/>
          </w:p>
        </w:tc>
        <w:tc>
          <w:tcPr>
            <w:tcW w:w="1065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231F7A">
              <w:rPr>
                <w:rFonts w:asciiTheme="minorHAnsi" w:hAnsiTheme="minorHAnsi"/>
                <w:sz w:val="18"/>
                <w:szCs w:val="18"/>
              </w:rPr>
              <w:t>9.500,00</w:t>
            </w:r>
          </w:p>
        </w:tc>
      </w:tr>
      <w:tr w:rsidR="006F4F4B" w:rsidRPr="00231F7A" w:rsidTr="00231F7A">
        <w:trPr>
          <w:trHeight w:val="20"/>
        </w:trPr>
        <w:tc>
          <w:tcPr>
            <w:tcW w:w="8098" w:type="dxa"/>
            <w:gridSpan w:val="2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231F7A">
              <w:rPr>
                <w:rFonts w:asciiTheme="minorHAnsi" w:hAnsiTheme="minorHAnsi"/>
                <w:b/>
                <w:sz w:val="18"/>
                <w:szCs w:val="18"/>
              </w:rPr>
              <w:t>Guztira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F4F4B" w:rsidRPr="00231F7A" w:rsidRDefault="006F4F4B" w:rsidP="00231F7A">
            <w:pPr>
              <w:spacing w:before="40" w:after="40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31F7A">
              <w:rPr>
                <w:rFonts w:asciiTheme="minorHAnsi" w:hAnsiTheme="minorHAnsi"/>
                <w:b/>
                <w:bCs/>
                <w:sz w:val="18"/>
                <w:szCs w:val="18"/>
              </w:rPr>
              <w:t>116.733,44</w:t>
            </w:r>
          </w:p>
        </w:tc>
      </w:tr>
      <w:bookmarkEnd w:id="1"/>
    </w:tbl>
    <w:p w:rsidR="006F4F4B" w:rsidRPr="00F96CDA" w:rsidRDefault="006F4F4B" w:rsidP="006F4F4B">
      <w:pPr>
        <w:spacing w:before="120" w:after="120" w:line="360" w:lineRule="auto"/>
        <w:rPr>
          <w:rFonts w:cs="Arial"/>
          <w:bCs/>
          <w:color w:val="000000"/>
          <w:szCs w:val="24"/>
        </w:rPr>
      </w:pPr>
    </w:p>
    <w:p w:rsidR="006F4F4B" w:rsidRPr="003B7158" w:rsidRDefault="006F4F4B" w:rsidP="006F4F4B">
      <w:pPr>
        <w:spacing w:before="120" w:after="1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Eta Politika Ekonomiko eta </w:t>
      </w:r>
      <w:proofErr w:type="spellStart"/>
      <w:r>
        <w:rPr>
          <w:rFonts w:ascii="Calibri" w:hAnsi="Calibri"/>
          <w:sz w:val="22"/>
          <w:szCs w:val="22"/>
        </w:rPr>
        <w:t>Enpresarialaren</w:t>
      </w:r>
      <w:proofErr w:type="spellEnd"/>
      <w:r>
        <w:rPr>
          <w:rFonts w:ascii="Calibri" w:hAnsi="Calibri"/>
          <w:sz w:val="22"/>
          <w:szCs w:val="22"/>
        </w:rPr>
        <w:t xml:space="preserve"> eta Lanaren zuzendari nagusiaren azaroaren 21eko 733E/2018 Ebazpenaren bidez laguntza hori eman zitzaien; hain zuzen ere, eskatutako zenbatekoa: 116.733,44 euro.</w:t>
      </w:r>
    </w:p>
    <w:p w:rsidR="006F4F4B" w:rsidRPr="003B7158" w:rsidRDefault="006F4F4B" w:rsidP="006F4F4B">
      <w:pPr>
        <w:spacing w:before="120" w:after="1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Bigarren eskaera 2018ko azaroaren 19an aurkeztu zuen, laguntzetarako C linearako; horrekin, Eder Partzuergoak lankidetza-espazio bat (edo </w:t>
      </w:r>
      <w:proofErr w:type="spellStart"/>
      <w:r>
        <w:rPr>
          <w:rFonts w:ascii="Calibri" w:hAnsi="Calibri"/>
          <w:sz w:val="22"/>
          <w:szCs w:val="22"/>
        </w:rPr>
        <w:t>coworking</w:t>
      </w:r>
      <w:proofErr w:type="spellEnd"/>
      <w:r>
        <w:rPr>
          <w:rFonts w:ascii="Calibri" w:hAnsi="Calibri"/>
          <w:sz w:val="22"/>
          <w:szCs w:val="22"/>
        </w:rPr>
        <w:t xml:space="preserve">) finantzatu nahi du industria sortzaile,  kultural eta digitalen ekimenak garatzeko. Laguntza hori —45.950 euro eskatu </w:t>
      </w:r>
      <w:proofErr w:type="spellStart"/>
      <w:r>
        <w:rPr>
          <w:rFonts w:ascii="Calibri" w:hAnsi="Calibri"/>
          <w:sz w:val="22"/>
          <w:szCs w:val="22"/>
        </w:rPr>
        <w:t>ziren—</w:t>
      </w:r>
      <w:proofErr w:type="spellEnd"/>
      <w:r>
        <w:rPr>
          <w:rFonts w:ascii="Calibri" w:hAnsi="Calibri"/>
          <w:sz w:val="22"/>
          <w:szCs w:val="22"/>
        </w:rPr>
        <w:t xml:space="preserve"> Politika Ekonomiko eta </w:t>
      </w:r>
      <w:proofErr w:type="spellStart"/>
      <w:r>
        <w:rPr>
          <w:rFonts w:ascii="Calibri" w:hAnsi="Calibri"/>
          <w:sz w:val="22"/>
          <w:szCs w:val="22"/>
        </w:rPr>
        <w:t>Enpresarialaren</w:t>
      </w:r>
      <w:proofErr w:type="spellEnd"/>
      <w:r>
        <w:rPr>
          <w:rFonts w:ascii="Calibri" w:hAnsi="Calibri"/>
          <w:sz w:val="22"/>
          <w:szCs w:val="22"/>
        </w:rPr>
        <w:t xml:space="preserve"> eta Lanaren zuzendari nagusiaren azaroaren 28ko  741E/2018 Ebazpenaren bidez onetsi zen. </w:t>
      </w:r>
    </w:p>
    <w:p w:rsidR="00C22414" w:rsidRDefault="006F4F4B" w:rsidP="003B7158">
      <w:pPr>
        <w:spacing w:before="120" w:after="1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Gaur egun, eskualdeko aktibaziorako planak egiteko eta betearazteko diru-laguntzaren deialdiaren zerbitzu kudeatzailea kasuko ordainketa eta likidazio espedienteak izapidetzen ari da. </w:t>
      </w:r>
    </w:p>
    <w:p w:rsidR="00C22414" w:rsidRDefault="00937CC1" w:rsidP="002E4C68">
      <w:pPr>
        <w:spacing w:line="360" w:lineRule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Hori guztia jakinarazten dizut, Nafarroako Parlamentuko Erregelamenduaren 194. artikulua betez.</w:t>
      </w:r>
    </w:p>
    <w:p w:rsidR="00C22414" w:rsidRDefault="00AA7BD4" w:rsidP="002E4C68">
      <w:pPr>
        <w:widowControl w:val="0"/>
        <w:autoSpaceDE w:val="0"/>
        <w:autoSpaceDN w:val="0"/>
        <w:adjustRightInd w:val="0"/>
        <w:spacing w:line="360" w:lineRule="auto"/>
        <w:ind w:right="14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Iruñean, 2018ko abenduaren 21ean</w:t>
      </w:r>
    </w:p>
    <w:p w:rsidR="00C22414" w:rsidRDefault="00C22414" w:rsidP="00AA7BD4">
      <w:pPr>
        <w:spacing w:line="360" w:lineRule="auto"/>
        <w:ind w:right="140"/>
        <w:jc w:val="center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Garapen Ekonomikorako kontseilaria: Manuel Ayerdi Olaizola</w:t>
      </w:r>
    </w:p>
    <w:sectPr w:rsidR="00C22414" w:rsidSect="00C2241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702" w:right="1134" w:bottom="851" w:left="1985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1F5" w:rsidRDefault="006551F5">
      <w:r>
        <w:separator/>
      </w:r>
    </w:p>
  </w:endnote>
  <w:endnote w:type="continuationSeparator" w:id="0">
    <w:p w:rsidR="006551F5" w:rsidRDefault="0065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1310" w:type="dxa"/>
      <w:tblLook w:val="01E0" w:firstRow="1" w:lastRow="1" w:firstColumn="1" w:lastColumn="1" w:noHBand="0" w:noVBand="0"/>
    </w:tblPr>
    <w:tblGrid>
      <w:gridCol w:w="8648"/>
      <w:gridCol w:w="2126"/>
    </w:tblGrid>
    <w:tr w:rsidR="003B7158" w:rsidRPr="0022321D" w:rsidTr="0022321D">
      <w:tc>
        <w:tcPr>
          <w:tcW w:w="8648" w:type="dxa"/>
          <w:shd w:val="clear" w:color="auto" w:fill="auto"/>
        </w:tcPr>
        <w:p w:rsidR="003B7158" w:rsidRPr="00124D6B" w:rsidRDefault="003B7158" w:rsidP="0022321D">
          <w:pPr>
            <w:pStyle w:val="Piedepgina"/>
            <w:tabs>
              <w:tab w:val="clear" w:pos="4252"/>
              <w:tab w:val="center" w:pos="5705"/>
            </w:tabs>
          </w:pPr>
        </w:p>
      </w:tc>
      <w:tc>
        <w:tcPr>
          <w:tcW w:w="2126" w:type="dxa"/>
          <w:shd w:val="clear" w:color="auto" w:fill="auto"/>
        </w:tcPr>
        <w:p w:rsidR="003B7158" w:rsidRPr="0022321D" w:rsidRDefault="003B7158" w:rsidP="0022321D">
          <w:pPr>
            <w:pStyle w:val="Piedepgina"/>
            <w:jc w:val="right"/>
            <w:rPr>
              <w:sz w:val="14"/>
              <w:szCs w:val="14"/>
            </w:rPr>
          </w:pPr>
        </w:p>
      </w:tc>
    </w:tr>
  </w:tbl>
  <w:p w:rsidR="003B7158" w:rsidRPr="00D95F9B" w:rsidRDefault="003B7158" w:rsidP="00D95F9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8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538"/>
      <w:gridCol w:w="1475"/>
      <w:gridCol w:w="4762"/>
    </w:tblGrid>
    <w:tr w:rsidR="003B7158">
      <w:tc>
        <w:tcPr>
          <w:tcW w:w="4538" w:type="dxa"/>
        </w:tcPr>
        <w:p w:rsidR="003B7158" w:rsidRPr="00C24F74" w:rsidRDefault="003B7158">
          <w:pPr>
            <w:pStyle w:val="Piedepgina"/>
            <w:tabs>
              <w:tab w:val="clear" w:pos="4252"/>
              <w:tab w:val="clear" w:pos="8504"/>
            </w:tabs>
          </w:pPr>
          <w:r>
            <w:rPr>
              <w:sz w:val="14"/>
            </w:rPr>
            <w:fldChar w:fldCharType="begin"/>
          </w:r>
          <w:r w:rsidRPr="00C24F74">
            <w:rPr>
              <w:sz w:val="14"/>
            </w:rPr>
            <w:instrText xml:space="preserve"> FILENAME \* LOWER\p \* MERGEFORMAT </w:instrText>
          </w:r>
          <w:r>
            <w:rPr>
              <w:sz w:val="14"/>
            </w:rPr>
            <w:fldChar w:fldCharType="separate"/>
          </w:r>
          <w:r w:rsidR="0095606A">
            <w:rPr>
              <w:noProof/>
              <w:sz w:val="14"/>
            </w:rPr>
            <w:t>t:\ix. legegintzaldia\kontratatzekoak\hori-hori\paketeak\85. paketea (40 erantzun)\proiektua_85\eu-es\18pes-243.docx</w:t>
          </w:r>
          <w:r>
            <w:rPr>
              <w:sz w:val="14"/>
            </w:rPr>
            <w:fldChar w:fldCharType="end"/>
          </w:r>
        </w:p>
      </w:tc>
      <w:tc>
        <w:tcPr>
          <w:tcW w:w="1475" w:type="dxa"/>
        </w:tcPr>
        <w:p w:rsidR="003B7158" w:rsidRDefault="003B7158">
          <w:pPr>
            <w:pStyle w:val="Piedepgina"/>
            <w:tabs>
              <w:tab w:val="clear" w:pos="4252"/>
              <w:tab w:val="clear" w:pos="8504"/>
            </w:tabs>
            <w:jc w:val="center"/>
            <w:rPr>
              <w:sz w:val="14"/>
            </w:rPr>
          </w:pPr>
          <w:r>
            <w:t>Orr.:</w:t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PAGE  \* MERGEFORMAT </w:instrText>
          </w:r>
          <w:r>
            <w:rPr>
              <w:sz w:val="14"/>
            </w:rPr>
            <w:fldChar w:fldCharType="separate"/>
          </w:r>
          <w:r>
            <w:rPr>
              <w:noProof/>
              <w:sz w:val="14"/>
            </w:rPr>
            <w:t>1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>/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NUMPAGES  \* MERGEFORMAT </w:instrText>
          </w:r>
          <w:r>
            <w:rPr>
              <w:sz w:val="14"/>
            </w:rPr>
            <w:fldChar w:fldCharType="separate"/>
          </w:r>
          <w:r w:rsidR="0095606A">
            <w:rPr>
              <w:noProof/>
              <w:sz w:val="14"/>
            </w:rPr>
            <w:t>1</w:t>
          </w:r>
          <w:r>
            <w:rPr>
              <w:sz w:val="14"/>
            </w:rPr>
            <w:fldChar w:fldCharType="end"/>
          </w:r>
        </w:p>
      </w:tc>
      <w:tc>
        <w:tcPr>
          <w:tcW w:w="4762" w:type="dxa"/>
        </w:tcPr>
        <w:p w:rsidR="003B7158" w:rsidRDefault="003B7158">
          <w:pPr>
            <w:pStyle w:val="Piedepgina"/>
            <w:tabs>
              <w:tab w:val="clear" w:pos="4252"/>
              <w:tab w:val="clear" w:pos="8504"/>
            </w:tabs>
            <w:jc w:val="right"/>
            <w:rPr>
              <w:sz w:val="12"/>
            </w:rPr>
          </w:pPr>
          <w:proofErr w:type="spellStart"/>
          <w:r>
            <w:rPr>
              <w:sz w:val="12"/>
            </w:rPr>
            <w:t>ic</w:t>
          </w:r>
          <w:proofErr w:type="spellEnd"/>
          <w:r>
            <w:rPr>
              <w:sz w:val="12"/>
            </w:rPr>
            <w:t>.18.02.08</w:t>
          </w:r>
          <w:r>
            <w:rPr>
              <w:sz w:val="14"/>
            </w:rPr>
            <w:t xml:space="preserve"> </w:t>
          </w:r>
          <w:proofErr w:type="spellStart"/>
          <w:r>
            <w:rPr>
              <w:sz w:val="14"/>
            </w:rPr>
            <w:t>Rev</w:t>
          </w:r>
          <w:proofErr w:type="spellEnd"/>
          <w:r>
            <w:rPr>
              <w:sz w:val="14"/>
            </w:rPr>
            <w:t>.2</w:t>
          </w:r>
        </w:p>
      </w:tc>
    </w:tr>
  </w:tbl>
  <w:p w:rsidR="003B7158" w:rsidRDefault="003B71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1F5" w:rsidRDefault="006551F5">
      <w:r>
        <w:separator/>
      </w:r>
    </w:p>
  </w:footnote>
  <w:footnote w:type="continuationSeparator" w:id="0">
    <w:p w:rsidR="006551F5" w:rsidRDefault="00655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58" w:rsidRDefault="003B7158">
    <w:pPr>
      <w:pStyle w:val="Encabezado"/>
      <w:rPr>
        <w:rFonts w:cs="Arial"/>
        <w:b/>
        <w:sz w:val="18"/>
        <w:szCs w:val="18"/>
      </w:rPr>
    </w:pPr>
  </w:p>
  <w:tbl>
    <w:tblPr>
      <w:tblW w:w="0" w:type="auto"/>
      <w:tblInd w:w="-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3"/>
      <w:gridCol w:w="2551"/>
    </w:tblGrid>
    <w:tr w:rsidR="003B7158" w:rsidTr="00345951">
      <w:tc>
        <w:tcPr>
          <w:tcW w:w="8223" w:type="dxa"/>
        </w:tcPr>
        <w:p w:rsidR="003B7158" w:rsidRDefault="003B7158" w:rsidP="00345951"/>
      </w:tc>
      <w:tc>
        <w:tcPr>
          <w:tcW w:w="2551" w:type="dxa"/>
        </w:tcPr>
        <w:p w:rsidR="003B7158" w:rsidRDefault="003B7158" w:rsidP="00345951">
          <w:pPr>
            <w:rPr>
              <w:sz w:val="16"/>
            </w:rPr>
          </w:pPr>
        </w:p>
        <w:p w:rsidR="003B7158" w:rsidRPr="0030757A" w:rsidRDefault="003B7158" w:rsidP="00345951">
          <w:pPr>
            <w:rPr>
              <w:sz w:val="16"/>
            </w:rPr>
          </w:pPr>
        </w:p>
      </w:tc>
    </w:tr>
  </w:tbl>
  <w:p w:rsidR="003B7158" w:rsidRPr="0023201C" w:rsidRDefault="003B7158" w:rsidP="00AA7BD4">
    <w:pPr>
      <w:pStyle w:val="Encabezado"/>
      <w:jc w:val="right"/>
    </w:pPr>
  </w:p>
  <w:p w:rsidR="003B7158" w:rsidRDefault="003B7158">
    <w:pPr>
      <w:pStyle w:val="Encabezado"/>
      <w:rPr>
        <w:rFonts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9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555"/>
      <w:gridCol w:w="4809"/>
      <w:gridCol w:w="2410"/>
    </w:tblGrid>
    <w:tr w:rsidR="003B7158">
      <w:tc>
        <w:tcPr>
          <w:tcW w:w="3555" w:type="dxa"/>
        </w:tcPr>
        <w:p w:rsidR="003B7158" w:rsidRDefault="00B93EBE">
          <w:r>
            <w:rPr>
              <w:noProof/>
              <w:lang w:val="es-ES"/>
            </w:rPr>
            <w:drawing>
              <wp:inline distT="0" distB="0" distL="0" distR="0">
                <wp:extent cx="2076450" cy="419100"/>
                <wp:effectExtent l="0" t="0" r="0" b="0"/>
                <wp:docPr id="1" name="Imagen 1" descr="pppppp3 cas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ppppp3 cas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9" w:type="dxa"/>
        </w:tcPr>
        <w:p w:rsidR="003B7158" w:rsidRDefault="003B7158">
          <w:pPr>
            <w:jc w:val="center"/>
            <w:rPr>
              <w:sz w:val="16"/>
            </w:rPr>
          </w:pPr>
        </w:p>
        <w:p w:rsidR="003B7158" w:rsidRDefault="003B7158">
          <w:pPr>
            <w:jc w:val="center"/>
            <w:rPr>
              <w:sz w:val="16"/>
            </w:rPr>
          </w:pPr>
          <w:r>
            <w:rPr>
              <w:b/>
              <w:sz w:val="22"/>
            </w:rPr>
            <w:t>KOMUNIKAZIOA</w:t>
          </w:r>
        </w:p>
        <w:p w:rsidR="003B7158" w:rsidRDefault="003B7158">
          <w:pPr>
            <w:rPr>
              <w:b/>
              <w:sz w:val="16"/>
            </w:rPr>
          </w:pPr>
        </w:p>
      </w:tc>
      <w:tc>
        <w:tcPr>
          <w:tcW w:w="2410" w:type="dxa"/>
        </w:tcPr>
        <w:p w:rsidR="003B7158" w:rsidRDefault="003B7158">
          <w:pPr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“Fuerte del </w:t>
          </w:r>
          <w:proofErr w:type="spellStart"/>
          <w:r>
            <w:rPr>
              <w:rFonts w:ascii="Times New Roman" w:hAnsi="Times New Roman"/>
              <w:sz w:val="16"/>
            </w:rPr>
            <w:t>Príncipe</w:t>
          </w:r>
          <w:proofErr w:type="spellEnd"/>
          <w:r>
            <w:rPr>
              <w:rFonts w:ascii="Times New Roman" w:hAnsi="Times New Roman"/>
              <w:sz w:val="16"/>
            </w:rPr>
            <w:t xml:space="preserve"> II” eraikina</w:t>
          </w:r>
        </w:p>
        <w:p w:rsidR="003B7158" w:rsidRDefault="003B7158">
          <w:pPr>
            <w:rPr>
              <w:rFonts w:ascii="Times New Roman" w:hAnsi="Times New Roman"/>
              <w:sz w:val="16"/>
            </w:rPr>
          </w:pPr>
          <w:proofErr w:type="spellStart"/>
          <w:r>
            <w:rPr>
              <w:rFonts w:ascii="Times New Roman" w:hAnsi="Times New Roman"/>
              <w:sz w:val="16"/>
            </w:rPr>
            <w:t>Tomás</w:t>
          </w:r>
          <w:proofErr w:type="spellEnd"/>
          <w:r>
            <w:rPr>
              <w:rFonts w:ascii="Times New Roman" w:hAnsi="Times New Roman"/>
              <w:sz w:val="16"/>
            </w:rPr>
            <w:t xml:space="preserve"> Caballero parkea, 1</w:t>
          </w:r>
        </w:p>
        <w:p w:rsidR="003B7158" w:rsidRDefault="003B7158">
          <w:pPr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31005  IRUÑA</w:t>
          </w:r>
        </w:p>
        <w:p w:rsidR="003B7158" w:rsidRDefault="003B7158">
          <w:pPr>
            <w:rPr>
              <w:b/>
              <w:sz w:val="16"/>
            </w:rPr>
          </w:pPr>
        </w:p>
      </w:tc>
    </w:tr>
  </w:tbl>
  <w:p w:rsidR="003B7158" w:rsidRDefault="003B71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09E5"/>
    <w:multiLevelType w:val="hybridMultilevel"/>
    <w:tmpl w:val="70946C9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44710"/>
    <w:multiLevelType w:val="hybridMultilevel"/>
    <w:tmpl w:val="A1327EE6"/>
    <w:lvl w:ilvl="0" w:tplc="AE58DD9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77E50"/>
    <w:multiLevelType w:val="hybridMultilevel"/>
    <w:tmpl w:val="4DDC767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19D3570"/>
    <w:multiLevelType w:val="hybridMultilevel"/>
    <w:tmpl w:val="22F469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25D86"/>
    <w:multiLevelType w:val="hybridMultilevel"/>
    <w:tmpl w:val="890AB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E612C"/>
    <w:multiLevelType w:val="hybridMultilevel"/>
    <w:tmpl w:val="4372E59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E6D60"/>
    <w:multiLevelType w:val="hybridMultilevel"/>
    <w:tmpl w:val="74F454C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B6360"/>
    <w:multiLevelType w:val="hybridMultilevel"/>
    <w:tmpl w:val="F8429CDC"/>
    <w:lvl w:ilvl="0" w:tplc="20A495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5803AF"/>
    <w:multiLevelType w:val="hybridMultilevel"/>
    <w:tmpl w:val="24B491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E113C"/>
    <w:multiLevelType w:val="hybridMultilevel"/>
    <w:tmpl w:val="97ECB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BF2786"/>
    <w:multiLevelType w:val="hybridMultilevel"/>
    <w:tmpl w:val="F4368638"/>
    <w:lvl w:ilvl="0" w:tplc="C8C6E626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7B62238B"/>
    <w:multiLevelType w:val="hybridMultilevel"/>
    <w:tmpl w:val="9EAA4B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F48B9"/>
    <w:multiLevelType w:val="hybridMultilevel"/>
    <w:tmpl w:val="737CD514"/>
    <w:lvl w:ilvl="0" w:tplc="565A0F5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36"/>
    <w:rsid w:val="001342D1"/>
    <w:rsid w:val="00194A6A"/>
    <w:rsid w:val="0022321D"/>
    <w:rsid w:val="00225BC7"/>
    <w:rsid w:val="00231F7A"/>
    <w:rsid w:val="002442D3"/>
    <w:rsid w:val="002B3EB3"/>
    <w:rsid w:val="002D3430"/>
    <w:rsid w:val="002E4C68"/>
    <w:rsid w:val="00315126"/>
    <w:rsid w:val="00345951"/>
    <w:rsid w:val="00353BBE"/>
    <w:rsid w:val="003B7158"/>
    <w:rsid w:val="003D7D39"/>
    <w:rsid w:val="00526BC2"/>
    <w:rsid w:val="0055117E"/>
    <w:rsid w:val="005E1E01"/>
    <w:rsid w:val="005F09E6"/>
    <w:rsid w:val="006551F5"/>
    <w:rsid w:val="006B5C28"/>
    <w:rsid w:val="006D192E"/>
    <w:rsid w:val="006D4E5B"/>
    <w:rsid w:val="006F4F4B"/>
    <w:rsid w:val="00764CC4"/>
    <w:rsid w:val="007A1223"/>
    <w:rsid w:val="00937CC1"/>
    <w:rsid w:val="0095272F"/>
    <w:rsid w:val="0095606A"/>
    <w:rsid w:val="009A5D97"/>
    <w:rsid w:val="009D0218"/>
    <w:rsid w:val="009F1E0E"/>
    <w:rsid w:val="00A06EB2"/>
    <w:rsid w:val="00AA7BD4"/>
    <w:rsid w:val="00B93EBE"/>
    <w:rsid w:val="00BB563F"/>
    <w:rsid w:val="00BF3CA4"/>
    <w:rsid w:val="00BF741F"/>
    <w:rsid w:val="00C22414"/>
    <w:rsid w:val="00C24F74"/>
    <w:rsid w:val="00C36BFE"/>
    <w:rsid w:val="00D65057"/>
    <w:rsid w:val="00D71436"/>
    <w:rsid w:val="00D95F9B"/>
    <w:rsid w:val="00DA5ED5"/>
    <w:rsid w:val="00F722BE"/>
    <w:rsid w:val="00FD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uin">
    <w:name w:val="Guión"/>
    <w:basedOn w:val="Normal"/>
    <w:pPr>
      <w:ind w:left="709" w:hanging="283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pBdr>
        <w:top w:val="single" w:sz="6" w:space="1" w:color="C0C0C0"/>
        <w:left w:val="single" w:sz="6" w:space="1" w:color="C0C0C0"/>
        <w:bottom w:val="single" w:sz="6" w:space="1" w:color="C0C0C0"/>
        <w:right w:val="single" w:sz="6" w:space="1" w:color="C0C0C0"/>
      </w:pBdr>
      <w:shd w:val="pct5" w:color="808080" w:fill="auto"/>
      <w:tabs>
        <w:tab w:val="left" w:pos="6521"/>
      </w:tabs>
      <w:spacing w:line="360" w:lineRule="auto"/>
      <w:ind w:left="1418" w:hanging="1418"/>
    </w:pPr>
    <w:rPr>
      <w:b/>
      <w:i/>
    </w:rPr>
  </w:style>
  <w:style w:type="paragraph" w:styleId="Textoindependiente">
    <w:name w:val="Body Text"/>
    <w:basedOn w:val="Normal"/>
    <w:pPr>
      <w:spacing w:after="120"/>
    </w:pPr>
  </w:style>
  <w:style w:type="table" w:styleId="Tablaconcuadrcula">
    <w:name w:val="Table Grid"/>
    <w:basedOn w:val="Tabla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AA7BD4"/>
    <w:pPr>
      <w:shd w:val="clear" w:color="auto" w:fill="000080"/>
    </w:pPr>
    <w:rPr>
      <w:rFonts w:ascii="Tahoma" w:hAnsi="Tahoma" w:cs="Tahoma"/>
      <w:sz w:val="20"/>
    </w:rPr>
  </w:style>
  <w:style w:type="character" w:styleId="Textoennegrita">
    <w:name w:val="Strong"/>
    <w:qFormat/>
    <w:rsid w:val="00BB563F"/>
    <w:rPr>
      <w:b/>
      <w:bCs/>
    </w:rPr>
  </w:style>
  <w:style w:type="character" w:customStyle="1" w:styleId="no-separar">
    <w:name w:val="no-separar"/>
    <w:basedOn w:val="Fuentedeprrafopredeter"/>
    <w:rsid w:val="002D3430"/>
  </w:style>
  <w:style w:type="paragraph" w:customStyle="1" w:styleId="Prrafodelista1">
    <w:name w:val="Párrafo de lista1"/>
    <w:basedOn w:val="Normal"/>
    <w:rsid w:val="00764CC4"/>
    <w:pPr>
      <w:ind w:left="720"/>
      <w:contextualSpacing/>
      <w:jc w:val="left"/>
    </w:pPr>
    <w:rPr>
      <w:rFonts w:ascii="Times New Roman" w:eastAsia="Calibri" w:hAnsi="Times New Roman"/>
      <w:szCs w:val="24"/>
    </w:rPr>
  </w:style>
  <w:style w:type="character" w:styleId="Hipervnculo">
    <w:name w:val="Hyperlink"/>
    <w:rsid w:val="00764CC4"/>
    <w:rPr>
      <w:rFonts w:cs="Times New Roman"/>
      <w:color w:val="0000FF"/>
      <w:u w:val="single"/>
    </w:rPr>
  </w:style>
  <w:style w:type="paragraph" w:customStyle="1" w:styleId="Default">
    <w:name w:val="Default"/>
    <w:rsid w:val="006F4F4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uin">
    <w:name w:val="Guión"/>
    <w:basedOn w:val="Normal"/>
    <w:pPr>
      <w:ind w:left="709" w:hanging="283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pBdr>
        <w:top w:val="single" w:sz="6" w:space="1" w:color="C0C0C0"/>
        <w:left w:val="single" w:sz="6" w:space="1" w:color="C0C0C0"/>
        <w:bottom w:val="single" w:sz="6" w:space="1" w:color="C0C0C0"/>
        <w:right w:val="single" w:sz="6" w:space="1" w:color="C0C0C0"/>
      </w:pBdr>
      <w:shd w:val="pct5" w:color="808080" w:fill="auto"/>
      <w:tabs>
        <w:tab w:val="left" w:pos="6521"/>
      </w:tabs>
      <w:spacing w:line="360" w:lineRule="auto"/>
      <w:ind w:left="1418" w:hanging="1418"/>
    </w:pPr>
    <w:rPr>
      <w:b/>
      <w:i/>
    </w:rPr>
  </w:style>
  <w:style w:type="paragraph" w:styleId="Textoindependiente">
    <w:name w:val="Body Text"/>
    <w:basedOn w:val="Normal"/>
    <w:pPr>
      <w:spacing w:after="120"/>
    </w:pPr>
  </w:style>
  <w:style w:type="table" w:styleId="Tablaconcuadrcula">
    <w:name w:val="Table Grid"/>
    <w:basedOn w:val="Tabla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AA7BD4"/>
    <w:pPr>
      <w:shd w:val="clear" w:color="auto" w:fill="000080"/>
    </w:pPr>
    <w:rPr>
      <w:rFonts w:ascii="Tahoma" w:hAnsi="Tahoma" w:cs="Tahoma"/>
      <w:sz w:val="20"/>
    </w:rPr>
  </w:style>
  <w:style w:type="character" w:styleId="Textoennegrita">
    <w:name w:val="Strong"/>
    <w:qFormat/>
    <w:rsid w:val="00BB563F"/>
    <w:rPr>
      <w:b/>
      <w:bCs/>
    </w:rPr>
  </w:style>
  <w:style w:type="character" w:customStyle="1" w:styleId="no-separar">
    <w:name w:val="no-separar"/>
    <w:basedOn w:val="Fuentedeprrafopredeter"/>
    <w:rsid w:val="002D3430"/>
  </w:style>
  <w:style w:type="paragraph" w:customStyle="1" w:styleId="Prrafodelista1">
    <w:name w:val="Párrafo de lista1"/>
    <w:basedOn w:val="Normal"/>
    <w:rsid w:val="00764CC4"/>
    <w:pPr>
      <w:ind w:left="720"/>
      <w:contextualSpacing/>
      <w:jc w:val="left"/>
    </w:pPr>
    <w:rPr>
      <w:rFonts w:ascii="Times New Roman" w:eastAsia="Calibri" w:hAnsi="Times New Roman"/>
      <w:szCs w:val="24"/>
    </w:rPr>
  </w:style>
  <w:style w:type="character" w:styleId="Hipervnculo">
    <w:name w:val="Hyperlink"/>
    <w:rsid w:val="00764CC4"/>
    <w:rPr>
      <w:rFonts w:cs="Times New Roman"/>
      <w:color w:val="0000FF"/>
      <w:u w:val="single"/>
    </w:rPr>
  </w:style>
  <w:style w:type="paragraph" w:customStyle="1" w:styleId="Default">
    <w:name w:val="Default"/>
    <w:rsid w:val="006F4F4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380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07235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2" w:space="0" w:color="999999"/>
                  </w:divBdr>
                  <w:divsChild>
                    <w:div w:id="1826389583">
                      <w:marLeft w:val="335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47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747</Words>
  <Characters>5650</Characters>
  <Application>Microsoft Office Word</Application>
  <DocSecurity>0</DocSecurity>
  <Lines>47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Respuesta pregunta parlamentaria</vt:lpstr>
    </vt:vector>
  </TitlesOfParts>
  <Company>Gobierno de Navarra</Company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Respuesta pregunta parlamentaria</dc:title>
  <dc:creator>n200208</dc:creator>
  <cp:lastModifiedBy>Iñaki De Santiago</cp:lastModifiedBy>
  <cp:revision>3</cp:revision>
  <cp:lastPrinted>2018-12-21T14:04:00Z</cp:lastPrinted>
  <dcterms:created xsi:type="dcterms:W3CDTF">2019-04-09T11:21:00Z</dcterms:created>
  <dcterms:modified xsi:type="dcterms:W3CDTF">2019-04-09T12:06:00Z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PL0000054 Respuesta pregunta parlamentaria</vt:lpwstr>
  </property>
  <property fmtid="{D5CDD505-2E9C-101B-9397-08002B2CF9AE}" pid="3" name="Order">
    <vt:lpwstr>18900.0000000000</vt:lpwstr>
  </property>
  <property fmtid="{D5CDD505-2E9C-101B-9397-08002B2CF9AE}" pid="4" name="Revisión">
    <vt:lpwstr>0</vt:lpwstr>
  </property>
  <property fmtid="{D5CDD505-2E9C-101B-9397-08002B2CF9AE}" pid="5" name="Ámbito">
    <vt:lpwstr>GABINETE CONSEJERA</vt:lpwstr>
  </property>
  <property fmtid="{D5CDD505-2E9C-101B-9397-08002B2CF9AE}" pid="6" name="Tipo documento calidad">
    <vt:lpwstr>3</vt:lpwstr>
  </property>
  <property fmtid="{D5CDD505-2E9C-101B-9397-08002B2CF9AE}" pid="7" name="Descripción del documento">
    <vt:lpwstr/>
  </property>
  <property fmtid="{D5CDD505-2E9C-101B-9397-08002B2CF9AE}" pid="8" name="Proceso antiguo0">
    <vt:lpwstr>26</vt:lpwstr>
  </property>
  <property fmtid="{D5CDD505-2E9C-101B-9397-08002B2CF9AE}" pid="9" name="Procesos">
    <vt:lpwstr>0</vt:lpwstr>
  </property>
  <property fmtid="{D5CDD505-2E9C-101B-9397-08002B2CF9AE}" pid="10" name="ContentType">
    <vt:lpwstr>Documentación de Calidad</vt:lpwstr>
  </property>
  <property fmtid="{D5CDD505-2E9C-101B-9397-08002B2CF9AE}" pid="11" name="Documentos asociados">
    <vt:lpwstr/>
  </property>
</Properties>
</file>