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AC" w:rsidRDefault="00FE3DAC" w:rsidP="00143E08">
      <w:pPr>
        <w:tabs>
          <w:tab w:val="left" w:pos="3780"/>
        </w:tabs>
        <w:spacing w:line="288" w:lineRule="auto"/>
        <w:jc w:val="both"/>
        <w:rPr>
          <w:rFonts w:ascii="Century Gothic" w:hAnsi="Century Gothic"/>
        </w:rPr>
      </w:pPr>
      <w:r>
        <w:rPr>
          <w:rFonts w:ascii="Century Gothic" w:hAnsi="Century Gothic"/>
        </w:rPr>
        <w:t>Abenduak 12</w:t>
      </w:r>
    </w:p>
    <w:p w:rsidR="00FE3DAC" w:rsidRDefault="001F63C7" w:rsidP="00143E08">
      <w:pPr>
        <w:tabs>
          <w:tab w:val="left" w:pos="3780"/>
        </w:tabs>
        <w:spacing w:line="288" w:lineRule="auto"/>
        <w:jc w:val="both"/>
        <w:rPr>
          <w:rFonts w:ascii="Century Gothic" w:hAnsi="Century Gothic"/>
        </w:rPr>
      </w:pPr>
      <w:proofErr w:type="spellStart"/>
      <w:r>
        <w:rPr>
          <w:rFonts w:ascii="Century Gothic" w:hAnsi="Century Gothic"/>
        </w:rPr>
        <w:t>Unión</w:t>
      </w:r>
      <w:proofErr w:type="spellEnd"/>
      <w:r>
        <w:rPr>
          <w:rFonts w:ascii="Century Gothic" w:hAnsi="Century Gothic"/>
        </w:rPr>
        <w:t xml:space="preserve"> del </w:t>
      </w:r>
      <w:proofErr w:type="spellStart"/>
      <w:r>
        <w:rPr>
          <w:rFonts w:ascii="Century Gothic" w:hAnsi="Century Gothic"/>
        </w:rPr>
        <w:t>Pueblo</w:t>
      </w:r>
      <w:proofErr w:type="spellEnd"/>
      <w:r>
        <w:rPr>
          <w:rFonts w:ascii="Century Gothic" w:hAnsi="Century Gothic"/>
        </w:rPr>
        <w:t xml:space="preserve"> Navarro talde parlamentarioari atxikitako foru parlamentari Alberto Catalán Higueras jaunak idatziz erantzuteko galdera egin du (9-18-PES-00249), jakin nahi baitu “Tuterako Osasun Barrutian giza baliabideen diagnostiko bat egin den eta erretiroak eta laneko ez-joateak estaltzeko plan bat diseinatu den”. Honako hau da Nafarroako Gobernuko Osasuneko kontseilariaren erantzuna:</w:t>
      </w:r>
    </w:p>
    <w:p w:rsidR="004229AD" w:rsidRPr="00FF44CD" w:rsidRDefault="008A590D" w:rsidP="00143E08">
      <w:pPr>
        <w:tabs>
          <w:tab w:val="left" w:pos="3780"/>
        </w:tabs>
        <w:spacing w:line="288" w:lineRule="auto"/>
        <w:jc w:val="both"/>
        <w:rPr>
          <w:rFonts w:ascii="Century Gothic" w:hAnsi="Century Gothic"/>
        </w:rPr>
      </w:pPr>
      <w:r>
        <w:rPr>
          <w:rFonts w:ascii="Century Gothic" w:hAnsi="Century Gothic"/>
        </w:rPr>
        <w:t xml:space="preserve">Tuterako Osasun Barrutian lan egiten ari da Tuterako Osasun Barrutirako Plan Estrategiko bat egiteko 2018-2022 aldirako, zeinean kasuko jarduketa-ildoak sartzen baitira, 2014-2020 aldirako Nafarroako Osasun Planean zehaztutakoekin bat. Estrategia bakoitza osasunaren eremu batean esku hartzeko proposamen bat da, zeina zabalduko baita kasuko ekintza-planetan; izan ere, plan horietan behar diren baliabideak jasoko dira haiek ezarri ahal izateko. </w:t>
      </w:r>
    </w:p>
    <w:p w:rsidR="00D966C4" w:rsidRPr="00FF44CD" w:rsidRDefault="004229AD" w:rsidP="00143E08">
      <w:pPr>
        <w:tabs>
          <w:tab w:val="left" w:pos="3780"/>
        </w:tabs>
        <w:spacing w:line="288" w:lineRule="auto"/>
        <w:jc w:val="both"/>
        <w:rPr>
          <w:rFonts w:ascii="Century Gothic" w:hAnsi="Century Gothic"/>
        </w:rPr>
      </w:pPr>
      <w:r>
        <w:rPr>
          <w:rFonts w:ascii="Century Gothic" w:hAnsi="Century Gothic"/>
        </w:rPr>
        <w:t xml:space="preserve"> </w:t>
      </w:r>
    </w:p>
    <w:p w:rsidR="00FE3DAC" w:rsidRDefault="00B37966" w:rsidP="00143E08">
      <w:pPr>
        <w:tabs>
          <w:tab w:val="left" w:pos="3780"/>
        </w:tabs>
        <w:spacing w:line="288" w:lineRule="auto"/>
        <w:jc w:val="both"/>
        <w:rPr>
          <w:rFonts w:ascii="Century Gothic" w:hAnsi="Century Gothic"/>
        </w:rPr>
      </w:pPr>
      <w:r>
        <w:rPr>
          <w:rFonts w:ascii="Century Gothic" w:hAnsi="Century Gothic"/>
        </w:rPr>
        <w:t xml:space="preserve">Gainera, legegintzaldi honetan, lan egiten ari da Tuterako Osasun Barrutiaren </w:t>
      </w:r>
      <w:proofErr w:type="spellStart"/>
      <w:r>
        <w:rPr>
          <w:rFonts w:ascii="Century Gothic" w:hAnsi="Century Gothic"/>
        </w:rPr>
        <w:t>plantilla</w:t>
      </w:r>
      <w:proofErr w:type="spellEnd"/>
      <w:r>
        <w:rPr>
          <w:rFonts w:ascii="Century Gothic" w:hAnsi="Century Gothic"/>
        </w:rPr>
        <w:t xml:space="preserve"> finkatzeko, behar diren lan-eskaintza publikoak onestearen bitartez eta gero lanpostuen lekualdatzerako eta oposizio lehiaketarako deialdia eginez, araudi indardunarekin bat. </w:t>
      </w:r>
    </w:p>
    <w:p w:rsidR="00FE3DAC" w:rsidRDefault="00807C98" w:rsidP="00143E08">
      <w:pPr>
        <w:tabs>
          <w:tab w:val="left" w:pos="3780"/>
        </w:tabs>
        <w:spacing w:line="288" w:lineRule="auto"/>
        <w:jc w:val="both"/>
        <w:rPr>
          <w:rFonts w:ascii="Century Gothic" w:hAnsi="Century Gothic"/>
        </w:rPr>
      </w:pPr>
      <w:r>
        <w:rPr>
          <w:rFonts w:ascii="Century Gothic" w:hAnsi="Century Gothic"/>
        </w:rPr>
        <w:t xml:space="preserve">Zehazki, 2018. urtean hainbat espezialitate medikotako 40 profesionalen </w:t>
      </w:r>
      <w:proofErr w:type="spellStart"/>
      <w:r>
        <w:rPr>
          <w:rFonts w:ascii="Century Gothic" w:hAnsi="Century Gothic"/>
        </w:rPr>
        <w:t>plantilla</w:t>
      </w:r>
      <w:proofErr w:type="spellEnd"/>
      <w:r>
        <w:rPr>
          <w:rFonts w:ascii="Century Gothic" w:hAnsi="Century Gothic"/>
        </w:rPr>
        <w:t xml:space="preserve"> egonkortu da, 2013ko, 2015eko eta 2016ko lan-eskaintza publikoei dagozkienak; hain zuzen ere, honako espezialitate hauetakoak: traumatologia, anestesia eta bizkortzea, digestio-aparatua, kardiologia, pediatria, </w:t>
      </w:r>
      <w:proofErr w:type="spellStart"/>
      <w:r>
        <w:rPr>
          <w:rFonts w:ascii="Century Gothic" w:hAnsi="Century Gothic"/>
        </w:rPr>
        <w:t>erradiodiagnostikoa</w:t>
      </w:r>
      <w:proofErr w:type="spellEnd"/>
      <w:r>
        <w:rPr>
          <w:rFonts w:ascii="Century Gothic" w:hAnsi="Century Gothic"/>
        </w:rPr>
        <w:t xml:space="preserve">, ginekologia, barne-medikuntza, kirurgia orokorra, psikiatria, urologia, anatomia patologikoa, dermatologia eta oftalmologia. </w:t>
      </w:r>
    </w:p>
    <w:p w:rsidR="00FE3DAC" w:rsidRDefault="004F1D4A" w:rsidP="00143E08">
      <w:pPr>
        <w:tabs>
          <w:tab w:val="left" w:pos="3780"/>
        </w:tabs>
        <w:spacing w:line="288" w:lineRule="auto"/>
        <w:jc w:val="both"/>
        <w:rPr>
          <w:rFonts w:ascii="Century Gothic" w:hAnsi="Century Gothic"/>
        </w:rPr>
      </w:pPr>
      <w:r>
        <w:rPr>
          <w:rFonts w:ascii="Century Gothic" w:hAnsi="Century Gothic"/>
        </w:rPr>
        <w:t xml:space="preserve">Datozen hilabeteetan errehabilitazioko espezialitate medikoari, erizainei, obstetrizia eta ginekologia arloko erizain espezialistari eta fisioterapeutei dagozkien deialdiak ebatziko dira, zeinetan lau lanpostu, 30 lanpostu, </w:t>
      </w:r>
      <w:proofErr w:type="spellStart"/>
      <w:r>
        <w:rPr>
          <w:rFonts w:ascii="Century Gothic" w:hAnsi="Century Gothic"/>
        </w:rPr>
        <w:t>lanpostu</w:t>
      </w:r>
      <w:proofErr w:type="spellEnd"/>
      <w:r>
        <w:rPr>
          <w:rFonts w:ascii="Century Gothic" w:hAnsi="Century Gothic"/>
        </w:rPr>
        <w:t xml:space="preserve"> bat eta bi lanpostu egonen baitira, hurrenez </w:t>
      </w:r>
      <w:proofErr w:type="spellStart"/>
      <w:r>
        <w:rPr>
          <w:rFonts w:ascii="Century Gothic" w:hAnsi="Century Gothic"/>
        </w:rPr>
        <w:t>hurren</w:t>
      </w:r>
      <w:proofErr w:type="spellEnd"/>
      <w:r>
        <w:rPr>
          <w:rFonts w:ascii="Century Gothic" w:hAnsi="Century Gothic"/>
        </w:rPr>
        <w:t xml:space="preserve">, Tuterako Osasun Barrutirako.  </w:t>
      </w:r>
    </w:p>
    <w:p w:rsidR="00FE3DAC" w:rsidRDefault="006E7515" w:rsidP="00143E08">
      <w:pPr>
        <w:tabs>
          <w:tab w:val="left" w:pos="3780"/>
        </w:tabs>
        <w:spacing w:line="288" w:lineRule="auto"/>
        <w:jc w:val="both"/>
        <w:rPr>
          <w:rFonts w:ascii="Century Gothic" w:hAnsi="Century Gothic"/>
        </w:rPr>
      </w:pPr>
      <w:r>
        <w:rPr>
          <w:rFonts w:ascii="Century Gothic" w:hAnsi="Century Gothic"/>
        </w:rPr>
        <w:t>Halaber, ebazteke dago familiako medikuntzako deialdia, zeinean lau lanpostu baitaude Tuterako Barrutirako, bai eta gizarte laneko beste lau lanpostu ere. Bi kasu horiek 2013ko, 2014ko eta 2015eko lan-eskaintza publikoei dagozkie.</w:t>
      </w:r>
    </w:p>
    <w:p w:rsidR="00FE3DAC" w:rsidRDefault="006E7515" w:rsidP="00143E08">
      <w:pPr>
        <w:tabs>
          <w:tab w:val="left" w:pos="3780"/>
        </w:tabs>
        <w:spacing w:line="288" w:lineRule="auto"/>
        <w:jc w:val="both"/>
        <w:rPr>
          <w:rFonts w:ascii="Century Gothic" w:hAnsi="Century Gothic"/>
        </w:rPr>
      </w:pPr>
      <w:r>
        <w:rPr>
          <w:rFonts w:ascii="Century Gothic" w:hAnsi="Century Gothic"/>
        </w:rPr>
        <w:t xml:space="preserve">Abenduaren 20ko 116/2017 Foru Dekretuaren bidez Nafarroako Foru Komunitateko Administraziorako eta haren erakunde autonomoetarako 2017ko lan-eskaintza publikoa onetsi zen, zeina 2016ko ordezte-tasari baitagokio, Administrazio Erroan, Osasun Departamentuan eta </w:t>
      </w:r>
      <w:r>
        <w:rPr>
          <w:rFonts w:ascii="Century Gothic" w:hAnsi="Century Gothic"/>
        </w:rPr>
        <w:lastRenderedPageBreak/>
        <w:t xml:space="preserve">unibertsitatez kanpoko irakasleen arloan. Lan-eskaintza publiko horrekin, digestio-aparatua, dermatologia, </w:t>
      </w:r>
      <w:proofErr w:type="spellStart"/>
      <w:r>
        <w:rPr>
          <w:rFonts w:ascii="Century Gothic" w:hAnsi="Century Gothic"/>
        </w:rPr>
        <w:t>hematologia</w:t>
      </w:r>
      <w:proofErr w:type="spellEnd"/>
      <w:r>
        <w:rPr>
          <w:rFonts w:ascii="Century Gothic" w:hAnsi="Century Gothic"/>
        </w:rPr>
        <w:t xml:space="preserve">, </w:t>
      </w:r>
      <w:proofErr w:type="spellStart"/>
      <w:r>
        <w:rPr>
          <w:rFonts w:ascii="Century Gothic" w:hAnsi="Century Gothic"/>
        </w:rPr>
        <w:t>nefrologia</w:t>
      </w:r>
      <w:proofErr w:type="spellEnd"/>
      <w:r>
        <w:rPr>
          <w:rFonts w:ascii="Century Gothic" w:hAnsi="Century Gothic"/>
        </w:rPr>
        <w:t xml:space="preserve">, otorrinolaringologia, erreumatologia eta ginekologia eta obstetriziako espezialitate medikoetako 11 lanpostu finkatuko dira, zeinak gauzatu gabe geratu baitziren aurreko lan-eskaintza publikoan, bai eta laborategiko teknikari espezialistaren lanpostu bat, erizaintzako zainketa lagungarrietako teknikarien 13 lanpostu eta 11 </w:t>
      </w:r>
      <w:proofErr w:type="spellStart"/>
      <w:r>
        <w:rPr>
          <w:rFonts w:ascii="Century Gothic" w:hAnsi="Century Gothic"/>
        </w:rPr>
        <w:t>zeladore</w:t>
      </w:r>
      <w:proofErr w:type="spellEnd"/>
      <w:r>
        <w:rPr>
          <w:rFonts w:ascii="Century Gothic" w:hAnsi="Century Gothic"/>
        </w:rPr>
        <w:t xml:space="preserve"> lanpostu ere; horiek guztiak Tuterako Osasun Barrutirako.</w:t>
      </w:r>
    </w:p>
    <w:p w:rsidR="00FE3DAC" w:rsidRDefault="00B37966" w:rsidP="00143E08">
      <w:pPr>
        <w:tabs>
          <w:tab w:val="left" w:pos="3780"/>
        </w:tabs>
        <w:spacing w:line="288" w:lineRule="auto"/>
        <w:jc w:val="both"/>
        <w:rPr>
          <w:rFonts w:ascii="Century Gothic" w:hAnsi="Century Gothic"/>
        </w:rPr>
      </w:pPr>
      <w:r>
        <w:rPr>
          <w:rFonts w:ascii="Century Gothic" w:hAnsi="Century Gothic"/>
        </w:rPr>
        <w:t xml:space="preserve">Halaber, uztailaren 18ko 52/2018 Foru Dekretuaren bitartez, </w:t>
      </w:r>
      <w:proofErr w:type="spellStart"/>
      <w:r>
        <w:rPr>
          <w:rFonts w:ascii="Century Gothic" w:hAnsi="Century Gothic"/>
        </w:rPr>
        <w:t>Osasunbidea-Nafarroako</w:t>
      </w:r>
      <w:proofErr w:type="spellEnd"/>
      <w:r>
        <w:rPr>
          <w:rFonts w:ascii="Century Gothic" w:hAnsi="Century Gothic"/>
        </w:rPr>
        <w:t xml:space="preserve"> Osasun Zerbitzuko osasun-langileentzako lan-eskaintza publiko bat onetsi da. Eskaintza hori ekainaren 27ko 3/2017 Legean aurreikusitako egonkortze-tasari dagokio, eta 23 lanpostu huts hartzen ditu: hainbat espezialitate medikotakoak, oinarrizko osasun laguntzarako familiako medikuntzako 15 lanpostu, erizainen bederatzi lanpostu eta Tuterako Osasun Barrutirako </w:t>
      </w:r>
      <w:proofErr w:type="spellStart"/>
      <w:r>
        <w:rPr>
          <w:rFonts w:ascii="Century Gothic" w:hAnsi="Century Gothic"/>
        </w:rPr>
        <w:t>erradiodiagnostikoko</w:t>
      </w:r>
      <w:proofErr w:type="spellEnd"/>
      <w:r>
        <w:rPr>
          <w:rFonts w:ascii="Century Gothic" w:hAnsi="Century Gothic"/>
        </w:rPr>
        <w:t xml:space="preserve"> teknikari espezialistaren lanpostu bat.  </w:t>
      </w:r>
    </w:p>
    <w:p w:rsidR="00FE3DAC" w:rsidRDefault="001115A0" w:rsidP="00143E08">
      <w:pPr>
        <w:tabs>
          <w:tab w:val="left" w:pos="3780"/>
        </w:tabs>
        <w:spacing w:line="288" w:lineRule="auto"/>
        <w:jc w:val="both"/>
        <w:rPr>
          <w:rFonts w:ascii="Century Gothic" w:hAnsi="Century Gothic"/>
        </w:rPr>
      </w:pPr>
      <w:r>
        <w:rPr>
          <w:rFonts w:ascii="Century Gothic" w:hAnsi="Century Gothic"/>
        </w:rPr>
        <w:t>2018ko azaroaren 20an, 2018. urteari dagokion lan-eskaintza publikoa aurkeztu zen osasuneko mahai sektorialean; hartan, beste 16 lanpostu jaso ziren, Tuterako Osasun Barrutiko osasun estamentuetakoak: familiako medikuntzako lanpostu bat eta 15 erizain lanpostu.</w:t>
      </w:r>
    </w:p>
    <w:p w:rsidR="00FE3DAC" w:rsidRDefault="00100AC5" w:rsidP="00143E08">
      <w:pPr>
        <w:tabs>
          <w:tab w:val="left" w:pos="3780"/>
        </w:tabs>
        <w:spacing w:line="288" w:lineRule="auto"/>
        <w:jc w:val="both"/>
        <w:rPr>
          <w:rFonts w:ascii="Century Gothic" w:hAnsi="Century Gothic"/>
        </w:rPr>
      </w:pPr>
      <w:r>
        <w:rPr>
          <w:rFonts w:ascii="Century Gothic" w:hAnsi="Century Gothic"/>
        </w:rPr>
        <w:t>Uztailaren 18ko 53/2018 Foru Dekretuaren bidez, lan-eskaintza publiko bat onetsi zen Nafarroako Foru Komunitateko Administrazioaren eta haren erakunde autonomoen esparrurako, zeina ekainaren 27ko 3/2017 Legean aurreikusitako tasari baitagokio; hartan, administrari laguntzaileen 12 lanpostu huts eta zerbitzu anitzetako langileen 2 lanpostu huts jasotzen dira, guztiak ere Tuterako Osasun Barrutirako.</w:t>
      </w:r>
    </w:p>
    <w:p w:rsidR="00807C98" w:rsidRDefault="00C92A62" w:rsidP="00143E08">
      <w:pPr>
        <w:tabs>
          <w:tab w:val="left" w:pos="3780"/>
        </w:tabs>
        <w:spacing w:line="288" w:lineRule="auto"/>
        <w:jc w:val="both"/>
        <w:rPr>
          <w:rFonts w:ascii="Century Gothic" w:hAnsi="Century Gothic"/>
        </w:rPr>
      </w:pPr>
      <w:r>
        <w:rPr>
          <w:rFonts w:ascii="Century Gothic" w:hAnsi="Century Gothic"/>
        </w:rPr>
        <w:t>Gaur den egunean, eta datozen bost urteetarako, hainbat lanbide-kategoriatako 103 lanpostutan erretiroak gerta daitezkeela aurreikusi dugu, erantsitako taulan zehaztu bezala; haien betetzea hurrengo lan-eskaintza publikoetan sartu beharko litzateke, dagokion zenbatekoan, ordezkatze-tasaren kontzeptuan.</w:t>
      </w:r>
    </w:p>
    <w:p w:rsidR="00FE3DAC" w:rsidRDefault="00FE3DAC" w:rsidP="00143E08">
      <w:pPr>
        <w:tabs>
          <w:tab w:val="left" w:pos="3780"/>
        </w:tabs>
        <w:spacing w:line="288" w:lineRule="auto"/>
        <w:jc w:val="both"/>
        <w:rPr>
          <w:rFonts w:ascii="Century Gothic" w:hAnsi="Century Gothic"/>
        </w:rPr>
      </w:pPr>
    </w:p>
    <w:p w:rsidR="00FE3DAC" w:rsidRPr="00FF44CD" w:rsidRDefault="00FE3DAC" w:rsidP="00143E08">
      <w:pPr>
        <w:tabs>
          <w:tab w:val="left" w:pos="3780"/>
        </w:tabs>
        <w:spacing w:line="288" w:lineRule="auto"/>
        <w:jc w:val="both"/>
        <w:rPr>
          <w:rFonts w:ascii="Century Gothic" w:hAnsi="Century Gothic"/>
        </w:rPr>
      </w:pPr>
    </w:p>
    <w:p w:rsidR="001F63C7" w:rsidRPr="00FF44CD" w:rsidRDefault="001F63C7" w:rsidP="00143E08">
      <w:pPr>
        <w:tabs>
          <w:tab w:val="left" w:pos="3780"/>
        </w:tabs>
        <w:spacing w:line="288" w:lineRule="auto"/>
        <w:jc w:val="both"/>
        <w:rPr>
          <w:rFonts w:ascii="Century Gothic" w:hAnsi="Century Gothic"/>
        </w:rPr>
      </w:pPr>
    </w:p>
    <w:tbl>
      <w:tblPr>
        <w:tblW w:w="8180" w:type="dxa"/>
        <w:tblInd w:w="55" w:type="dxa"/>
        <w:tblLayout w:type="fixed"/>
        <w:tblCellMar>
          <w:left w:w="70" w:type="dxa"/>
          <w:right w:w="70" w:type="dxa"/>
        </w:tblCellMar>
        <w:tblLook w:val="04A0" w:firstRow="1" w:lastRow="0" w:firstColumn="1" w:lastColumn="0" w:noHBand="0" w:noVBand="1"/>
      </w:tblPr>
      <w:tblGrid>
        <w:gridCol w:w="3149"/>
        <w:gridCol w:w="775"/>
        <w:gridCol w:w="775"/>
        <w:gridCol w:w="775"/>
        <w:gridCol w:w="775"/>
        <w:gridCol w:w="775"/>
        <w:gridCol w:w="1156"/>
      </w:tblGrid>
      <w:tr w:rsidR="00563613" w:rsidRPr="00563613" w:rsidTr="00563613">
        <w:trPr>
          <w:trHeight w:val="20"/>
        </w:trPr>
        <w:tc>
          <w:tcPr>
            <w:tcW w:w="3149" w:type="dxa"/>
            <w:tcBorders>
              <w:top w:val="nil"/>
              <w:left w:val="nil"/>
              <w:bottom w:val="nil"/>
              <w:right w:val="nil"/>
            </w:tcBorders>
            <w:shd w:val="clear" w:color="DCE6F1" w:fill="DCE6F1"/>
            <w:noWrap/>
            <w:vAlign w:val="bottom"/>
            <w:hideMark/>
          </w:tcPr>
          <w:p w:rsidR="00563613" w:rsidRPr="00563613" w:rsidRDefault="00563613" w:rsidP="00563613">
            <w:pPr>
              <w:spacing w:before="40" w:after="40"/>
              <w:rPr>
                <w:rFonts w:asciiTheme="minorHAnsi" w:hAnsiTheme="minorHAnsi" w:cs="Calibri"/>
                <w:b/>
                <w:bCs/>
                <w:sz w:val="18"/>
                <w:szCs w:val="18"/>
              </w:rPr>
            </w:pPr>
            <w:bookmarkStart w:id="0" w:name="_GoBack"/>
            <w:r w:rsidRPr="00563613">
              <w:rPr>
                <w:rFonts w:asciiTheme="minorHAnsi" w:hAnsiTheme="minorHAnsi"/>
                <w:b/>
                <w:bCs/>
                <w:sz w:val="18"/>
                <w:szCs w:val="18"/>
              </w:rPr>
              <w:t>Erretiro kopurua</w:t>
            </w:r>
          </w:p>
        </w:tc>
        <w:tc>
          <w:tcPr>
            <w:tcW w:w="3875" w:type="dxa"/>
            <w:gridSpan w:val="5"/>
            <w:tcBorders>
              <w:top w:val="nil"/>
              <w:left w:val="nil"/>
              <w:bottom w:val="nil"/>
              <w:right w:val="nil"/>
            </w:tcBorders>
            <w:shd w:val="clear" w:color="DCE6F1" w:fill="DCE6F1"/>
            <w:noWrap/>
            <w:vAlign w:val="center"/>
            <w:hideMark/>
          </w:tcPr>
          <w:p w:rsidR="00563613" w:rsidRPr="00563613" w:rsidRDefault="00563613"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Erretiro urtea</w:t>
            </w:r>
          </w:p>
        </w:tc>
        <w:tc>
          <w:tcPr>
            <w:tcW w:w="1156" w:type="dxa"/>
            <w:tcBorders>
              <w:top w:val="nil"/>
              <w:left w:val="nil"/>
              <w:bottom w:val="nil"/>
              <w:right w:val="nil"/>
            </w:tcBorders>
            <w:shd w:val="clear" w:color="DCE6F1" w:fill="DCE6F1"/>
            <w:noWrap/>
            <w:vAlign w:val="center"/>
            <w:hideMark/>
          </w:tcPr>
          <w:p w:rsidR="00563613" w:rsidRPr="00563613" w:rsidRDefault="00563613" w:rsidP="00563613">
            <w:pPr>
              <w:spacing w:before="40" w:after="40"/>
              <w:jc w:val="center"/>
              <w:rPr>
                <w:rFonts w:asciiTheme="minorHAnsi" w:hAnsiTheme="minorHAnsi" w:cs="Calibri"/>
                <w:b/>
                <w:bCs/>
                <w:sz w:val="18"/>
                <w:szCs w:val="18"/>
              </w:rPr>
            </w:pPr>
          </w:p>
        </w:tc>
      </w:tr>
      <w:tr w:rsidR="00516968" w:rsidRPr="00563613" w:rsidTr="00563613">
        <w:trPr>
          <w:trHeight w:val="20"/>
        </w:trPr>
        <w:tc>
          <w:tcPr>
            <w:tcW w:w="3149" w:type="dxa"/>
            <w:tcBorders>
              <w:top w:val="nil"/>
              <w:left w:val="nil"/>
              <w:bottom w:val="single" w:sz="4" w:space="0" w:color="95B3D7"/>
              <w:right w:val="nil"/>
            </w:tcBorders>
            <w:shd w:val="clear" w:color="DCE6F1" w:fill="DCE6F1"/>
            <w:noWrap/>
            <w:vAlign w:val="bottom"/>
            <w:hideMark/>
          </w:tcPr>
          <w:p w:rsidR="00516968" w:rsidRPr="00563613" w:rsidRDefault="00516968" w:rsidP="00563613">
            <w:pPr>
              <w:spacing w:before="40" w:after="40"/>
              <w:rPr>
                <w:rFonts w:asciiTheme="minorHAnsi" w:hAnsiTheme="minorHAnsi" w:cs="Calibri"/>
                <w:b/>
                <w:bCs/>
                <w:sz w:val="18"/>
                <w:szCs w:val="18"/>
              </w:rPr>
            </w:pPr>
            <w:r w:rsidRPr="00563613">
              <w:rPr>
                <w:rFonts w:asciiTheme="minorHAnsi" w:hAnsiTheme="minorHAnsi"/>
                <w:b/>
                <w:bCs/>
                <w:sz w:val="18"/>
                <w:szCs w:val="18"/>
              </w:rPr>
              <w:t>Kategoriak</w:t>
            </w:r>
          </w:p>
        </w:tc>
        <w:tc>
          <w:tcPr>
            <w:tcW w:w="775" w:type="dxa"/>
            <w:tcBorders>
              <w:top w:val="nil"/>
              <w:left w:val="nil"/>
              <w:bottom w:val="single" w:sz="4" w:space="0" w:color="95B3D7"/>
              <w:right w:val="nil"/>
            </w:tcBorders>
            <w:shd w:val="clear" w:color="DCE6F1" w:fill="DCE6F1"/>
            <w:noWrap/>
            <w:vAlign w:val="center"/>
            <w:hideMark/>
          </w:tcPr>
          <w:p w:rsidR="00516968" w:rsidRPr="00563613" w:rsidRDefault="00516968"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2019</w:t>
            </w:r>
          </w:p>
        </w:tc>
        <w:tc>
          <w:tcPr>
            <w:tcW w:w="775" w:type="dxa"/>
            <w:tcBorders>
              <w:top w:val="nil"/>
              <w:left w:val="nil"/>
              <w:bottom w:val="single" w:sz="4" w:space="0" w:color="95B3D7"/>
              <w:right w:val="nil"/>
            </w:tcBorders>
            <w:shd w:val="clear" w:color="DCE6F1" w:fill="DCE6F1"/>
            <w:noWrap/>
            <w:vAlign w:val="center"/>
            <w:hideMark/>
          </w:tcPr>
          <w:p w:rsidR="00516968" w:rsidRPr="00563613" w:rsidRDefault="00516968"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2020</w:t>
            </w:r>
          </w:p>
        </w:tc>
        <w:tc>
          <w:tcPr>
            <w:tcW w:w="775" w:type="dxa"/>
            <w:tcBorders>
              <w:top w:val="nil"/>
              <w:left w:val="nil"/>
              <w:bottom w:val="single" w:sz="4" w:space="0" w:color="95B3D7"/>
              <w:right w:val="nil"/>
            </w:tcBorders>
            <w:shd w:val="clear" w:color="DCE6F1" w:fill="DCE6F1"/>
            <w:noWrap/>
            <w:vAlign w:val="center"/>
            <w:hideMark/>
          </w:tcPr>
          <w:p w:rsidR="00516968" w:rsidRPr="00563613" w:rsidRDefault="00516968"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2021</w:t>
            </w:r>
          </w:p>
        </w:tc>
        <w:tc>
          <w:tcPr>
            <w:tcW w:w="775" w:type="dxa"/>
            <w:tcBorders>
              <w:top w:val="nil"/>
              <w:left w:val="nil"/>
              <w:bottom w:val="single" w:sz="4" w:space="0" w:color="95B3D7"/>
              <w:right w:val="nil"/>
            </w:tcBorders>
            <w:shd w:val="clear" w:color="DCE6F1" w:fill="DCE6F1"/>
            <w:noWrap/>
            <w:vAlign w:val="center"/>
            <w:hideMark/>
          </w:tcPr>
          <w:p w:rsidR="00516968" w:rsidRPr="00563613" w:rsidRDefault="00516968"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2022</w:t>
            </w:r>
          </w:p>
        </w:tc>
        <w:tc>
          <w:tcPr>
            <w:tcW w:w="775" w:type="dxa"/>
            <w:tcBorders>
              <w:top w:val="nil"/>
              <w:left w:val="nil"/>
              <w:bottom w:val="single" w:sz="4" w:space="0" w:color="95B3D7"/>
              <w:right w:val="nil"/>
            </w:tcBorders>
            <w:shd w:val="clear" w:color="DCE6F1" w:fill="DCE6F1"/>
            <w:noWrap/>
            <w:vAlign w:val="center"/>
            <w:hideMark/>
          </w:tcPr>
          <w:p w:rsidR="00516968" w:rsidRPr="00563613" w:rsidRDefault="00516968"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2023</w:t>
            </w:r>
          </w:p>
        </w:tc>
        <w:tc>
          <w:tcPr>
            <w:tcW w:w="1156" w:type="dxa"/>
            <w:tcBorders>
              <w:top w:val="nil"/>
              <w:left w:val="nil"/>
              <w:bottom w:val="single" w:sz="4" w:space="0" w:color="95B3D7"/>
              <w:right w:val="nil"/>
            </w:tcBorders>
            <w:shd w:val="clear" w:color="DCE6F1" w:fill="DCE6F1"/>
            <w:noWrap/>
            <w:vAlign w:val="center"/>
            <w:hideMark/>
          </w:tcPr>
          <w:p w:rsidR="00516968" w:rsidRPr="00563613" w:rsidRDefault="00516968" w:rsidP="00563613">
            <w:pPr>
              <w:spacing w:before="40" w:after="40"/>
              <w:jc w:val="center"/>
              <w:rPr>
                <w:rFonts w:asciiTheme="minorHAnsi" w:hAnsiTheme="minorHAnsi" w:cs="Calibri"/>
                <w:b/>
                <w:bCs/>
                <w:sz w:val="18"/>
                <w:szCs w:val="18"/>
              </w:rPr>
            </w:pPr>
            <w:r w:rsidRPr="00563613">
              <w:rPr>
                <w:rFonts w:asciiTheme="minorHAnsi" w:hAnsiTheme="minorHAnsi"/>
                <w:b/>
                <w:bCs/>
                <w:sz w:val="18"/>
                <w:szCs w:val="18"/>
              </w:rPr>
              <w:t>Guztira, oro har</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ADMINISTRARIA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ADMINISTRARI LAGUNTZAILEA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7</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ZAINTZAILEA (D MAILA)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7</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ERIZAINA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7</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4</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16</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roofErr w:type="spellStart"/>
            <w:r w:rsidRPr="00563613">
              <w:rPr>
                <w:rFonts w:asciiTheme="minorHAnsi" w:hAnsiTheme="minorHAnsi"/>
                <w:sz w:val="18"/>
                <w:szCs w:val="18"/>
              </w:rPr>
              <w:t>B.S.E.</w:t>
            </w:r>
            <w:proofErr w:type="spellEnd"/>
            <w:r w:rsidRPr="00563613">
              <w:rPr>
                <w:rFonts w:asciiTheme="minorHAnsi" w:hAnsiTheme="minorHAnsi"/>
                <w:sz w:val="18"/>
                <w:szCs w:val="18"/>
              </w:rPr>
              <w:t>/LAGUNTZAILEA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9</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FISIOTERAPEUTA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outlineLvl w:val="0"/>
              <w:rPr>
                <w:rFonts w:asciiTheme="minorHAnsi" w:hAnsiTheme="minorHAnsi" w:cs="Calibri"/>
                <w:sz w:val="18"/>
                <w:szCs w:val="18"/>
              </w:rPr>
            </w:pPr>
            <w:r w:rsidRPr="00563613">
              <w:rPr>
                <w:rFonts w:asciiTheme="minorHAnsi" w:hAnsiTheme="minorHAnsi"/>
                <w:sz w:val="18"/>
                <w:szCs w:val="18"/>
              </w:rPr>
              <w:t>HARRERA ETA ARTXIBO BURUA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outlineLvl w:val="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outlineLvl w:val="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outlineLvl w:val="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outlineLvl w:val="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outlineLvl w:val="0"/>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outlineLvl w:val="0"/>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 xml:space="preserve">LAGUNTZA ATALEKO </w:t>
            </w:r>
            <w:proofErr w:type="spellStart"/>
            <w:r w:rsidRPr="00563613">
              <w:rPr>
                <w:rFonts w:asciiTheme="minorHAnsi" w:hAnsiTheme="minorHAnsi"/>
                <w:sz w:val="18"/>
                <w:szCs w:val="18"/>
              </w:rPr>
              <w:t>BURUA-BFE</w:t>
            </w:r>
            <w:proofErr w:type="spellEnd"/>
            <w:r w:rsidRPr="00563613">
              <w:rPr>
                <w:rFonts w:asciiTheme="minorHAnsi" w:hAnsiTheme="minorHAnsi"/>
                <w:sz w:val="18"/>
                <w:szCs w:val="18"/>
              </w:rPr>
              <w:t>/ALBOKOA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REINA SOFÍA OSPITALEKO ZERBITZU OROKORRETAKO BURUA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 xml:space="preserve">ERIZAINTZA UNITATEKO </w:t>
            </w:r>
            <w:proofErr w:type="spellStart"/>
            <w:r w:rsidRPr="00563613">
              <w:rPr>
                <w:rFonts w:asciiTheme="minorHAnsi" w:hAnsiTheme="minorHAnsi"/>
                <w:sz w:val="18"/>
                <w:szCs w:val="18"/>
              </w:rPr>
              <w:t>BURUA-II</w:t>
            </w:r>
            <w:proofErr w:type="spellEnd"/>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 xml:space="preserve">UNITATEKO </w:t>
            </w:r>
            <w:proofErr w:type="spellStart"/>
            <w:r w:rsidRPr="00563613">
              <w:rPr>
                <w:rFonts w:asciiTheme="minorHAnsi" w:hAnsiTheme="minorHAnsi"/>
                <w:sz w:val="18"/>
                <w:szCs w:val="18"/>
              </w:rPr>
              <w:t>BURUA-IIC</w:t>
            </w:r>
            <w:proofErr w:type="spellEnd"/>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roofErr w:type="spellStart"/>
            <w:r w:rsidRPr="00563613">
              <w:rPr>
                <w:rFonts w:asciiTheme="minorHAnsi" w:hAnsiTheme="minorHAnsi"/>
                <w:sz w:val="18"/>
                <w:szCs w:val="18"/>
              </w:rPr>
              <w:t>OOLT-KO</w:t>
            </w:r>
            <w:proofErr w:type="spellEnd"/>
            <w:r w:rsidRPr="00563613">
              <w:rPr>
                <w:rFonts w:asciiTheme="minorHAnsi" w:hAnsiTheme="minorHAnsi"/>
                <w:sz w:val="18"/>
                <w:szCs w:val="18"/>
              </w:rPr>
              <w:t xml:space="preserve"> MEDIKUA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4</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roofErr w:type="spellStart"/>
            <w:r w:rsidRPr="00563613">
              <w:rPr>
                <w:rFonts w:asciiTheme="minorHAnsi" w:hAnsiTheme="minorHAnsi"/>
                <w:sz w:val="18"/>
                <w:szCs w:val="18"/>
              </w:rPr>
              <w:t>LZA-KO</w:t>
            </w:r>
            <w:proofErr w:type="spellEnd"/>
            <w:r w:rsidRPr="00563613">
              <w:rPr>
                <w:rFonts w:asciiTheme="minorHAnsi" w:hAnsiTheme="minorHAnsi"/>
                <w:sz w:val="18"/>
                <w:szCs w:val="18"/>
              </w:rPr>
              <w:t xml:space="preserve"> MEDIKUA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4</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ODONTOLOGOA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OFIZIAL TELEFONISTA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roofErr w:type="spellStart"/>
            <w:r w:rsidRPr="00563613">
              <w:rPr>
                <w:rFonts w:asciiTheme="minorHAnsi" w:hAnsiTheme="minorHAnsi"/>
                <w:sz w:val="18"/>
                <w:szCs w:val="18"/>
              </w:rPr>
              <w:t>OOLT-KO</w:t>
            </w:r>
            <w:proofErr w:type="spellEnd"/>
            <w:r w:rsidRPr="00563613">
              <w:rPr>
                <w:rFonts w:asciiTheme="minorHAnsi" w:hAnsiTheme="minorHAnsi"/>
                <w:sz w:val="18"/>
                <w:szCs w:val="18"/>
              </w:rPr>
              <w:t xml:space="preserve"> PEDIATRA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2</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EZLT</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8</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7</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6</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10</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32</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roofErr w:type="spellStart"/>
            <w:r w:rsidRPr="00563613">
              <w:rPr>
                <w:rFonts w:asciiTheme="minorHAnsi" w:hAnsiTheme="minorHAnsi"/>
                <w:sz w:val="18"/>
                <w:szCs w:val="18"/>
              </w:rPr>
              <w:t>OOLTTa</w:t>
            </w:r>
            <w:proofErr w:type="spellEnd"/>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LTE</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TELEFONISTA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r w:rsidRPr="00563613">
              <w:rPr>
                <w:rFonts w:asciiTheme="minorHAnsi" w:hAnsiTheme="minorHAnsi"/>
                <w:sz w:val="18"/>
                <w:szCs w:val="18"/>
              </w:rPr>
              <w:t>GIZARTE LANGILEA</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775" w:type="dxa"/>
            <w:tcBorders>
              <w:top w:val="nil"/>
              <w:left w:val="nil"/>
              <w:bottom w:val="nil"/>
              <w:right w:val="nil"/>
            </w:tcBorders>
            <w:shd w:val="clear" w:color="auto" w:fill="auto"/>
            <w:noWrap/>
            <w:vAlign w:val="bottom"/>
            <w:hideMark/>
          </w:tcPr>
          <w:p w:rsidR="00516968" w:rsidRPr="00563613" w:rsidRDefault="00516968" w:rsidP="00563613">
            <w:pPr>
              <w:spacing w:before="40" w:after="40"/>
              <w:rPr>
                <w:rFonts w:asciiTheme="minorHAnsi" w:hAnsiTheme="minorHAnsi" w:cs="Calibri"/>
                <w:sz w:val="18"/>
                <w:szCs w:val="18"/>
              </w:rPr>
            </w:pPr>
          </w:p>
        </w:tc>
        <w:tc>
          <w:tcPr>
            <w:tcW w:w="1156" w:type="dxa"/>
            <w:tcBorders>
              <w:top w:val="nil"/>
              <w:left w:val="nil"/>
              <w:bottom w:val="nil"/>
              <w:right w:val="nil"/>
            </w:tcBorders>
            <w:shd w:val="clear" w:color="auto" w:fill="auto"/>
            <w:noWrap/>
            <w:vAlign w:val="bottom"/>
            <w:hideMark/>
          </w:tcPr>
          <w:p w:rsidR="00516968" w:rsidRPr="00563613" w:rsidRDefault="00516968" w:rsidP="00563613">
            <w:pPr>
              <w:spacing w:before="40" w:after="40"/>
              <w:jc w:val="right"/>
              <w:rPr>
                <w:rFonts w:asciiTheme="minorHAnsi" w:hAnsiTheme="minorHAnsi" w:cs="Calibri"/>
                <w:sz w:val="18"/>
                <w:szCs w:val="18"/>
              </w:rPr>
            </w:pPr>
            <w:r w:rsidRPr="00563613">
              <w:rPr>
                <w:rFonts w:asciiTheme="minorHAnsi" w:hAnsiTheme="minorHAnsi"/>
                <w:sz w:val="18"/>
                <w:szCs w:val="18"/>
              </w:rPr>
              <w:t>1</w:t>
            </w:r>
          </w:p>
        </w:tc>
      </w:tr>
      <w:tr w:rsidR="00516968" w:rsidRPr="00563613" w:rsidTr="00563613">
        <w:trPr>
          <w:trHeight w:val="20"/>
        </w:trPr>
        <w:tc>
          <w:tcPr>
            <w:tcW w:w="3149"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rPr>
                <w:rFonts w:asciiTheme="minorHAnsi" w:hAnsiTheme="minorHAnsi" w:cs="Calibri"/>
                <w:b/>
                <w:bCs/>
                <w:sz w:val="18"/>
                <w:szCs w:val="18"/>
              </w:rPr>
            </w:pPr>
            <w:r w:rsidRPr="00563613">
              <w:rPr>
                <w:rFonts w:asciiTheme="minorHAnsi" w:hAnsiTheme="minorHAnsi"/>
                <w:b/>
                <w:bCs/>
                <w:sz w:val="18"/>
                <w:szCs w:val="18"/>
              </w:rPr>
              <w:t>Guztira, oro har</w:t>
            </w:r>
          </w:p>
        </w:tc>
        <w:tc>
          <w:tcPr>
            <w:tcW w:w="775"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jc w:val="right"/>
              <w:rPr>
                <w:rFonts w:asciiTheme="minorHAnsi" w:hAnsiTheme="minorHAnsi" w:cs="Calibri"/>
                <w:b/>
                <w:bCs/>
                <w:sz w:val="18"/>
                <w:szCs w:val="18"/>
              </w:rPr>
            </w:pPr>
            <w:r w:rsidRPr="00563613">
              <w:rPr>
                <w:rFonts w:asciiTheme="minorHAnsi" w:hAnsiTheme="minorHAnsi"/>
                <w:b/>
                <w:bCs/>
                <w:sz w:val="18"/>
                <w:szCs w:val="18"/>
              </w:rPr>
              <w:t>17</w:t>
            </w:r>
          </w:p>
        </w:tc>
        <w:tc>
          <w:tcPr>
            <w:tcW w:w="775"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jc w:val="right"/>
              <w:rPr>
                <w:rFonts w:asciiTheme="minorHAnsi" w:hAnsiTheme="minorHAnsi" w:cs="Calibri"/>
                <w:b/>
                <w:bCs/>
                <w:sz w:val="18"/>
                <w:szCs w:val="18"/>
              </w:rPr>
            </w:pPr>
            <w:r w:rsidRPr="00563613">
              <w:rPr>
                <w:rFonts w:asciiTheme="minorHAnsi" w:hAnsiTheme="minorHAnsi"/>
                <w:b/>
                <w:bCs/>
                <w:sz w:val="18"/>
                <w:szCs w:val="18"/>
              </w:rPr>
              <w:t>10</w:t>
            </w:r>
          </w:p>
        </w:tc>
        <w:tc>
          <w:tcPr>
            <w:tcW w:w="775"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jc w:val="right"/>
              <w:rPr>
                <w:rFonts w:asciiTheme="minorHAnsi" w:hAnsiTheme="minorHAnsi" w:cs="Calibri"/>
                <w:b/>
                <w:bCs/>
                <w:sz w:val="18"/>
                <w:szCs w:val="18"/>
              </w:rPr>
            </w:pPr>
            <w:r w:rsidRPr="00563613">
              <w:rPr>
                <w:rFonts w:asciiTheme="minorHAnsi" w:hAnsiTheme="minorHAnsi"/>
                <w:b/>
                <w:bCs/>
                <w:sz w:val="18"/>
                <w:szCs w:val="18"/>
              </w:rPr>
              <w:t>21</w:t>
            </w:r>
          </w:p>
        </w:tc>
        <w:tc>
          <w:tcPr>
            <w:tcW w:w="775"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jc w:val="right"/>
              <w:rPr>
                <w:rFonts w:asciiTheme="minorHAnsi" w:hAnsiTheme="minorHAnsi" w:cs="Calibri"/>
                <w:b/>
                <w:bCs/>
                <w:sz w:val="18"/>
                <w:szCs w:val="18"/>
              </w:rPr>
            </w:pPr>
            <w:r w:rsidRPr="00563613">
              <w:rPr>
                <w:rFonts w:asciiTheme="minorHAnsi" w:hAnsiTheme="minorHAnsi"/>
                <w:b/>
                <w:bCs/>
                <w:sz w:val="18"/>
                <w:szCs w:val="18"/>
              </w:rPr>
              <w:t>24</w:t>
            </w:r>
          </w:p>
        </w:tc>
        <w:tc>
          <w:tcPr>
            <w:tcW w:w="775"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jc w:val="right"/>
              <w:rPr>
                <w:rFonts w:asciiTheme="minorHAnsi" w:hAnsiTheme="minorHAnsi" w:cs="Calibri"/>
                <w:b/>
                <w:bCs/>
                <w:sz w:val="18"/>
                <w:szCs w:val="18"/>
              </w:rPr>
            </w:pPr>
            <w:r w:rsidRPr="00563613">
              <w:rPr>
                <w:rFonts w:asciiTheme="minorHAnsi" w:hAnsiTheme="minorHAnsi"/>
                <w:b/>
                <w:bCs/>
                <w:sz w:val="18"/>
                <w:szCs w:val="18"/>
              </w:rPr>
              <w:t>31</w:t>
            </w:r>
          </w:p>
        </w:tc>
        <w:tc>
          <w:tcPr>
            <w:tcW w:w="1156" w:type="dxa"/>
            <w:tcBorders>
              <w:top w:val="single" w:sz="4" w:space="0" w:color="95B3D7"/>
              <w:left w:val="nil"/>
              <w:bottom w:val="nil"/>
              <w:right w:val="nil"/>
            </w:tcBorders>
            <w:shd w:val="clear" w:color="DCE6F1" w:fill="DCE6F1"/>
            <w:noWrap/>
            <w:vAlign w:val="bottom"/>
            <w:hideMark/>
          </w:tcPr>
          <w:p w:rsidR="00516968" w:rsidRPr="00563613" w:rsidRDefault="00516968" w:rsidP="00563613">
            <w:pPr>
              <w:spacing w:before="40" w:after="40"/>
              <w:jc w:val="right"/>
              <w:rPr>
                <w:rFonts w:asciiTheme="minorHAnsi" w:hAnsiTheme="minorHAnsi" w:cs="Calibri"/>
                <w:b/>
                <w:bCs/>
                <w:sz w:val="18"/>
                <w:szCs w:val="18"/>
              </w:rPr>
            </w:pPr>
            <w:r w:rsidRPr="00563613">
              <w:rPr>
                <w:rFonts w:asciiTheme="minorHAnsi" w:hAnsiTheme="minorHAnsi"/>
                <w:b/>
                <w:bCs/>
                <w:sz w:val="18"/>
                <w:szCs w:val="18"/>
              </w:rPr>
              <w:t>103</w:t>
            </w:r>
          </w:p>
        </w:tc>
      </w:tr>
      <w:bookmarkEnd w:id="0"/>
    </w:tbl>
    <w:p w:rsidR="00FE3DAC" w:rsidRDefault="00FE3DAC" w:rsidP="00143E08">
      <w:pPr>
        <w:tabs>
          <w:tab w:val="left" w:pos="3780"/>
        </w:tabs>
        <w:spacing w:line="288" w:lineRule="auto"/>
        <w:jc w:val="both"/>
        <w:rPr>
          <w:rFonts w:ascii="Century Gothic" w:hAnsi="Century Gothic"/>
        </w:rPr>
      </w:pPr>
    </w:p>
    <w:p w:rsidR="00FE3DAC" w:rsidRDefault="003A4575" w:rsidP="00143E08">
      <w:pPr>
        <w:tabs>
          <w:tab w:val="left" w:pos="3780"/>
        </w:tabs>
        <w:spacing w:line="288" w:lineRule="auto"/>
        <w:jc w:val="both"/>
        <w:rPr>
          <w:rFonts w:ascii="Century Gothic" w:hAnsi="Century Gothic"/>
        </w:rPr>
      </w:pPr>
      <w:r>
        <w:rPr>
          <w:rFonts w:ascii="Century Gothic" w:hAnsi="Century Gothic"/>
        </w:rPr>
        <w:t xml:space="preserve">Ez-joateen eta kontratazioen betetzeari dagokionez, Osasuneko kontseilariaren martxoaren 23ko 347E/2017 Foru Aginduan xedatutako aplikatu beharra dago; agindu horren bidez onesten dira aldi baterako kontratatzeko izangaien zerrendak kudeatzeko arauak, Osasun Departamentuari atxikitako erakunde autonomoetako zentro eta establezimenduetarako. Arau horiek osasuneko mahai sektorialean negoziatu eta onetsi ziren, horretarako sortutako taldeak egindako azterlanaren ondoren. </w:t>
      </w:r>
    </w:p>
    <w:p w:rsidR="00FE3DAC" w:rsidRDefault="00B778D5" w:rsidP="00143E08">
      <w:pPr>
        <w:tabs>
          <w:tab w:val="left" w:pos="3780"/>
        </w:tabs>
        <w:spacing w:line="288" w:lineRule="auto"/>
        <w:jc w:val="both"/>
        <w:rPr>
          <w:rFonts w:ascii="Century Gothic" w:hAnsi="Century Gothic"/>
        </w:rPr>
      </w:pPr>
      <w:r>
        <w:rPr>
          <w:rFonts w:ascii="Century Gothic" w:hAnsi="Century Gothic"/>
        </w:rPr>
        <w:t xml:space="preserve">Halaber, osasun arloko eskumenen esparruan eta profesionalak </w:t>
      </w:r>
      <w:proofErr w:type="spellStart"/>
      <w:r>
        <w:rPr>
          <w:rFonts w:ascii="Century Gothic" w:hAnsi="Century Gothic"/>
        </w:rPr>
        <w:t>fidelizatze</w:t>
      </w:r>
      <w:proofErr w:type="spellEnd"/>
      <w:r>
        <w:rPr>
          <w:rFonts w:ascii="Century Gothic" w:hAnsi="Century Gothic"/>
        </w:rPr>
        <w:t xml:space="preserve"> aldera, lanean ari gara hainbat jarduketa-ildo garatu eta hobetzeko, eta espero izatekoa da horiek berekin ekartzea bai profesionalen lan-baldintzen hobekuntza bat, bai lanbide-sustapeneko eta garapeneko aukerak indartzea ere. Honako hauek daude horien artean:  espazioak eta azpiegiturak egokitzea; profesionalei harrera egitea; lan-arriskuen prebentzioa eta osasunaren sustapena; barne-komunikazioa eta parte-hartzea hobetzea; prestakuntza jarraitua eta ikerketa; espezialisten prestakuntza, behin eskatu diren irakaskuntza-dispositibo elkartuak onetsi ondoren; teknologia ordeztea eta berritzea; zerbitzu-zorroa hobetzea; laguntzarako unitate funtzional berriak sortzea, esate baterako digestio-aparatuaren arloan eta kardiologian; eta lan-ordutegia malgutzea, azken hau, betiere, aplikatzekoa den araudiak eta arretaren beharrizanek horretarako bidea ematen dutenean.   </w:t>
      </w:r>
    </w:p>
    <w:p w:rsidR="00FE3DAC" w:rsidRDefault="001F63C7" w:rsidP="00143E08">
      <w:pPr>
        <w:tabs>
          <w:tab w:val="left" w:pos="720"/>
        </w:tabs>
        <w:spacing w:line="288" w:lineRule="auto"/>
        <w:jc w:val="both"/>
        <w:rPr>
          <w:rFonts w:ascii="Century Gothic" w:hAnsi="Century Gothic"/>
        </w:rPr>
      </w:pPr>
      <w:r>
        <w:rPr>
          <w:rFonts w:ascii="Century Gothic" w:hAnsi="Century Gothic"/>
        </w:rPr>
        <w:t>Hori guztia jakinarazten dizut, Nafarroako Parlamentuko Erregelamenduaren 194. artikulua betez.</w:t>
      </w:r>
    </w:p>
    <w:p w:rsidR="00FE3DAC" w:rsidRDefault="001F63C7" w:rsidP="00143E08">
      <w:pPr>
        <w:spacing w:line="288" w:lineRule="auto"/>
        <w:ind w:left="567" w:right="567"/>
        <w:jc w:val="center"/>
        <w:outlineLvl w:val="0"/>
        <w:rPr>
          <w:rFonts w:ascii="Century Gothic" w:hAnsi="Century Gothic"/>
        </w:rPr>
      </w:pPr>
      <w:r>
        <w:rPr>
          <w:rFonts w:ascii="Century Gothic" w:hAnsi="Century Gothic"/>
        </w:rPr>
        <w:t>Iruñean, 2018ko abenduaren 10ean</w:t>
      </w:r>
    </w:p>
    <w:p w:rsidR="00FE3DAC" w:rsidRDefault="00FE3DAC" w:rsidP="00143E08">
      <w:pPr>
        <w:spacing w:line="288" w:lineRule="auto"/>
        <w:ind w:left="567" w:right="567"/>
        <w:jc w:val="center"/>
        <w:rPr>
          <w:rFonts w:ascii="Century Gothic" w:hAnsi="Century Gothic"/>
        </w:rPr>
      </w:pPr>
      <w:r>
        <w:rPr>
          <w:rFonts w:ascii="Century Gothic" w:hAnsi="Century Gothic"/>
        </w:rPr>
        <w:t xml:space="preserve">Osasuneko kontseilaria: Fernando </w:t>
      </w:r>
      <w:proofErr w:type="spellStart"/>
      <w:r>
        <w:rPr>
          <w:rFonts w:ascii="Century Gothic" w:hAnsi="Century Gothic"/>
        </w:rPr>
        <w:t>Domínguez</w:t>
      </w:r>
      <w:proofErr w:type="spellEnd"/>
      <w:r>
        <w:rPr>
          <w:rFonts w:ascii="Century Gothic" w:hAnsi="Century Gothic"/>
        </w:rPr>
        <w:t xml:space="preserve"> </w:t>
      </w:r>
      <w:proofErr w:type="spellStart"/>
      <w:r>
        <w:rPr>
          <w:rFonts w:ascii="Century Gothic" w:hAnsi="Century Gothic"/>
        </w:rPr>
        <w:t>Cunchillos</w:t>
      </w:r>
      <w:proofErr w:type="spellEnd"/>
    </w:p>
    <w:p w:rsidR="00100AC5" w:rsidRPr="00143E08" w:rsidRDefault="00100AC5" w:rsidP="00143E08">
      <w:pPr>
        <w:spacing w:line="288" w:lineRule="auto"/>
        <w:ind w:left="567" w:right="567"/>
        <w:jc w:val="center"/>
        <w:rPr>
          <w:rFonts w:ascii="Century Gothic" w:hAnsi="Century Gothic"/>
          <w:lang w:val="pt-BR"/>
        </w:rPr>
      </w:pPr>
    </w:p>
    <w:sectPr w:rsidR="00100AC5" w:rsidRPr="00143E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7644C"/>
    <w:multiLevelType w:val="hybridMultilevel"/>
    <w:tmpl w:val="F9969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292A6C"/>
    <w:multiLevelType w:val="hybridMultilevel"/>
    <w:tmpl w:val="99EED19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3FF56A2"/>
    <w:multiLevelType w:val="hybridMultilevel"/>
    <w:tmpl w:val="95D6C65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C7"/>
    <w:rsid w:val="0000387F"/>
    <w:rsid w:val="000078E5"/>
    <w:rsid w:val="00010902"/>
    <w:rsid w:val="00013F71"/>
    <w:rsid w:val="000206CF"/>
    <w:rsid w:val="0002228B"/>
    <w:rsid w:val="000251F9"/>
    <w:rsid w:val="00027633"/>
    <w:rsid w:val="00027973"/>
    <w:rsid w:val="0003640C"/>
    <w:rsid w:val="000815C3"/>
    <w:rsid w:val="0009391E"/>
    <w:rsid w:val="00093D74"/>
    <w:rsid w:val="00094914"/>
    <w:rsid w:val="000A024B"/>
    <w:rsid w:val="000B1227"/>
    <w:rsid w:val="000C0780"/>
    <w:rsid w:val="000C4BDA"/>
    <w:rsid w:val="000C6172"/>
    <w:rsid w:val="000C6BD2"/>
    <w:rsid w:val="000D375F"/>
    <w:rsid w:val="000E081D"/>
    <w:rsid w:val="000E0825"/>
    <w:rsid w:val="000E75C8"/>
    <w:rsid w:val="000F5E44"/>
    <w:rsid w:val="00100AC5"/>
    <w:rsid w:val="00104044"/>
    <w:rsid w:val="001115A0"/>
    <w:rsid w:val="00115FB8"/>
    <w:rsid w:val="0012228D"/>
    <w:rsid w:val="00133815"/>
    <w:rsid w:val="00143E08"/>
    <w:rsid w:val="00154BE0"/>
    <w:rsid w:val="001657BB"/>
    <w:rsid w:val="00184B06"/>
    <w:rsid w:val="0019303E"/>
    <w:rsid w:val="001A1D73"/>
    <w:rsid w:val="001C1140"/>
    <w:rsid w:val="001C2BAA"/>
    <w:rsid w:val="001E2CB4"/>
    <w:rsid w:val="001F2DFD"/>
    <w:rsid w:val="001F63C7"/>
    <w:rsid w:val="00211567"/>
    <w:rsid w:val="00221D74"/>
    <w:rsid w:val="00235802"/>
    <w:rsid w:val="002457DF"/>
    <w:rsid w:val="00247449"/>
    <w:rsid w:val="00254A00"/>
    <w:rsid w:val="002614AA"/>
    <w:rsid w:val="00261772"/>
    <w:rsid w:val="00263406"/>
    <w:rsid w:val="002678C6"/>
    <w:rsid w:val="00273FBE"/>
    <w:rsid w:val="002755A7"/>
    <w:rsid w:val="0028280B"/>
    <w:rsid w:val="00284158"/>
    <w:rsid w:val="002A3193"/>
    <w:rsid w:val="002B42C4"/>
    <w:rsid w:val="002B5845"/>
    <w:rsid w:val="002B5E87"/>
    <w:rsid w:val="002E48AD"/>
    <w:rsid w:val="002E5567"/>
    <w:rsid w:val="003234A7"/>
    <w:rsid w:val="003304A0"/>
    <w:rsid w:val="003314EC"/>
    <w:rsid w:val="00340125"/>
    <w:rsid w:val="00361AB4"/>
    <w:rsid w:val="00364572"/>
    <w:rsid w:val="00367F2B"/>
    <w:rsid w:val="00384427"/>
    <w:rsid w:val="003A4575"/>
    <w:rsid w:val="003A539F"/>
    <w:rsid w:val="003A5B95"/>
    <w:rsid w:val="003B0B14"/>
    <w:rsid w:val="003B4B97"/>
    <w:rsid w:val="003C3FBA"/>
    <w:rsid w:val="003E38EF"/>
    <w:rsid w:val="004114F2"/>
    <w:rsid w:val="004217D0"/>
    <w:rsid w:val="004229AD"/>
    <w:rsid w:val="00423F29"/>
    <w:rsid w:val="00426CAB"/>
    <w:rsid w:val="0043200C"/>
    <w:rsid w:val="0044433C"/>
    <w:rsid w:val="0045699D"/>
    <w:rsid w:val="004571BC"/>
    <w:rsid w:val="004623AC"/>
    <w:rsid w:val="0046407D"/>
    <w:rsid w:val="00476DF6"/>
    <w:rsid w:val="00482CC5"/>
    <w:rsid w:val="00483DB2"/>
    <w:rsid w:val="004907AB"/>
    <w:rsid w:val="00494AEB"/>
    <w:rsid w:val="004A524C"/>
    <w:rsid w:val="004B30DC"/>
    <w:rsid w:val="004C3CCA"/>
    <w:rsid w:val="004D6F2F"/>
    <w:rsid w:val="004E401D"/>
    <w:rsid w:val="004F1D4A"/>
    <w:rsid w:val="004F4628"/>
    <w:rsid w:val="00516968"/>
    <w:rsid w:val="00524F64"/>
    <w:rsid w:val="00526D1F"/>
    <w:rsid w:val="00526D5E"/>
    <w:rsid w:val="0053795D"/>
    <w:rsid w:val="005404BF"/>
    <w:rsid w:val="00540E26"/>
    <w:rsid w:val="005459C6"/>
    <w:rsid w:val="0055143E"/>
    <w:rsid w:val="00555675"/>
    <w:rsid w:val="00563613"/>
    <w:rsid w:val="00565E43"/>
    <w:rsid w:val="0057126D"/>
    <w:rsid w:val="00580DEE"/>
    <w:rsid w:val="005854C1"/>
    <w:rsid w:val="00590A36"/>
    <w:rsid w:val="005B3E0B"/>
    <w:rsid w:val="005B5592"/>
    <w:rsid w:val="005B626E"/>
    <w:rsid w:val="005C3A1D"/>
    <w:rsid w:val="005C543A"/>
    <w:rsid w:val="005D2AB1"/>
    <w:rsid w:val="005E3A7F"/>
    <w:rsid w:val="005F59C3"/>
    <w:rsid w:val="00614B9A"/>
    <w:rsid w:val="00625A1F"/>
    <w:rsid w:val="00627732"/>
    <w:rsid w:val="00633CFD"/>
    <w:rsid w:val="0063441C"/>
    <w:rsid w:val="006406CF"/>
    <w:rsid w:val="00641B43"/>
    <w:rsid w:val="0064613E"/>
    <w:rsid w:val="0064704D"/>
    <w:rsid w:val="00670C5D"/>
    <w:rsid w:val="00677567"/>
    <w:rsid w:val="0068409D"/>
    <w:rsid w:val="00687B55"/>
    <w:rsid w:val="0069320F"/>
    <w:rsid w:val="0069366F"/>
    <w:rsid w:val="006B1E03"/>
    <w:rsid w:val="006B2BFF"/>
    <w:rsid w:val="006B4184"/>
    <w:rsid w:val="006C2097"/>
    <w:rsid w:val="006E19AE"/>
    <w:rsid w:val="006E3D96"/>
    <w:rsid w:val="006E4655"/>
    <w:rsid w:val="006E7515"/>
    <w:rsid w:val="006F3A11"/>
    <w:rsid w:val="0070226D"/>
    <w:rsid w:val="00702666"/>
    <w:rsid w:val="00711314"/>
    <w:rsid w:val="007126C6"/>
    <w:rsid w:val="00721D2E"/>
    <w:rsid w:val="007416EF"/>
    <w:rsid w:val="00745148"/>
    <w:rsid w:val="007622ED"/>
    <w:rsid w:val="007737CF"/>
    <w:rsid w:val="007776D3"/>
    <w:rsid w:val="00790545"/>
    <w:rsid w:val="007A1AFD"/>
    <w:rsid w:val="007A6EB7"/>
    <w:rsid w:val="007B147F"/>
    <w:rsid w:val="007B43E2"/>
    <w:rsid w:val="007D250B"/>
    <w:rsid w:val="007D2A41"/>
    <w:rsid w:val="007D6AAA"/>
    <w:rsid w:val="007E20EE"/>
    <w:rsid w:val="007E3EEA"/>
    <w:rsid w:val="007E7236"/>
    <w:rsid w:val="007F16ED"/>
    <w:rsid w:val="007F5B36"/>
    <w:rsid w:val="00802C1A"/>
    <w:rsid w:val="00807C98"/>
    <w:rsid w:val="00814C04"/>
    <w:rsid w:val="00817662"/>
    <w:rsid w:val="00820758"/>
    <w:rsid w:val="00824DF2"/>
    <w:rsid w:val="008264F4"/>
    <w:rsid w:val="00836F63"/>
    <w:rsid w:val="008408BD"/>
    <w:rsid w:val="0084271F"/>
    <w:rsid w:val="00855E9B"/>
    <w:rsid w:val="00864EAA"/>
    <w:rsid w:val="00884981"/>
    <w:rsid w:val="00891752"/>
    <w:rsid w:val="008A279E"/>
    <w:rsid w:val="008A590D"/>
    <w:rsid w:val="008A6CE4"/>
    <w:rsid w:val="008C0378"/>
    <w:rsid w:val="008C2EFA"/>
    <w:rsid w:val="008E72E9"/>
    <w:rsid w:val="008F00F4"/>
    <w:rsid w:val="00902F68"/>
    <w:rsid w:val="00906309"/>
    <w:rsid w:val="009204DD"/>
    <w:rsid w:val="00922004"/>
    <w:rsid w:val="00930719"/>
    <w:rsid w:val="009457A5"/>
    <w:rsid w:val="00954DB9"/>
    <w:rsid w:val="0095542B"/>
    <w:rsid w:val="00964E65"/>
    <w:rsid w:val="00970D7C"/>
    <w:rsid w:val="00982BB0"/>
    <w:rsid w:val="00984844"/>
    <w:rsid w:val="00984C8A"/>
    <w:rsid w:val="00985FB2"/>
    <w:rsid w:val="009968F8"/>
    <w:rsid w:val="009B1786"/>
    <w:rsid w:val="009B22A1"/>
    <w:rsid w:val="009D3DFD"/>
    <w:rsid w:val="009E09F4"/>
    <w:rsid w:val="009E61F0"/>
    <w:rsid w:val="009F0BC0"/>
    <w:rsid w:val="009F5A71"/>
    <w:rsid w:val="00A06CEC"/>
    <w:rsid w:val="00A17D11"/>
    <w:rsid w:val="00A30D13"/>
    <w:rsid w:val="00A326AF"/>
    <w:rsid w:val="00A330C5"/>
    <w:rsid w:val="00A33FAD"/>
    <w:rsid w:val="00A34BE0"/>
    <w:rsid w:val="00A34FE9"/>
    <w:rsid w:val="00A3531D"/>
    <w:rsid w:val="00A3758C"/>
    <w:rsid w:val="00A475F9"/>
    <w:rsid w:val="00A47C7D"/>
    <w:rsid w:val="00A509BB"/>
    <w:rsid w:val="00A51705"/>
    <w:rsid w:val="00A566D6"/>
    <w:rsid w:val="00A6293A"/>
    <w:rsid w:val="00A67B49"/>
    <w:rsid w:val="00A742ED"/>
    <w:rsid w:val="00A802CE"/>
    <w:rsid w:val="00A816D9"/>
    <w:rsid w:val="00A820D6"/>
    <w:rsid w:val="00A84899"/>
    <w:rsid w:val="00A94DA7"/>
    <w:rsid w:val="00A94F8C"/>
    <w:rsid w:val="00AA065C"/>
    <w:rsid w:val="00AA0B33"/>
    <w:rsid w:val="00AA1C91"/>
    <w:rsid w:val="00AB62DD"/>
    <w:rsid w:val="00AB6F7D"/>
    <w:rsid w:val="00AC0874"/>
    <w:rsid w:val="00AD373E"/>
    <w:rsid w:val="00AD65B3"/>
    <w:rsid w:val="00AE2304"/>
    <w:rsid w:val="00AF426D"/>
    <w:rsid w:val="00AF4DB2"/>
    <w:rsid w:val="00AF6FB1"/>
    <w:rsid w:val="00B05A54"/>
    <w:rsid w:val="00B31FED"/>
    <w:rsid w:val="00B37966"/>
    <w:rsid w:val="00B4315F"/>
    <w:rsid w:val="00B52EAD"/>
    <w:rsid w:val="00B56BB3"/>
    <w:rsid w:val="00B6245E"/>
    <w:rsid w:val="00B6349F"/>
    <w:rsid w:val="00B7110F"/>
    <w:rsid w:val="00B72F4A"/>
    <w:rsid w:val="00B752DA"/>
    <w:rsid w:val="00B75734"/>
    <w:rsid w:val="00B778D5"/>
    <w:rsid w:val="00B83140"/>
    <w:rsid w:val="00B85EF1"/>
    <w:rsid w:val="00B937F0"/>
    <w:rsid w:val="00B9550D"/>
    <w:rsid w:val="00BD04B5"/>
    <w:rsid w:val="00BD4C6D"/>
    <w:rsid w:val="00BD64DF"/>
    <w:rsid w:val="00BF0E64"/>
    <w:rsid w:val="00C0487A"/>
    <w:rsid w:val="00C10AC3"/>
    <w:rsid w:val="00C1707E"/>
    <w:rsid w:val="00C233A9"/>
    <w:rsid w:val="00C23C44"/>
    <w:rsid w:val="00C2796C"/>
    <w:rsid w:val="00C33154"/>
    <w:rsid w:val="00C41ABE"/>
    <w:rsid w:val="00C41BE2"/>
    <w:rsid w:val="00C44D85"/>
    <w:rsid w:val="00C5010F"/>
    <w:rsid w:val="00C521F6"/>
    <w:rsid w:val="00C64F4A"/>
    <w:rsid w:val="00C77CCD"/>
    <w:rsid w:val="00C84847"/>
    <w:rsid w:val="00C85A94"/>
    <w:rsid w:val="00C92A62"/>
    <w:rsid w:val="00CA46EA"/>
    <w:rsid w:val="00CB0C34"/>
    <w:rsid w:val="00CB3664"/>
    <w:rsid w:val="00CB54D2"/>
    <w:rsid w:val="00CC1BB0"/>
    <w:rsid w:val="00CC5F06"/>
    <w:rsid w:val="00CD1741"/>
    <w:rsid w:val="00CD59DC"/>
    <w:rsid w:val="00CD60C3"/>
    <w:rsid w:val="00CD669F"/>
    <w:rsid w:val="00CE5D80"/>
    <w:rsid w:val="00CF3702"/>
    <w:rsid w:val="00D02DBC"/>
    <w:rsid w:val="00D06B35"/>
    <w:rsid w:val="00D22CA9"/>
    <w:rsid w:val="00D347AD"/>
    <w:rsid w:val="00D57A38"/>
    <w:rsid w:val="00D711EB"/>
    <w:rsid w:val="00D739CD"/>
    <w:rsid w:val="00D81539"/>
    <w:rsid w:val="00D833A4"/>
    <w:rsid w:val="00D94A06"/>
    <w:rsid w:val="00D966C4"/>
    <w:rsid w:val="00DA074D"/>
    <w:rsid w:val="00DA6F0D"/>
    <w:rsid w:val="00DB613E"/>
    <w:rsid w:val="00DC0C52"/>
    <w:rsid w:val="00DC148E"/>
    <w:rsid w:val="00DC470D"/>
    <w:rsid w:val="00DD0CE4"/>
    <w:rsid w:val="00DE6109"/>
    <w:rsid w:val="00DF6822"/>
    <w:rsid w:val="00E031E3"/>
    <w:rsid w:val="00E07953"/>
    <w:rsid w:val="00E118FF"/>
    <w:rsid w:val="00E17BDE"/>
    <w:rsid w:val="00E23B0F"/>
    <w:rsid w:val="00E3280A"/>
    <w:rsid w:val="00E401D8"/>
    <w:rsid w:val="00E50C2E"/>
    <w:rsid w:val="00E52AD4"/>
    <w:rsid w:val="00E558ED"/>
    <w:rsid w:val="00E6249E"/>
    <w:rsid w:val="00E636DD"/>
    <w:rsid w:val="00E6427D"/>
    <w:rsid w:val="00E87A2F"/>
    <w:rsid w:val="00EA1F09"/>
    <w:rsid w:val="00EA5CE1"/>
    <w:rsid w:val="00EA70F3"/>
    <w:rsid w:val="00EB70AE"/>
    <w:rsid w:val="00ED1F49"/>
    <w:rsid w:val="00EE2A2B"/>
    <w:rsid w:val="00EE4D7D"/>
    <w:rsid w:val="00EE6976"/>
    <w:rsid w:val="00EF51E9"/>
    <w:rsid w:val="00F00480"/>
    <w:rsid w:val="00F008AA"/>
    <w:rsid w:val="00F13B8F"/>
    <w:rsid w:val="00F31682"/>
    <w:rsid w:val="00F35E76"/>
    <w:rsid w:val="00F401F0"/>
    <w:rsid w:val="00F40429"/>
    <w:rsid w:val="00F41CE4"/>
    <w:rsid w:val="00F555F6"/>
    <w:rsid w:val="00F64DCF"/>
    <w:rsid w:val="00F70396"/>
    <w:rsid w:val="00F73DAD"/>
    <w:rsid w:val="00F866E5"/>
    <w:rsid w:val="00F90A00"/>
    <w:rsid w:val="00F96714"/>
    <w:rsid w:val="00FA5F6A"/>
    <w:rsid w:val="00FA602E"/>
    <w:rsid w:val="00FC7FCC"/>
    <w:rsid w:val="00FD08A1"/>
    <w:rsid w:val="00FD2A2B"/>
    <w:rsid w:val="00FD780A"/>
    <w:rsid w:val="00FE205B"/>
    <w:rsid w:val="00FE3DAC"/>
    <w:rsid w:val="00FF4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85A94"/>
    <w:rPr>
      <w:rFonts w:ascii="Tahoma" w:hAnsi="Tahoma" w:cs="Tahoma"/>
      <w:sz w:val="16"/>
      <w:szCs w:val="16"/>
    </w:rPr>
  </w:style>
  <w:style w:type="character" w:customStyle="1" w:styleId="TextodegloboCar">
    <w:name w:val="Texto de globo Car"/>
    <w:link w:val="Textodeglobo"/>
    <w:rsid w:val="00C85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85A94"/>
    <w:rPr>
      <w:rFonts w:ascii="Tahoma" w:hAnsi="Tahoma" w:cs="Tahoma"/>
      <w:sz w:val="16"/>
      <w:szCs w:val="16"/>
    </w:rPr>
  </w:style>
  <w:style w:type="character" w:customStyle="1" w:styleId="TextodegloboCar">
    <w:name w:val="Texto de globo Car"/>
    <w:link w:val="Textodeglobo"/>
    <w:rsid w:val="00C85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petición de información presentada por la Parlamentaria Foral Ilma</vt:lpstr>
    </vt:vector>
  </TitlesOfParts>
  <Company>Gobierno de Navarra</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petición de información presentada por la Parlamentaria Foral Ilma</dc:title>
  <dc:creator>D429748</dc:creator>
  <cp:lastModifiedBy>Iñaki De Santiago</cp:lastModifiedBy>
  <cp:revision>3</cp:revision>
  <cp:lastPrinted>2018-12-11T09:18:00Z</cp:lastPrinted>
  <dcterms:created xsi:type="dcterms:W3CDTF">2019-04-09T11:23:00Z</dcterms:created>
  <dcterms:modified xsi:type="dcterms:W3CDTF">2019-04-09T12:22:00Z</dcterms:modified>
</cp:coreProperties>
</file>