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B2" w:rsidRDefault="00892408" w:rsidP="00892408">
      <w:pPr>
        <w:ind w:firstLine="709"/>
        <w:rPr>
          <w:rFonts w:ascii="Tahoma" w:hAnsi="Tahoma" w:cs="Tahoma"/>
          <w:sz w:val="22"/>
          <w:szCs w:val="22"/>
        </w:rPr>
      </w:pPr>
      <w:r w:rsidRPr="00D3645C">
        <w:rPr>
          <w:rFonts w:ascii="Tahoma" w:hAnsi="Tahoma" w:cs="Tahoma"/>
          <w:sz w:val="22"/>
          <w:szCs w:val="22"/>
        </w:rPr>
        <w:t xml:space="preserve">El Consejero de Desarrollo Económico que suscribe, en respuesta a la pregunta parlamentaria </w:t>
      </w:r>
      <w:r w:rsidRPr="00D3645C">
        <w:rPr>
          <w:rFonts w:ascii="Tahoma" w:hAnsi="Tahoma" w:cs="Tahoma"/>
          <w:b/>
          <w:sz w:val="22"/>
          <w:szCs w:val="22"/>
        </w:rPr>
        <w:t>9-19/PES-000</w:t>
      </w:r>
      <w:r w:rsidR="00C67762" w:rsidRPr="00D3645C">
        <w:rPr>
          <w:rFonts w:ascii="Tahoma" w:hAnsi="Tahoma" w:cs="Tahoma"/>
          <w:b/>
          <w:sz w:val="22"/>
          <w:szCs w:val="22"/>
        </w:rPr>
        <w:t>07</w:t>
      </w:r>
      <w:r w:rsidRPr="00D3645C">
        <w:rPr>
          <w:rFonts w:ascii="Tahoma" w:hAnsi="Tahoma" w:cs="Tahoma"/>
          <w:sz w:val="22"/>
          <w:szCs w:val="22"/>
        </w:rPr>
        <w:t xml:space="preserve"> formulada por </w:t>
      </w:r>
      <w:r w:rsidRPr="00D3645C">
        <w:rPr>
          <w:rFonts w:ascii="Tahoma" w:hAnsi="Tahoma" w:cs="Tahoma"/>
          <w:b/>
          <w:sz w:val="22"/>
          <w:szCs w:val="22"/>
        </w:rPr>
        <w:t xml:space="preserve">D. </w:t>
      </w:r>
      <w:r w:rsidR="00C67762" w:rsidRPr="00D3645C">
        <w:rPr>
          <w:rFonts w:ascii="Tahoma" w:hAnsi="Tahoma" w:cs="Tahoma"/>
          <w:b/>
          <w:sz w:val="22"/>
          <w:szCs w:val="22"/>
        </w:rPr>
        <w:t xml:space="preserve">Guzmán </w:t>
      </w:r>
      <w:smartTag w:uri="urn:schemas-microsoft-com:office:smarttags" w:element="PersonName">
        <w:smartTagPr>
          <w:attr w:name="ProductID" w:val="Miguel Garmendia"/>
        </w:smartTagPr>
        <w:r w:rsidR="00C67762" w:rsidRPr="00D3645C">
          <w:rPr>
            <w:rFonts w:ascii="Tahoma" w:hAnsi="Tahoma" w:cs="Tahoma"/>
            <w:b/>
            <w:sz w:val="22"/>
            <w:szCs w:val="22"/>
          </w:rPr>
          <w:t>Miguel Garmendia</w:t>
        </w:r>
      </w:smartTag>
      <w:r w:rsidR="00C67762" w:rsidRPr="00D3645C">
        <w:rPr>
          <w:rFonts w:ascii="Tahoma" w:hAnsi="Tahoma" w:cs="Tahoma"/>
          <w:b/>
          <w:sz w:val="22"/>
          <w:szCs w:val="22"/>
        </w:rPr>
        <w:t xml:space="preserve"> Pérez</w:t>
      </w:r>
      <w:r w:rsidRPr="00D3645C">
        <w:rPr>
          <w:rFonts w:ascii="Tahoma" w:hAnsi="Tahoma" w:cs="Tahoma"/>
          <w:sz w:val="22"/>
          <w:szCs w:val="22"/>
        </w:rPr>
        <w:t>, parlamentario foral adscrito al Grupo Parlamentario</w:t>
      </w:r>
      <w:r w:rsidR="00C67762" w:rsidRPr="00D3645C">
        <w:rPr>
          <w:rFonts w:ascii="Tahoma" w:hAnsi="Tahoma" w:cs="Tahoma"/>
          <w:sz w:val="22"/>
          <w:szCs w:val="22"/>
        </w:rPr>
        <w:t xml:space="preserve"> de Partido Socialista de Navarra (PSN)</w:t>
      </w:r>
      <w:r w:rsidRPr="00D3645C">
        <w:rPr>
          <w:rFonts w:ascii="Tahoma" w:hAnsi="Tahoma" w:cs="Tahoma"/>
          <w:sz w:val="22"/>
          <w:szCs w:val="22"/>
        </w:rPr>
        <w:t>, relativa a</w:t>
      </w:r>
      <w:r w:rsidR="00C67762" w:rsidRPr="00D3645C">
        <w:rPr>
          <w:rFonts w:ascii="Tahoma" w:hAnsi="Tahoma" w:cs="Tahoma"/>
          <w:sz w:val="22"/>
          <w:szCs w:val="22"/>
        </w:rPr>
        <w:t xml:space="preserve"> </w:t>
      </w:r>
      <w:r w:rsidRPr="00D3645C">
        <w:rPr>
          <w:rFonts w:ascii="Tahoma" w:hAnsi="Tahoma" w:cs="Tahoma"/>
          <w:sz w:val="22"/>
          <w:szCs w:val="22"/>
        </w:rPr>
        <w:t>l</w:t>
      </w:r>
      <w:r w:rsidR="00C67762" w:rsidRPr="00D3645C">
        <w:rPr>
          <w:rFonts w:ascii="Tahoma" w:hAnsi="Tahoma" w:cs="Tahoma"/>
          <w:sz w:val="22"/>
          <w:szCs w:val="22"/>
        </w:rPr>
        <w:t xml:space="preserve">a forma en </w:t>
      </w:r>
      <w:smartTag w:uri="urn:schemas-microsoft-com:office:smarttags" w:element="PersonName">
        <w:smartTagPr>
          <w:attr w:name="ProductID" w:val="la que Gobierno"/>
        </w:smartTagPr>
        <w:r w:rsidR="00C67762" w:rsidRPr="00D3645C">
          <w:rPr>
            <w:rFonts w:ascii="Tahoma" w:hAnsi="Tahoma" w:cs="Tahoma"/>
            <w:sz w:val="22"/>
            <w:szCs w:val="22"/>
          </w:rPr>
          <w:t>la que Gobierno</w:t>
        </w:r>
      </w:smartTag>
      <w:r w:rsidR="00C67762" w:rsidRPr="00D3645C">
        <w:rPr>
          <w:rFonts w:ascii="Tahoma" w:hAnsi="Tahoma" w:cs="Tahoma"/>
          <w:sz w:val="22"/>
          <w:szCs w:val="22"/>
        </w:rPr>
        <w:t xml:space="preserve"> de Navarra trata a sus emprendedores,</w:t>
      </w:r>
      <w:r w:rsidRPr="00D3645C">
        <w:rPr>
          <w:rFonts w:ascii="Tahoma" w:hAnsi="Tahoma" w:cs="Tahoma"/>
          <w:sz w:val="22"/>
          <w:szCs w:val="22"/>
        </w:rPr>
        <w:t xml:space="preserve"> por la presente tiene el honor de informar lo siguiente</w:t>
      </w:r>
      <w:r w:rsidR="00C67762" w:rsidRPr="00D3645C">
        <w:rPr>
          <w:rFonts w:ascii="Tahoma" w:hAnsi="Tahoma" w:cs="Tahoma"/>
          <w:sz w:val="22"/>
          <w:szCs w:val="22"/>
        </w:rPr>
        <w:t xml:space="preserve">, en base a la información recabada de </w:t>
      </w:r>
      <w:r w:rsidR="007E1835">
        <w:rPr>
          <w:rFonts w:ascii="Tahoma" w:hAnsi="Tahoma" w:cs="Tahoma"/>
          <w:sz w:val="22"/>
          <w:szCs w:val="22"/>
        </w:rPr>
        <w:t xml:space="preserve">la Dirección de Política Económica, Empresarial y Trabajo y de </w:t>
      </w:r>
      <w:r w:rsidR="00C67762" w:rsidRPr="00D3645C">
        <w:rPr>
          <w:rFonts w:ascii="Tahoma" w:hAnsi="Tahoma" w:cs="Tahoma"/>
          <w:sz w:val="22"/>
          <w:szCs w:val="22"/>
        </w:rPr>
        <w:t xml:space="preserve">las sociedades </w:t>
      </w:r>
      <w:proofErr w:type="spellStart"/>
      <w:r w:rsidR="00C67762" w:rsidRPr="00D3645C">
        <w:rPr>
          <w:rFonts w:ascii="Tahoma" w:hAnsi="Tahoma" w:cs="Tahoma"/>
          <w:sz w:val="22"/>
          <w:szCs w:val="22"/>
        </w:rPr>
        <w:t>Sodena</w:t>
      </w:r>
      <w:proofErr w:type="spellEnd"/>
      <w:r w:rsidR="00C67762" w:rsidRPr="00D3645C">
        <w:rPr>
          <w:rFonts w:ascii="Tahoma" w:hAnsi="Tahoma" w:cs="Tahoma"/>
          <w:sz w:val="22"/>
          <w:szCs w:val="22"/>
        </w:rPr>
        <w:t xml:space="preserve"> y CEIN</w:t>
      </w:r>
      <w:r w:rsidR="007E1835">
        <w:rPr>
          <w:rFonts w:ascii="Tahoma" w:hAnsi="Tahoma" w:cs="Tahoma"/>
          <w:sz w:val="22"/>
          <w:szCs w:val="22"/>
        </w:rPr>
        <w:t>.</w:t>
      </w:r>
    </w:p>
    <w:p w:rsidR="00FE15B2" w:rsidRDefault="00FC1D26" w:rsidP="009C0FAE">
      <w:pPr>
        <w:rPr>
          <w:rFonts w:ascii="Tahoma" w:hAnsi="Tahoma" w:cs="Tahoma"/>
          <w:sz w:val="22"/>
          <w:szCs w:val="22"/>
        </w:rPr>
      </w:pPr>
      <w:r>
        <w:rPr>
          <w:rFonts w:ascii="Tahoma" w:hAnsi="Tahoma" w:cs="Tahoma"/>
          <w:sz w:val="22"/>
          <w:szCs w:val="22"/>
        </w:rPr>
        <w:t>A la pregunta,</w:t>
      </w:r>
    </w:p>
    <w:p w:rsidR="00FE15B2" w:rsidRDefault="007E1835" w:rsidP="007E1835">
      <w:pPr>
        <w:spacing w:line="276" w:lineRule="auto"/>
        <w:ind w:hanging="567"/>
        <w:jc w:val="left"/>
        <w:rPr>
          <w:rFonts w:ascii="Tahoma" w:hAnsi="Tahoma" w:cs="Tahoma"/>
          <w:b/>
          <w:i/>
          <w:sz w:val="22"/>
          <w:szCs w:val="22"/>
        </w:rPr>
      </w:pPr>
      <w:r w:rsidRPr="007E1835">
        <w:rPr>
          <w:rFonts w:ascii="Tahoma" w:hAnsi="Tahoma" w:cs="Tahoma"/>
          <w:b/>
          <w:i/>
          <w:sz w:val="22"/>
          <w:szCs w:val="22"/>
        </w:rPr>
        <w:tab/>
        <w:t>¿Considera adecuada la forma en la que el Gobierno de Navarra trata a sus emprendedores?</w:t>
      </w:r>
    </w:p>
    <w:p w:rsidR="00FE15B2" w:rsidRDefault="00FC1D26" w:rsidP="007E1835">
      <w:pPr>
        <w:spacing w:line="276" w:lineRule="auto"/>
        <w:rPr>
          <w:rFonts w:ascii="Tahoma" w:hAnsi="Tahoma" w:cs="Tahoma"/>
          <w:sz w:val="22"/>
          <w:szCs w:val="22"/>
        </w:rPr>
      </w:pPr>
      <w:r>
        <w:rPr>
          <w:rFonts w:ascii="Tahoma" w:hAnsi="Tahoma" w:cs="Tahoma"/>
          <w:sz w:val="22"/>
          <w:szCs w:val="22"/>
        </w:rPr>
        <w:t>Informar que e</w:t>
      </w:r>
      <w:r w:rsidR="007E1835" w:rsidRPr="007E1835">
        <w:rPr>
          <w:rFonts w:ascii="Tahoma" w:hAnsi="Tahoma" w:cs="Tahoma"/>
          <w:sz w:val="22"/>
          <w:szCs w:val="22"/>
        </w:rPr>
        <w:t xml:space="preserve">n Navarra se apoya decididamente a las personas emprendedoras; su desarrollo e impulso es una inquietud permanente en la política económica del Gobierno de Navarra, quien ha situado en el corazón de su Estrategia de Especialización Inteligente a la innovación y al emprendimiento como elementos clave para la prosperidad y desarrollo regional. </w:t>
      </w:r>
      <w:r w:rsidR="00197F8C">
        <w:rPr>
          <w:rFonts w:ascii="Tahoma" w:hAnsi="Tahoma" w:cs="Tahoma"/>
          <w:sz w:val="22"/>
          <w:szCs w:val="22"/>
        </w:rPr>
        <w:t>Ello no obsta, sin embargo, para asumir un margen de mejora en la política y medidas de impulso al emprendimiento del Gobierno de Navarra, que se describen a continuación.</w:t>
      </w:r>
    </w:p>
    <w:p w:rsidR="00FE15B2" w:rsidRDefault="007E1835" w:rsidP="007E1835">
      <w:pPr>
        <w:spacing w:line="276" w:lineRule="auto"/>
        <w:rPr>
          <w:rFonts w:ascii="Tahoma" w:hAnsi="Tahoma" w:cs="Tahoma"/>
          <w:iCs/>
          <w:sz w:val="22"/>
          <w:szCs w:val="22"/>
        </w:rPr>
      </w:pPr>
      <w:r w:rsidRPr="007E1835">
        <w:rPr>
          <w:rFonts w:ascii="Tahoma" w:hAnsi="Tahoma" w:cs="Tahoma"/>
          <w:iCs/>
          <w:sz w:val="22"/>
          <w:szCs w:val="22"/>
        </w:rPr>
        <w:t xml:space="preserve">Una valoración independiente y objetiva de la que se pueda deducir cómo es el trato que se da a los emprendedores en nuestra región es la tasa de actividad emprendedora (conocido como TEA), de comparabilidad internacional, que mide las iniciativas emprendedoras y que en 2017 alcanzó su valor más alto desde 2011. Un indicador que forma parte del Informe más importante en el que recogen los datos de esta actividad, conocido como el </w:t>
      </w:r>
      <w:r w:rsidRPr="007E1835">
        <w:rPr>
          <w:rFonts w:ascii="Tahoma" w:hAnsi="Tahoma" w:cs="Tahoma"/>
          <w:i/>
          <w:iCs/>
          <w:sz w:val="22"/>
          <w:szCs w:val="22"/>
        </w:rPr>
        <w:t xml:space="preserve">Global </w:t>
      </w:r>
      <w:proofErr w:type="spellStart"/>
      <w:r w:rsidRPr="007E1835">
        <w:rPr>
          <w:rFonts w:ascii="Tahoma" w:hAnsi="Tahoma" w:cs="Tahoma"/>
          <w:i/>
          <w:iCs/>
          <w:sz w:val="22"/>
          <w:szCs w:val="22"/>
        </w:rPr>
        <w:t>Entrepreneurship</w:t>
      </w:r>
      <w:proofErr w:type="spellEnd"/>
      <w:r w:rsidRPr="007E1835">
        <w:rPr>
          <w:rFonts w:ascii="Tahoma" w:hAnsi="Tahoma" w:cs="Tahoma"/>
          <w:i/>
          <w:iCs/>
          <w:sz w:val="22"/>
          <w:szCs w:val="22"/>
        </w:rPr>
        <w:t xml:space="preserve"> Monitor</w:t>
      </w:r>
      <w:r w:rsidRPr="007E1835">
        <w:rPr>
          <w:rFonts w:ascii="Tahoma" w:hAnsi="Tahoma" w:cs="Tahoma"/>
          <w:iCs/>
          <w:sz w:val="22"/>
          <w:szCs w:val="22"/>
        </w:rPr>
        <w:t xml:space="preserve"> (GEM), donde también se pone de manifiesto la calidad y supervivencia de las iniciativas navarras. </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Estos resultados son fruto del considerable número de actuaciones que se hacen por y para el emprendimiento en Navarra, y del esfuerzo de toda una red de entidades públicas y privadas, diecisiete en total, para su apoyo. Liderada por el Gobierno de Navarra en el marco del II Plan de emprendimiento (2017-2019) actualmente en vigor, esta </w:t>
      </w:r>
      <w:r w:rsidRPr="007E1835">
        <w:rPr>
          <w:rFonts w:ascii="Tahoma" w:hAnsi="Tahoma" w:cs="Tahoma"/>
          <w:i/>
          <w:iCs/>
          <w:sz w:val="22"/>
          <w:szCs w:val="22"/>
        </w:rPr>
        <w:t>Red navarra de apoyo al emprendimiento,</w:t>
      </w:r>
      <w:r w:rsidRPr="007E1835">
        <w:rPr>
          <w:rFonts w:ascii="Tahoma" w:hAnsi="Tahoma" w:cs="Tahoma"/>
          <w:sz w:val="22"/>
          <w:szCs w:val="22"/>
        </w:rPr>
        <w:t xml:space="preserve"> cuya oferta de entidades y de servicios se da a conocer en el portal </w:t>
      </w:r>
      <w:r w:rsidRPr="007E1835">
        <w:rPr>
          <w:rFonts w:ascii="Tahoma" w:hAnsi="Tahoma" w:cs="Tahoma"/>
          <w:i/>
          <w:iCs/>
          <w:sz w:val="22"/>
          <w:szCs w:val="22"/>
        </w:rPr>
        <w:t xml:space="preserve">navarraemprende.com </w:t>
      </w:r>
      <w:r w:rsidRPr="007E1835">
        <w:rPr>
          <w:rFonts w:ascii="Tahoma" w:hAnsi="Tahoma" w:cs="Tahoma"/>
          <w:iCs/>
          <w:sz w:val="22"/>
          <w:szCs w:val="22"/>
        </w:rPr>
        <w:t xml:space="preserve">comprende, entre otras, a distintas unidades de la Administración de </w:t>
      </w:r>
      <w:smartTag w:uri="urn:schemas-microsoft-com:office:smarttags" w:element="PersonName">
        <w:smartTagPr>
          <w:attr w:name="ProductID" w:val="la Comunidad Foral"/>
        </w:smartTagPr>
        <w:r w:rsidRPr="007E1835">
          <w:rPr>
            <w:rFonts w:ascii="Tahoma" w:hAnsi="Tahoma" w:cs="Tahoma"/>
            <w:iCs/>
            <w:sz w:val="22"/>
            <w:szCs w:val="22"/>
          </w:rPr>
          <w:t>la Comunidad Foral</w:t>
        </w:r>
      </w:smartTag>
      <w:r w:rsidRPr="007E1835">
        <w:rPr>
          <w:rFonts w:ascii="Tahoma" w:hAnsi="Tahoma" w:cs="Tahoma"/>
          <w:iCs/>
          <w:sz w:val="22"/>
          <w:szCs w:val="22"/>
        </w:rPr>
        <w:t xml:space="preserve">, a sociedades públicas, a asociaciones empresariales, a sindicatos y a grupos de acción local. </w:t>
      </w:r>
    </w:p>
    <w:p w:rsidR="00FE15B2" w:rsidRDefault="007E1835" w:rsidP="007E1835">
      <w:pPr>
        <w:spacing w:line="276" w:lineRule="auto"/>
        <w:rPr>
          <w:rFonts w:ascii="Tahoma" w:hAnsi="Tahoma" w:cs="Tahoma"/>
          <w:iCs/>
          <w:sz w:val="22"/>
          <w:szCs w:val="22"/>
        </w:rPr>
      </w:pPr>
      <w:r w:rsidRPr="007E1835">
        <w:rPr>
          <w:rFonts w:ascii="Tahoma" w:hAnsi="Tahoma" w:cs="Tahoma"/>
          <w:iCs/>
          <w:sz w:val="22"/>
          <w:szCs w:val="22"/>
        </w:rPr>
        <w:t xml:space="preserve">Esta red es la referencia para aquellas personas que deseen poner en marcha un proyecto empresarial donde se les intenta informar, asesorar y orientar de la manera más adecuada y personalizada posible. Lo habitual es que la persona interesada en poner en marcha una iniciativa en Navarra se dirija a una o varias de las entidades pertenecientes a esta Red, incorporándose de este modo al entramado emprendedor de nuestra región. </w:t>
      </w:r>
    </w:p>
    <w:p w:rsidR="00FE15B2" w:rsidRDefault="007E1835" w:rsidP="007E1835">
      <w:pPr>
        <w:spacing w:line="276" w:lineRule="auto"/>
        <w:rPr>
          <w:rFonts w:ascii="Tahoma" w:hAnsi="Tahoma" w:cs="Tahoma"/>
          <w:iCs/>
          <w:sz w:val="22"/>
          <w:szCs w:val="22"/>
        </w:rPr>
      </w:pPr>
      <w:r w:rsidRPr="007E1835">
        <w:rPr>
          <w:rFonts w:ascii="Tahoma" w:hAnsi="Tahoma" w:cs="Tahoma"/>
          <w:iCs/>
          <w:sz w:val="22"/>
          <w:szCs w:val="22"/>
        </w:rPr>
        <w:t xml:space="preserve">En el caso del Gobierno de Navarra y sus sociedades públicas, puede acceder directamente a través del Centro Europeo de Empresas e Innovación de Navarra (CEIN), SODENA o a unos de los puntos de atención a empresas y emprendedores habilitados en el Gobierno de Navarra, como el disponible en la sede de </w:t>
      </w:r>
      <w:smartTag w:uri="urn:schemas-microsoft-com:office:smarttags" w:element="PersonName">
        <w:smartTagPr>
          <w:attr w:name="ProductID" w:val="la Direcci￳n General"/>
        </w:smartTagPr>
        <w:r w:rsidRPr="007E1835">
          <w:rPr>
            <w:rFonts w:ascii="Tahoma" w:hAnsi="Tahoma" w:cs="Tahoma"/>
            <w:iCs/>
            <w:sz w:val="22"/>
            <w:szCs w:val="22"/>
          </w:rPr>
          <w:t>la Dirección General</w:t>
        </w:r>
      </w:smartTag>
      <w:r w:rsidRPr="007E1835">
        <w:rPr>
          <w:rFonts w:ascii="Tahoma" w:hAnsi="Tahoma" w:cs="Tahoma"/>
          <w:iCs/>
          <w:sz w:val="22"/>
          <w:szCs w:val="22"/>
        </w:rPr>
        <w:t xml:space="preserve"> de Política Económica y Empresarial y Trabajo o en el Centro </w:t>
      </w:r>
      <w:proofErr w:type="spellStart"/>
      <w:r w:rsidRPr="007E1835">
        <w:rPr>
          <w:rFonts w:ascii="Tahoma" w:hAnsi="Tahoma" w:cs="Tahoma"/>
          <w:iCs/>
          <w:sz w:val="22"/>
          <w:szCs w:val="22"/>
        </w:rPr>
        <w:t>Iturrondo</w:t>
      </w:r>
      <w:proofErr w:type="spellEnd"/>
      <w:r w:rsidRPr="007E1835">
        <w:rPr>
          <w:rFonts w:ascii="Tahoma" w:hAnsi="Tahoma" w:cs="Tahoma"/>
          <w:iCs/>
          <w:sz w:val="22"/>
          <w:szCs w:val="22"/>
        </w:rPr>
        <w:t xml:space="preserve"> del Servicio Navarro de Empleo. </w:t>
      </w:r>
    </w:p>
    <w:p w:rsidR="00FE15B2" w:rsidRDefault="007E1835" w:rsidP="007E1835">
      <w:pPr>
        <w:spacing w:line="276" w:lineRule="auto"/>
        <w:rPr>
          <w:rFonts w:ascii="Tahoma" w:hAnsi="Tahoma" w:cs="Tahoma"/>
          <w:iCs/>
          <w:sz w:val="22"/>
          <w:szCs w:val="22"/>
        </w:rPr>
      </w:pPr>
      <w:r w:rsidRPr="007E1835">
        <w:rPr>
          <w:rFonts w:ascii="Tahoma" w:hAnsi="Tahoma" w:cs="Tahoma"/>
          <w:iCs/>
          <w:sz w:val="22"/>
          <w:szCs w:val="22"/>
        </w:rPr>
        <w:lastRenderedPageBreak/>
        <w:t xml:space="preserve">La mayoría de las personas con iniciativa emprendedora suelen dirigirse en un primer momento a CEIN que es el “brazo” del Gobierno de Navarra con el que se </w:t>
      </w:r>
      <w:r w:rsidRPr="007E1835">
        <w:rPr>
          <w:rFonts w:ascii="Tahoma" w:hAnsi="Tahoma" w:cs="Tahoma"/>
          <w:bCs/>
          <w:iCs/>
          <w:sz w:val="22"/>
          <w:szCs w:val="22"/>
        </w:rPr>
        <w:t>estimula el espíritu emprendedor y se apoya a la creación de nuevas empresas.</w:t>
      </w:r>
    </w:p>
    <w:p w:rsidR="00FE15B2" w:rsidRDefault="007E1835" w:rsidP="007E1835">
      <w:pPr>
        <w:rPr>
          <w:rFonts w:ascii="Tahoma" w:hAnsi="Tahoma" w:cs="Tahoma"/>
          <w:sz w:val="22"/>
          <w:szCs w:val="22"/>
        </w:rPr>
      </w:pPr>
      <w:r w:rsidRPr="007E1835">
        <w:rPr>
          <w:rFonts w:ascii="Tahoma" w:hAnsi="Tahoma" w:cs="Tahoma"/>
          <w:sz w:val="22"/>
          <w:szCs w:val="22"/>
        </w:rPr>
        <w:t xml:space="preserve">Los servicios que CEIN ofrece se dirigen no sólo a personas emprendedoras que quieren poner en marcha una empresa, también a personas potencialmente emprendedoras o con inquietud hacia el autoempleo y a </w:t>
      </w:r>
      <w:proofErr w:type="spellStart"/>
      <w:r w:rsidRPr="007E1835">
        <w:rPr>
          <w:rFonts w:ascii="Tahoma" w:hAnsi="Tahoma" w:cs="Tahoma"/>
          <w:sz w:val="22"/>
          <w:szCs w:val="22"/>
        </w:rPr>
        <w:t>start</w:t>
      </w:r>
      <w:proofErr w:type="spellEnd"/>
      <w:r w:rsidRPr="007E1835">
        <w:rPr>
          <w:rFonts w:ascii="Tahoma" w:hAnsi="Tahoma" w:cs="Tahoma"/>
          <w:sz w:val="22"/>
          <w:szCs w:val="22"/>
        </w:rPr>
        <w:t xml:space="preserve"> ups de carácter innovador.</w:t>
      </w:r>
    </w:p>
    <w:p w:rsidR="00FE15B2" w:rsidRDefault="007E1835" w:rsidP="007E1835">
      <w:pPr>
        <w:rPr>
          <w:rFonts w:ascii="Tahoma" w:hAnsi="Tahoma" w:cs="Tahoma"/>
          <w:sz w:val="22"/>
          <w:szCs w:val="22"/>
        </w:rPr>
      </w:pPr>
      <w:r w:rsidRPr="007E1835">
        <w:rPr>
          <w:rFonts w:ascii="Tahoma" w:hAnsi="Tahoma" w:cs="Tahoma"/>
          <w:sz w:val="22"/>
          <w:szCs w:val="22"/>
        </w:rPr>
        <w:t xml:space="preserve">CEIN acumula buenas cifras de asistencia y de proyectos generados. Estos son los resultados obtenidos en 2018 en las tres principales rúbricas de actuación: </w:t>
      </w:r>
    </w:p>
    <w:p w:rsidR="007E1835" w:rsidRPr="007E1835" w:rsidRDefault="007E1835" w:rsidP="007E1835">
      <w:pPr>
        <w:rPr>
          <w:rFonts w:ascii="Tahoma" w:hAnsi="Tahoma" w:cs="Tahoma"/>
          <w:sz w:val="22"/>
          <w:szCs w:val="22"/>
        </w:rPr>
      </w:pPr>
      <w:r w:rsidRPr="007E1835">
        <w:rPr>
          <w:rFonts w:ascii="Tahoma" w:hAnsi="Tahoma" w:cs="Tahoma"/>
          <w:sz w:val="22"/>
          <w:szCs w:val="22"/>
        </w:rPr>
        <w:t>1.</w:t>
      </w:r>
      <w:r w:rsidRPr="007E1835">
        <w:rPr>
          <w:rFonts w:ascii="Tahoma" w:hAnsi="Tahoma" w:cs="Tahoma"/>
          <w:sz w:val="22"/>
          <w:szCs w:val="22"/>
        </w:rPr>
        <w:tab/>
        <w:t xml:space="preserve">FASE DE PRE EMPRENDIMIENTO en Universidades, Concursos, </w:t>
      </w:r>
      <w:r w:rsidRPr="007E1835">
        <w:rPr>
          <w:rFonts w:ascii="Tahoma" w:hAnsi="Tahoma" w:cs="Tahoma"/>
          <w:sz w:val="22"/>
          <w:szCs w:val="22"/>
        </w:rPr>
        <w:tab/>
        <w:t xml:space="preserve">Programas sectoriales como </w:t>
      </w:r>
      <w:proofErr w:type="spellStart"/>
      <w:r w:rsidRPr="007E1835">
        <w:rPr>
          <w:rFonts w:ascii="Tahoma" w:hAnsi="Tahoma" w:cs="Tahoma"/>
          <w:sz w:val="22"/>
          <w:szCs w:val="22"/>
        </w:rPr>
        <w:t>Medtech</w:t>
      </w:r>
      <w:proofErr w:type="spellEnd"/>
      <w:r w:rsidRPr="007E1835">
        <w:rPr>
          <w:rFonts w:ascii="Tahoma" w:hAnsi="Tahoma" w:cs="Tahoma"/>
          <w:sz w:val="22"/>
          <w:szCs w:val="22"/>
        </w:rPr>
        <w:t>..,etc.</w:t>
      </w:r>
    </w:p>
    <w:p w:rsidR="007E1835" w:rsidRPr="007E1835" w:rsidRDefault="007E1835" w:rsidP="007E1835">
      <w:pPr>
        <w:ind w:left="708"/>
        <w:rPr>
          <w:rFonts w:ascii="Tahoma" w:hAnsi="Tahoma" w:cs="Tahoma"/>
          <w:sz w:val="22"/>
          <w:szCs w:val="22"/>
        </w:rPr>
      </w:pPr>
      <w:r w:rsidRPr="007E1835">
        <w:rPr>
          <w:rFonts w:ascii="Tahoma" w:hAnsi="Tahoma" w:cs="Tahoma"/>
          <w:sz w:val="22"/>
          <w:szCs w:val="22"/>
        </w:rPr>
        <w:t>Proyectos creados: 180 proyectos</w:t>
      </w:r>
    </w:p>
    <w:p w:rsidR="00FE15B2" w:rsidRDefault="007E1835" w:rsidP="007E1835">
      <w:pPr>
        <w:ind w:left="708"/>
        <w:rPr>
          <w:rFonts w:ascii="Tahoma" w:hAnsi="Tahoma" w:cs="Tahoma"/>
          <w:sz w:val="22"/>
          <w:szCs w:val="22"/>
        </w:rPr>
      </w:pPr>
      <w:r w:rsidRPr="007E1835">
        <w:rPr>
          <w:rFonts w:ascii="Tahoma" w:hAnsi="Tahoma" w:cs="Tahoma"/>
          <w:sz w:val="22"/>
          <w:szCs w:val="22"/>
        </w:rPr>
        <w:t>Personas emprendedoras involucradas: 2.882 personas</w:t>
      </w:r>
    </w:p>
    <w:p w:rsidR="007E1835" w:rsidRPr="007E1835" w:rsidRDefault="007E1835" w:rsidP="007E1835">
      <w:pPr>
        <w:rPr>
          <w:rFonts w:ascii="Tahoma" w:hAnsi="Tahoma" w:cs="Tahoma"/>
          <w:sz w:val="22"/>
          <w:szCs w:val="22"/>
        </w:rPr>
      </w:pPr>
      <w:r w:rsidRPr="007E1835">
        <w:rPr>
          <w:rFonts w:ascii="Tahoma" w:hAnsi="Tahoma" w:cs="Tahoma"/>
          <w:sz w:val="22"/>
          <w:szCs w:val="22"/>
        </w:rPr>
        <w:t>2.</w:t>
      </w:r>
      <w:r w:rsidRPr="007E1835">
        <w:rPr>
          <w:rFonts w:ascii="Tahoma" w:hAnsi="Tahoma" w:cs="Tahoma"/>
          <w:sz w:val="22"/>
          <w:szCs w:val="22"/>
        </w:rPr>
        <w:tab/>
        <w:t>FASE DE CREACIÓN EMPRESAS:</w:t>
      </w:r>
    </w:p>
    <w:p w:rsidR="007E1835" w:rsidRPr="007E1835" w:rsidRDefault="007E1835" w:rsidP="007E1835">
      <w:pPr>
        <w:ind w:left="708"/>
        <w:rPr>
          <w:rFonts w:ascii="Tahoma" w:hAnsi="Tahoma" w:cs="Tahoma"/>
          <w:sz w:val="22"/>
          <w:szCs w:val="22"/>
        </w:rPr>
      </w:pPr>
      <w:r w:rsidRPr="007E1835">
        <w:rPr>
          <w:rFonts w:ascii="Tahoma" w:hAnsi="Tahoma" w:cs="Tahoma"/>
          <w:sz w:val="22"/>
          <w:szCs w:val="22"/>
        </w:rPr>
        <w:t>Proyectos atendidos: 573 proyectos</w:t>
      </w:r>
    </w:p>
    <w:p w:rsidR="00FE15B2" w:rsidRDefault="007E1835" w:rsidP="007E1835">
      <w:pPr>
        <w:ind w:left="708"/>
        <w:rPr>
          <w:rFonts w:ascii="Tahoma" w:hAnsi="Tahoma" w:cs="Tahoma"/>
          <w:sz w:val="22"/>
          <w:szCs w:val="22"/>
        </w:rPr>
      </w:pPr>
      <w:r w:rsidRPr="007E1835">
        <w:rPr>
          <w:rFonts w:ascii="Tahoma" w:hAnsi="Tahoma" w:cs="Tahoma"/>
          <w:sz w:val="22"/>
          <w:szCs w:val="22"/>
        </w:rPr>
        <w:t>Empresas creadas: 136 empresas</w:t>
      </w:r>
    </w:p>
    <w:p w:rsidR="007E1835" w:rsidRPr="007E1835" w:rsidRDefault="007E1835" w:rsidP="007E1835">
      <w:pPr>
        <w:rPr>
          <w:rFonts w:ascii="Tahoma" w:hAnsi="Tahoma" w:cs="Tahoma"/>
          <w:sz w:val="22"/>
          <w:szCs w:val="22"/>
        </w:rPr>
      </w:pPr>
      <w:r w:rsidRPr="007E1835">
        <w:rPr>
          <w:rFonts w:ascii="Tahoma" w:hAnsi="Tahoma" w:cs="Tahoma"/>
          <w:sz w:val="22"/>
          <w:szCs w:val="22"/>
        </w:rPr>
        <w:t>3.</w:t>
      </w:r>
      <w:r w:rsidRPr="007E1835">
        <w:rPr>
          <w:rFonts w:ascii="Tahoma" w:hAnsi="Tahoma" w:cs="Tahoma"/>
          <w:sz w:val="22"/>
          <w:szCs w:val="22"/>
        </w:rPr>
        <w:tab/>
        <w:t>FASE DE CRECIMIENTO Y CONSOLIDACIÓN:</w:t>
      </w:r>
    </w:p>
    <w:p w:rsidR="007E1835" w:rsidRPr="007E1835" w:rsidRDefault="007E1835" w:rsidP="007E1835">
      <w:pPr>
        <w:ind w:firstLine="708"/>
        <w:rPr>
          <w:rFonts w:ascii="Tahoma" w:hAnsi="Tahoma" w:cs="Tahoma"/>
          <w:sz w:val="22"/>
          <w:szCs w:val="22"/>
        </w:rPr>
      </w:pPr>
      <w:r w:rsidRPr="007E1835">
        <w:rPr>
          <w:rFonts w:ascii="Tahoma" w:hAnsi="Tahoma" w:cs="Tahoma"/>
          <w:sz w:val="22"/>
          <w:szCs w:val="22"/>
        </w:rPr>
        <w:t xml:space="preserve">Número de empresas en viveros de Innovación: 40 empresas instaladas. </w:t>
      </w:r>
      <w:r w:rsidRPr="007E1835">
        <w:rPr>
          <w:rFonts w:ascii="Tahoma" w:hAnsi="Tahoma" w:cs="Tahoma"/>
          <w:sz w:val="22"/>
          <w:szCs w:val="22"/>
        </w:rPr>
        <w:tab/>
        <w:t>15 nuevas empresas en 2018.</w:t>
      </w:r>
    </w:p>
    <w:p w:rsidR="007E1835" w:rsidRPr="007E1835" w:rsidRDefault="007E1835" w:rsidP="007E1835">
      <w:pPr>
        <w:ind w:firstLine="708"/>
        <w:rPr>
          <w:rFonts w:ascii="Tahoma" w:hAnsi="Tahoma" w:cs="Tahoma"/>
          <w:sz w:val="22"/>
          <w:szCs w:val="22"/>
        </w:rPr>
      </w:pPr>
      <w:r w:rsidRPr="007E1835">
        <w:rPr>
          <w:rFonts w:ascii="Tahoma" w:hAnsi="Tahoma" w:cs="Tahoma"/>
          <w:sz w:val="22"/>
          <w:szCs w:val="22"/>
        </w:rPr>
        <w:t>Supervivencia: 78% a los 3 años de su creación.</w:t>
      </w:r>
    </w:p>
    <w:p w:rsidR="00FE15B2" w:rsidRDefault="007E1835" w:rsidP="007E1835">
      <w:pPr>
        <w:ind w:firstLine="708"/>
        <w:rPr>
          <w:rFonts w:ascii="Tahoma" w:hAnsi="Tahoma" w:cs="Tahoma"/>
          <w:sz w:val="22"/>
          <w:szCs w:val="22"/>
        </w:rPr>
      </w:pPr>
      <w:r w:rsidRPr="007E1835">
        <w:rPr>
          <w:rFonts w:ascii="Tahoma" w:hAnsi="Tahoma" w:cs="Tahoma"/>
          <w:sz w:val="22"/>
          <w:szCs w:val="22"/>
        </w:rPr>
        <w:t>Creación empleo: 35% de incremento en el año.</w:t>
      </w:r>
    </w:p>
    <w:p w:rsidR="00FE15B2" w:rsidRDefault="007E1835" w:rsidP="007E1835">
      <w:pPr>
        <w:rPr>
          <w:rFonts w:ascii="Tahoma" w:hAnsi="Tahoma" w:cs="Tahoma"/>
          <w:sz w:val="22"/>
          <w:szCs w:val="22"/>
        </w:rPr>
      </w:pPr>
      <w:r w:rsidRPr="007E1835">
        <w:rPr>
          <w:rFonts w:ascii="Tahoma" w:hAnsi="Tahoma" w:cs="Tahoma"/>
          <w:sz w:val="22"/>
          <w:szCs w:val="22"/>
        </w:rPr>
        <w:t>Prueba de su buen hacer son los reconocimientos independientes que han obtenido por su labor:</w:t>
      </w:r>
    </w:p>
    <w:p w:rsidR="00FE15B2" w:rsidRDefault="007E1835" w:rsidP="007E1835">
      <w:pPr>
        <w:pStyle w:val="Prrafodelista"/>
        <w:numPr>
          <w:ilvl w:val="0"/>
          <w:numId w:val="13"/>
        </w:numPr>
        <w:spacing w:after="0"/>
        <w:jc w:val="both"/>
        <w:rPr>
          <w:rFonts w:ascii="Tahoma" w:hAnsi="Tahoma" w:cs="Tahoma"/>
        </w:rPr>
      </w:pPr>
      <w:r w:rsidRPr="007E1835">
        <w:rPr>
          <w:rFonts w:ascii="Tahoma" w:hAnsi="Tahoma" w:cs="Tahoma"/>
          <w:b/>
        </w:rPr>
        <w:t>Premio Entidad Distinguida</w:t>
      </w:r>
      <w:r w:rsidRPr="007E1835">
        <w:rPr>
          <w:rFonts w:ascii="Tahoma" w:hAnsi="Tahoma" w:cs="Tahoma"/>
        </w:rPr>
        <w:t xml:space="preserve"> de </w:t>
      </w:r>
      <w:smartTag w:uri="urn:schemas-microsoft-com:office:smarttags" w:element="PersonName">
        <w:smartTagPr>
          <w:attr w:name="ProductID" w:val="la Universidad P￺blica"/>
        </w:smartTagPr>
        <w:r w:rsidRPr="007E1835">
          <w:rPr>
            <w:rFonts w:ascii="Tahoma" w:hAnsi="Tahoma" w:cs="Tahoma"/>
          </w:rPr>
          <w:t>la Universidad Pública</w:t>
        </w:r>
      </w:smartTag>
      <w:r w:rsidRPr="007E1835">
        <w:rPr>
          <w:rFonts w:ascii="Tahoma" w:hAnsi="Tahoma" w:cs="Tahoma"/>
        </w:rPr>
        <w:t xml:space="preserve"> de Navarra por el trabajo realizado en la Universidad en el campo del emprendimiento desde hace más de 20 años y siempre con unos resultados verdaderamente buenos. Anualmente CEIN trabaja de media con 3.000 universitarios, 75 investigadores y más de 50 profesores. Esta buena labor se traduce en que la mayoría de los proyectos que pasan por programas como Impulso Emprendedor o las empresas instaladas en los viveros de innovación de CEIN estén lideradas por personas que provienen de la Universidad y que han pasado por servicios ofrecidos en </w:t>
      </w:r>
      <w:smartTag w:uri="urn:schemas-microsoft-com:office:smarttags" w:element="PersonName">
        <w:smartTagPr>
          <w:attr w:name="ProductID" w:val="la Universidad. El"/>
        </w:smartTagPr>
        <w:r w:rsidRPr="007E1835">
          <w:rPr>
            <w:rFonts w:ascii="Tahoma" w:hAnsi="Tahoma" w:cs="Tahoma"/>
          </w:rPr>
          <w:t>la Universidad. El</w:t>
        </w:r>
      </w:smartTag>
      <w:r w:rsidRPr="007E1835">
        <w:rPr>
          <w:rFonts w:ascii="Tahoma" w:hAnsi="Tahoma" w:cs="Tahoma"/>
        </w:rPr>
        <w:t xml:space="preserve"> servicio que se ofrece en la UPNA es, junto con los viveros de Innovación de CEIN, el más antiguo que sólo lo justifica el buen trato y servicio ofrecido a las personas más innovadoras y tecnológicas que provienen de la Universidad.</w:t>
      </w:r>
    </w:p>
    <w:p w:rsidR="00FE15B2" w:rsidRDefault="007E1835" w:rsidP="007E1835">
      <w:pPr>
        <w:pStyle w:val="Prrafodelista"/>
        <w:jc w:val="both"/>
        <w:rPr>
          <w:rFonts w:ascii="Tahoma" w:hAnsi="Tahoma" w:cs="Tahoma"/>
        </w:rPr>
      </w:pPr>
      <w:r w:rsidRPr="007E1835">
        <w:rPr>
          <w:rFonts w:ascii="Tahoma" w:hAnsi="Tahoma" w:cs="Tahoma"/>
        </w:rPr>
        <w:t xml:space="preserve">El rector de la Universidad en el acto de entrega destacó: en 1996 se firmó el primer convenio con CEIN, reconocida como entidad distinguida, destacando que la </w:t>
      </w:r>
      <w:r w:rsidRPr="007E1835">
        <w:rPr>
          <w:rFonts w:ascii="Tahoma" w:hAnsi="Tahoma" w:cs="Tahoma"/>
          <w:b/>
        </w:rPr>
        <w:t>“colaboración surgida tras esa firma, intensa y continuada a lo largo de todo este tiempo, ha convertido a la UPNA en un referente de creación de empresas basada en los resultados de investigación y de innovación</w:t>
      </w:r>
      <w:r w:rsidRPr="007E1835">
        <w:rPr>
          <w:rFonts w:ascii="Tahoma" w:hAnsi="Tahoma" w:cs="Tahoma"/>
        </w:rPr>
        <w:t>”.</w:t>
      </w:r>
    </w:p>
    <w:p w:rsidR="00FE15B2" w:rsidRDefault="007E1835" w:rsidP="007E1835">
      <w:pPr>
        <w:pStyle w:val="Prrafodelista"/>
        <w:numPr>
          <w:ilvl w:val="0"/>
          <w:numId w:val="13"/>
        </w:numPr>
        <w:spacing w:after="0"/>
        <w:jc w:val="both"/>
        <w:rPr>
          <w:rFonts w:ascii="Tahoma" w:hAnsi="Tahoma" w:cs="Tahoma"/>
        </w:rPr>
      </w:pPr>
      <w:r w:rsidRPr="007E1835">
        <w:rPr>
          <w:rFonts w:ascii="Tahoma" w:hAnsi="Tahoma" w:cs="Tahoma"/>
        </w:rPr>
        <w:t xml:space="preserve">El </w:t>
      </w:r>
      <w:r w:rsidRPr="007E1835">
        <w:rPr>
          <w:rFonts w:ascii="Tahoma" w:hAnsi="Tahoma" w:cs="Tahoma"/>
          <w:b/>
        </w:rPr>
        <w:t>programa Impulso Emprendedor</w:t>
      </w:r>
      <w:r w:rsidRPr="007E1835">
        <w:rPr>
          <w:rFonts w:ascii="Tahoma" w:hAnsi="Tahoma" w:cs="Tahoma"/>
        </w:rPr>
        <w:t xml:space="preserve"> ocupa el octavo puesto entre 73 aceleradoras del Estado, tal y como se desprende del informe “Los servicios que prestan los viveros de empresas en España. Ranking 2016/2017”, elaborado por la Fundación de las Cajas de Ahorros (</w:t>
      </w:r>
      <w:proofErr w:type="spellStart"/>
      <w:r w:rsidRPr="007E1835">
        <w:rPr>
          <w:rFonts w:ascii="Tahoma" w:hAnsi="Tahoma" w:cs="Tahoma"/>
        </w:rPr>
        <w:t>Funcas</w:t>
      </w:r>
      <w:proofErr w:type="spellEnd"/>
      <w:r w:rsidRPr="007E1835">
        <w:rPr>
          <w:rFonts w:ascii="Tahoma" w:hAnsi="Tahoma" w:cs="Tahoma"/>
        </w:rPr>
        <w:t xml:space="preserve">) y </w:t>
      </w:r>
      <w:smartTag w:uri="urn:schemas-microsoft-com:office:smarttags" w:element="PersonName">
        <w:smartTagPr>
          <w:attr w:name="ProductID" w:val="la Universidad Rey Juan"/>
        </w:smartTagPr>
        <w:r w:rsidRPr="007E1835">
          <w:rPr>
            <w:rFonts w:ascii="Tahoma" w:hAnsi="Tahoma" w:cs="Tahoma"/>
          </w:rPr>
          <w:t>la Universidad Rey Juan</w:t>
        </w:r>
      </w:smartTag>
      <w:r w:rsidRPr="007E1835">
        <w:rPr>
          <w:rFonts w:ascii="Tahoma" w:hAnsi="Tahoma" w:cs="Tahoma"/>
        </w:rPr>
        <w:t xml:space="preserve"> Carlos. </w:t>
      </w:r>
    </w:p>
    <w:p w:rsidR="00FE15B2" w:rsidRDefault="007E1835" w:rsidP="007E1835">
      <w:pPr>
        <w:pStyle w:val="Prrafodelista"/>
        <w:numPr>
          <w:ilvl w:val="0"/>
          <w:numId w:val="13"/>
        </w:numPr>
        <w:jc w:val="both"/>
        <w:rPr>
          <w:rFonts w:ascii="Tahoma" w:hAnsi="Tahoma" w:cs="Tahoma"/>
        </w:rPr>
      </w:pPr>
      <w:r w:rsidRPr="007E1835">
        <w:rPr>
          <w:rFonts w:ascii="Tahoma" w:hAnsi="Tahoma" w:cs="Tahoma"/>
          <w:b/>
        </w:rPr>
        <w:t>Los viveros de innovación de CEIN</w:t>
      </w:r>
      <w:r w:rsidRPr="007E1835">
        <w:rPr>
          <w:rFonts w:ascii="Tahoma" w:hAnsi="Tahoma" w:cs="Tahoma"/>
        </w:rPr>
        <w:t xml:space="preserve"> ocupan el octavo puesto entre 227 viveros avanzados en el mismo estudio, puesto que repite en 2018.</w:t>
      </w:r>
    </w:p>
    <w:p w:rsidR="007E1835" w:rsidRPr="007E1835" w:rsidRDefault="007E1835" w:rsidP="007E1835">
      <w:pPr>
        <w:pStyle w:val="Prrafodelista"/>
        <w:numPr>
          <w:ilvl w:val="0"/>
          <w:numId w:val="13"/>
        </w:numPr>
        <w:spacing w:after="0"/>
        <w:jc w:val="both"/>
        <w:rPr>
          <w:rFonts w:ascii="Tahoma" w:hAnsi="Tahoma" w:cs="Tahoma"/>
        </w:rPr>
      </w:pPr>
      <w:r w:rsidRPr="007E1835">
        <w:rPr>
          <w:rFonts w:ascii="Tahoma" w:hAnsi="Tahoma" w:cs="Tahoma"/>
          <w:b/>
        </w:rPr>
        <w:t>Las empresas colaboradoras</w:t>
      </w:r>
      <w:r w:rsidRPr="007E1835">
        <w:rPr>
          <w:rFonts w:ascii="Tahoma" w:hAnsi="Tahoma" w:cs="Tahoma"/>
        </w:rPr>
        <w:t xml:space="preserve"> participantes que creen en el trabajo de CEIN y que se plasma en el apoyo en programas como Impulso Emprendedor; apoyo que </w:t>
      </w:r>
      <w:r w:rsidRPr="007E1835">
        <w:rPr>
          <w:rFonts w:ascii="Tahoma" w:hAnsi="Tahoma" w:cs="Tahoma"/>
        </w:rPr>
        <w:lastRenderedPageBreak/>
        <w:t xml:space="preserve">se materializa en una aportación económica de 8.000 euros y en </w:t>
      </w:r>
      <w:proofErr w:type="spellStart"/>
      <w:r w:rsidRPr="007E1835">
        <w:rPr>
          <w:rFonts w:ascii="Tahoma" w:hAnsi="Tahoma" w:cs="Tahoma"/>
        </w:rPr>
        <w:t>mentoría</w:t>
      </w:r>
      <w:proofErr w:type="spellEnd"/>
      <w:r w:rsidRPr="007E1835">
        <w:rPr>
          <w:rFonts w:ascii="Tahoma" w:hAnsi="Tahoma" w:cs="Tahoma"/>
        </w:rPr>
        <w:t xml:space="preserve"> por parte de sus directivos. A lo largo de sus seis ediciones las empresas patrocinadoras han sido las siguientes:</w:t>
      </w:r>
    </w:p>
    <w:p w:rsidR="007E1835" w:rsidRPr="007E1835" w:rsidRDefault="007E1835" w:rsidP="007E1835">
      <w:pPr>
        <w:pStyle w:val="Prrafodelista"/>
        <w:ind w:left="0"/>
        <w:jc w:val="both"/>
        <w:rPr>
          <w:rFonts w:ascii="Tahoma" w:hAnsi="Tahoma" w:cs="Tahoma"/>
        </w:rPr>
      </w:pPr>
    </w:p>
    <w:tbl>
      <w:tblPr>
        <w:tblW w:w="87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31"/>
        <w:gridCol w:w="1431"/>
        <w:gridCol w:w="1431"/>
        <w:gridCol w:w="1470"/>
        <w:gridCol w:w="1470"/>
      </w:tblGrid>
      <w:tr w:rsidR="007E1835" w:rsidRPr="007E1835" w:rsidTr="004805E0">
        <w:trPr>
          <w:trHeight w:val="300"/>
        </w:trPr>
        <w:tc>
          <w:tcPr>
            <w:tcW w:w="1560"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1ª </w:t>
            </w:r>
          </w:p>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edición</w:t>
            </w:r>
          </w:p>
        </w:tc>
        <w:tc>
          <w:tcPr>
            <w:tcW w:w="1431"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2ª </w:t>
            </w:r>
          </w:p>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edición</w:t>
            </w:r>
          </w:p>
        </w:tc>
        <w:tc>
          <w:tcPr>
            <w:tcW w:w="1431"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3ª</w:t>
            </w:r>
          </w:p>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 edición</w:t>
            </w:r>
          </w:p>
        </w:tc>
        <w:tc>
          <w:tcPr>
            <w:tcW w:w="1431"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4ª</w:t>
            </w:r>
          </w:p>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 edición</w:t>
            </w:r>
          </w:p>
        </w:tc>
        <w:tc>
          <w:tcPr>
            <w:tcW w:w="1470"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5ª </w:t>
            </w:r>
          </w:p>
          <w:p w:rsidR="007E1835" w:rsidRPr="007E1835" w:rsidRDefault="00BA5D13" w:rsidP="004805E0">
            <w:pPr>
              <w:jc w:val="center"/>
              <w:rPr>
                <w:rFonts w:ascii="Tahoma" w:hAnsi="Tahoma" w:cs="Tahoma"/>
                <w:bCs/>
                <w:color w:val="000000"/>
                <w:sz w:val="22"/>
                <w:szCs w:val="22"/>
              </w:rPr>
            </w:pPr>
            <w:r w:rsidRPr="007E1835">
              <w:rPr>
                <w:rFonts w:ascii="Tahoma" w:hAnsi="Tahoma" w:cs="Tahoma"/>
                <w:bCs/>
                <w:color w:val="000000"/>
                <w:sz w:val="22"/>
                <w:szCs w:val="22"/>
              </w:rPr>
              <w:t>edición</w:t>
            </w:r>
          </w:p>
        </w:tc>
        <w:tc>
          <w:tcPr>
            <w:tcW w:w="1470"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6ª</w:t>
            </w:r>
          </w:p>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 xml:space="preserve"> </w:t>
            </w:r>
            <w:r w:rsidR="00BA5D13" w:rsidRPr="007E1835">
              <w:rPr>
                <w:rFonts w:ascii="Tahoma" w:hAnsi="Tahoma" w:cs="Tahoma"/>
                <w:bCs/>
                <w:color w:val="000000"/>
                <w:sz w:val="22"/>
                <w:szCs w:val="22"/>
              </w:rPr>
              <w:t>edición</w:t>
            </w: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r w:rsidRPr="007E1835">
              <w:rPr>
                <w:rFonts w:ascii="Tahoma" w:hAnsi="Tahoma" w:cs="Tahoma"/>
                <w:bCs/>
                <w:color w:val="000000"/>
                <w:sz w:val="22"/>
                <w:szCs w:val="22"/>
              </w:rPr>
              <w:t>Caja Rural</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Caja Rural</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Caja Rural</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Caja Rural</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Caja Rural</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Caja Rural</w:t>
            </w: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r w:rsidRPr="007E1835">
              <w:rPr>
                <w:rFonts w:ascii="Tahoma" w:hAnsi="Tahoma" w:cs="Tahoma"/>
                <w:bCs/>
                <w:color w:val="000000"/>
                <w:sz w:val="22"/>
                <w:szCs w:val="22"/>
              </w:rPr>
              <w:t>Correos</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Correos</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Correos</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Correos</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Correos</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Correos</w:t>
            </w: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roofErr w:type="spellStart"/>
            <w:r w:rsidRPr="007E1835">
              <w:rPr>
                <w:rFonts w:ascii="Tahoma" w:hAnsi="Tahoma" w:cs="Tahoma"/>
                <w:bCs/>
                <w:color w:val="000000"/>
                <w:sz w:val="22"/>
                <w:szCs w:val="22"/>
              </w:rPr>
              <w:t>Cinfa</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Cinfa</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Cinfa</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Cinfa</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Cinfa</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Cinfa</w:t>
            </w:r>
            <w:proofErr w:type="spellEnd"/>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roofErr w:type="spellStart"/>
            <w:r w:rsidRPr="007E1835">
              <w:rPr>
                <w:rFonts w:ascii="Tahoma" w:hAnsi="Tahoma" w:cs="Tahoma"/>
                <w:bCs/>
                <w:color w:val="000000"/>
                <w:sz w:val="22"/>
                <w:szCs w:val="22"/>
              </w:rPr>
              <w:t>Viscofán</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Viscofán</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Viscofán</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Viscofán</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Viscofán</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Viscofán</w:t>
            </w:r>
            <w:proofErr w:type="spellEnd"/>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roofErr w:type="spellStart"/>
            <w:r w:rsidRPr="007E1835">
              <w:rPr>
                <w:rFonts w:ascii="Tahoma" w:hAnsi="Tahoma" w:cs="Tahoma"/>
                <w:bCs/>
                <w:color w:val="000000"/>
                <w:sz w:val="22"/>
                <w:szCs w:val="22"/>
              </w:rPr>
              <w:t>Mtorres</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Mtorres</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Mtorres</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Mtorres</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Mtorres</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Mtorres</w:t>
            </w:r>
            <w:proofErr w:type="spellEnd"/>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r w:rsidRPr="007E1835">
              <w:rPr>
                <w:rFonts w:ascii="Tahoma" w:hAnsi="Tahoma" w:cs="Tahoma"/>
                <w:bCs/>
                <w:color w:val="000000"/>
                <w:sz w:val="22"/>
                <w:szCs w:val="22"/>
              </w:rPr>
              <w:t>Iberdrola</w:t>
            </w: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70" w:type="dxa"/>
            <w:shd w:val="clear" w:color="auto" w:fill="auto"/>
            <w:noWrap/>
          </w:tcPr>
          <w:p w:rsidR="007E1835" w:rsidRPr="007E1835" w:rsidRDefault="007E1835" w:rsidP="004805E0">
            <w:pPr>
              <w:rPr>
                <w:rFonts w:ascii="Tahoma" w:hAnsi="Tahoma" w:cs="Tahoma"/>
                <w:color w:val="000000"/>
                <w:sz w:val="22"/>
                <w:szCs w:val="22"/>
              </w:rPr>
            </w:pPr>
          </w:p>
        </w:tc>
        <w:tc>
          <w:tcPr>
            <w:tcW w:w="1470" w:type="dxa"/>
            <w:shd w:val="clear" w:color="auto" w:fill="auto"/>
            <w:noWrap/>
          </w:tcPr>
          <w:p w:rsidR="007E1835" w:rsidRPr="007E1835" w:rsidRDefault="007E1835" w:rsidP="004805E0">
            <w:pPr>
              <w:rPr>
                <w:rFonts w:ascii="Tahoma" w:hAnsi="Tahoma" w:cs="Tahoma"/>
                <w:color w:val="000000"/>
                <w:sz w:val="22"/>
                <w:szCs w:val="22"/>
              </w:rPr>
            </w:pP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Mondragón</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Mondragón</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Mondragón</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Mondragón</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Mondragón</w:t>
            </w: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Jofemar</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Jofemar</w:t>
            </w:r>
            <w:proofErr w:type="spellEnd"/>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Jofemar</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Jofemar</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Mutua Navarra</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Mutua Navarra</w:t>
            </w:r>
          </w:p>
        </w:tc>
        <w:tc>
          <w:tcPr>
            <w:tcW w:w="1431"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Mutua Navarra</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Mutua Navarra</w:t>
            </w: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Mutua Navarra</w:t>
            </w:r>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Uscal</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Uscal</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Uscal</w:t>
            </w:r>
            <w:proofErr w:type="spellEnd"/>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Inycom</w:t>
            </w:r>
            <w:proofErr w:type="spellEnd"/>
          </w:p>
        </w:tc>
        <w:tc>
          <w:tcPr>
            <w:tcW w:w="1470" w:type="dxa"/>
            <w:shd w:val="clear" w:color="auto" w:fill="auto"/>
            <w:noWrap/>
          </w:tcPr>
          <w:p w:rsidR="007E1835" w:rsidRPr="007E1835" w:rsidRDefault="007E1835" w:rsidP="004805E0">
            <w:pPr>
              <w:rPr>
                <w:rFonts w:ascii="Tahoma" w:hAnsi="Tahoma" w:cs="Tahoma"/>
                <w:color w:val="000000"/>
                <w:sz w:val="22"/>
                <w:szCs w:val="22"/>
              </w:rPr>
            </w:pPr>
            <w:proofErr w:type="spellStart"/>
            <w:r w:rsidRPr="007E1835">
              <w:rPr>
                <w:rFonts w:ascii="Tahoma" w:hAnsi="Tahoma" w:cs="Tahoma"/>
                <w:color w:val="000000"/>
                <w:sz w:val="22"/>
                <w:szCs w:val="22"/>
              </w:rPr>
              <w:t>Inycom</w:t>
            </w:r>
            <w:proofErr w:type="spellEnd"/>
          </w:p>
        </w:tc>
      </w:tr>
      <w:tr w:rsidR="007E1835" w:rsidRPr="007E1835" w:rsidTr="004805E0">
        <w:trPr>
          <w:trHeight w:val="300"/>
        </w:trPr>
        <w:tc>
          <w:tcPr>
            <w:tcW w:w="1560" w:type="dxa"/>
            <w:shd w:val="clear" w:color="auto" w:fill="auto"/>
            <w:noWrap/>
          </w:tcPr>
          <w:p w:rsidR="007E1835" w:rsidRPr="007E1835" w:rsidRDefault="007E1835" w:rsidP="004805E0">
            <w:pPr>
              <w:rPr>
                <w:rFonts w:ascii="Tahoma" w:hAnsi="Tahoma" w:cs="Tahoma"/>
                <w:bCs/>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31" w:type="dxa"/>
            <w:shd w:val="clear" w:color="auto" w:fill="auto"/>
            <w:noWrap/>
          </w:tcPr>
          <w:p w:rsidR="007E1835" w:rsidRPr="007E1835" w:rsidRDefault="007E1835" w:rsidP="004805E0">
            <w:pPr>
              <w:rPr>
                <w:rFonts w:ascii="Tahoma" w:hAnsi="Tahoma" w:cs="Tahoma"/>
                <w:color w:val="000000"/>
                <w:sz w:val="22"/>
                <w:szCs w:val="22"/>
              </w:rPr>
            </w:pPr>
          </w:p>
        </w:tc>
        <w:tc>
          <w:tcPr>
            <w:tcW w:w="1470" w:type="dxa"/>
            <w:shd w:val="clear" w:color="auto" w:fill="auto"/>
            <w:noWrap/>
          </w:tcPr>
          <w:p w:rsidR="007E1835" w:rsidRPr="007E1835" w:rsidRDefault="007E1835" w:rsidP="004805E0">
            <w:pPr>
              <w:rPr>
                <w:rFonts w:ascii="Tahoma" w:hAnsi="Tahoma" w:cs="Tahoma"/>
                <w:color w:val="000000"/>
                <w:sz w:val="22"/>
                <w:szCs w:val="22"/>
              </w:rPr>
            </w:pPr>
          </w:p>
        </w:tc>
        <w:tc>
          <w:tcPr>
            <w:tcW w:w="1470" w:type="dxa"/>
            <w:shd w:val="clear" w:color="auto" w:fill="auto"/>
            <w:noWrap/>
          </w:tcPr>
          <w:p w:rsidR="007E1835" w:rsidRPr="007E1835" w:rsidRDefault="007E1835" w:rsidP="004805E0">
            <w:pPr>
              <w:rPr>
                <w:rFonts w:ascii="Tahoma" w:hAnsi="Tahoma" w:cs="Tahoma"/>
                <w:color w:val="000000"/>
                <w:sz w:val="22"/>
                <w:szCs w:val="22"/>
              </w:rPr>
            </w:pPr>
            <w:r w:rsidRPr="007E1835">
              <w:rPr>
                <w:rFonts w:ascii="Tahoma" w:hAnsi="Tahoma" w:cs="Tahoma"/>
                <w:color w:val="000000"/>
                <w:sz w:val="22"/>
                <w:szCs w:val="22"/>
              </w:rPr>
              <w:t>Zabala</w:t>
            </w:r>
          </w:p>
        </w:tc>
      </w:tr>
      <w:tr w:rsidR="007E1835" w:rsidRPr="007E1835" w:rsidTr="004805E0">
        <w:trPr>
          <w:trHeight w:val="300"/>
        </w:trPr>
        <w:tc>
          <w:tcPr>
            <w:tcW w:w="1560" w:type="dxa"/>
            <w:shd w:val="clear" w:color="auto" w:fill="auto"/>
            <w:noWrap/>
          </w:tcPr>
          <w:p w:rsidR="007E1835" w:rsidRPr="007E1835" w:rsidRDefault="007E1835" w:rsidP="004805E0">
            <w:pPr>
              <w:jc w:val="center"/>
              <w:rPr>
                <w:rFonts w:ascii="Tahoma" w:hAnsi="Tahoma" w:cs="Tahoma"/>
                <w:bCs/>
                <w:color w:val="000000"/>
                <w:sz w:val="22"/>
                <w:szCs w:val="22"/>
              </w:rPr>
            </w:pPr>
            <w:r w:rsidRPr="007E1835">
              <w:rPr>
                <w:rFonts w:ascii="Tahoma" w:hAnsi="Tahoma" w:cs="Tahoma"/>
                <w:bCs/>
                <w:color w:val="000000"/>
                <w:sz w:val="22"/>
                <w:szCs w:val="22"/>
              </w:rPr>
              <w:t>6</w:t>
            </w:r>
          </w:p>
        </w:tc>
        <w:tc>
          <w:tcPr>
            <w:tcW w:w="1431" w:type="dxa"/>
            <w:shd w:val="clear" w:color="auto" w:fill="auto"/>
            <w:noWrap/>
          </w:tcPr>
          <w:p w:rsidR="007E1835" w:rsidRPr="007E1835" w:rsidRDefault="007E1835" w:rsidP="004805E0">
            <w:pPr>
              <w:jc w:val="center"/>
              <w:rPr>
                <w:rFonts w:ascii="Tahoma" w:hAnsi="Tahoma" w:cs="Tahoma"/>
                <w:color w:val="000000"/>
                <w:sz w:val="22"/>
                <w:szCs w:val="22"/>
              </w:rPr>
            </w:pPr>
            <w:r w:rsidRPr="007E1835">
              <w:rPr>
                <w:rFonts w:ascii="Tahoma" w:hAnsi="Tahoma" w:cs="Tahoma"/>
                <w:color w:val="000000"/>
                <w:sz w:val="22"/>
                <w:szCs w:val="22"/>
              </w:rPr>
              <w:t>8</w:t>
            </w:r>
          </w:p>
        </w:tc>
        <w:tc>
          <w:tcPr>
            <w:tcW w:w="1431" w:type="dxa"/>
            <w:shd w:val="clear" w:color="auto" w:fill="auto"/>
            <w:noWrap/>
          </w:tcPr>
          <w:p w:rsidR="007E1835" w:rsidRPr="007E1835" w:rsidRDefault="007E1835" w:rsidP="004805E0">
            <w:pPr>
              <w:jc w:val="center"/>
              <w:rPr>
                <w:rFonts w:ascii="Tahoma" w:hAnsi="Tahoma" w:cs="Tahoma"/>
                <w:color w:val="000000"/>
                <w:sz w:val="22"/>
                <w:szCs w:val="22"/>
              </w:rPr>
            </w:pPr>
            <w:r w:rsidRPr="007E1835">
              <w:rPr>
                <w:rFonts w:ascii="Tahoma" w:hAnsi="Tahoma" w:cs="Tahoma"/>
                <w:color w:val="000000"/>
                <w:sz w:val="22"/>
                <w:szCs w:val="22"/>
              </w:rPr>
              <w:t>8</w:t>
            </w:r>
          </w:p>
        </w:tc>
        <w:tc>
          <w:tcPr>
            <w:tcW w:w="1431" w:type="dxa"/>
            <w:shd w:val="clear" w:color="auto" w:fill="auto"/>
            <w:noWrap/>
          </w:tcPr>
          <w:p w:rsidR="007E1835" w:rsidRPr="007E1835" w:rsidRDefault="007E1835" w:rsidP="004805E0">
            <w:pPr>
              <w:jc w:val="center"/>
              <w:rPr>
                <w:rFonts w:ascii="Tahoma" w:hAnsi="Tahoma" w:cs="Tahoma"/>
                <w:color w:val="000000"/>
                <w:sz w:val="22"/>
                <w:szCs w:val="22"/>
              </w:rPr>
            </w:pPr>
            <w:r w:rsidRPr="007E1835">
              <w:rPr>
                <w:rFonts w:ascii="Tahoma" w:hAnsi="Tahoma" w:cs="Tahoma"/>
                <w:color w:val="000000"/>
                <w:sz w:val="22"/>
                <w:szCs w:val="22"/>
              </w:rPr>
              <w:t>9</w:t>
            </w:r>
          </w:p>
        </w:tc>
        <w:tc>
          <w:tcPr>
            <w:tcW w:w="1470" w:type="dxa"/>
            <w:shd w:val="clear" w:color="auto" w:fill="auto"/>
            <w:noWrap/>
          </w:tcPr>
          <w:p w:rsidR="007E1835" w:rsidRPr="007E1835" w:rsidRDefault="007E1835" w:rsidP="004805E0">
            <w:pPr>
              <w:jc w:val="center"/>
              <w:rPr>
                <w:rFonts w:ascii="Tahoma" w:hAnsi="Tahoma" w:cs="Tahoma"/>
                <w:color w:val="000000"/>
                <w:sz w:val="22"/>
                <w:szCs w:val="22"/>
              </w:rPr>
            </w:pPr>
            <w:r w:rsidRPr="007E1835">
              <w:rPr>
                <w:rFonts w:ascii="Tahoma" w:hAnsi="Tahoma" w:cs="Tahoma"/>
                <w:color w:val="000000"/>
                <w:sz w:val="22"/>
                <w:szCs w:val="22"/>
              </w:rPr>
              <w:t>10</w:t>
            </w:r>
          </w:p>
        </w:tc>
        <w:tc>
          <w:tcPr>
            <w:tcW w:w="1470" w:type="dxa"/>
            <w:shd w:val="clear" w:color="auto" w:fill="auto"/>
            <w:noWrap/>
          </w:tcPr>
          <w:p w:rsidR="007E1835" w:rsidRPr="007E1835" w:rsidRDefault="007E1835" w:rsidP="004805E0">
            <w:pPr>
              <w:jc w:val="center"/>
              <w:rPr>
                <w:rFonts w:ascii="Tahoma" w:hAnsi="Tahoma" w:cs="Tahoma"/>
                <w:color w:val="000000"/>
                <w:sz w:val="22"/>
                <w:szCs w:val="22"/>
              </w:rPr>
            </w:pPr>
            <w:r w:rsidRPr="007E1835">
              <w:rPr>
                <w:rFonts w:ascii="Tahoma" w:hAnsi="Tahoma" w:cs="Tahoma"/>
                <w:color w:val="000000"/>
                <w:sz w:val="22"/>
                <w:szCs w:val="22"/>
              </w:rPr>
              <w:t>10</w:t>
            </w:r>
          </w:p>
        </w:tc>
      </w:tr>
    </w:tbl>
    <w:p w:rsidR="007E1835" w:rsidRPr="007E1835" w:rsidRDefault="007E1835" w:rsidP="007E1835">
      <w:pPr>
        <w:rPr>
          <w:rFonts w:ascii="Tahoma" w:hAnsi="Tahoma" w:cs="Tahoma"/>
          <w:b/>
          <w:sz w:val="22"/>
          <w:szCs w:val="22"/>
        </w:rPr>
      </w:pPr>
    </w:p>
    <w:p w:rsidR="00FE15B2" w:rsidRDefault="007E1835" w:rsidP="007E1835">
      <w:pPr>
        <w:spacing w:line="276" w:lineRule="auto"/>
        <w:ind w:left="708"/>
        <w:rPr>
          <w:rFonts w:ascii="Tahoma" w:hAnsi="Tahoma" w:cs="Tahoma"/>
          <w:sz w:val="22"/>
          <w:szCs w:val="22"/>
        </w:rPr>
      </w:pPr>
      <w:r w:rsidRPr="007E1835">
        <w:rPr>
          <w:rFonts w:ascii="Tahoma" w:hAnsi="Tahoma" w:cs="Tahoma"/>
          <w:sz w:val="22"/>
          <w:szCs w:val="22"/>
        </w:rPr>
        <w:t xml:space="preserve">En la primera edición se contó con seis empresas privadas colaboradoras que apoyaron este programa como una “iniciativa piloto” en CEIN. A lo largo de las ediciones todas ellas han repetido como se observa en el cuadro, salvo Iberdrola (y </w:t>
      </w:r>
      <w:proofErr w:type="spellStart"/>
      <w:r w:rsidRPr="007E1835">
        <w:rPr>
          <w:rFonts w:ascii="Tahoma" w:hAnsi="Tahoma" w:cs="Tahoma"/>
          <w:sz w:val="22"/>
          <w:szCs w:val="22"/>
        </w:rPr>
        <w:t>Jofemar</w:t>
      </w:r>
      <w:proofErr w:type="spellEnd"/>
      <w:r w:rsidRPr="007E1835">
        <w:rPr>
          <w:rFonts w:ascii="Tahoma" w:hAnsi="Tahoma" w:cs="Tahoma"/>
          <w:sz w:val="22"/>
          <w:szCs w:val="22"/>
        </w:rPr>
        <w:t xml:space="preserve"> en la última edición) por problemas ajenos al programa. A día de hoy, son diez las empresas que colaboran en Impulso Emprendedor.</w:t>
      </w:r>
    </w:p>
    <w:p w:rsidR="007E1835" w:rsidRPr="007E1835" w:rsidRDefault="007E1835" w:rsidP="007E1835">
      <w:pPr>
        <w:numPr>
          <w:ilvl w:val="0"/>
          <w:numId w:val="13"/>
        </w:numPr>
        <w:spacing w:line="276" w:lineRule="auto"/>
        <w:rPr>
          <w:rFonts w:ascii="Tahoma" w:hAnsi="Tahoma" w:cs="Tahoma"/>
          <w:sz w:val="22"/>
          <w:szCs w:val="22"/>
        </w:rPr>
      </w:pPr>
      <w:r w:rsidRPr="007E1835">
        <w:rPr>
          <w:rFonts w:ascii="Tahoma" w:hAnsi="Tahoma" w:cs="Tahoma"/>
          <w:sz w:val="22"/>
          <w:szCs w:val="22"/>
        </w:rPr>
        <w:t xml:space="preserve">Por último, si observamos las estadísticas de procedencia de los clientes de </w:t>
      </w:r>
      <w:smartTag w:uri="urn:schemas-microsoft-com:office:smarttags" w:element="PersonName">
        <w:smartTagPr>
          <w:attr w:name="ProductID" w:val="la aceleradora CEIN"/>
        </w:smartTagPr>
        <w:r w:rsidRPr="007E1835">
          <w:rPr>
            <w:rFonts w:ascii="Tahoma" w:hAnsi="Tahoma" w:cs="Tahoma"/>
            <w:sz w:val="22"/>
            <w:szCs w:val="22"/>
          </w:rPr>
          <w:t>la aceleradora CEIN</w:t>
        </w:r>
      </w:smartTag>
      <w:r w:rsidRPr="007E1835">
        <w:rPr>
          <w:rFonts w:ascii="Tahoma" w:hAnsi="Tahoma" w:cs="Tahoma"/>
          <w:sz w:val="22"/>
          <w:szCs w:val="22"/>
        </w:rPr>
        <w:t xml:space="preserve"> correspondientes a los 573 proyectos atendidos en 2018 y lo que llevamos de 2019, se deduce que la mayor parte de ellos provienen por recomendaciones de antiguos clientes o de otras instituciones. Esto, una vez más, demuestra el buen trato que se ofrece a las personas emprendedoras de la región por parte de CEIN:</w:t>
      </w:r>
    </w:p>
    <w:p w:rsidR="007E1835" w:rsidRPr="007E1835" w:rsidRDefault="007E1835" w:rsidP="007E1835">
      <w:pPr>
        <w:spacing w:line="276" w:lineRule="auto"/>
        <w:ind w:left="720"/>
        <w:rPr>
          <w:rFonts w:ascii="Tahoma" w:hAnsi="Tahoma" w:cs="Tahoma"/>
          <w:sz w:val="22"/>
          <w:szCs w:val="22"/>
        </w:rPr>
      </w:pPr>
    </w:p>
    <w:tbl>
      <w:tblPr>
        <w:tblW w:w="7195" w:type="dxa"/>
        <w:jc w:val="center"/>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850"/>
        <w:gridCol w:w="958"/>
      </w:tblGrid>
      <w:tr w:rsidR="007E1835" w:rsidRPr="007E1835" w:rsidTr="004805E0">
        <w:trPr>
          <w:trHeight w:val="320"/>
          <w:jc w:val="center"/>
        </w:trPr>
        <w:tc>
          <w:tcPr>
            <w:tcW w:w="5387" w:type="dxa"/>
            <w:noWrap/>
            <w:tcMar>
              <w:top w:w="0" w:type="dxa"/>
              <w:left w:w="70" w:type="dxa"/>
              <w:bottom w:w="0" w:type="dxa"/>
              <w:right w:w="70" w:type="dxa"/>
            </w:tcMar>
            <w:vAlign w:val="bottom"/>
          </w:tcPr>
          <w:p w:rsidR="007E1835" w:rsidRPr="007E1835" w:rsidRDefault="007E1835" w:rsidP="004805E0">
            <w:pPr>
              <w:rPr>
                <w:rFonts w:ascii="Tahoma" w:hAnsi="Tahoma" w:cs="Tahoma"/>
                <w:sz w:val="22"/>
                <w:szCs w:val="22"/>
              </w:rPr>
            </w:pPr>
          </w:p>
        </w:tc>
        <w:tc>
          <w:tcPr>
            <w:tcW w:w="850" w:type="dxa"/>
            <w:noWrap/>
            <w:tcMar>
              <w:top w:w="0" w:type="dxa"/>
              <w:left w:w="70" w:type="dxa"/>
              <w:bottom w:w="0" w:type="dxa"/>
              <w:right w:w="70" w:type="dxa"/>
            </w:tcMar>
            <w:vAlign w:val="bottom"/>
          </w:tcPr>
          <w:p w:rsidR="007E1835" w:rsidRPr="007E1835" w:rsidRDefault="007E1835" w:rsidP="004805E0">
            <w:pPr>
              <w:jc w:val="center"/>
              <w:rPr>
                <w:rFonts w:ascii="Tahoma" w:eastAsia="Calibri" w:hAnsi="Tahoma" w:cs="Tahoma"/>
                <w:b/>
                <w:bCs/>
                <w:color w:val="000000"/>
                <w:sz w:val="22"/>
                <w:szCs w:val="22"/>
              </w:rPr>
            </w:pPr>
            <w:r w:rsidRPr="007E1835">
              <w:rPr>
                <w:rFonts w:ascii="Tahoma" w:hAnsi="Tahoma" w:cs="Tahoma"/>
                <w:b/>
                <w:bCs/>
                <w:color w:val="000000"/>
                <w:sz w:val="22"/>
                <w:szCs w:val="22"/>
              </w:rPr>
              <w:t>2018</w:t>
            </w:r>
          </w:p>
        </w:tc>
        <w:tc>
          <w:tcPr>
            <w:tcW w:w="958" w:type="dxa"/>
            <w:noWrap/>
            <w:tcMar>
              <w:top w:w="0" w:type="dxa"/>
              <w:left w:w="70" w:type="dxa"/>
              <w:bottom w:w="0" w:type="dxa"/>
              <w:right w:w="70" w:type="dxa"/>
            </w:tcMar>
            <w:vAlign w:val="bottom"/>
          </w:tcPr>
          <w:p w:rsidR="007E1835" w:rsidRPr="007E1835" w:rsidRDefault="007E1835" w:rsidP="004805E0">
            <w:pPr>
              <w:jc w:val="center"/>
              <w:rPr>
                <w:rFonts w:ascii="Tahoma" w:eastAsia="Calibri" w:hAnsi="Tahoma" w:cs="Tahoma"/>
                <w:b/>
                <w:bCs/>
                <w:color w:val="000000"/>
                <w:sz w:val="22"/>
                <w:szCs w:val="22"/>
              </w:rPr>
            </w:pPr>
            <w:r w:rsidRPr="007E1835">
              <w:rPr>
                <w:rFonts w:ascii="Tahoma" w:hAnsi="Tahoma" w:cs="Tahoma"/>
                <w:b/>
                <w:bCs/>
                <w:color w:val="000000"/>
                <w:sz w:val="22"/>
                <w:szCs w:val="22"/>
              </w:rPr>
              <w:t>2019</w:t>
            </w:r>
          </w:p>
        </w:tc>
      </w:tr>
      <w:tr w:rsidR="007E1835" w:rsidRPr="007E1835" w:rsidTr="004805E0">
        <w:trPr>
          <w:trHeight w:val="426"/>
          <w:jc w:val="center"/>
        </w:trPr>
        <w:tc>
          <w:tcPr>
            <w:tcW w:w="5387" w:type="dxa"/>
            <w:shd w:val="clear" w:color="auto" w:fill="auto"/>
            <w:noWrap/>
            <w:tcMar>
              <w:top w:w="0" w:type="dxa"/>
              <w:left w:w="70" w:type="dxa"/>
              <w:bottom w:w="0" w:type="dxa"/>
              <w:right w:w="70" w:type="dxa"/>
            </w:tcMar>
            <w:vAlign w:val="bottom"/>
          </w:tcPr>
          <w:p w:rsidR="007E1835" w:rsidRPr="007E1835" w:rsidRDefault="007E1835" w:rsidP="004805E0">
            <w:pPr>
              <w:rPr>
                <w:rFonts w:ascii="Tahoma" w:eastAsia="Calibri" w:hAnsi="Tahoma" w:cs="Tahoma"/>
                <w:bCs/>
                <w:color w:val="000000"/>
                <w:sz w:val="22"/>
                <w:szCs w:val="22"/>
              </w:rPr>
            </w:pPr>
            <w:r w:rsidRPr="007E1835">
              <w:rPr>
                <w:rFonts w:ascii="Tahoma" w:hAnsi="Tahoma" w:cs="Tahoma"/>
                <w:bCs/>
                <w:color w:val="000000"/>
                <w:sz w:val="22"/>
                <w:szCs w:val="22"/>
              </w:rPr>
              <w:t>Antiguo cliente CEIN</w:t>
            </w:r>
          </w:p>
        </w:tc>
        <w:tc>
          <w:tcPr>
            <w:tcW w:w="850"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8%</w:t>
            </w:r>
          </w:p>
        </w:tc>
        <w:tc>
          <w:tcPr>
            <w:tcW w:w="958"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12%</w:t>
            </w:r>
          </w:p>
        </w:tc>
      </w:tr>
      <w:tr w:rsidR="007E1835" w:rsidRPr="007E1835" w:rsidTr="004805E0">
        <w:trPr>
          <w:trHeight w:val="426"/>
          <w:jc w:val="center"/>
        </w:trPr>
        <w:tc>
          <w:tcPr>
            <w:tcW w:w="5387" w:type="dxa"/>
            <w:shd w:val="clear" w:color="auto" w:fill="auto"/>
            <w:noWrap/>
            <w:tcMar>
              <w:top w:w="0" w:type="dxa"/>
              <w:left w:w="70" w:type="dxa"/>
              <w:bottom w:w="0" w:type="dxa"/>
              <w:right w:w="70" w:type="dxa"/>
            </w:tcMar>
            <w:vAlign w:val="bottom"/>
          </w:tcPr>
          <w:p w:rsidR="007E1835" w:rsidRPr="007E1835" w:rsidRDefault="007E1835" w:rsidP="004805E0">
            <w:pPr>
              <w:rPr>
                <w:rFonts w:ascii="Tahoma" w:eastAsia="Calibri" w:hAnsi="Tahoma" w:cs="Tahoma"/>
                <w:bCs/>
                <w:color w:val="000000"/>
                <w:sz w:val="22"/>
                <w:szCs w:val="22"/>
              </w:rPr>
            </w:pPr>
            <w:r w:rsidRPr="007E1835">
              <w:rPr>
                <w:rFonts w:ascii="Tahoma" w:hAnsi="Tahoma" w:cs="Tahoma"/>
                <w:bCs/>
                <w:color w:val="000000"/>
                <w:sz w:val="22"/>
                <w:szCs w:val="22"/>
              </w:rPr>
              <w:t>Derivado otras entidades (INEM, Ayuntamiento, Cámara comercio, Urbanismo, bancos, etc.)</w:t>
            </w:r>
          </w:p>
        </w:tc>
        <w:tc>
          <w:tcPr>
            <w:tcW w:w="850"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37%</w:t>
            </w:r>
          </w:p>
        </w:tc>
        <w:tc>
          <w:tcPr>
            <w:tcW w:w="958"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38%</w:t>
            </w:r>
          </w:p>
        </w:tc>
      </w:tr>
      <w:tr w:rsidR="007E1835" w:rsidRPr="007E1835" w:rsidTr="004805E0">
        <w:trPr>
          <w:trHeight w:val="426"/>
          <w:jc w:val="center"/>
        </w:trPr>
        <w:tc>
          <w:tcPr>
            <w:tcW w:w="5387" w:type="dxa"/>
            <w:shd w:val="clear" w:color="auto" w:fill="auto"/>
            <w:noWrap/>
            <w:tcMar>
              <w:top w:w="0" w:type="dxa"/>
              <w:left w:w="70" w:type="dxa"/>
              <w:bottom w:w="0" w:type="dxa"/>
              <w:right w:w="70" w:type="dxa"/>
            </w:tcMar>
            <w:vAlign w:val="bottom"/>
          </w:tcPr>
          <w:p w:rsidR="007E1835" w:rsidRPr="007E1835" w:rsidRDefault="007E1835" w:rsidP="004805E0">
            <w:pPr>
              <w:rPr>
                <w:rFonts w:ascii="Tahoma" w:eastAsia="Calibri" w:hAnsi="Tahoma" w:cs="Tahoma"/>
                <w:bCs/>
                <w:color w:val="000000"/>
                <w:sz w:val="22"/>
                <w:szCs w:val="22"/>
              </w:rPr>
            </w:pPr>
            <w:r w:rsidRPr="007E1835">
              <w:rPr>
                <w:rFonts w:ascii="Tahoma" w:hAnsi="Tahoma" w:cs="Tahoma"/>
                <w:bCs/>
                <w:color w:val="000000"/>
                <w:sz w:val="22"/>
                <w:szCs w:val="22"/>
              </w:rPr>
              <w:t xml:space="preserve">Derivado de otros programas CEIN (Luce, </w:t>
            </w:r>
            <w:proofErr w:type="spellStart"/>
            <w:r w:rsidRPr="007E1835">
              <w:rPr>
                <w:rFonts w:ascii="Tahoma" w:hAnsi="Tahoma" w:cs="Tahoma"/>
                <w:bCs/>
                <w:color w:val="000000"/>
                <w:sz w:val="22"/>
                <w:szCs w:val="22"/>
              </w:rPr>
              <w:t>Denda</w:t>
            </w:r>
            <w:proofErr w:type="spellEnd"/>
            <w:r w:rsidRPr="007E1835">
              <w:rPr>
                <w:rFonts w:ascii="Tahoma" w:hAnsi="Tahoma" w:cs="Tahoma"/>
                <w:bCs/>
                <w:color w:val="000000"/>
                <w:sz w:val="22"/>
                <w:szCs w:val="22"/>
              </w:rPr>
              <w:t xml:space="preserve"> </w:t>
            </w:r>
            <w:proofErr w:type="spellStart"/>
            <w:r w:rsidRPr="007E1835">
              <w:rPr>
                <w:rFonts w:ascii="Tahoma" w:hAnsi="Tahoma" w:cs="Tahoma"/>
                <w:bCs/>
                <w:color w:val="000000"/>
                <w:sz w:val="22"/>
                <w:szCs w:val="22"/>
              </w:rPr>
              <w:t>Naiz</w:t>
            </w:r>
            <w:proofErr w:type="spellEnd"/>
            <w:r w:rsidRPr="007E1835">
              <w:rPr>
                <w:rFonts w:ascii="Tahoma" w:hAnsi="Tahoma" w:cs="Tahoma"/>
                <w:bCs/>
                <w:color w:val="000000"/>
                <w:sz w:val="22"/>
                <w:szCs w:val="22"/>
              </w:rPr>
              <w:t>, Impulso, Iníciate, etc.)</w:t>
            </w:r>
          </w:p>
        </w:tc>
        <w:tc>
          <w:tcPr>
            <w:tcW w:w="850"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8%</w:t>
            </w:r>
          </w:p>
        </w:tc>
        <w:tc>
          <w:tcPr>
            <w:tcW w:w="958"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7%</w:t>
            </w:r>
          </w:p>
        </w:tc>
      </w:tr>
      <w:tr w:rsidR="007E1835" w:rsidRPr="007E1835" w:rsidTr="004805E0">
        <w:trPr>
          <w:trHeight w:val="426"/>
          <w:jc w:val="center"/>
        </w:trPr>
        <w:tc>
          <w:tcPr>
            <w:tcW w:w="5387" w:type="dxa"/>
            <w:shd w:val="clear" w:color="auto" w:fill="auto"/>
            <w:noWrap/>
            <w:tcMar>
              <w:top w:w="0" w:type="dxa"/>
              <w:left w:w="70" w:type="dxa"/>
              <w:bottom w:w="0" w:type="dxa"/>
              <w:right w:w="70" w:type="dxa"/>
            </w:tcMar>
            <w:vAlign w:val="bottom"/>
          </w:tcPr>
          <w:p w:rsidR="007E1835" w:rsidRPr="007E1835" w:rsidRDefault="007E1835" w:rsidP="004805E0">
            <w:pPr>
              <w:rPr>
                <w:rFonts w:ascii="Tahoma" w:eastAsia="Calibri" w:hAnsi="Tahoma" w:cs="Tahoma"/>
                <w:bCs/>
                <w:color w:val="000000"/>
                <w:sz w:val="22"/>
                <w:szCs w:val="22"/>
              </w:rPr>
            </w:pPr>
            <w:r w:rsidRPr="007E1835">
              <w:rPr>
                <w:rFonts w:ascii="Tahoma" w:hAnsi="Tahoma" w:cs="Tahoma"/>
                <w:bCs/>
                <w:color w:val="000000"/>
                <w:sz w:val="22"/>
                <w:szCs w:val="22"/>
              </w:rPr>
              <w:t>Navarra Emprende, redes sociales CEIN, web CEIN</w:t>
            </w:r>
          </w:p>
        </w:tc>
        <w:tc>
          <w:tcPr>
            <w:tcW w:w="850"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17%</w:t>
            </w:r>
          </w:p>
        </w:tc>
        <w:tc>
          <w:tcPr>
            <w:tcW w:w="958"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11%</w:t>
            </w:r>
          </w:p>
        </w:tc>
      </w:tr>
      <w:tr w:rsidR="007E1835" w:rsidRPr="007E1835" w:rsidTr="004805E0">
        <w:trPr>
          <w:trHeight w:val="426"/>
          <w:jc w:val="center"/>
        </w:trPr>
        <w:tc>
          <w:tcPr>
            <w:tcW w:w="5387" w:type="dxa"/>
            <w:shd w:val="clear" w:color="auto" w:fill="auto"/>
            <w:noWrap/>
            <w:tcMar>
              <w:top w:w="0" w:type="dxa"/>
              <w:left w:w="70" w:type="dxa"/>
              <w:bottom w:w="0" w:type="dxa"/>
              <w:right w:w="70" w:type="dxa"/>
            </w:tcMar>
            <w:vAlign w:val="bottom"/>
          </w:tcPr>
          <w:p w:rsidR="007E1835" w:rsidRPr="007E1835" w:rsidRDefault="007E1835" w:rsidP="004805E0">
            <w:pPr>
              <w:rPr>
                <w:rFonts w:ascii="Tahoma" w:eastAsia="Calibri" w:hAnsi="Tahoma" w:cs="Tahoma"/>
                <w:bCs/>
                <w:color w:val="000000"/>
                <w:sz w:val="22"/>
                <w:szCs w:val="22"/>
              </w:rPr>
            </w:pPr>
            <w:r w:rsidRPr="007E1835">
              <w:rPr>
                <w:rFonts w:ascii="Tahoma" w:hAnsi="Tahoma" w:cs="Tahoma"/>
                <w:bCs/>
                <w:color w:val="000000"/>
                <w:sz w:val="22"/>
                <w:szCs w:val="22"/>
              </w:rPr>
              <w:t>Recomendado por otros antiguos clientes</w:t>
            </w:r>
          </w:p>
        </w:tc>
        <w:tc>
          <w:tcPr>
            <w:tcW w:w="850" w:type="dxa"/>
            <w:noWrap/>
            <w:tcMar>
              <w:top w:w="0" w:type="dxa"/>
              <w:left w:w="70" w:type="dxa"/>
              <w:bottom w:w="0" w:type="dxa"/>
              <w:right w:w="70" w:type="dxa"/>
            </w:tcMar>
            <w:vAlign w:val="bottom"/>
          </w:tcPr>
          <w:p w:rsidR="007E1835" w:rsidRPr="007E1835" w:rsidRDefault="007E1835" w:rsidP="004805E0">
            <w:pPr>
              <w:jc w:val="right"/>
              <w:rPr>
                <w:rFonts w:ascii="Tahoma" w:hAnsi="Tahoma" w:cs="Tahoma"/>
                <w:color w:val="000000"/>
                <w:sz w:val="22"/>
                <w:szCs w:val="22"/>
              </w:rPr>
            </w:pPr>
            <w:r w:rsidRPr="007E1835">
              <w:rPr>
                <w:rFonts w:ascii="Tahoma" w:hAnsi="Tahoma" w:cs="Tahoma"/>
                <w:color w:val="000000"/>
                <w:sz w:val="22"/>
                <w:szCs w:val="22"/>
              </w:rPr>
              <w:t>29%</w:t>
            </w:r>
          </w:p>
        </w:tc>
        <w:tc>
          <w:tcPr>
            <w:tcW w:w="958" w:type="dxa"/>
            <w:noWrap/>
            <w:tcMar>
              <w:top w:w="0" w:type="dxa"/>
              <w:left w:w="70" w:type="dxa"/>
              <w:bottom w:w="0" w:type="dxa"/>
              <w:right w:w="70" w:type="dxa"/>
            </w:tcMar>
            <w:vAlign w:val="bottom"/>
          </w:tcPr>
          <w:p w:rsidR="007E1835" w:rsidRPr="007E1835" w:rsidRDefault="007E1835" w:rsidP="004805E0">
            <w:pPr>
              <w:jc w:val="right"/>
              <w:rPr>
                <w:rFonts w:ascii="Tahoma" w:eastAsia="Calibri" w:hAnsi="Tahoma" w:cs="Tahoma"/>
                <w:color w:val="000000"/>
                <w:sz w:val="22"/>
                <w:szCs w:val="22"/>
              </w:rPr>
            </w:pPr>
            <w:r w:rsidRPr="007E1835">
              <w:rPr>
                <w:rFonts w:ascii="Tahoma" w:hAnsi="Tahoma" w:cs="Tahoma"/>
                <w:color w:val="000000"/>
                <w:sz w:val="22"/>
                <w:szCs w:val="22"/>
              </w:rPr>
              <w:t>31%</w:t>
            </w:r>
          </w:p>
        </w:tc>
      </w:tr>
    </w:tbl>
    <w:p w:rsidR="00FE15B2" w:rsidRDefault="00FE15B2" w:rsidP="007E1835">
      <w:pPr>
        <w:rPr>
          <w:rFonts w:ascii="Tahoma" w:hAnsi="Tahoma" w:cs="Tahoma"/>
          <w:sz w:val="22"/>
          <w:szCs w:val="22"/>
        </w:rPr>
      </w:pP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Si en CEIN se recibe, asesora y </w:t>
      </w:r>
      <w:proofErr w:type="spellStart"/>
      <w:r w:rsidRPr="007E1835">
        <w:rPr>
          <w:rFonts w:ascii="Tahoma" w:hAnsi="Tahoma" w:cs="Tahoma"/>
          <w:sz w:val="22"/>
          <w:szCs w:val="22"/>
        </w:rPr>
        <w:t>tutorizan</w:t>
      </w:r>
      <w:proofErr w:type="spellEnd"/>
      <w:r w:rsidRPr="007E1835">
        <w:rPr>
          <w:rFonts w:ascii="Tahoma" w:hAnsi="Tahoma" w:cs="Tahoma"/>
          <w:sz w:val="22"/>
          <w:szCs w:val="22"/>
        </w:rPr>
        <w:t xml:space="preserve"> las iniciativas, en SODENA evalúan la posibilidad de su financiación. El área de CAPITAL SEMILLA (</w:t>
      </w:r>
      <w:proofErr w:type="spellStart"/>
      <w:r w:rsidRPr="007E1835">
        <w:rPr>
          <w:rFonts w:ascii="Tahoma" w:hAnsi="Tahoma" w:cs="Tahoma"/>
          <w:sz w:val="22"/>
          <w:szCs w:val="22"/>
        </w:rPr>
        <w:t>Start</w:t>
      </w:r>
      <w:proofErr w:type="spellEnd"/>
      <w:r w:rsidRPr="007E1835">
        <w:rPr>
          <w:rFonts w:ascii="Tahoma" w:hAnsi="Tahoma" w:cs="Tahoma"/>
          <w:sz w:val="22"/>
          <w:szCs w:val="22"/>
        </w:rPr>
        <w:t xml:space="preserve"> up, SSU) de SODENA tiene entre sus objetivos financiar, utilizando el instrumento de Capital Riesgo, los proyectos empresariales en función de sus necesidades, la fase de desarrollo en la que se encuentran y su tipología.</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Una vez que SODENA detecta un proyecto o un promotor acude a SODENA y éste encaja en el área de </w:t>
      </w:r>
      <w:r w:rsidR="009F6B6A" w:rsidRPr="007E1835">
        <w:rPr>
          <w:rFonts w:ascii="Tahoma" w:hAnsi="Tahoma" w:cs="Tahoma"/>
          <w:sz w:val="22"/>
          <w:szCs w:val="22"/>
        </w:rPr>
        <w:t xml:space="preserve">Capital Semilla </w:t>
      </w:r>
      <w:r w:rsidRPr="007E1835">
        <w:rPr>
          <w:rFonts w:ascii="Tahoma" w:hAnsi="Tahoma" w:cs="Tahoma"/>
          <w:sz w:val="22"/>
          <w:szCs w:val="22"/>
        </w:rPr>
        <w:t>se hace un primer análisis de la información facilitada por los promotores y se complementa con una primera reunión. Tras este primer contacto se decide si el proyecto encaja en el área o por el contrario corresponde a otro área de la organización o si se traspasa a otras entidades del ámbito de SODENA más apropiadas para cubrir sus necesidades.</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A partir del plan de negocio del proyecto se comprueba que cumple con los requisitos exigidos de localización, promotores, equipo directivo, evolución prevista de personal, proyecto y </w:t>
      </w:r>
      <w:proofErr w:type="spellStart"/>
      <w:r w:rsidRPr="007E1835">
        <w:rPr>
          <w:rFonts w:ascii="Tahoma" w:hAnsi="Tahoma" w:cs="Tahoma"/>
          <w:sz w:val="22"/>
          <w:szCs w:val="22"/>
        </w:rPr>
        <w:t>co</w:t>
      </w:r>
      <w:proofErr w:type="spellEnd"/>
      <w:r w:rsidRPr="007E1835">
        <w:rPr>
          <w:rFonts w:ascii="Tahoma" w:hAnsi="Tahoma" w:cs="Tahoma"/>
          <w:sz w:val="22"/>
          <w:szCs w:val="22"/>
        </w:rPr>
        <w:t>-inversión. Si se cumplen estos criterios, se prepara un documento resumen a discutir por el:</w:t>
      </w:r>
    </w:p>
    <w:p w:rsidR="007E1835" w:rsidRPr="007E1835" w:rsidRDefault="007E1835" w:rsidP="007E1835">
      <w:pPr>
        <w:pStyle w:val="Prrafodelista"/>
        <w:numPr>
          <w:ilvl w:val="0"/>
          <w:numId w:val="19"/>
        </w:numPr>
        <w:jc w:val="both"/>
        <w:rPr>
          <w:rFonts w:ascii="Tahoma" w:eastAsia="Times New Roman" w:hAnsi="Tahoma" w:cs="Tahoma"/>
          <w:lang w:eastAsia="es-ES"/>
        </w:rPr>
      </w:pPr>
      <w:r w:rsidRPr="007E1835">
        <w:rPr>
          <w:rFonts w:ascii="Tahoma" w:eastAsia="Times New Roman" w:hAnsi="Tahoma" w:cs="Tahoma"/>
          <w:lang w:eastAsia="es-ES"/>
        </w:rPr>
        <w:t>Comité de Dirección de SODENA, en el caso de los préstamos participativos, informando al Consejo de Administración de SODENA.</w:t>
      </w:r>
    </w:p>
    <w:p w:rsidR="007E1835" w:rsidRPr="007E1835" w:rsidRDefault="007E1835" w:rsidP="007E1835">
      <w:pPr>
        <w:pStyle w:val="Prrafodelista"/>
        <w:numPr>
          <w:ilvl w:val="0"/>
          <w:numId w:val="16"/>
        </w:numPr>
        <w:jc w:val="both"/>
        <w:rPr>
          <w:rFonts w:ascii="Tahoma" w:eastAsia="Times New Roman" w:hAnsi="Tahoma" w:cs="Tahoma"/>
          <w:lang w:eastAsia="es-ES"/>
        </w:rPr>
      </w:pPr>
      <w:r w:rsidRPr="007E1835">
        <w:rPr>
          <w:rFonts w:ascii="Tahoma" w:eastAsia="Times New Roman" w:hAnsi="Tahoma" w:cs="Tahoma"/>
          <w:lang w:eastAsia="es-ES"/>
        </w:rPr>
        <w:t xml:space="preserve">Comité de Inversiones y Consejo de Administración de </w:t>
      </w:r>
      <w:proofErr w:type="spellStart"/>
      <w:r w:rsidRPr="007E1835">
        <w:rPr>
          <w:rFonts w:ascii="Tahoma" w:eastAsia="Times New Roman" w:hAnsi="Tahoma" w:cs="Tahoma"/>
          <w:lang w:eastAsia="es-ES"/>
        </w:rPr>
        <w:t>Start</w:t>
      </w:r>
      <w:proofErr w:type="spellEnd"/>
      <w:r w:rsidRPr="007E1835">
        <w:rPr>
          <w:rFonts w:ascii="Tahoma" w:eastAsia="Times New Roman" w:hAnsi="Tahoma" w:cs="Tahoma"/>
          <w:lang w:eastAsia="es-ES"/>
        </w:rPr>
        <w:t xml:space="preserve"> Up, en el caso de </w:t>
      </w:r>
      <w:proofErr w:type="spellStart"/>
      <w:r w:rsidRPr="007E1835">
        <w:rPr>
          <w:rFonts w:ascii="Tahoma" w:eastAsia="Times New Roman" w:hAnsi="Tahoma" w:cs="Tahoma"/>
          <w:lang w:eastAsia="es-ES"/>
        </w:rPr>
        <w:t>Start</w:t>
      </w:r>
      <w:proofErr w:type="spellEnd"/>
      <w:r w:rsidRPr="007E1835">
        <w:rPr>
          <w:rFonts w:ascii="Tahoma" w:eastAsia="Times New Roman" w:hAnsi="Tahoma" w:cs="Tahoma"/>
          <w:lang w:eastAsia="es-ES"/>
        </w:rPr>
        <w:t xml:space="preserve"> Up o Consejo de Administración de SODENA, en el caso de participaciones en el capital.</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Estos órganos aprueban la inversión o indican recomendaciones condicionantes para su aprobación. Esta información es trasladada a los promotores y se inicia el proceso de negociación y acuerdo de los documentos a firmar ante notario entre las partes (préstamo participativo, pacto de socios…).</w:t>
      </w:r>
    </w:p>
    <w:p w:rsidR="00FE15B2" w:rsidRDefault="00181A3C" w:rsidP="00181A3C">
      <w:pPr>
        <w:spacing w:line="276" w:lineRule="auto"/>
        <w:rPr>
          <w:rFonts w:ascii="Tahoma" w:hAnsi="Tahoma" w:cs="Tahoma"/>
          <w:sz w:val="22"/>
          <w:szCs w:val="22"/>
        </w:rPr>
      </w:pPr>
      <w:r w:rsidRPr="00FC1D26">
        <w:rPr>
          <w:rFonts w:ascii="Tahoma" w:hAnsi="Tahoma" w:cs="Tahoma"/>
          <w:sz w:val="22"/>
          <w:szCs w:val="22"/>
        </w:rPr>
        <w:t xml:space="preserve">Asimismo, a través de SODENA se mantienen acuerdos de colaboración con las sociedades de garantía recíproca </w:t>
      </w:r>
      <w:proofErr w:type="spellStart"/>
      <w:r w:rsidR="009F6B6A" w:rsidRPr="00FC1D26">
        <w:rPr>
          <w:rFonts w:ascii="Tahoma" w:hAnsi="Tahoma" w:cs="Tahoma"/>
          <w:sz w:val="22"/>
          <w:szCs w:val="22"/>
        </w:rPr>
        <w:t>Elkargi</w:t>
      </w:r>
      <w:proofErr w:type="spellEnd"/>
      <w:r w:rsidR="009F6B6A" w:rsidRPr="00FC1D26">
        <w:rPr>
          <w:rFonts w:ascii="Tahoma" w:hAnsi="Tahoma" w:cs="Tahoma"/>
          <w:sz w:val="22"/>
          <w:szCs w:val="22"/>
        </w:rPr>
        <w:t xml:space="preserve"> </w:t>
      </w:r>
      <w:r w:rsidRPr="00FC1D26">
        <w:rPr>
          <w:rFonts w:ascii="Tahoma" w:hAnsi="Tahoma" w:cs="Tahoma"/>
          <w:sz w:val="22"/>
          <w:szCs w:val="22"/>
        </w:rPr>
        <w:t xml:space="preserve">y </w:t>
      </w:r>
      <w:proofErr w:type="spellStart"/>
      <w:r w:rsidR="009F6B6A" w:rsidRPr="00FC1D26">
        <w:rPr>
          <w:rFonts w:ascii="Tahoma" w:hAnsi="Tahoma" w:cs="Tahoma"/>
          <w:sz w:val="22"/>
          <w:szCs w:val="22"/>
        </w:rPr>
        <w:t>Sonagar</w:t>
      </w:r>
      <w:proofErr w:type="spellEnd"/>
      <w:r w:rsidR="009F6B6A" w:rsidRPr="00FC1D26">
        <w:rPr>
          <w:rFonts w:ascii="Tahoma" w:hAnsi="Tahoma" w:cs="Tahoma"/>
          <w:sz w:val="22"/>
          <w:szCs w:val="22"/>
        </w:rPr>
        <w:t xml:space="preserve"> </w:t>
      </w:r>
      <w:r w:rsidRPr="00FC1D26">
        <w:rPr>
          <w:rFonts w:ascii="Tahoma" w:hAnsi="Tahoma" w:cs="Tahoma"/>
          <w:sz w:val="22"/>
          <w:szCs w:val="22"/>
        </w:rPr>
        <w:t>para favorecer la financiación de los emprendedores así como de pequeñas y medianas empresas, y de microempresas. Al amparo de estos convenios, desde su lanzamiento en 2016 y hasta 2018, se han firmado 598 operaciones por un importe total de más de cien millones de euros.</w:t>
      </w:r>
      <w:r w:rsidRPr="00181A3C">
        <w:rPr>
          <w:rFonts w:ascii="Tahoma" w:hAnsi="Tahoma" w:cs="Tahoma"/>
          <w:sz w:val="22"/>
          <w:szCs w:val="22"/>
        </w:rPr>
        <w:t xml:space="preserve"> </w:t>
      </w:r>
    </w:p>
    <w:p w:rsidR="00FE15B2" w:rsidRDefault="007E1835" w:rsidP="007E1835">
      <w:pPr>
        <w:rPr>
          <w:rFonts w:ascii="Tahoma" w:hAnsi="Tahoma" w:cs="Tahoma"/>
          <w:sz w:val="22"/>
          <w:szCs w:val="22"/>
        </w:rPr>
      </w:pPr>
      <w:r w:rsidRPr="007E1835">
        <w:rPr>
          <w:rFonts w:ascii="Tahoma" w:hAnsi="Tahoma" w:cs="Tahoma"/>
          <w:sz w:val="22"/>
          <w:szCs w:val="22"/>
        </w:rPr>
        <w:t xml:space="preserve">En el caso de los proyectos de </w:t>
      </w:r>
      <w:smartTag w:uri="urn:schemas-microsoft-com:office:smarttags" w:element="PersonName">
        <w:smartTagPr>
          <w:attr w:name="ProductID" w:val="la Aceleradora Agroalimentaria Orizont"/>
        </w:smartTagPr>
        <w:r w:rsidRPr="007E1835">
          <w:rPr>
            <w:rFonts w:ascii="Tahoma" w:hAnsi="Tahoma" w:cs="Tahoma"/>
            <w:sz w:val="22"/>
            <w:szCs w:val="22"/>
          </w:rPr>
          <w:t xml:space="preserve">la Aceleradora Agroalimentaria </w:t>
        </w:r>
        <w:proofErr w:type="spellStart"/>
        <w:r w:rsidRPr="007E1835">
          <w:rPr>
            <w:rFonts w:ascii="Tahoma" w:hAnsi="Tahoma" w:cs="Tahoma"/>
            <w:sz w:val="22"/>
            <w:szCs w:val="22"/>
          </w:rPr>
          <w:t>Orizont</w:t>
        </w:r>
      </w:smartTag>
      <w:proofErr w:type="spellEnd"/>
      <w:r w:rsidRPr="007E1835">
        <w:rPr>
          <w:rFonts w:ascii="Tahoma" w:hAnsi="Tahoma" w:cs="Tahoma"/>
          <w:sz w:val="22"/>
          <w:szCs w:val="22"/>
        </w:rPr>
        <w:t xml:space="preserve">, un equipo mixto compuesto por personal de SODENA y de CEIN selecciona los quince mejores proyectos recibidos siguiendo los siguientes criterios específicos de evaluación: </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Equipo (30%)</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Producto o servicio (20%)</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Mercado (20%)</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Empleo (10%)</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Localización (5%)</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Finanzas (5%)</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Escalabilidad (5%)</w:t>
      </w:r>
    </w:p>
    <w:p w:rsidR="007E1835" w:rsidRPr="007E1835" w:rsidRDefault="007E1835" w:rsidP="007E1835">
      <w:pPr>
        <w:pStyle w:val="Prrafodelista"/>
        <w:numPr>
          <w:ilvl w:val="0"/>
          <w:numId w:val="18"/>
        </w:numPr>
        <w:jc w:val="both"/>
        <w:rPr>
          <w:rFonts w:ascii="Tahoma" w:eastAsia="Times New Roman" w:hAnsi="Tahoma" w:cs="Tahoma"/>
          <w:lang w:eastAsia="es-ES"/>
        </w:rPr>
      </w:pPr>
      <w:r w:rsidRPr="007E1835">
        <w:rPr>
          <w:rFonts w:ascii="Tahoma" w:eastAsia="Times New Roman" w:hAnsi="Tahoma" w:cs="Tahoma"/>
          <w:lang w:eastAsia="es-ES"/>
        </w:rPr>
        <w:t>Empresa (5%)</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Los quince proyectos seleccionados hacen una presentación ante el Consejo Asesor de </w:t>
      </w:r>
      <w:proofErr w:type="spellStart"/>
      <w:r w:rsidRPr="007E1835">
        <w:rPr>
          <w:rFonts w:ascii="Tahoma" w:hAnsi="Tahoma" w:cs="Tahoma"/>
          <w:sz w:val="22"/>
          <w:szCs w:val="22"/>
        </w:rPr>
        <w:t>Orizont</w:t>
      </w:r>
      <w:proofErr w:type="spellEnd"/>
      <w:r w:rsidRPr="007E1835">
        <w:rPr>
          <w:rFonts w:ascii="Tahoma" w:hAnsi="Tahoma" w:cs="Tahoma"/>
          <w:sz w:val="22"/>
          <w:szCs w:val="22"/>
        </w:rPr>
        <w:t>, quien elige un máximo de ocho para ser acelerados y apoyados financieramente.</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Esta aceleradora está en el primer lugar del ranking de 78 aceleradoras, según recoge el informe “Los servicios que prestan los viveros de empresas en España. Ranking 2016/2017”, elaborado por la Fundación de las Cajas de Ahorros (</w:t>
      </w:r>
      <w:proofErr w:type="spellStart"/>
      <w:r w:rsidRPr="007E1835">
        <w:rPr>
          <w:rFonts w:ascii="Tahoma" w:hAnsi="Tahoma" w:cs="Tahoma"/>
          <w:sz w:val="22"/>
          <w:szCs w:val="22"/>
        </w:rPr>
        <w:t>Funcas</w:t>
      </w:r>
      <w:proofErr w:type="spellEnd"/>
      <w:r w:rsidRPr="007E1835">
        <w:rPr>
          <w:rFonts w:ascii="Tahoma" w:hAnsi="Tahoma" w:cs="Tahoma"/>
          <w:sz w:val="22"/>
          <w:szCs w:val="22"/>
        </w:rPr>
        <w:t xml:space="preserve">) y </w:t>
      </w:r>
      <w:smartTag w:uri="urn:schemas-microsoft-com:office:smarttags" w:element="PersonName">
        <w:smartTagPr>
          <w:attr w:name="ProductID" w:val="la Universidad Rey Juan"/>
        </w:smartTagPr>
        <w:r w:rsidRPr="007E1835">
          <w:rPr>
            <w:rFonts w:ascii="Tahoma" w:hAnsi="Tahoma" w:cs="Tahoma"/>
            <w:sz w:val="22"/>
            <w:szCs w:val="22"/>
          </w:rPr>
          <w:t>la Universidad Rey Juan</w:t>
        </w:r>
      </w:smartTag>
      <w:r w:rsidRPr="007E1835">
        <w:rPr>
          <w:rFonts w:ascii="Tahoma" w:hAnsi="Tahoma" w:cs="Tahoma"/>
          <w:sz w:val="22"/>
          <w:szCs w:val="22"/>
        </w:rPr>
        <w:t xml:space="preserve"> Carlos. Ambas instituciones han estudiado la situación actual de los viveros de empresas en España y, por primera vez, analizan también de las aceleradoras, como catalizadores del desarrollo del tejido empresarial.</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Además, SODENA fue reconocida por </w:t>
      </w:r>
      <w:smartTag w:uri="urn:schemas-microsoft-com:office:smarttags" w:element="PersonName">
        <w:smartTagPr>
          <w:attr w:name="ProductID" w:val="la Aceleradora Orizont"/>
        </w:smartTagPr>
        <w:r w:rsidRPr="007E1835">
          <w:rPr>
            <w:rFonts w:ascii="Tahoma" w:hAnsi="Tahoma" w:cs="Tahoma"/>
            <w:sz w:val="22"/>
            <w:szCs w:val="22"/>
          </w:rPr>
          <w:t xml:space="preserve">la Aceleradora </w:t>
        </w:r>
        <w:proofErr w:type="spellStart"/>
        <w:r w:rsidRPr="007E1835">
          <w:rPr>
            <w:rFonts w:ascii="Tahoma" w:hAnsi="Tahoma" w:cs="Tahoma"/>
            <w:sz w:val="22"/>
            <w:szCs w:val="22"/>
          </w:rPr>
          <w:t>Orizont</w:t>
        </w:r>
      </w:smartTag>
      <w:proofErr w:type="spellEnd"/>
      <w:r w:rsidRPr="007E1835">
        <w:rPr>
          <w:rFonts w:ascii="Tahoma" w:hAnsi="Tahoma" w:cs="Tahoma"/>
          <w:sz w:val="22"/>
          <w:szCs w:val="22"/>
        </w:rPr>
        <w:t xml:space="preserve"> como la iniciativa financiera más innovadora y eficiente en la III edición de </w:t>
      </w:r>
      <w:proofErr w:type="spellStart"/>
      <w:r w:rsidRPr="007E1835">
        <w:rPr>
          <w:rFonts w:ascii="Tahoma" w:hAnsi="Tahoma" w:cs="Tahoma"/>
          <w:sz w:val="22"/>
          <w:szCs w:val="22"/>
        </w:rPr>
        <w:t>Eurada</w:t>
      </w:r>
      <w:proofErr w:type="spellEnd"/>
      <w:r w:rsidRPr="007E1835">
        <w:rPr>
          <w:rFonts w:ascii="Tahoma" w:hAnsi="Tahoma" w:cs="Tahoma"/>
          <w:sz w:val="22"/>
          <w:szCs w:val="22"/>
        </w:rPr>
        <w:t xml:space="preserve"> </w:t>
      </w:r>
      <w:proofErr w:type="spellStart"/>
      <w:r w:rsidRPr="007E1835">
        <w:rPr>
          <w:rFonts w:ascii="Tahoma" w:hAnsi="Tahoma" w:cs="Tahoma"/>
          <w:sz w:val="22"/>
          <w:szCs w:val="22"/>
        </w:rPr>
        <w:t>Awards</w:t>
      </w:r>
      <w:proofErr w:type="spellEnd"/>
      <w:r w:rsidRPr="007E1835">
        <w:rPr>
          <w:rFonts w:ascii="Tahoma" w:hAnsi="Tahoma" w:cs="Tahoma"/>
          <w:sz w:val="22"/>
          <w:szCs w:val="22"/>
        </w:rPr>
        <w:t xml:space="preserve"> 2017 de </w:t>
      </w:r>
      <w:smartTag w:uri="urn:schemas-microsoft-com:office:smarttags" w:element="PersonName">
        <w:smartTagPr>
          <w:attr w:name="ProductID" w:val="la Asociaci￳n Europea"/>
        </w:smartTagPr>
        <w:r w:rsidRPr="007E1835">
          <w:rPr>
            <w:rFonts w:ascii="Tahoma" w:hAnsi="Tahoma" w:cs="Tahoma"/>
            <w:sz w:val="22"/>
            <w:szCs w:val="22"/>
          </w:rPr>
          <w:t>la Asociación Europea</w:t>
        </w:r>
      </w:smartTag>
      <w:r w:rsidRPr="007E1835">
        <w:rPr>
          <w:rFonts w:ascii="Tahoma" w:hAnsi="Tahoma" w:cs="Tahoma"/>
          <w:sz w:val="22"/>
          <w:szCs w:val="22"/>
        </w:rPr>
        <w:t xml:space="preserve"> de Agencias de Desarrollo Económico. El objetivo de estos galardones es identificar y dar a conocer a nivel internacional iniciativas novedosas puestas en práctica por miembros de EURADA y otras agencias de desarrollo europeas, que fomenten el desarrollo económico y promoverlas entre organismos y profesionales europeos. El jurado destacó la alta adaptabilidad de </w:t>
      </w:r>
      <w:proofErr w:type="spellStart"/>
      <w:r w:rsidRPr="007E1835">
        <w:rPr>
          <w:rFonts w:ascii="Tahoma" w:hAnsi="Tahoma" w:cs="Tahoma"/>
          <w:sz w:val="22"/>
          <w:szCs w:val="22"/>
        </w:rPr>
        <w:t>Orizont</w:t>
      </w:r>
      <w:proofErr w:type="spellEnd"/>
      <w:r w:rsidRPr="007E1835">
        <w:rPr>
          <w:rFonts w:ascii="Tahoma" w:hAnsi="Tahoma" w:cs="Tahoma"/>
          <w:sz w:val="22"/>
          <w:szCs w:val="22"/>
        </w:rPr>
        <w:t xml:space="preserve"> y su componente innovador al ser la primera aceleradora para apoyar y desarrollar el sector agroalimentario. </w:t>
      </w:r>
    </w:p>
    <w:p w:rsidR="007E1835" w:rsidRPr="007E1835" w:rsidRDefault="007E1835" w:rsidP="007E1835">
      <w:pPr>
        <w:spacing w:line="276" w:lineRule="auto"/>
        <w:rPr>
          <w:rFonts w:ascii="Tahoma" w:hAnsi="Tahoma" w:cs="Tahoma"/>
          <w:sz w:val="22"/>
          <w:szCs w:val="22"/>
        </w:rPr>
      </w:pPr>
      <w:r w:rsidRPr="007E1835">
        <w:rPr>
          <w:rFonts w:ascii="Tahoma" w:hAnsi="Tahoma" w:cs="Tahoma"/>
          <w:sz w:val="22"/>
          <w:szCs w:val="22"/>
        </w:rPr>
        <w:t xml:space="preserve">Por último, se aportan las cifras de actividad del área Semilla y de </w:t>
      </w:r>
      <w:smartTag w:uri="urn:schemas-microsoft-com:office:smarttags" w:element="PersonName">
        <w:smartTagPr>
          <w:attr w:name="ProductID" w:val="la Aceleradora Orizont"/>
        </w:smartTagPr>
        <w:r w:rsidRPr="007E1835">
          <w:rPr>
            <w:rFonts w:ascii="Tahoma" w:hAnsi="Tahoma" w:cs="Tahoma"/>
            <w:sz w:val="22"/>
            <w:szCs w:val="22"/>
          </w:rPr>
          <w:t xml:space="preserve">la Aceleradora </w:t>
        </w:r>
        <w:proofErr w:type="spellStart"/>
        <w:r w:rsidRPr="007E1835">
          <w:rPr>
            <w:rFonts w:ascii="Tahoma" w:hAnsi="Tahoma" w:cs="Tahoma"/>
            <w:sz w:val="22"/>
            <w:szCs w:val="22"/>
          </w:rPr>
          <w:t>Orizont</w:t>
        </w:r>
      </w:smartTag>
      <w:proofErr w:type="spellEnd"/>
      <w:r w:rsidRPr="007E1835">
        <w:rPr>
          <w:rFonts w:ascii="Tahoma" w:hAnsi="Tahoma" w:cs="Tahoma"/>
          <w:sz w:val="22"/>
          <w:szCs w:val="22"/>
        </w:rPr>
        <w:t xml:space="preserve"> en 2018:</w:t>
      </w:r>
    </w:p>
    <w:p w:rsidR="007E1835" w:rsidRPr="007E1835" w:rsidRDefault="007E1835" w:rsidP="007E1835">
      <w:pPr>
        <w:spacing w:line="276" w:lineRule="auto"/>
        <w:jc w:val="center"/>
        <w:rPr>
          <w:rFonts w:ascii="Tahoma" w:hAnsi="Tahoma" w:cs="Tahoma"/>
          <w:sz w:val="22"/>
          <w:szCs w:val="22"/>
        </w:rPr>
      </w:pPr>
      <w:r w:rsidRPr="007E1835">
        <w:rPr>
          <w:rFonts w:ascii="Tahoma" w:hAnsi="Tahoma" w:cs="Tahoma"/>
          <w:sz w:val="22"/>
          <w:szCs w:val="22"/>
        </w:rPr>
        <w:t>Área Semilla/</w:t>
      </w:r>
      <w:proofErr w:type="spellStart"/>
      <w:r w:rsidRPr="007E1835">
        <w:rPr>
          <w:rFonts w:ascii="Tahoma" w:hAnsi="Tahoma" w:cs="Tahoma"/>
          <w:sz w:val="22"/>
          <w:szCs w:val="22"/>
        </w:rPr>
        <w:t>StartUp</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268"/>
      </w:tblGrid>
      <w:tr w:rsidR="007E1835" w:rsidRPr="007E1835" w:rsidTr="004805E0">
        <w:trPr>
          <w:jc w:val="center"/>
        </w:trPr>
        <w:tc>
          <w:tcPr>
            <w:tcW w:w="2093" w:type="dxa"/>
            <w:shd w:val="clear" w:color="auto" w:fill="auto"/>
          </w:tcPr>
          <w:p w:rsidR="007E1835" w:rsidRPr="007E1835" w:rsidRDefault="007E1835" w:rsidP="007653E1">
            <w:pPr>
              <w:jc w:val="center"/>
              <w:rPr>
                <w:rFonts w:ascii="Tahoma" w:hAnsi="Tahoma" w:cs="Tahoma"/>
                <w:sz w:val="22"/>
                <w:szCs w:val="22"/>
              </w:rPr>
            </w:pPr>
            <w:bookmarkStart w:id="0" w:name="_Hlk769755"/>
            <w:r w:rsidRPr="007E1835">
              <w:rPr>
                <w:rFonts w:ascii="Tahoma" w:hAnsi="Tahoma" w:cs="Tahoma"/>
                <w:sz w:val="22"/>
                <w:szCs w:val="22"/>
              </w:rPr>
              <w:t>Proyectos Captados</w:t>
            </w:r>
          </w:p>
        </w:tc>
        <w:tc>
          <w:tcPr>
            <w:tcW w:w="2126" w:type="dxa"/>
            <w:shd w:val="clear" w:color="auto" w:fill="auto"/>
          </w:tcPr>
          <w:p w:rsidR="007E1835" w:rsidRPr="007E1835" w:rsidRDefault="007E1835" w:rsidP="007653E1">
            <w:pPr>
              <w:jc w:val="center"/>
              <w:rPr>
                <w:rFonts w:ascii="Tahoma" w:hAnsi="Tahoma" w:cs="Tahoma"/>
                <w:sz w:val="22"/>
                <w:szCs w:val="22"/>
              </w:rPr>
            </w:pPr>
            <w:r w:rsidRPr="007E1835">
              <w:rPr>
                <w:rFonts w:ascii="Tahoma" w:hAnsi="Tahoma" w:cs="Tahoma"/>
                <w:sz w:val="22"/>
                <w:szCs w:val="22"/>
              </w:rPr>
              <w:t>Proyectos analizados</w:t>
            </w:r>
          </w:p>
        </w:tc>
        <w:tc>
          <w:tcPr>
            <w:tcW w:w="2268" w:type="dxa"/>
            <w:shd w:val="clear" w:color="auto" w:fill="auto"/>
          </w:tcPr>
          <w:p w:rsidR="007E1835" w:rsidRPr="007E1835" w:rsidRDefault="007653E1" w:rsidP="007653E1">
            <w:pPr>
              <w:jc w:val="center"/>
              <w:rPr>
                <w:rFonts w:ascii="Tahoma" w:hAnsi="Tahoma" w:cs="Tahoma"/>
                <w:sz w:val="22"/>
                <w:szCs w:val="22"/>
              </w:rPr>
            </w:pPr>
            <w:r>
              <w:rPr>
                <w:rFonts w:ascii="Tahoma" w:hAnsi="Tahoma" w:cs="Tahoma"/>
                <w:sz w:val="22"/>
                <w:szCs w:val="22"/>
              </w:rPr>
              <w:t>Proyectos</w:t>
            </w:r>
            <w:r>
              <w:rPr>
                <w:rFonts w:ascii="Tahoma" w:hAnsi="Tahoma" w:cs="Tahoma"/>
                <w:sz w:val="22"/>
                <w:szCs w:val="22"/>
              </w:rPr>
              <w:br/>
            </w:r>
            <w:r w:rsidR="007E1835" w:rsidRPr="007E1835">
              <w:rPr>
                <w:rFonts w:ascii="Tahoma" w:hAnsi="Tahoma" w:cs="Tahoma"/>
                <w:sz w:val="22"/>
                <w:szCs w:val="22"/>
              </w:rPr>
              <w:t>Aprobados</w:t>
            </w:r>
          </w:p>
        </w:tc>
      </w:tr>
      <w:tr w:rsidR="007E1835" w:rsidRPr="007E1835" w:rsidTr="004805E0">
        <w:trPr>
          <w:jc w:val="center"/>
        </w:trPr>
        <w:tc>
          <w:tcPr>
            <w:tcW w:w="2093"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88</w:t>
            </w:r>
          </w:p>
        </w:tc>
        <w:tc>
          <w:tcPr>
            <w:tcW w:w="2126"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27</w:t>
            </w:r>
          </w:p>
        </w:tc>
        <w:tc>
          <w:tcPr>
            <w:tcW w:w="2268"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7*</w:t>
            </w:r>
          </w:p>
        </w:tc>
      </w:tr>
    </w:tbl>
    <w:bookmarkEnd w:id="0"/>
    <w:p w:rsidR="00FE15B2" w:rsidRDefault="007E1835" w:rsidP="007653E1">
      <w:pPr>
        <w:ind w:left="1134"/>
        <w:rPr>
          <w:rFonts w:ascii="Tahoma" w:hAnsi="Tahoma" w:cs="Tahoma"/>
          <w:sz w:val="18"/>
          <w:szCs w:val="18"/>
        </w:rPr>
      </w:pPr>
      <w:r w:rsidRPr="007653E1">
        <w:rPr>
          <w:rFonts w:ascii="Tahoma" w:hAnsi="Tahoma" w:cs="Tahoma"/>
          <w:sz w:val="18"/>
          <w:szCs w:val="18"/>
        </w:rPr>
        <w:t>*5 proyectos nuevos + 2 operaciones con participadas existentes</w:t>
      </w:r>
    </w:p>
    <w:p w:rsidR="007653E1" w:rsidRPr="007653E1" w:rsidRDefault="007653E1" w:rsidP="007653E1">
      <w:pPr>
        <w:ind w:left="1134"/>
        <w:rPr>
          <w:rFonts w:ascii="Tahoma" w:hAnsi="Tahoma" w:cs="Tahoma"/>
          <w:sz w:val="18"/>
          <w:szCs w:val="18"/>
        </w:rPr>
      </w:pPr>
    </w:p>
    <w:p w:rsidR="007E1835" w:rsidRPr="007E1835" w:rsidRDefault="007E1835" w:rsidP="007E1835">
      <w:pPr>
        <w:jc w:val="center"/>
        <w:rPr>
          <w:rFonts w:ascii="Tahoma" w:hAnsi="Tahoma" w:cs="Tahoma"/>
          <w:sz w:val="22"/>
          <w:szCs w:val="22"/>
        </w:rPr>
      </w:pPr>
      <w:r w:rsidRPr="007E1835">
        <w:rPr>
          <w:rFonts w:ascii="Tahoma" w:hAnsi="Tahoma" w:cs="Tahoma"/>
          <w:sz w:val="22"/>
          <w:szCs w:val="22"/>
        </w:rPr>
        <w:t xml:space="preserve">Aceleradora </w:t>
      </w:r>
      <w:proofErr w:type="spellStart"/>
      <w:r w:rsidRPr="007E1835">
        <w:rPr>
          <w:rFonts w:ascii="Tahoma" w:hAnsi="Tahoma" w:cs="Tahoma"/>
          <w:sz w:val="22"/>
          <w:szCs w:val="22"/>
        </w:rPr>
        <w:t>Orizont</w:t>
      </w:r>
      <w:proofErr w:type="spellEnd"/>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127"/>
        <w:gridCol w:w="2551"/>
        <w:gridCol w:w="2268"/>
      </w:tblGrid>
      <w:tr w:rsidR="007E1835" w:rsidRPr="007E1835" w:rsidTr="004805E0">
        <w:trPr>
          <w:jc w:val="center"/>
        </w:trPr>
        <w:tc>
          <w:tcPr>
            <w:tcW w:w="2376" w:type="dxa"/>
            <w:shd w:val="clear" w:color="auto" w:fill="auto"/>
          </w:tcPr>
          <w:p w:rsidR="007E1835" w:rsidRPr="007E1835" w:rsidRDefault="007E1835" w:rsidP="007653E1">
            <w:pPr>
              <w:jc w:val="center"/>
              <w:rPr>
                <w:rFonts w:ascii="Tahoma" w:hAnsi="Tahoma" w:cs="Tahoma"/>
                <w:sz w:val="22"/>
                <w:szCs w:val="22"/>
              </w:rPr>
            </w:pPr>
            <w:r w:rsidRPr="007E1835">
              <w:rPr>
                <w:rFonts w:ascii="Tahoma" w:hAnsi="Tahoma" w:cs="Tahoma"/>
                <w:sz w:val="22"/>
                <w:szCs w:val="22"/>
              </w:rPr>
              <w:t>Proyectos</w:t>
            </w:r>
            <w:r w:rsidR="007653E1">
              <w:rPr>
                <w:rFonts w:ascii="Tahoma" w:hAnsi="Tahoma" w:cs="Tahoma"/>
                <w:sz w:val="22"/>
                <w:szCs w:val="22"/>
              </w:rPr>
              <w:br/>
            </w:r>
            <w:r w:rsidRPr="007E1835">
              <w:rPr>
                <w:rFonts w:ascii="Tahoma" w:hAnsi="Tahoma" w:cs="Tahoma"/>
                <w:sz w:val="22"/>
                <w:szCs w:val="22"/>
              </w:rPr>
              <w:t>Interesados</w:t>
            </w:r>
          </w:p>
        </w:tc>
        <w:tc>
          <w:tcPr>
            <w:tcW w:w="2127" w:type="dxa"/>
            <w:shd w:val="clear" w:color="auto" w:fill="auto"/>
          </w:tcPr>
          <w:p w:rsidR="007E1835" w:rsidRPr="007E1835" w:rsidRDefault="007E1835" w:rsidP="007653E1">
            <w:pPr>
              <w:jc w:val="center"/>
              <w:rPr>
                <w:rFonts w:ascii="Tahoma" w:hAnsi="Tahoma" w:cs="Tahoma"/>
                <w:sz w:val="22"/>
                <w:szCs w:val="22"/>
              </w:rPr>
            </w:pPr>
            <w:r w:rsidRPr="007E1835">
              <w:rPr>
                <w:rFonts w:ascii="Tahoma" w:hAnsi="Tahoma" w:cs="Tahoma"/>
                <w:sz w:val="22"/>
                <w:szCs w:val="22"/>
              </w:rPr>
              <w:t>Proyectos analizados</w:t>
            </w:r>
          </w:p>
        </w:tc>
        <w:tc>
          <w:tcPr>
            <w:tcW w:w="2551" w:type="dxa"/>
            <w:shd w:val="clear" w:color="auto" w:fill="auto"/>
          </w:tcPr>
          <w:p w:rsidR="007E1835" w:rsidRPr="007E1835" w:rsidRDefault="007E1835" w:rsidP="007653E1">
            <w:pPr>
              <w:jc w:val="center"/>
              <w:rPr>
                <w:rFonts w:ascii="Tahoma" w:hAnsi="Tahoma" w:cs="Tahoma"/>
                <w:sz w:val="22"/>
                <w:szCs w:val="22"/>
              </w:rPr>
            </w:pPr>
            <w:r w:rsidRPr="007E1835">
              <w:rPr>
                <w:rFonts w:ascii="Tahoma" w:hAnsi="Tahoma" w:cs="Tahoma"/>
                <w:sz w:val="22"/>
                <w:szCs w:val="22"/>
              </w:rPr>
              <w:t>Proyectos Seleccionados</w:t>
            </w:r>
          </w:p>
        </w:tc>
        <w:tc>
          <w:tcPr>
            <w:tcW w:w="2268" w:type="dxa"/>
            <w:shd w:val="clear" w:color="auto" w:fill="auto"/>
          </w:tcPr>
          <w:p w:rsidR="007E1835" w:rsidRPr="007E1835" w:rsidRDefault="007E1835" w:rsidP="007653E1">
            <w:pPr>
              <w:jc w:val="center"/>
              <w:rPr>
                <w:rFonts w:ascii="Tahoma" w:hAnsi="Tahoma" w:cs="Tahoma"/>
                <w:sz w:val="22"/>
                <w:szCs w:val="22"/>
              </w:rPr>
            </w:pPr>
            <w:r w:rsidRPr="007E1835">
              <w:rPr>
                <w:rFonts w:ascii="Tahoma" w:hAnsi="Tahoma" w:cs="Tahoma"/>
                <w:sz w:val="22"/>
                <w:szCs w:val="22"/>
              </w:rPr>
              <w:t>Proyectos Acelerados</w:t>
            </w:r>
          </w:p>
        </w:tc>
      </w:tr>
      <w:tr w:rsidR="007E1835" w:rsidRPr="007E1835" w:rsidTr="004805E0">
        <w:trPr>
          <w:jc w:val="center"/>
        </w:trPr>
        <w:tc>
          <w:tcPr>
            <w:tcW w:w="2376"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274</w:t>
            </w:r>
          </w:p>
        </w:tc>
        <w:tc>
          <w:tcPr>
            <w:tcW w:w="2127"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75</w:t>
            </w:r>
          </w:p>
        </w:tc>
        <w:tc>
          <w:tcPr>
            <w:tcW w:w="2551"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6</w:t>
            </w:r>
          </w:p>
        </w:tc>
        <w:tc>
          <w:tcPr>
            <w:tcW w:w="2268" w:type="dxa"/>
            <w:shd w:val="clear" w:color="auto" w:fill="auto"/>
          </w:tcPr>
          <w:p w:rsidR="007E1835" w:rsidRPr="007E1835" w:rsidRDefault="007E1835" w:rsidP="004805E0">
            <w:pPr>
              <w:jc w:val="center"/>
              <w:rPr>
                <w:rFonts w:ascii="Tahoma" w:hAnsi="Tahoma" w:cs="Tahoma"/>
                <w:sz w:val="22"/>
                <w:szCs w:val="22"/>
              </w:rPr>
            </w:pPr>
            <w:r w:rsidRPr="007E1835">
              <w:rPr>
                <w:rFonts w:ascii="Tahoma" w:hAnsi="Tahoma" w:cs="Tahoma"/>
                <w:sz w:val="22"/>
                <w:szCs w:val="22"/>
              </w:rPr>
              <w:t>4</w:t>
            </w:r>
          </w:p>
        </w:tc>
      </w:tr>
    </w:tbl>
    <w:p w:rsidR="00FE15B2" w:rsidRDefault="00FE15B2" w:rsidP="007E1835">
      <w:pPr>
        <w:rPr>
          <w:rFonts w:ascii="Tahoma" w:hAnsi="Tahoma" w:cs="Tahoma"/>
          <w:sz w:val="22"/>
          <w:szCs w:val="22"/>
        </w:rPr>
      </w:pP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Para terminar, no se puede dejar de poner en valor, el trabajo que directamente y diariamente se hace por parte del Gobierno de Navarra para el apoyo a las personas emprendedoras bajo el liderazgo del II Plan de Emprendimiento. Apoyo que se materializa en asesoramiento y subvenciones a los g</w:t>
      </w:r>
      <w:bookmarkStart w:id="1" w:name="_GoBack"/>
      <w:bookmarkEnd w:id="1"/>
      <w:r w:rsidRPr="007E1835">
        <w:rPr>
          <w:rFonts w:ascii="Tahoma" w:hAnsi="Tahoma" w:cs="Tahoma"/>
          <w:sz w:val="22"/>
          <w:szCs w:val="22"/>
        </w:rPr>
        <w:t xml:space="preserve">astos e inversiones iniciales de la puesta en marcha del </w:t>
      </w:r>
      <w:r w:rsidRPr="00FC1D26">
        <w:rPr>
          <w:rFonts w:ascii="Tahoma" w:hAnsi="Tahoma" w:cs="Tahoma"/>
          <w:sz w:val="22"/>
          <w:szCs w:val="22"/>
        </w:rPr>
        <w:t>negocio</w:t>
      </w:r>
      <w:r w:rsidR="00181A3C" w:rsidRPr="00FC1D26">
        <w:rPr>
          <w:rFonts w:ascii="Tahoma" w:hAnsi="Tahoma" w:cs="Tahoma"/>
          <w:sz w:val="22"/>
          <w:szCs w:val="22"/>
        </w:rPr>
        <w:t xml:space="preserve"> y en incentivos fiscales, como las medidas de apoyo al emprendimiento, recogidas en la disposición adicional tercera de </w:t>
      </w:r>
      <w:smartTag w:uri="urn:schemas-microsoft-com:office:smarttags" w:element="PersonName">
        <w:smartTagPr>
          <w:attr w:name="ProductID" w:val="la Ley Foral"/>
        </w:smartTagPr>
        <w:r w:rsidR="00181A3C" w:rsidRPr="00FC1D26">
          <w:rPr>
            <w:rFonts w:ascii="Tahoma" w:hAnsi="Tahoma" w:cs="Tahoma"/>
            <w:sz w:val="22"/>
            <w:szCs w:val="22"/>
          </w:rPr>
          <w:t>la Ley Foral</w:t>
        </w:r>
      </w:smartTag>
      <w:r w:rsidR="00181A3C" w:rsidRPr="00FC1D26">
        <w:rPr>
          <w:rFonts w:ascii="Tahoma" w:hAnsi="Tahoma" w:cs="Tahoma"/>
          <w:sz w:val="22"/>
          <w:szCs w:val="22"/>
        </w:rPr>
        <w:t xml:space="preserve"> 26/2016, y la existencia de un tipo nominal en el impuesto de sociedades muy favorable para las empresas que facturan menos de un millón de euros.</w:t>
      </w:r>
    </w:p>
    <w:p w:rsidR="00FE15B2" w:rsidRDefault="007E1835" w:rsidP="007E1835">
      <w:pPr>
        <w:spacing w:line="276" w:lineRule="auto"/>
        <w:rPr>
          <w:rFonts w:ascii="Tahoma" w:hAnsi="Tahoma" w:cs="Tahoma"/>
          <w:sz w:val="22"/>
          <w:szCs w:val="22"/>
        </w:rPr>
      </w:pPr>
      <w:r w:rsidRPr="007E1835">
        <w:rPr>
          <w:rFonts w:ascii="Tahoma" w:hAnsi="Tahoma" w:cs="Tahoma"/>
          <w:sz w:val="22"/>
          <w:szCs w:val="22"/>
        </w:rPr>
        <w:t xml:space="preserve">Y asimismo se trabaja en la simplificación y agilización administrativa, que se sigue apuntando por la ciudadanía como uno de los principales obstáculos para emprender. Es indudable que hay margen de mejora pero, comparada con otras autonomías, Navarra ocupa la tercera posición en el ranking del </w:t>
      </w:r>
      <w:proofErr w:type="spellStart"/>
      <w:r w:rsidRPr="00BA5D13">
        <w:rPr>
          <w:rFonts w:ascii="Tahoma" w:hAnsi="Tahoma" w:cs="Tahoma"/>
          <w:i/>
          <w:sz w:val="22"/>
          <w:szCs w:val="22"/>
        </w:rPr>
        <w:t>Doing</w:t>
      </w:r>
      <w:proofErr w:type="spellEnd"/>
      <w:r w:rsidRPr="007E1835">
        <w:rPr>
          <w:rFonts w:ascii="Tahoma" w:hAnsi="Tahoma" w:cs="Tahoma"/>
          <w:sz w:val="22"/>
          <w:szCs w:val="22"/>
        </w:rPr>
        <w:t xml:space="preserve"> </w:t>
      </w:r>
      <w:r w:rsidRPr="00BA5D13">
        <w:rPr>
          <w:rFonts w:ascii="Tahoma" w:hAnsi="Tahoma" w:cs="Tahoma"/>
          <w:i/>
          <w:sz w:val="22"/>
          <w:szCs w:val="22"/>
        </w:rPr>
        <w:t>Business</w:t>
      </w:r>
      <w:r w:rsidRPr="007E1835">
        <w:rPr>
          <w:rFonts w:ascii="Tahoma" w:hAnsi="Tahoma" w:cs="Tahoma"/>
          <w:sz w:val="22"/>
          <w:szCs w:val="22"/>
        </w:rPr>
        <w:t xml:space="preserve"> que mide la facilidad para hacer negocios, y en los últimos años se han conseguido avances en la tramitación telemática, que reducen los tiempos en la apertura de empresas y en el alta de autónomos.</w:t>
      </w:r>
    </w:p>
    <w:p w:rsidR="00FE15B2" w:rsidRDefault="00892408" w:rsidP="00892408">
      <w:pPr>
        <w:rPr>
          <w:rFonts w:ascii="Tahoma" w:hAnsi="Tahoma" w:cs="Tahoma"/>
          <w:sz w:val="22"/>
          <w:szCs w:val="22"/>
        </w:rPr>
      </w:pPr>
      <w:r w:rsidRPr="00892408">
        <w:rPr>
          <w:rFonts w:ascii="Tahoma" w:hAnsi="Tahoma" w:cs="Tahoma"/>
          <w:sz w:val="22"/>
          <w:szCs w:val="22"/>
        </w:rPr>
        <w:t>Es cuanto tengo el honor de informar en cumplimiento de lo dispuesto en el artículo 194 del Reglamento del Parlamento de Navarra.</w:t>
      </w:r>
    </w:p>
    <w:p w:rsidR="00FE15B2" w:rsidRDefault="00AA7BD4" w:rsidP="00892408">
      <w:pPr>
        <w:jc w:val="center"/>
        <w:rPr>
          <w:rFonts w:ascii="Tahoma" w:hAnsi="Tahoma" w:cs="Tahoma"/>
          <w:sz w:val="22"/>
          <w:szCs w:val="22"/>
        </w:rPr>
      </w:pPr>
      <w:r w:rsidRPr="00892408">
        <w:rPr>
          <w:rFonts w:ascii="Tahoma" w:hAnsi="Tahoma" w:cs="Tahoma"/>
          <w:sz w:val="22"/>
          <w:szCs w:val="22"/>
        </w:rPr>
        <w:t xml:space="preserve">Pamplona, a </w:t>
      </w:r>
      <w:r w:rsidR="00181A3C">
        <w:rPr>
          <w:rFonts w:ascii="Tahoma" w:hAnsi="Tahoma" w:cs="Tahoma"/>
          <w:sz w:val="22"/>
          <w:szCs w:val="22"/>
        </w:rPr>
        <w:t>26</w:t>
      </w:r>
      <w:r w:rsidR="00A00E3A" w:rsidRPr="00892408">
        <w:rPr>
          <w:rFonts w:ascii="Tahoma" w:hAnsi="Tahoma" w:cs="Tahoma"/>
          <w:sz w:val="22"/>
          <w:szCs w:val="22"/>
        </w:rPr>
        <w:t xml:space="preserve"> de </w:t>
      </w:r>
      <w:r w:rsidR="00181A3C">
        <w:rPr>
          <w:rFonts w:ascii="Tahoma" w:hAnsi="Tahoma" w:cs="Tahoma"/>
          <w:sz w:val="22"/>
          <w:szCs w:val="22"/>
        </w:rPr>
        <w:t>febrero</w:t>
      </w:r>
      <w:r w:rsidR="00A00E3A" w:rsidRPr="00892408">
        <w:rPr>
          <w:rFonts w:ascii="Tahoma" w:hAnsi="Tahoma" w:cs="Tahoma"/>
          <w:sz w:val="22"/>
          <w:szCs w:val="22"/>
        </w:rPr>
        <w:t xml:space="preserve"> de 2019</w:t>
      </w:r>
      <w:r w:rsidR="00C76A12" w:rsidRPr="00892408">
        <w:rPr>
          <w:rFonts w:ascii="Tahoma" w:hAnsi="Tahoma" w:cs="Tahoma"/>
          <w:sz w:val="22"/>
          <w:szCs w:val="22"/>
        </w:rPr>
        <w:t>.</w:t>
      </w:r>
    </w:p>
    <w:p w:rsidR="00FE15B2" w:rsidRDefault="00FE15B2" w:rsidP="00892408">
      <w:pPr>
        <w:tabs>
          <w:tab w:val="left" w:pos="2268"/>
        </w:tabs>
        <w:spacing w:line="360" w:lineRule="auto"/>
        <w:ind w:right="140"/>
        <w:jc w:val="center"/>
        <w:rPr>
          <w:sz w:val="22"/>
          <w:szCs w:val="22"/>
        </w:rPr>
      </w:pPr>
      <w:r>
        <w:rPr>
          <w:sz w:val="22"/>
          <w:szCs w:val="22"/>
        </w:rPr>
        <w:t xml:space="preserve">El </w:t>
      </w:r>
      <w:r w:rsidR="00A64F1F">
        <w:rPr>
          <w:sz w:val="22"/>
          <w:szCs w:val="22"/>
        </w:rPr>
        <w:t>Vicepresidente primero y Consejero de Desarrollo Económico</w:t>
      </w:r>
      <w:r>
        <w:rPr>
          <w:sz w:val="22"/>
          <w:szCs w:val="22"/>
        </w:rPr>
        <w:t xml:space="preserve">: Manu </w:t>
      </w:r>
      <w:proofErr w:type="spellStart"/>
      <w:r>
        <w:rPr>
          <w:sz w:val="22"/>
          <w:szCs w:val="22"/>
        </w:rPr>
        <w:t>Ayerdi</w:t>
      </w:r>
      <w:proofErr w:type="spellEnd"/>
      <w:r>
        <w:rPr>
          <w:sz w:val="22"/>
          <w:szCs w:val="22"/>
        </w:rPr>
        <w:t xml:space="preserve"> </w:t>
      </w:r>
      <w:proofErr w:type="spellStart"/>
      <w:r>
        <w:rPr>
          <w:sz w:val="22"/>
          <w:szCs w:val="22"/>
        </w:rPr>
        <w:t>Olaizola</w:t>
      </w:r>
      <w:proofErr w:type="spellEnd"/>
    </w:p>
    <w:sectPr w:rsidR="00FE15B2" w:rsidSect="00FE15B2">
      <w:headerReference w:type="default" r:id="rId8"/>
      <w:footerReference w:type="default" r:id="rId9"/>
      <w:headerReference w:type="first" r:id="rId10"/>
      <w:footerReference w:type="first" r:id="rId11"/>
      <w:type w:val="continuous"/>
      <w:pgSz w:w="11907" w:h="16840" w:code="9"/>
      <w:pgMar w:top="1985" w:right="1134" w:bottom="1276" w:left="1985" w:header="709"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A94" w:rsidRDefault="008D2A94">
      <w:r>
        <w:separator/>
      </w:r>
    </w:p>
  </w:endnote>
  <w:endnote w:type="continuationSeparator" w:id="0">
    <w:p w:rsidR="008D2A94" w:rsidRDefault="008D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1310" w:type="dxa"/>
      <w:tblLook w:val="01E0" w:firstRow="1" w:lastRow="1" w:firstColumn="1" w:lastColumn="1" w:noHBand="0" w:noVBand="0"/>
    </w:tblPr>
    <w:tblGrid>
      <w:gridCol w:w="8648"/>
      <w:gridCol w:w="2126"/>
    </w:tblGrid>
    <w:tr w:rsidR="00212F78" w:rsidRPr="00A80892" w:rsidTr="00A80892">
      <w:tc>
        <w:tcPr>
          <w:tcW w:w="8648" w:type="dxa"/>
          <w:shd w:val="clear" w:color="auto" w:fill="auto"/>
        </w:tcPr>
        <w:p w:rsidR="00212F78" w:rsidRPr="00124D6B" w:rsidRDefault="00212F78" w:rsidP="00A80892">
          <w:pPr>
            <w:pStyle w:val="Piedepgina"/>
            <w:tabs>
              <w:tab w:val="clear" w:pos="4252"/>
              <w:tab w:val="center" w:pos="5705"/>
            </w:tabs>
          </w:pPr>
        </w:p>
      </w:tc>
      <w:tc>
        <w:tcPr>
          <w:tcW w:w="2126" w:type="dxa"/>
          <w:shd w:val="clear" w:color="auto" w:fill="auto"/>
        </w:tcPr>
        <w:p w:rsidR="00212F78" w:rsidRPr="00A80892" w:rsidRDefault="00212F78" w:rsidP="00A80892">
          <w:pPr>
            <w:pStyle w:val="Piedepgina"/>
            <w:jc w:val="right"/>
            <w:rPr>
              <w:sz w:val="14"/>
              <w:szCs w:val="14"/>
            </w:rPr>
          </w:pPr>
        </w:p>
      </w:tc>
    </w:tr>
  </w:tbl>
  <w:p w:rsidR="00212F78" w:rsidRPr="00D95F9B" w:rsidRDefault="00212F78" w:rsidP="00D95F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81" w:type="dxa"/>
      <w:tblLayout w:type="fixed"/>
      <w:tblCellMar>
        <w:left w:w="71" w:type="dxa"/>
        <w:right w:w="71" w:type="dxa"/>
      </w:tblCellMar>
      <w:tblLook w:val="0000" w:firstRow="0" w:lastRow="0" w:firstColumn="0" w:lastColumn="0" w:noHBand="0" w:noVBand="0"/>
    </w:tblPr>
    <w:tblGrid>
      <w:gridCol w:w="4538"/>
      <w:gridCol w:w="1475"/>
      <w:gridCol w:w="4762"/>
    </w:tblGrid>
    <w:tr w:rsidR="00212F78">
      <w:tc>
        <w:tcPr>
          <w:tcW w:w="4538" w:type="dxa"/>
        </w:tcPr>
        <w:p w:rsidR="00212F78" w:rsidRPr="00212F78" w:rsidRDefault="00212F78">
          <w:pPr>
            <w:pStyle w:val="Piedepgina"/>
            <w:tabs>
              <w:tab w:val="clear" w:pos="4252"/>
              <w:tab w:val="clear" w:pos="8504"/>
            </w:tabs>
            <w:rPr>
              <w:lang w:val="es-ES"/>
            </w:rPr>
          </w:pPr>
          <w:r>
            <w:rPr>
              <w:sz w:val="14"/>
            </w:rPr>
            <w:fldChar w:fldCharType="begin"/>
          </w:r>
          <w:r w:rsidRPr="00212F78">
            <w:rPr>
              <w:sz w:val="14"/>
              <w:lang w:val="es-ES"/>
            </w:rPr>
            <w:instrText xml:space="preserve"> FILENAME \* LOWER\p \* MERGEFORMAT </w:instrText>
          </w:r>
          <w:r>
            <w:rPr>
              <w:sz w:val="14"/>
            </w:rPr>
            <w:fldChar w:fldCharType="separate"/>
          </w:r>
          <w:r w:rsidR="008D2A94">
            <w:rPr>
              <w:noProof/>
              <w:sz w:val="14"/>
              <w:lang w:val="es-ES"/>
            </w:rPr>
            <w:t>documento1</w:t>
          </w:r>
          <w:r>
            <w:rPr>
              <w:sz w:val="14"/>
            </w:rPr>
            <w:fldChar w:fldCharType="end"/>
          </w:r>
        </w:p>
      </w:tc>
      <w:tc>
        <w:tcPr>
          <w:tcW w:w="1475" w:type="dxa"/>
        </w:tcPr>
        <w:p w:rsidR="00212F78" w:rsidRDefault="00212F78">
          <w:pPr>
            <w:pStyle w:val="Piedepgina"/>
            <w:tabs>
              <w:tab w:val="clear" w:pos="4252"/>
              <w:tab w:val="clear" w:pos="8504"/>
            </w:tabs>
            <w:jc w:val="center"/>
            <w:rPr>
              <w:sz w:val="14"/>
            </w:rPr>
          </w:pPr>
          <w:r>
            <w:rPr>
              <w:sz w:val="14"/>
            </w:rPr>
            <w:t xml:space="preserve">Pág..: </w:t>
          </w:r>
          <w:r>
            <w:rPr>
              <w:sz w:val="14"/>
            </w:rPr>
            <w:fldChar w:fldCharType="begin"/>
          </w:r>
          <w:r>
            <w:rPr>
              <w:sz w:val="14"/>
            </w:rPr>
            <w:instrText xml:space="preserve"> PAGE  \* MERGEFORMAT </w:instrText>
          </w:r>
          <w:r>
            <w:rPr>
              <w:sz w:val="14"/>
            </w:rPr>
            <w:fldChar w:fldCharType="separate"/>
          </w:r>
          <w:r>
            <w:rPr>
              <w:noProof/>
              <w:sz w:val="14"/>
            </w:rPr>
            <w:t>1</w:t>
          </w:r>
          <w:r>
            <w:rPr>
              <w:sz w:val="14"/>
            </w:rPr>
            <w:fldChar w:fldCharType="end"/>
          </w:r>
          <w:r>
            <w:rPr>
              <w:sz w:val="14"/>
            </w:rPr>
            <w:t>/</w:t>
          </w:r>
          <w:r>
            <w:rPr>
              <w:sz w:val="14"/>
            </w:rPr>
            <w:fldChar w:fldCharType="begin"/>
          </w:r>
          <w:r>
            <w:rPr>
              <w:sz w:val="14"/>
            </w:rPr>
            <w:instrText xml:space="preserve"> NUMPAGES  \* MERGEFORMAT </w:instrText>
          </w:r>
          <w:r>
            <w:rPr>
              <w:sz w:val="14"/>
            </w:rPr>
            <w:fldChar w:fldCharType="separate"/>
          </w:r>
          <w:r w:rsidR="008D2A94">
            <w:rPr>
              <w:noProof/>
              <w:sz w:val="14"/>
            </w:rPr>
            <w:t>2</w:t>
          </w:r>
          <w:r>
            <w:rPr>
              <w:sz w:val="14"/>
            </w:rPr>
            <w:fldChar w:fldCharType="end"/>
          </w:r>
        </w:p>
      </w:tc>
      <w:tc>
        <w:tcPr>
          <w:tcW w:w="4762" w:type="dxa"/>
        </w:tcPr>
        <w:p w:rsidR="00212F78" w:rsidRDefault="00212F78">
          <w:pPr>
            <w:pStyle w:val="Piedepgina"/>
            <w:tabs>
              <w:tab w:val="clear" w:pos="4252"/>
              <w:tab w:val="clear" w:pos="8504"/>
            </w:tabs>
            <w:jc w:val="right"/>
            <w:rPr>
              <w:sz w:val="12"/>
            </w:rPr>
          </w:pPr>
          <w:r>
            <w:rPr>
              <w:sz w:val="12"/>
            </w:rPr>
            <w:t>ic.18.02.08</w:t>
          </w:r>
          <w:r>
            <w:rPr>
              <w:sz w:val="14"/>
            </w:rPr>
            <w:t xml:space="preserve"> Rev.2</w:t>
          </w:r>
        </w:p>
      </w:tc>
    </w:tr>
  </w:tbl>
  <w:p w:rsidR="00212F78" w:rsidRDefault="00212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A94" w:rsidRDefault="008D2A94">
      <w:r>
        <w:separator/>
      </w:r>
    </w:p>
  </w:footnote>
  <w:footnote w:type="continuationSeparator" w:id="0">
    <w:p w:rsidR="008D2A94" w:rsidRDefault="008D2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F78" w:rsidRDefault="00212F78">
    <w:pPr>
      <w:pStyle w:val="Encabezado"/>
      <w:rPr>
        <w:rFonts w:cs="Arial"/>
        <w:b/>
        <w:sz w:val="18"/>
        <w:szCs w:val="18"/>
      </w:rPr>
    </w:pPr>
  </w:p>
  <w:p w:rsidR="00212F78" w:rsidRPr="0023201C" w:rsidRDefault="00212F78" w:rsidP="00AA7BD4">
    <w:pPr>
      <w:pStyle w:val="Encabezado"/>
      <w:jc w:val="right"/>
    </w:pPr>
  </w:p>
  <w:p w:rsidR="00212F78" w:rsidRDefault="00212F78">
    <w:pPr>
      <w:pStyle w:val="Encabezado"/>
      <w:rPr>
        <w:rFonts w:cs="Arial"/>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97" w:type="dxa"/>
      <w:tblLayout w:type="fixed"/>
      <w:tblCellMar>
        <w:left w:w="71" w:type="dxa"/>
        <w:right w:w="71" w:type="dxa"/>
      </w:tblCellMar>
      <w:tblLook w:val="0000" w:firstRow="0" w:lastRow="0" w:firstColumn="0" w:lastColumn="0" w:noHBand="0" w:noVBand="0"/>
    </w:tblPr>
    <w:tblGrid>
      <w:gridCol w:w="3555"/>
      <w:gridCol w:w="4809"/>
      <w:gridCol w:w="2410"/>
    </w:tblGrid>
    <w:tr w:rsidR="00212F78">
      <w:tc>
        <w:tcPr>
          <w:tcW w:w="3555" w:type="dxa"/>
        </w:tcPr>
        <w:p w:rsidR="00212F78" w:rsidRDefault="00077AB1">
          <w:r>
            <w:rPr>
              <w:noProof/>
              <w:lang w:val="es-ES"/>
            </w:rPr>
            <w:drawing>
              <wp:inline distT="0" distB="0" distL="0" distR="0">
                <wp:extent cx="2076450" cy="419100"/>
                <wp:effectExtent l="0" t="0" r="0" b="0"/>
                <wp:docPr id="1" name="Imagen 1" descr="pppppp3 cas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pppp3 cas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p>
      </w:tc>
      <w:tc>
        <w:tcPr>
          <w:tcW w:w="4809" w:type="dxa"/>
        </w:tcPr>
        <w:p w:rsidR="00212F78" w:rsidRDefault="00212F78">
          <w:pPr>
            <w:jc w:val="center"/>
            <w:rPr>
              <w:sz w:val="16"/>
            </w:rPr>
          </w:pPr>
        </w:p>
        <w:p w:rsidR="00212F78" w:rsidRDefault="00212F78">
          <w:pPr>
            <w:jc w:val="center"/>
            <w:rPr>
              <w:sz w:val="16"/>
            </w:rPr>
          </w:pPr>
          <w:r>
            <w:rPr>
              <w:b/>
              <w:sz w:val="22"/>
            </w:rPr>
            <w:t>COMUNICACION</w:t>
          </w:r>
        </w:p>
        <w:p w:rsidR="00212F78" w:rsidRDefault="00212F78">
          <w:pPr>
            <w:rPr>
              <w:b/>
              <w:sz w:val="16"/>
            </w:rPr>
          </w:pPr>
        </w:p>
      </w:tc>
      <w:tc>
        <w:tcPr>
          <w:tcW w:w="2410" w:type="dxa"/>
        </w:tcPr>
        <w:p w:rsidR="00212F78" w:rsidRDefault="00212F78">
          <w:pPr>
            <w:rPr>
              <w:rFonts w:ascii="Times New Roman" w:hAnsi="Times New Roman"/>
              <w:sz w:val="16"/>
            </w:rPr>
          </w:pPr>
          <w:r>
            <w:rPr>
              <w:rFonts w:ascii="Times New Roman" w:hAnsi="Times New Roman"/>
              <w:sz w:val="16"/>
            </w:rPr>
            <w:t>Edificio “Fuerte del Príncipe II”</w:t>
          </w:r>
        </w:p>
        <w:p w:rsidR="00212F78" w:rsidRDefault="00212F78">
          <w:pPr>
            <w:rPr>
              <w:rFonts w:ascii="Times New Roman" w:hAnsi="Times New Roman"/>
              <w:sz w:val="16"/>
            </w:rPr>
          </w:pPr>
          <w:r>
            <w:rPr>
              <w:rFonts w:ascii="Times New Roman" w:hAnsi="Times New Roman"/>
              <w:sz w:val="16"/>
            </w:rPr>
            <w:t>Parque Tomás Caballero, 1</w:t>
          </w:r>
        </w:p>
        <w:p w:rsidR="00212F78" w:rsidRDefault="00212F78">
          <w:pPr>
            <w:rPr>
              <w:rFonts w:ascii="Times New Roman" w:hAnsi="Times New Roman"/>
              <w:sz w:val="16"/>
            </w:rPr>
          </w:pPr>
          <w:r>
            <w:rPr>
              <w:rFonts w:ascii="Times New Roman" w:hAnsi="Times New Roman"/>
              <w:sz w:val="16"/>
            </w:rPr>
            <w:t>31005  PAMPLONA</w:t>
          </w:r>
        </w:p>
        <w:p w:rsidR="00212F78" w:rsidRDefault="00212F78">
          <w:pPr>
            <w:rPr>
              <w:b/>
              <w:sz w:val="16"/>
            </w:rPr>
          </w:pPr>
        </w:p>
      </w:tc>
    </w:tr>
  </w:tbl>
  <w:p w:rsidR="00212F78" w:rsidRDefault="00212F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85C4D"/>
    <w:multiLevelType w:val="hybridMultilevel"/>
    <w:tmpl w:val="8AA8D7DE"/>
    <w:lvl w:ilvl="0" w:tplc="26CCB796">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52032D"/>
    <w:multiLevelType w:val="hybridMultilevel"/>
    <w:tmpl w:val="1624B7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A63EB2"/>
    <w:multiLevelType w:val="hybridMultilevel"/>
    <w:tmpl w:val="0670591A"/>
    <w:lvl w:ilvl="0" w:tplc="CA245908">
      <w:numFmt w:val="bullet"/>
      <w:lvlText w:val="-"/>
      <w:lvlJc w:val="left"/>
      <w:pPr>
        <w:tabs>
          <w:tab w:val="num" w:pos="1095"/>
        </w:tabs>
        <w:ind w:left="1095" w:hanging="735"/>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A527FDE"/>
    <w:multiLevelType w:val="multilevel"/>
    <w:tmpl w:val="0F9E833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E122AF0"/>
    <w:multiLevelType w:val="hybridMultilevel"/>
    <w:tmpl w:val="4232E618"/>
    <w:lvl w:ilvl="0" w:tplc="26CCB796">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0C20585"/>
    <w:multiLevelType w:val="hybridMultilevel"/>
    <w:tmpl w:val="EA1CE4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6611FF"/>
    <w:multiLevelType w:val="hybridMultilevel"/>
    <w:tmpl w:val="3B12AC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42725AF6"/>
    <w:multiLevelType w:val="hybridMultilevel"/>
    <w:tmpl w:val="A3D013BE"/>
    <w:lvl w:ilvl="0" w:tplc="CB866542">
      <w:numFmt w:val="bullet"/>
      <w:lvlText w:val="-"/>
      <w:lvlJc w:val="left"/>
      <w:pPr>
        <w:ind w:left="720" w:hanging="360"/>
      </w:pPr>
      <w:rPr>
        <w:rFonts w:ascii="Arial" w:eastAsia="Wingdings"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2AC7541"/>
    <w:multiLevelType w:val="hybridMultilevel"/>
    <w:tmpl w:val="0EAE7A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3136A73"/>
    <w:multiLevelType w:val="hybridMultilevel"/>
    <w:tmpl w:val="150CD7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4F47559"/>
    <w:multiLevelType w:val="hybridMultilevel"/>
    <w:tmpl w:val="529A685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56BF2786"/>
    <w:multiLevelType w:val="hybridMultilevel"/>
    <w:tmpl w:val="F4368638"/>
    <w:lvl w:ilvl="0" w:tplc="C8C6E626">
      <w:start w:val="5"/>
      <w:numFmt w:val="bullet"/>
      <w:lvlText w:val="-"/>
      <w:lvlJc w:val="left"/>
      <w:pPr>
        <w:tabs>
          <w:tab w:val="num" w:pos="1065"/>
        </w:tabs>
        <w:ind w:left="1065" w:hanging="360"/>
      </w:pPr>
      <w:rPr>
        <w:rFonts w:ascii="Arial" w:eastAsia="Times New Roman" w:hAnsi="Arial" w:cs="Arial"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5FF220F2"/>
    <w:multiLevelType w:val="hybridMultilevel"/>
    <w:tmpl w:val="37A42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68C5162"/>
    <w:multiLevelType w:val="hybridMultilevel"/>
    <w:tmpl w:val="BE5440DE"/>
    <w:lvl w:ilvl="0" w:tplc="7B3AE932">
      <w:numFmt w:val="bullet"/>
      <w:lvlText w:val=""/>
      <w:lvlJc w:val="left"/>
      <w:pPr>
        <w:tabs>
          <w:tab w:val="num" w:pos="1586"/>
        </w:tabs>
        <w:ind w:left="1586" w:hanging="735"/>
      </w:pPr>
      <w:rPr>
        <w:rFonts w:ascii="Symbol" w:eastAsia="Times New Roman" w:hAnsi="Symbol" w:cs="Arial"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4">
    <w:nsid w:val="6DD72E94"/>
    <w:multiLevelType w:val="hybridMultilevel"/>
    <w:tmpl w:val="D6980C4A"/>
    <w:lvl w:ilvl="0" w:tplc="62D86BC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71A50E39"/>
    <w:multiLevelType w:val="hybridMultilevel"/>
    <w:tmpl w:val="BF7A5846"/>
    <w:lvl w:ilvl="0" w:tplc="6C1270D0">
      <w:start w:val="1"/>
      <w:numFmt w:val="bullet"/>
      <w:lvlText w:val=""/>
      <w:lvlJc w:val="left"/>
      <w:pPr>
        <w:tabs>
          <w:tab w:val="num" w:pos="720"/>
        </w:tabs>
        <w:ind w:left="720" w:hanging="360"/>
      </w:pPr>
      <w:rPr>
        <w:rFonts w:ascii="Symbol" w:hAnsi="Symbol" w:hint="default"/>
        <w:b w:val="0"/>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6">
    <w:nsid w:val="740C436A"/>
    <w:multiLevelType w:val="hybridMultilevel"/>
    <w:tmpl w:val="35820624"/>
    <w:lvl w:ilvl="0" w:tplc="B2E8DB0E">
      <w:numFmt w:val="bullet"/>
      <w:lvlText w:val="-"/>
      <w:lvlJc w:val="left"/>
      <w:pPr>
        <w:ind w:left="720" w:hanging="360"/>
      </w:pPr>
      <w:rPr>
        <w:rFonts w:ascii="Verdana" w:eastAsia="Times New Roman" w:hAnsi="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ADF04EC"/>
    <w:multiLevelType w:val="hybridMultilevel"/>
    <w:tmpl w:val="E5A6A8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CA50C27"/>
    <w:multiLevelType w:val="hybridMultilevel"/>
    <w:tmpl w:val="C8064C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3"/>
  </w:num>
  <w:num w:numId="4">
    <w:abstractNumId w:val="6"/>
  </w:num>
  <w:num w:numId="5">
    <w:abstractNumId w:val="2"/>
  </w:num>
  <w:num w:numId="6">
    <w:abstractNumId w:val="13"/>
  </w:num>
  <w:num w:numId="7">
    <w:abstractNumId w:val="7"/>
  </w:num>
  <w:num w:numId="8">
    <w:abstractNumId w:val="0"/>
  </w:num>
  <w:num w:numId="9">
    <w:abstractNumId w:val="4"/>
  </w:num>
  <w:num w:numId="10">
    <w:abstractNumId w:val="12"/>
  </w:num>
  <w:num w:numId="11">
    <w:abstractNumId w:val="18"/>
  </w:num>
  <w:num w:numId="12">
    <w:abstractNumId w:val="14"/>
  </w:num>
  <w:num w:numId="13">
    <w:abstractNumId w:val="16"/>
  </w:num>
  <w:num w:numId="14">
    <w:abstractNumId w:val="10"/>
  </w:num>
  <w:num w:numId="15">
    <w:abstractNumId w:val="5"/>
  </w:num>
  <w:num w:numId="16">
    <w:abstractNumId w:val="1"/>
  </w:num>
  <w:num w:numId="17">
    <w:abstractNumId w:val="8"/>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94"/>
    <w:rsid w:val="00024A7C"/>
    <w:rsid w:val="00052AEF"/>
    <w:rsid w:val="00071E78"/>
    <w:rsid w:val="00077AB1"/>
    <w:rsid w:val="00094AE5"/>
    <w:rsid w:val="000C184C"/>
    <w:rsid w:val="000D2A88"/>
    <w:rsid w:val="000D7932"/>
    <w:rsid w:val="0010707C"/>
    <w:rsid w:val="00110E5F"/>
    <w:rsid w:val="001342D1"/>
    <w:rsid w:val="00141AC6"/>
    <w:rsid w:val="001753E5"/>
    <w:rsid w:val="00177785"/>
    <w:rsid w:val="00181A3C"/>
    <w:rsid w:val="0018493B"/>
    <w:rsid w:val="001975AC"/>
    <w:rsid w:val="00197F8C"/>
    <w:rsid w:val="001C6E6A"/>
    <w:rsid w:val="001E405B"/>
    <w:rsid w:val="00212F78"/>
    <w:rsid w:val="00227C17"/>
    <w:rsid w:val="002442D3"/>
    <w:rsid w:val="002502B9"/>
    <w:rsid w:val="00254075"/>
    <w:rsid w:val="00267C70"/>
    <w:rsid w:val="00294530"/>
    <w:rsid w:val="002C662A"/>
    <w:rsid w:val="002D66E6"/>
    <w:rsid w:val="00316D7B"/>
    <w:rsid w:val="00340C6D"/>
    <w:rsid w:val="00345951"/>
    <w:rsid w:val="003478A3"/>
    <w:rsid w:val="00353BBE"/>
    <w:rsid w:val="00372FA9"/>
    <w:rsid w:val="003B0410"/>
    <w:rsid w:val="003D2923"/>
    <w:rsid w:val="003E4FD4"/>
    <w:rsid w:val="003E5AB8"/>
    <w:rsid w:val="003F6567"/>
    <w:rsid w:val="004215AE"/>
    <w:rsid w:val="00422B7D"/>
    <w:rsid w:val="00433094"/>
    <w:rsid w:val="00436D1F"/>
    <w:rsid w:val="00441DC7"/>
    <w:rsid w:val="00476E6A"/>
    <w:rsid w:val="004805E0"/>
    <w:rsid w:val="004A23E6"/>
    <w:rsid w:val="004B460F"/>
    <w:rsid w:val="004C774A"/>
    <w:rsid w:val="004D4216"/>
    <w:rsid w:val="004D70FE"/>
    <w:rsid w:val="004F3C7B"/>
    <w:rsid w:val="00521108"/>
    <w:rsid w:val="00534D3B"/>
    <w:rsid w:val="005609B0"/>
    <w:rsid w:val="005620F9"/>
    <w:rsid w:val="00570EA9"/>
    <w:rsid w:val="005C2C35"/>
    <w:rsid w:val="005D6ED8"/>
    <w:rsid w:val="005D7945"/>
    <w:rsid w:val="005E1E01"/>
    <w:rsid w:val="005E3CA8"/>
    <w:rsid w:val="00641261"/>
    <w:rsid w:val="00653C4B"/>
    <w:rsid w:val="00672BB0"/>
    <w:rsid w:val="00696A69"/>
    <w:rsid w:val="006A06D8"/>
    <w:rsid w:val="006B5AFC"/>
    <w:rsid w:val="006C58EC"/>
    <w:rsid w:val="006D056A"/>
    <w:rsid w:val="006E47E9"/>
    <w:rsid w:val="00741AC7"/>
    <w:rsid w:val="00761F7B"/>
    <w:rsid w:val="00764F01"/>
    <w:rsid w:val="007653E1"/>
    <w:rsid w:val="00795C9A"/>
    <w:rsid w:val="007A28AA"/>
    <w:rsid w:val="007B098F"/>
    <w:rsid w:val="007C0863"/>
    <w:rsid w:val="007E1835"/>
    <w:rsid w:val="007E289D"/>
    <w:rsid w:val="00827EBC"/>
    <w:rsid w:val="00866A4F"/>
    <w:rsid w:val="00877A7A"/>
    <w:rsid w:val="00892408"/>
    <w:rsid w:val="008B2834"/>
    <w:rsid w:val="008D2A94"/>
    <w:rsid w:val="008E392F"/>
    <w:rsid w:val="008F2861"/>
    <w:rsid w:val="0090038C"/>
    <w:rsid w:val="00905A9A"/>
    <w:rsid w:val="0095272F"/>
    <w:rsid w:val="00970A0F"/>
    <w:rsid w:val="009A05F6"/>
    <w:rsid w:val="009A0726"/>
    <w:rsid w:val="009A3C99"/>
    <w:rsid w:val="009A5D97"/>
    <w:rsid w:val="009C0FAE"/>
    <w:rsid w:val="009C1AD3"/>
    <w:rsid w:val="009D1916"/>
    <w:rsid w:val="009F1591"/>
    <w:rsid w:val="009F344A"/>
    <w:rsid w:val="009F6B6A"/>
    <w:rsid w:val="00A00E3A"/>
    <w:rsid w:val="00A41D7B"/>
    <w:rsid w:val="00A578DA"/>
    <w:rsid w:val="00A64F1F"/>
    <w:rsid w:val="00A80554"/>
    <w:rsid w:val="00A80892"/>
    <w:rsid w:val="00A821BB"/>
    <w:rsid w:val="00A826E3"/>
    <w:rsid w:val="00AA0310"/>
    <w:rsid w:val="00AA7BD4"/>
    <w:rsid w:val="00AC4CAB"/>
    <w:rsid w:val="00AD1E4F"/>
    <w:rsid w:val="00AE1798"/>
    <w:rsid w:val="00AE3E5A"/>
    <w:rsid w:val="00B0444F"/>
    <w:rsid w:val="00B125BA"/>
    <w:rsid w:val="00B42F0F"/>
    <w:rsid w:val="00B978E8"/>
    <w:rsid w:val="00BA5D13"/>
    <w:rsid w:val="00BB563F"/>
    <w:rsid w:val="00BB717D"/>
    <w:rsid w:val="00BB7ADE"/>
    <w:rsid w:val="00BC25CD"/>
    <w:rsid w:val="00BD1D8A"/>
    <w:rsid w:val="00BF741F"/>
    <w:rsid w:val="00C01C44"/>
    <w:rsid w:val="00C145EC"/>
    <w:rsid w:val="00C14D6E"/>
    <w:rsid w:val="00C342FB"/>
    <w:rsid w:val="00C36BFE"/>
    <w:rsid w:val="00C67762"/>
    <w:rsid w:val="00C71D35"/>
    <w:rsid w:val="00C73BF4"/>
    <w:rsid w:val="00C76A12"/>
    <w:rsid w:val="00C81B46"/>
    <w:rsid w:val="00C82F2E"/>
    <w:rsid w:val="00C90C06"/>
    <w:rsid w:val="00C913F1"/>
    <w:rsid w:val="00CD5163"/>
    <w:rsid w:val="00CE5AC0"/>
    <w:rsid w:val="00D01702"/>
    <w:rsid w:val="00D0427C"/>
    <w:rsid w:val="00D079A8"/>
    <w:rsid w:val="00D16EC5"/>
    <w:rsid w:val="00D2303D"/>
    <w:rsid w:val="00D2464B"/>
    <w:rsid w:val="00D34B38"/>
    <w:rsid w:val="00D35DA0"/>
    <w:rsid w:val="00D3645C"/>
    <w:rsid w:val="00D65057"/>
    <w:rsid w:val="00D7131B"/>
    <w:rsid w:val="00D740F2"/>
    <w:rsid w:val="00D876C1"/>
    <w:rsid w:val="00D95F9B"/>
    <w:rsid w:val="00DC7012"/>
    <w:rsid w:val="00E04E9D"/>
    <w:rsid w:val="00E23FCB"/>
    <w:rsid w:val="00E468CC"/>
    <w:rsid w:val="00E532B0"/>
    <w:rsid w:val="00E90945"/>
    <w:rsid w:val="00E95BC3"/>
    <w:rsid w:val="00EF48B2"/>
    <w:rsid w:val="00F25578"/>
    <w:rsid w:val="00F33804"/>
    <w:rsid w:val="00F37116"/>
    <w:rsid w:val="00F378CC"/>
    <w:rsid w:val="00F71D21"/>
    <w:rsid w:val="00F74EBF"/>
    <w:rsid w:val="00F968D2"/>
    <w:rsid w:val="00FB7145"/>
    <w:rsid w:val="00FC10AB"/>
    <w:rsid w:val="00FC1D26"/>
    <w:rsid w:val="00FC59F9"/>
    <w:rsid w:val="00FD1B38"/>
    <w:rsid w:val="00FD3585"/>
    <w:rsid w:val="00FE1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character" w:styleId="Hipervnculo">
    <w:name w:val="Hyperlink"/>
    <w:rsid w:val="005E3CA8"/>
    <w:rPr>
      <w:color w:val="0000FF"/>
      <w:u w:val="single"/>
    </w:rPr>
  </w:style>
  <w:style w:type="paragraph" w:styleId="Textodeglobo">
    <w:name w:val="Balloon Text"/>
    <w:basedOn w:val="Normal"/>
    <w:semiHidden/>
    <w:rsid w:val="007B098F"/>
    <w:rPr>
      <w:rFonts w:ascii="Tahoma" w:hAnsi="Tahoma" w:cs="Tahoma"/>
      <w:sz w:val="16"/>
      <w:szCs w:val="16"/>
    </w:rPr>
  </w:style>
  <w:style w:type="paragraph" w:customStyle="1" w:styleId="Prrafodelista1">
    <w:name w:val="Párrafo de lista1"/>
    <w:basedOn w:val="Normal"/>
    <w:rsid w:val="00AE1798"/>
    <w:pPr>
      <w:spacing w:after="160" w:line="259" w:lineRule="auto"/>
      <w:ind w:left="720"/>
      <w:contextualSpacing/>
      <w:jc w:val="left"/>
    </w:pPr>
    <w:rPr>
      <w:rFonts w:ascii="Calibri" w:hAnsi="Calibri"/>
      <w:sz w:val="22"/>
      <w:szCs w:val="22"/>
      <w:lang w:val="es-ES" w:eastAsia="en-US"/>
    </w:rPr>
  </w:style>
  <w:style w:type="character" w:customStyle="1" w:styleId="destacadorojo">
    <w:name w:val="destacado_rojo"/>
    <w:basedOn w:val="Fuentedeprrafopredeter"/>
    <w:rsid w:val="00C67762"/>
  </w:style>
  <w:style w:type="paragraph" w:styleId="Prrafodelista">
    <w:name w:val="List Paragraph"/>
    <w:basedOn w:val="Normal"/>
    <w:qFormat/>
    <w:rsid w:val="007E1835"/>
    <w:pPr>
      <w:spacing w:after="200" w:line="276" w:lineRule="auto"/>
      <w:ind w:left="720"/>
      <w:contextualSpacing/>
      <w:jc w:val="left"/>
    </w:pPr>
    <w:rPr>
      <w:rFonts w:ascii="Calibri" w:eastAsia="Calibri" w:hAnsi="Calibri"/>
      <w:sz w:val="22"/>
      <w:szCs w:val="22"/>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pBdr>
        <w:top w:val="single" w:sz="6" w:space="1" w:color="C0C0C0"/>
        <w:left w:val="single" w:sz="6" w:space="1" w:color="C0C0C0"/>
        <w:bottom w:val="single" w:sz="6" w:space="1" w:color="C0C0C0"/>
        <w:right w:val="single" w:sz="6" w:space="1" w:color="C0C0C0"/>
      </w:pBdr>
      <w:shd w:val="pct5" w:color="808080" w:fill="auto"/>
      <w:tabs>
        <w:tab w:val="left" w:pos="6521"/>
      </w:tabs>
      <w:spacing w:line="360" w:lineRule="auto"/>
      <w:ind w:left="1418" w:hanging="1418"/>
    </w:pPr>
    <w:rPr>
      <w:b/>
      <w:i/>
    </w:rPr>
  </w:style>
  <w:style w:type="paragraph" w:styleId="Textoindependiente">
    <w:name w:val="Body Text"/>
    <w:basedOn w:val="Normal"/>
    <w:pPr>
      <w:spacing w:after="120"/>
    </w:pPr>
  </w:style>
  <w:style w:type="table" w:styleId="Tablaconcuadrcula">
    <w:name w:val="Table Grid"/>
    <w:basedOn w:val="Tabla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AA7BD4"/>
    <w:pPr>
      <w:shd w:val="clear" w:color="auto" w:fill="000080"/>
    </w:pPr>
    <w:rPr>
      <w:rFonts w:ascii="Tahoma" w:hAnsi="Tahoma" w:cs="Tahoma"/>
      <w:sz w:val="20"/>
    </w:rPr>
  </w:style>
  <w:style w:type="character" w:styleId="Textoennegrita">
    <w:name w:val="Strong"/>
    <w:qFormat/>
    <w:rsid w:val="00BB563F"/>
    <w:rPr>
      <w:b/>
      <w:bCs/>
    </w:rPr>
  </w:style>
  <w:style w:type="character" w:styleId="Hipervnculo">
    <w:name w:val="Hyperlink"/>
    <w:rsid w:val="005E3CA8"/>
    <w:rPr>
      <w:color w:val="0000FF"/>
      <w:u w:val="single"/>
    </w:rPr>
  </w:style>
  <w:style w:type="paragraph" w:styleId="Textodeglobo">
    <w:name w:val="Balloon Text"/>
    <w:basedOn w:val="Normal"/>
    <w:semiHidden/>
    <w:rsid w:val="007B098F"/>
    <w:rPr>
      <w:rFonts w:ascii="Tahoma" w:hAnsi="Tahoma" w:cs="Tahoma"/>
      <w:sz w:val="16"/>
      <w:szCs w:val="16"/>
    </w:rPr>
  </w:style>
  <w:style w:type="paragraph" w:customStyle="1" w:styleId="Prrafodelista1">
    <w:name w:val="Párrafo de lista1"/>
    <w:basedOn w:val="Normal"/>
    <w:rsid w:val="00AE1798"/>
    <w:pPr>
      <w:spacing w:after="160" w:line="259" w:lineRule="auto"/>
      <w:ind w:left="720"/>
      <w:contextualSpacing/>
      <w:jc w:val="left"/>
    </w:pPr>
    <w:rPr>
      <w:rFonts w:ascii="Calibri" w:hAnsi="Calibri"/>
      <w:sz w:val="22"/>
      <w:szCs w:val="22"/>
      <w:lang w:val="es-ES" w:eastAsia="en-US"/>
    </w:rPr>
  </w:style>
  <w:style w:type="character" w:customStyle="1" w:styleId="destacadorojo">
    <w:name w:val="destacado_rojo"/>
    <w:basedOn w:val="Fuentedeprrafopredeter"/>
    <w:rsid w:val="00C67762"/>
  </w:style>
  <w:style w:type="paragraph" w:styleId="Prrafodelista">
    <w:name w:val="List Paragraph"/>
    <w:basedOn w:val="Normal"/>
    <w:qFormat/>
    <w:rsid w:val="007E1835"/>
    <w:pPr>
      <w:spacing w:after="200" w:line="276" w:lineRule="auto"/>
      <w:ind w:left="720"/>
      <w:contextualSpacing/>
      <w:jc w:val="left"/>
    </w:pPr>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099418">
      <w:bodyDiv w:val="1"/>
      <w:marLeft w:val="0"/>
      <w:marRight w:val="0"/>
      <w:marTop w:val="0"/>
      <w:marBottom w:val="0"/>
      <w:divBdr>
        <w:top w:val="none" w:sz="0" w:space="0" w:color="auto"/>
        <w:left w:val="none" w:sz="0" w:space="0" w:color="auto"/>
        <w:bottom w:val="none" w:sz="0" w:space="0" w:color="auto"/>
        <w:right w:val="none" w:sz="0" w:space="0" w:color="auto"/>
      </w:divBdr>
    </w:div>
    <w:div w:id="660962338">
      <w:bodyDiv w:val="1"/>
      <w:marLeft w:val="0"/>
      <w:marRight w:val="0"/>
      <w:marTop w:val="0"/>
      <w:marBottom w:val="0"/>
      <w:divBdr>
        <w:top w:val="none" w:sz="0" w:space="0" w:color="auto"/>
        <w:left w:val="none" w:sz="0" w:space="0" w:color="auto"/>
        <w:bottom w:val="none" w:sz="0" w:space="0" w:color="auto"/>
        <w:right w:val="none" w:sz="0" w:space="0" w:color="auto"/>
      </w:divBdr>
    </w:div>
    <w:div w:id="1492915743">
      <w:bodyDiv w:val="1"/>
      <w:marLeft w:val="0"/>
      <w:marRight w:val="0"/>
      <w:marTop w:val="0"/>
      <w:marBottom w:val="0"/>
      <w:divBdr>
        <w:top w:val="none" w:sz="0" w:space="0" w:color="auto"/>
        <w:left w:val="none" w:sz="0" w:space="0" w:color="auto"/>
        <w:bottom w:val="none" w:sz="0" w:space="0" w:color="auto"/>
        <w:right w:val="none" w:sz="0" w:space="0" w:color="auto"/>
      </w:divBdr>
    </w:div>
    <w:div w:id="1595943959">
      <w:bodyDiv w:val="1"/>
      <w:marLeft w:val="0"/>
      <w:marRight w:val="0"/>
      <w:marTop w:val="0"/>
      <w:marBottom w:val="0"/>
      <w:divBdr>
        <w:top w:val="none" w:sz="0" w:space="0" w:color="auto"/>
        <w:left w:val="none" w:sz="0" w:space="0" w:color="auto"/>
        <w:bottom w:val="none" w:sz="0" w:space="0" w:color="auto"/>
        <w:right w:val="none" w:sz="0" w:space="0" w:color="auto"/>
      </w:divBdr>
      <w:divsChild>
        <w:div w:id="1600483805">
          <w:marLeft w:val="0"/>
          <w:marRight w:val="0"/>
          <w:marTop w:val="0"/>
          <w:marBottom w:val="0"/>
          <w:divBdr>
            <w:top w:val="single" w:sz="6" w:space="0" w:color="000000"/>
            <w:left w:val="single" w:sz="6" w:space="0" w:color="000000"/>
            <w:bottom w:val="single" w:sz="6" w:space="0" w:color="000000"/>
            <w:right w:val="single" w:sz="6" w:space="0" w:color="000000"/>
          </w:divBdr>
          <w:divsChild>
            <w:div w:id="1960723546">
              <w:marLeft w:val="0"/>
              <w:marRight w:val="240"/>
              <w:marTop w:val="0"/>
              <w:marBottom w:val="0"/>
              <w:divBdr>
                <w:top w:val="none" w:sz="0" w:space="0" w:color="auto"/>
                <w:left w:val="none" w:sz="0" w:space="0" w:color="auto"/>
                <w:bottom w:val="none" w:sz="0" w:space="0" w:color="auto"/>
                <w:right w:val="none" w:sz="0" w:space="0" w:color="auto"/>
              </w:divBdr>
              <w:divsChild>
                <w:div w:id="1508251195">
                  <w:marLeft w:val="0"/>
                  <w:marRight w:val="0"/>
                  <w:marTop w:val="0"/>
                  <w:marBottom w:val="0"/>
                  <w:divBdr>
                    <w:top w:val="none" w:sz="0" w:space="0" w:color="auto"/>
                    <w:left w:val="none" w:sz="0" w:space="0" w:color="auto"/>
                    <w:bottom w:val="none" w:sz="0" w:space="0" w:color="auto"/>
                    <w:right w:val="dotted" w:sz="2" w:space="0" w:color="999999"/>
                  </w:divBdr>
                  <w:divsChild>
                    <w:div w:id="1826389583">
                      <w:marLeft w:val="335"/>
                      <w:marRight w:val="0"/>
                      <w:marTop w:val="0"/>
                      <w:marBottom w:val="335"/>
                      <w:divBdr>
                        <w:top w:val="none" w:sz="0" w:space="0" w:color="auto"/>
                        <w:left w:val="none" w:sz="0" w:space="0" w:color="auto"/>
                        <w:bottom w:val="none" w:sz="0" w:space="0" w:color="auto"/>
                        <w:right w:val="none" w:sz="0" w:space="0" w:color="auto"/>
                      </w:divBdr>
                      <w:divsChild>
                        <w:div w:id="1101681095">
                          <w:marLeft w:val="0"/>
                          <w:marRight w:val="0"/>
                          <w:marTop w:val="0"/>
                          <w:marBottom w:val="0"/>
                          <w:divBdr>
                            <w:top w:val="none" w:sz="0" w:space="0" w:color="auto"/>
                            <w:left w:val="none" w:sz="0" w:space="0" w:color="auto"/>
                            <w:bottom w:val="none" w:sz="0" w:space="0" w:color="auto"/>
                            <w:right w:val="none" w:sz="0" w:space="0" w:color="auto"/>
                          </w:divBdr>
                          <w:divsChild>
                            <w:div w:id="54937843">
                              <w:marLeft w:val="0"/>
                              <w:marRight w:val="0"/>
                              <w:marTop w:val="0"/>
                              <w:marBottom w:val="0"/>
                              <w:divBdr>
                                <w:top w:val="none" w:sz="0" w:space="0" w:color="auto"/>
                                <w:left w:val="none" w:sz="0" w:space="0" w:color="auto"/>
                                <w:bottom w:val="none" w:sz="0" w:space="0" w:color="auto"/>
                                <w:right w:val="none" w:sz="0" w:space="0" w:color="auto"/>
                              </w:divBdr>
                            </w:div>
                            <w:div w:id="18784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2173</Words>
  <Characters>11538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Respuesta pregunta parlamentaria</vt:lpstr>
    </vt:vector>
  </TitlesOfParts>
  <Company>Gobierno de Navarra</Company>
  <LinksUpToDate>false</LinksUpToDate>
  <CharactersWithSpaces>13684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Respuesta pregunta parlamentaria</dc:title>
  <dc:creator>Aranaz, Carlota</dc:creator>
  <cp:lastModifiedBy>Iñaki De Santiago</cp:lastModifiedBy>
  <cp:revision>4</cp:revision>
  <cp:lastPrinted>2019-02-26T12:36:00Z</cp:lastPrinted>
  <dcterms:created xsi:type="dcterms:W3CDTF">2019-04-26T09:47:00Z</dcterms:created>
  <dcterms:modified xsi:type="dcterms:W3CDTF">2019-04-29T11:31:00Z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PL0000054 Respuesta pregunta parlamentaria</vt:lpwstr>
  </property>
  <property fmtid="{D5CDD505-2E9C-101B-9397-08002B2CF9AE}" pid="3" name="Order">
    <vt:lpwstr>18900.0000000000</vt:lpwstr>
  </property>
  <property fmtid="{D5CDD505-2E9C-101B-9397-08002B2CF9AE}" pid="4" name="Revisión">
    <vt:lpwstr>0</vt:lpwstr>
  </property>
  <property fmtid="{D5CDD505-2E9C-101B-9397-08002B2CF9AE}" pid="5" name="Ámbito">
    <vt:lpwstr>GABINETE CONSEJERA</vt:lpwstr>
  </property>
  <property fmtid="{D5CDD505-2E9C-101B-9397-08002B2CF9AE}" pid="6" name="Tipo documento calidad">
    <vt:lpwstr>3</vt:lpwstr>
  </property>
  <property fmtid="{D5CDD505-2E9C-101B-9397-08002B2CF9AE}" pid="7" name="Descripción del documento">
    <vt:lpwstr/>
  </property>
  <property fmtid="{D5CDD505-2E9C-101B-9397-08002B2CF9AE}" pid="8" name="Proceso antiguo0">
    <vt:lpwstr>26</vt:lpwstr>
  </property>
  <property fmtid="{D5CDD505-2E9C-101B-9397-08002B2CF9AE}" pid="9" name="Procesos">
    <vt:lpwstr>0</vt:lpwstr>
  </property>
  <property fmtid="{D5CDD505-2E9C-101B-9397-08002B2CF9AE}" pid="10" name="ContentType">
    <vt:lpwstr>Documentación de Calidad</vt:lpwstr>
  </property>
  <property fmtid="{D5CDD505-2E9C-101B-9397-08002B2CF9AE}" pid="11" name="Documentos asociados">
    <vt:lpwstr/>
  </property>
</Properties>
</file>